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3" w:type="pct"/>
        <w:jc w:val="center"/>
        <w:tblCellMar>
          <w:top w:w="15" w:type="dxa"/>
          <w:left w:w="15" w:type="dxa"/>
          <w:bottom w:w="15" w:type="dxa"/>
          <w:right w:w="15" w:type="dxa"/>
        </w:tblCellMar>
        <w:tblLook w:val="04A0" w:firstRow="1" w:lastRow="0" w:firstColumn="1" w:lastColumn="0" w:noHBand="0" w:noVBand="1"/>
      </w:tblPr>
      <w:tblGrid>
        <w:gridCol w:w="8334"/>
      </w:tblGrid>
      <w:tr w:rsidR="00A91885" w14:paraId="185FF0EA" w14:textId="77777777">
        <w:trPr>
          <w:trHeight w:val="60"/>
          <w:jc w:val="center"/>
        </w:trPr>
        <w:tc>
          <w:tcPr>
            <w:tcW w:w="0" w:type="auto"/>
            <w:tcBorders>
              <w:top w:val="single" w:sz="8" w:space="0" w:color="000000"/>
              <w:bottom w:val="single" w:sz="8" w:space="0" w:color="000000"/>
            </w:tcBorders>
            <w:shd w:val="clear" w:color="auto" w:fill="auto"/>
            <w:tcMar>
              <w:top w:w="0" w:type="dxa"/>
              <w:left w:w="20" w:type="dxa"/>
              <w:bottom w:w="0" w:type="dxa"/>
              <w:right w:w="20" w:type="dxa"/>
            </w:tcMar>
            <w:vAlign w:val="bottom"/>
          </w:tcPr>
          <w:p w14:paraId="185FF0E9" w14:textId="4E6E08F1" w:rsidR="00A91885" w:rsidRDefault="009C4196">
            <w:pPr>
              <w:rPr>
                <w:rFonts w:ascii="宋体"/>
              </w:rPr>
            </w:pPr>
            <w:r>
              <w:rPr>
                <w:rFonts w:ascii="宋体"/>
              </w:rPr>
              <w:t xml:space="preserve"> </w:t>
            </w:r>
          </w:p>
        </w:tc>
      </w:tr>
    </w:tbl>
    <w:p w14:paraId="185FF0EB" w14:textId="77777777" w:rsidR="00A91885" w:rsidRDefault="009C4196">
      <w:pPr>
        <w:spacing w:before="120"/>
        <w:jc w:val="center"/>
      </w:pPr>
      <w:r>
        <w:rPr>
          <w:rFonts w:ascii="Arial" w:eastAsia="宋体" w:hAnsi="Arial" w:cs="Arial"/>
          <w:b/>
          <w:bCs/>
          <w:color w:val="000000"/>
          <w:sz w:val="30"/>
          <w:szCs w:val="30"/>
        </w:rPr>
        <w:t>UNITED STATES</w:t>
      </w:r>
    </w:p>
    <w:p w14:paraId="185FF0EC" w14:textId="77777777" w:rsidR="00A91885" w:rsidRDefault="009C4196">
      <w:pPr>
        <w:jc w:val="center"/>
      </w:pPr>
      <w:r>
        <w:rPr>
          <w:rFonts w:ascii="Arial" w:eastAsia="宋体" w:hAnsi="Arial" w:cs="Arial"/>
          <w:b/>
          <w:bCs/>
          <w:color w:val="000000"/>
          <w:sz w:val="30"/>
          <w:szCs w:val="30"/>
        </w:rPr>
        <w:t>SECURITIES AND EXCHANGE COMMISSION</w:t>
      </w:r>
      <w:r>
        <w:rPr>
          <w:rFonts w:ascii="Arial" w:eastAsia="宋体" w:hAnsi="Arial" w:cs="Arial"/>
          <w:b/>
          <w:bCs/>
          <w:color w:val="000000"/>
          <w:sz w:val="28"/>
          <w:szCs w:val="28"/>
        </w:rPr>
        <w:t xml:space="preserve"> </w:t>
      </w:r>
    </w:p>
    <w:p w14:paraId="185FF0ED" w14:textId="77777777" w:rsidR="00A91885" w:rsidRDefault="009C4196">
      <w:pPr>
        <w:jc w:val="center"/>
      </w:pPr>
      <w:r>
        <w:rPr>
          <w:rFonts w:ascii="Arial" w:eastAsia="宋体" w:hAnsi="Arial" w:cs="Arial"/>
          <w:b/>
          <w:bCs/>
          <w:color w:val="000000"/>
          <w:sz w:val="22"/>
          <w:szCs w:val="22"/>
        </w:rPr>
        <w:t>Washington, D.C. 20549</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A91885" w14:paraId="185FF0F1" w14:textId="77777777">
        <w:trPr>
          <w:jc w:val="center"/>
        </w:trPr>
        <w:tc>
          <w:tcPr>
            <w:tcW w:w="50" w:type="pct"/>
            <w:shd w:val="clear" w:color="auto" w:fill="auto"/>
            <w:vAlign w:val="bottom"/>
          </w:tcPr>
          <w:p w14:paraId="185FF0EE" w14:textId="77777777" w:rsidR="00A91885" w:rsidRDefault="00A91885">
            <w:pPr>
              <w:rPr>
                <w:rFonts w:ascii="宋体"/>
              </w:rPr>
            </w:pPr>
          </w:p>
        </w:tc>
        <w:tc>
          <w:tcPr>
            <w:tcW w:w="4945" w:type="pct"/>
            <w:shd w:val="clear" w:color="auto" w:fill="auto"/>
            <w:vAlign w:val="bottom"/>
          </w:tcPr>
          <w:p w14:paraId="185FF0EF" w14:textId="77777777" w:rsidR="00A91885" w:rsidRDefault="00A91885">
            <w:pPr>
              <w:rPr>
                <w:rFonts w:ascii="宋体"/>
              </w:rPr>
            </w:pPr>
          </w:p>
        </w:tc>
        <w:tc>
          <w:tcPr>
            <w:tcW w:w="5" w:type="pct"/>
            <w:shd w:val="clear" w:color="auto" w:fill="auto"/>
            <w:vAlign w:val="bottom"/>
          </w:tcPr>
          <w:p w14:paraId="185FF0F0" w14:textId="77777777" w:rsidR="00A91885" w:rsidRDefault="00A91885">
            <w:pPr>
              <w:rPr>
                <w:rFonts w:ascii="宋体"/>
              </w:rPr>
            </w:pPr>
          </w:p>
        </w:tc>
      </w:tr>
      <w:tr w:rsidR="00A91885" w14:paraId="185FF0F3"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85FF0F2" w14:textId="77777777" w:rsidR="00A91885" w:rsidRDefault="00A91885">
            <w:pPr>
              <w:rPr>
                <w:rFonts w:ascii="宋体"/>
              </w:rPr>
            </w:pPr>
          </w:p>
        </w:tc>
      </w:tr>
    </w:tbl>
    <w:p w14:paraId="185FF0F4" w14:textId="77777777" w:rsidR="00A91885" w:rsidRDefault="009C4196">
      <w:pPr>
        <w:spacing w:before="60"/>
        <w:jc w:val="center"/>
      </w:pPr>
      <w:r>
        <w:rPr>
          <w:rFonts w:ascii="Arial" w:eastAsia="宋体" w:hAnsi="Arial" w:cs="Arial"/>
          <w:b/>
          <w:bCs/>
          <w:color w:val="000000"/>
          <w:sz w:val="34"/>
          <w:szCs w:val="34"/>
        </w:rPr>
        <w:t>FORM</w:t>
      </w:r>
      <w:r>
        <w:rPr>
          <w:rFonts w:ascii="Arial" w:eastAsia="宋体" w:hAnsi="Arial" w:cs="Arial"/>
          <w:b/>
          <w:bCs/>
          <w:color w:val="000000"/>
          <w:sz w:val="28"/>
          <w:szCs w:val="28"/>
        </w:rPr>
        <w:t> </w:t>
      </w:r>
      <w:r>
        <w:rPr>
          <w:rFonts w:ascii="Arial" w:eastAsia="宋体" w:hAnsi="Arial" w:cs="Arial"/>
          <w:b/>
          <w:bCs/>
          <w:color w:val="000000"/>
          <w:sz w:val="34"/>
          <w:szCs w:val="34"/>
        </w:rPr>
        <w:t>10-Q</w:t>
      </w:r>
      <w:r>
        <w:rPr>
          <w:rFonts w:ascii="Arial" w:eastAsia="宋体" w:hAnsi="Arial" w:cs="Arial"/>
          <w:b/>
          <w:bCs/>
          <w:color w:val="000000"/>
          <w:sz w:val="28"/>
          <w:szCs w:val="28"/>
        </w:rPr>
        <w:t xml:space="preserve">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A91885" w14:paraId="185FF0F8" w14:textId="77777777">
        <w:trPr>
          <w:jc w:val="center"/>
        </w:trPr>
        <w:tc>
          <w:tcPr>
            <w:tcW w:w="50" w:type="pct"/>
            <w:shd w:val="clear" w:color="auto" w:fill="auto"/>
            <w:vAlign w:val="bottom"/>
          </w:tcPr>
          <w:p w14:paraId="185FF0F5" w14:textId="77777777" w:rsidR="00A91885" w:rsidRDefault="00A91885">
            <w:pPr>
              <w:rPr>
                <w:rFonts w:ascii="宋体"/>
              </w:rPr>
            </w:pPr>
          </w:p>
        </w:tc>
        <w:tc>
          <w:tcPr>
            <w:tcW w:w="4945" w:type="pct"/>
            <w:shd w:val="clear" w:color="auto" w:fill="auto"/>
            <w:vAlign w:val="bottom"/>
          </w:tcPr>
          <w:p w14:paraId="185FF0F6" w14:textId="77777777" w:rsidR="00A91885" w:rsidRDefault="00A91885">
            <w:pPr>
              <w:rPr>
                <w:rFonts w:ascii="宋体"/>
              </w:rPr>
            </w:pPr>
          </w:p>
        </w:tc>
        <w:tc>
          <w:tcPr>
            <w:tcW w:w="5" w:type="pct"/>
            <w:shd w:val="clear" w:color="auto" w:fill="auto"/>
            <w:vAlign w:val="bottom"/>
          </w:tcPr>
          <w:p w14:paraId="185FF0F7" w14:textId="77777777" w:rsidR="00A91885" w:rsidRDefault="00A91885">
            <w:pPr>
              <w:rPr>
                <w:rFonts w:ascii="宋体"/>
              </w:rPr>
            </w:pPr>
          </w:p>
        </w:tc>
      </w:tr>
      <w:tr w:rsidR="00A91885" w14:paraId="185FF0FA"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85FF0F9" w14:textId="77777777" w:rsidR="00A91885" w:rsidRDefault="00A91885">
            <w:pPr>
              <w:rPr>
                <w:rFonts w:ascii="宋体"/>
              </w:rPr>
            </w:pPr>
          </w:p>
        </w:tc>
      </w:tr>
    </w:tbl>
    <w:p w14:paraId="185FF0FB" w14:textId="77777777" w:rsidR="00A91885" w:rsidRDefault="009C4196">
      <w:pPr>
        <w:spacing w:after="20"/>
        <w:jc w:val="center"/>
      </w:pPr>
      <w:r>
        <w:rPr>
          <w:rFonts w:ascii="Arial" w:eastAsia="宋体" w:hAnsi="Arial" w:cs="Arial"/>
          <w:color w:val="000000"/>
          <w:sz w:val="20"/>
          <w:szCs w:val="20"/>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A91885" w14:paraId="185FF102" w14:textId="77777777">
        <w:trPr>
          <w:jc w:val="center"/>
        </w:trPr>
        <w:tc>
          <w:tcPr>
            <w:tcW w:w="50" w:type="pct"/>
            <w:shd w:val="clear" w:color="auto" w:fill="auto"/>
            <w:vAlign w:val="bottom"/>
          </w:tcPr>
          <w:p w14:paraId="185FF0FC" w14:textId="77777777" w:rsidR="00A91885" w:rsidRDefault="00A91885">
            <w:pPr>
              <w:rPr>
                <w:rFonts w:ascii="宋体"/>
              </w:rPr>
            </w:pPr>
          </w:p>
        </w:tc>
        <w:tc>
          <w:tcPr>
            <w:tcW w:w="186" w:type="pct"/>
            <w:shd w:val="clear" w:color="auto" w:fill="auto"/>
            <w:vAlign w:val="bottom"/>
          </w:tcPr>
          <w:p w14:paraId="185FF0FD" w14:textId="77777777" w:rsidR="00A91885" w:rsidRDefault="00A91885">
            <w:pPr>
              <w:rPr>
                <w:rFonts w:ascii="宋体"/>
              </w:rPr>
            </w:pPr>
          </w:p>
        </w:tc>
        <w:tc>
          <w:tcPr>
            <w:tcW w:w="5" w:type="pct"/>
            <w:shd w:val="clear" w:color="auto" w:fill="auto"/>
            <w:vAlign w:val="bottom"/>
          </w:tcPr>
          <w:p w14:paraId="185FF0FE" w14:textId="77777777" w:rsidR="00A91885" w:rsidRDefault="00A91885">
            <w:pPr>
              <w:rPr>
                <w:rFonts w:ascii="宋体"/>
              </w:rPr>
            </w:pPr>
          </w:p>
        </w:tc>
        <w:tc>
          <w:tcPr>
            <w:tcW w:w="50" w:type="pct"/>
            <w:shd w:val="clear" w:color="auto" w:fill="auto"/>
            <w:vAlign w:val="bottom"/>
          </w:tcPr>
          <w:p w14:paraId="185FF0FF" w14:textId="77777777" w:rsidR="00A91885" w:rsidRDefault="00A91885">
            <w:pPr>
              <w:rPr>
                <w:rFonts w:ascii="宋体"/>
              </w:rPr>
            </w:pPr>
          </w:p>
        </w:tc>
        <w:tc>
          <w:tcPr>
            <w:tcW w:w="4703" w:type="pct"/>
            <w:shd w:val="clear" w:color="auto" w:fill="auto"/>
            <w:vAlign w:val="bottom"/>
          </w:tcPr>
          <w:p w14:paraId="185FF100" w14:textId="77777777" w:rsidR="00A91885" w:rsidRDefault="00A91885">
            <w:pPr>
              <w:rPr>
                <w:rFonts w:ascii="宋体"/>
              </w:rPr>
            </w:pPr>
          </w:p>
        </w:tc>
        <w:tc>
          <w:tcPr>
            <w:tcW w:w="5" w:type="pct"/>
            <w:shd w:val="clear" w:color="auto" w:fill="auto"/>
            <w:vAlign w:val="bottom"/>
          </w:tcPr>
          <w:p w14:paraId="185FF101" w14:textId="77777777" w:rsidR="00A91885" w:rsidRDefault="00A91885">
            <w:pPr>
              <w:rPr>
                <w:rFonts w:ascii="宋体"/>
              </w:rPr>
            </w:pPr>
          </w:p>
        </w:tc>
      </w:tr>
      <w:tr w:rsidR="00A91885" w14:paraId="185FF105" w14:textId="77777777">
        <w:trPr>
          <w:jc w:val="center"/>
        </w:trPr>
        <w:tc>
          <w:tcPr>
            <w:tcW w:w="0" w:type="auto"/>
            <w:gridSpan w:val="3"/>
            <w:shd w:val="clear" w:color="auto" w:fill="auto"/>
            <w:tcMar>
              <w:top w:w="40" w:type="dxa"/>
              <w:left w:w="20" w:type="dxa"/>
              <w:bottom w:w="40" w:type="dxa"/>
              <w:right w:w="20" w:type="dxa"/>
            </w:tcMar>
            <w:vAlign w:val="bottom"/>
          </w:tcPr>
          <w:p w14:paraId="185FF103" w14:textId="77777777" w:rsidR="00A91885" w:rsidRDefault="009C4196">
            <w:pPr>
              <w:textAlignment w:val="bottom"/>
            </w:pPr>
            <w:r>
              <w:rPr>
                <w:rFonts w:ascii="Arial Unicode MS" w:eastAsia="Arial Unicode MS" w:hAnsi="Arial Unicode MS" w:cs="Arial Unicode MS"/>
                <w:color w:val="000000"/>
              </w:rPr>
              <w:t>☒</w:t>
            </w:r>
          </w:p>
        </w:tc>
        <w:tc>
          <w:tcPr>
            <w:tcW w:w="0" w:type="auto"/>
            <w:gridSpan w:val="3"/>
            <w:shd w:val="clear" w:color="auto" w:fill="auto"/>
            <w:tcMar>
              <w:top w:w="40" w:type="dxa"/>
              <w:left w:w="20" w:type="dxa"/>
              <w:bottom w:w="40" w:type="dxa"/>
              <w:right w:w="20" w:type="dxa"/>
            </w:tcMar>
            <w:vAlign w:val="bottom"/>
          </w:tcPr>
          <w:p w14:paraId="185FF104" w14:textId="77777777" w:rsidR="00A91885" w:rsidRDefault="009C4196">
            <w:pPr>
              <w:ind w:hanging="360"/>
              <w:textAlignment w:val="bottom"/>
            </w:pPr>
            <w:r>
              <w:rPr>
                <w:rFonts w:ascii="Arial" w:eastAsia="宋体" w:hAnsi="Arial" w:cs="Arial"/>
                <w:b/>
                <w:bCs/>
                <w:color w:val="000000"/>
                <w:sz w:val="18"/>
                <w:szCs w:val="18"/>
              </w:rPr>
              <w:t>QUARTERLY REPORT PURSUANT TO SECTION 13 OR 15(d) OF THE SECURITIES EXCHANGE ACT OF 1934</w:t>
            </w:r>
          </w:p>
        </w:tc>
      </w:tr>
    </w:tbl>
    <w:p w14:paraId="185FF106" w14:textId="77777777" w:rsidR="00A91885" w:rsidRDefault="009C4196">
      <w:pPr>
        <w:ind w:firstLine="360"/>
      </w:pPr>
      <w:r>
        <w:rPr>
          <w:rFonts w:ascii="Arial" w:eastAsia="宋体" w:hAnsi="Arial" w:cs="Arial"/>
          <w:color w:val="000000"/>
          <w:sz w:val="18"/>
          <w:szCs w:val="18"/>
        </w:rPr>
        <w:t>For the quarterly period ended June 30, 2022</w:t>
      </w:r>
      <w:r>
        <w:rPr>
          <w:rFonts w:ascii="Arial" w:eastAsia="宋体" w:hAnsi="Arial" w:cs="Arial"/>
          <w:b/>
          <w:bCs/>
          <w:color w:val="000000"/>
          <w:sz w:val="18"/>
          <w:szCs w:val="18"/>
        </w:rPr>
        <w:t xml:space="preserve"> </w:t>
      </w:r>
    </w:p>
    <w:p w14:paraId="185FF107" w14:textId="77777777" w:rsidR="00A91885" w:rsidRDefault="009C4196">
      <w:pPr>
        <w:spacing w:before="60"/>
        <w:jc w:val="center"/>
      </w:pPr>
      <w:r>
        <w:rPr>
          <w:rFonts w:ascii="Arial" w:eastAsia="宋体" w:hAnsi="Arial" w:cs="Arial"/>
          <w:b/>
          <w:bCs/>
          <w:color w:val="000000"/>
          <w:sz w:val="18"/>
          <w:szCs w:val="18"/>
        </w:rPr>
        <w:t xml:space="preserve">OR </w:t>
      </w:r>
    </w:p>
    <w:tbl>
      <w:tblPr>
        <w:tblW w:w="4985" w:type="pct"/>
        <w:jc w:val="center"/>
        <w:tblCellMar>
          <w:top w:w="15" w:type="dxa"/>
          <w:left w:w="15" w:type="dxa"/>
          <w:bottom w:w="15" w:type="dxa"/>
          <w:right w:w="15" w:type="dxa"/>
        </w:tblCellMar>
        <w:tblLook w:val="04A0" w:firstRow="1" w:lastRow="0" w:firstColumn="1" w:lastColumn="0" w:noHBand="0" w:noVBand="1"/>
      </w:tblPr>
      <w:tblGrid>
        <w:gridCol w:w="69"/>
        <w:gridCol w:w="295"/>
        <w:gridCol w:w="36"/>
        <w:gridCol w:w="69"/>
        <w:gridCol w:w="7806"/>
        <w:gridCol w:w="36"/>
      </w:tblGrid>
      <w:tr w:rsidR="00A91885" w14:paraId="185FF10E" w14:textId="77777777">
        <w:trPr>
          <w:jc w:val="center"/>
        </w:trPr>
        <w:tc>
          <w:tcPr>
            <w:tcW w:w="50" w:type="pct"/>
            <w:shd w:val="clear" w:color="auto" w:fill="auto"/>
            <w:vAlign w:val="bottom"/>
          </w:tcPr>
          <w:p w14:paraId="185FF108" w14:textId="77777777" w:rsidR="00A91885" w:rsidRDefault="00A91885">
            <w:pPr>
              <w:rPr>
                <w:rFonts w:ascii="宋体"/>
              </w:rPr>
            </w:pPr>
          </w:p>
        </w:tc>
        <w:tc>
          <w:tcPr>
            <w:tcW w:w="186" w:type="pct"/>
            <w:shd w:val="clear" w:color="auto" w:fill="auto"/>
            <w:vAlign w:val="bottom"/>
          </w:tcPr>
          <w:p w14:paraId="185FF109" w14:textId="77777777" w:rsidR="00A91885" w:rsidRDefault="00A91885">
            <w:pPr>
              <w:rPr>
                <w:rFonts w:ascii="宋体"/>
              </w:rPr>
            </w:pPr>
          </w:p>
        </w:tc>
        <w:tc>
          <w:tcPr>
            <w:tcW w:w="5" w:type="pct"/>
            <w:shd w:val="clear" w:color="auto" w:fill="auto"/>
            <w:vAlign w:val="bottom"/>
          </w:tcPr>
          <w:p w14:paraId="185FF10A" w14:textId="77777777" w:rsidR="00A91885" w:rsidRDefault="00A91885">
            <w:pPr>
              <w:rPr>
                <w:rFonts w:ascii="宋体"/>
              </w:rPr>
            </w:pPr>
          </w:p>
        </w:tc>
        <w:tc>
          <w:tcPr>
            <w:tcW w:w="50" w:type="pct"/>
            <w:shd w:val="clear" w:color="auto" w:fill="auto"/>
            <w:vAlign w:val="bottom"/>
          </w:tcPr>
          <w:p w14:paraId="185FF10B" w14:textId="77777777" w:rsidR="00A91885" w:rsidRDefault="00A91885">
            <w:pPr>
              <w:rPr>
                <w:rFonts w:ascii="宋体"/>
              </w:rPr>
            </w:pPr>
          </w:p>
        </w:tc>
        <w:tc>
          <w:tcPr>
            <w:tcW w:w="4703" w:type="pct"/>
            <w:shd w:val="clear" w:color="auto" w:fill="auto"/>
            <w:vAlign w:val="bottom"/>
          </w:tcPr>
          <w:p w14:paraId="185FF10C" w14:textId="77777777" w:rsidR="00A91885" w:rsidRDefault="00A91885">
            <w:pPr>
              <w:rPr>
                <w:rFonts w:ascii="宋体"/>
              </w:rPr>
            </w:pPr>
          </w:p>
        </w:tc>
        <w:tc>
          <w:tcPr>
            <w:tcW w:w="5" w:type="pct"/>
            <w:shd w:val="clear" w:color="auto" w:fill="auto"/>
            <w:vAlign w:val="bottom"/>
          </w:tcPr>
          <w:p w14:paraId="185FF10D" w14:textId="77777777" w:rsidR="00A91885" w:rsidRDefault="00A91885">
            <w:pPr>
              <w:rPr>
                <w:rFonts w:ascii="宋体"/>
              </w:rPr>
            </w:pPr>
          </w:p>
        </w:tc>
      </w:tr>
      <w:tr w:rsidR="00A91885" w14:paraId="185FF111" w14:textId="77777777">
        <w:trPr>
          <w:jc w:val="center"/>
        </w:trPr>
        <w:tc>
          <w:tcPr>
            <w:tcW w:w="0" w:type="auto"/>
            <w:gridSpan w:val="3"/>
            <w:shd w:val="clear" w:color="auto" w:fill="auto"/>
            <w:tcMar>
              <w:top w:w="40" w:type="dxa"/>
              <w:left w:w="20" w:type="dxa"/>
              <w:bottom w:w="40" w:type="dxa"/>
              <w:right w:w="20" w:type="dxa"/>
            </w:tcMar>
            <w:vAlign w:val="bottom"/>
          </w:tcPr>
          <w:p w14:paraId="185FF10F" w14:textId="77777777" w:rsidR="00A91885" w:rsidRDefault="009C4196">
            <w:pPr>
              <w:textAlignment w:val="bottom"/>
            </w:pPr>
            <w:r>
              <w:rPr>
                <w:rFonts w:ascii="Arial Unicode MS" w:eastAsia="Arial Unicode MS" w:hAnsi="Arial Unicode MS" w:cs="Arial Unicode MS" w:hint="eastAsia"/>
                <w:color w:val="000000"/>
              </w:rPr>
              <w:t>☐</w:t>
            </w:r>
          </w:p>
        </w:tc>
        <w:tc>
          <w:tcPr>
            <w:tcW w:w="0" w:type="auto"/>
            <w:gridSpan w:val="3"/>
            <w:shd w:val="clear" w:color="auto" w:fill="auto"/>
            <w:tcMar>
              <w:top w:w="40" w:type="dxa"/>
              <w:left w:w="20" w:type="dxa"/>
              <w:bottom w:w="40" w:type="dxa"/>
              <w:right w:w="20" w:type="dxa"/>
            </w:tcMar>
            <w:vAlign w:val="bottom"/>
          </w:tcPr>
          <w:p w14:paraId="185FF110" w14:textId="77777777" w:rsidR="00A91885" w:rsidRDefault="009C4196">
            <w:pPr>
              <w:textAlignment w:val="bottom"/>
            </w:pPr>
            <w:r>
              <w:rPr>
                <w:rFonts w:ascii="Arial" w:eastAsia="宋体" w:hAnsi="Arial" w:cs="Arial"/>
                <w:b/>
                <w:bCs/>
                <w:color w:val="000000"/>
                <w:sz w:val="18"/>
                <w:szCs w:val="18"/>
              </w:rPr>
              <w:t>TRANSITION REPORT PURSUANT TO SECTION 13 OR 15(d) OF THE SECURITIES EXCHANGE ACT OF 1934</w:t>
            </w:r>
          </w:p>
        </w:tc>
      </w:tr>
    </w:tbl>
    <w:p w14:paraId="185FF112" w14:textId="77777777" w:rsidR="00A91885" w:rsidRDefault="009C4196">
      <w:pPr>
        <w:ind w:firstLine="360"/>
      </w:pPr>
      <w:r>
        <w:rPr>
          <w:rFonts w:ascii="Arial" w:eastAsia="宋体" w:hAnsi="Arial" w:cs="Arial"/>
          <w:color w:val="000000"/>
          <w:sz w:val="18"/>
          <w:szCs w:val="18"/>
        </w:rPr>
        <w:t xml:space="preserve">For the transition period from _______ to _______ </w:t>
      </w:r>
    </w:p>
    <w:p w14:paraId="185FF113" w14:textId="77777777" w:rsidR="00A91885" w:rsidRDefault="00A91885">
      <w:pPr>
        <w:ind w:firstLine="360"/>
      </w:pPr>
    </w:p>
    <w:p w14:paraId="185FF114" w14:textId="77777777" w:rsidR="00A91885" w:rsidRDefault="009C4196">
      <w:pPr>
        <w:spacing w:before="60"/>
        <w:jc w:val="center"/>
      </w:pPr>
      <w:r>
        <w:rPr>
          <w:rFonts w:ascii="Arial" w:eastAsia="宋体" w:hAnsi="Arial" w:cs="Arial"/>
          <w:b/>
          <w:bCs/>
          <w:color w:val="000000"/>
          <w:sz w:val="18"/>
          <w:szCs w:val="18"/>
        </w:rPr>
        <w:t xml:space="preserve">Commission file number 001-37713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A91885" w14:paraId="185FF118" w14:textId="77777777">
        <w:trPr>
          <w:jc w:val="center"/>
        </w:trPr>
        <w:tc>
          <w:tcPr>
            <w:tcW w:w="50" w:type="pct"/>
            <w:shd w:val="clear" w:color="auto" w:fill="auto"/>
            <w:vAlign w:val="bottom"/>
          </w:tcPr>
          <w:p w14:paraId="185FF115" w14:textId="77777777" w:rsidR="00A91885" w:rsidRDefault="00A91885">
            <w:pPr>
              <w:rPr>
                <w:rFonts w:ascii="宋体"/>
              </w:rPr>
            </w:pPr>
          </w:p>
        </w:tc>
        <w:tc>
          <w:tcPr>
            <w:tcW w:w="4945" w:type="pct"/>
            <w:shd w:val="clear" w:color="auto" w:fill="auto"/>
            <w:vAlign w:val="bottom"/>
          </w:tcPr>
          <w:p w14:paraId="185FF116" w14:textId="77777777" w:rsidR="00A91885" w:rsidRDefault="00A91885">
            <w:pPr>
              <w:rPr>
                <w:rFonts w:ascii="宋体"/>
              </w:rPr>
            </w:pPr>
          </w:p>
        </w:tc>
        <w:tc>
          <w:tcPr>
            <w:tcW w:w="5" w:type="pct"/>
            <w:shd w:val="clear" w:color="auto" w:fill="auto"/>
            <w:vAlign w:val="bottom"/>
          </w:tcPr>
          <w:p w14:paraId="185FF117" w14:textId="77777777" w:rsidR="00A91885" w:rsidRDefault="00A91885">
            <w:pPr>
              <w:rPr>
                <w:rFonts w:ascii="宋体"/>
              </w:rPr>
            </w:pPr>
          </w:p>
        </w:tc>
      </w:tr>
      <w:tr w:rsidR="00A91885" w14:paraId="185FF11A"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85FF119" w14:textId="77777777" w:rsidR="00A91885" w:rsidRDefault="00A91885">
            <w:pPr>
              <w:rPr>
                <w:rFonts w:ascii="宋体"/>
              </w:rPr>
            </w:pPr>
          </w:p>
        </w:tc>
      </w:tr>
    </w:tbl>
    <w:p w14:paraId="185FF11B" w14:textId="77777777" w:rsidR="00A91885" w:rsidRDefault="009C4196">
      <w:pPr>
        <w:jc w:val="center"/>
      </w:pPr>
      <w:r>
        <w:rPr>
          <w:rFonts w:ascii="Arial" w:eastAsia="宋体" w:hAnsi="Arial" w:cs="Arial"/>
          <w:color w:val="000000"/>
          <w:sz w:val="20"/>
          <w:szCs w:val="20"/>
        </w:rPr>
        <w:t> </w:t>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/Ebay/./Inline XBRL Viewer1_files/ebay-20220630_g1.jpg"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18602182" wp14:editId="18602183">
            <wp:extent cx="304800" cy="304800"/>
            <wp:effectExtent l="0" t="0" r="0" b="0"/>
            <wp:docPr id="39"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185FF11C" w14:textId="77777777" w:rsidR="00A91885" w:rsidRDefault="009C4196">
      <w:pPr>
        <w:jc w:val="center"/>
      </w:pPr>
      <w:r>
        <w:rPr>
          <w:rFonts w:ascii="Arial" w:eastAsia="宋体" w:hAnsi="Arial" w:cs="Arial"/>
          <w:b/>
          <w:bCs/>
          <w:color w:val="000000"/>
          <w:sz w:val="16"/>
          <w:szCs w:val="16"/>
        </w:rPr>
        <w:t>eBay Inc.</w:t>
      </w:r>
    </w:p>
    <w:p w14:paraId="185FF11D" w14:textId="77777777" w:rsidR="00A91885" w:rsidRDefault="009C4196">
      <w:pPr>
        <w:jc w:val="center"/>
      </w:pPr>
      <w:r>
        <w:rPr>
          <w:rFonts w:ascii="Arial" w:eastAsia="宋体" w:hAnsi="Arial" w:cs="Arial"/>
          <w:color w:val="000000"/>
          <w:sz w:val="16"/>
          <w:szCs w:val="16"/>
        </w:rPr>
        <w:t xml:space="preserve">(Exact name of registrant as specified in its charter)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A91885" w14:paraId="185FF121" w14:textId="77777777">
        <w:trPr>
          <w:jc w:val="center"/>
        </w:trPr>
        <w:tc>
          <w:tcPr>
            <w:tcW w:w="50" w:type="pct"/>
            <w:shd w:val="clear" w:color="auto" w:fill="auto"/>
            <w:vAlign w:val="bottom"/>
          </w:tcPr>
          <w:p w14:paraId="185FF11E" w14:textId="77777777" w:rsidR="00A91885" w:rsidRDefault="00A91885">
            <w:pPr>
              <w:rPr>
                <w:rFonts w:ascii="宋体"/>
              </w:rPr>
            </w:pPr>
          </w:p>
        </w:tc>
        <w:tc>
          <w:tcPr>
            <w:tcW w:w="4945" w:type="pct"/>
            <w:shd w:val="clear" w:color="auto" w:fill="auto"/>
            <w:vAlign w:val="bottom"/>
          </w:tcPr>
          <w:p w14:paraId="185FF11F" w14:textId="77777777" w:rsidR="00A91885" w:rsidRDefault="00A91885">
            <w:pPr>
              <w:rPr>
                <w:rFonts w:ascii="宋体"/>
              </w:rPr>
            </w:pPr>
          </w:p>
        </w:tc>
        <w:tc>
          <w:tcPr>
            <w:tcW w:w="5" w:type="pct"/>
            <w:shd w:val="clear" w:color="auto" w:fill="auto"/>
            <w:vAlign w:val="bottom"/>
          </w:tcPr>
          <w:p w14:paraId="185FF120" w14:textId="77777777" w:rsidR="00A91885" w:rsidRDefault="00A91885">
            <w:pPr>
              <w:rPr>
                <w:rFonts w:ascii="宋体"/>
              </w:rPr>
            </w:pPr>
          </w:p>
        </w:tc>
      </w:tr>
      <w:tr w:rsidR="00A91885" w14:paraId="185FF123"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85FF122" w14:textId="77777777" w:rsidR="00A91885" w:rsidRDefault="00A91885">
            <w:pPr>
              <w:rPr>
                <w:rFonts w:ascii="宋体"/>
              </w:rPr>
            </w:pPr>
          </w:p>
        </w:tc>
      </w:tr>
    </w:tbl>
    <w:p w14:paraId="185FF124" w14:textId="77777777" w:rsidR="00A91885" w:rsidRDefault="00A91885">
      <w:pPr>
        <w:rPr>
          <w:vanish/>
        </w:rPr>
      </w:pPr>
    </w:p>
    <w:tbl>
      <w:tblPr>
        <w:tblW w:w="3794" w:type="pct"/>
        <w:jc w:val="center"/>
        <w:tblCellMar>
          <w:top w:w="15" w:type="dxa"/>
          <w:left w:w="15" w:type="dxa"/>
          <w:bottom w:w="15" w:type="dxa"/>
          <w:right w:w="15" w:type="dxa"/>
        </w:tblCellMar>
        <w:tblLook w:val="04A0" w:firstRow="1" w:lastRow="0" w:firstColumn="1" w:lastColumn="0" w:noHBand="0" w:noVBand="1"/>
      </w:tblPr>
      <w:tblGrid>
        <w:gridCol w:w="38"/>
        <w:gridCol w:w="1418"/>
        <w:gridCol w:w="38"/>
        <w:gridCol w:w="36"/>
        <w:gridCol w:w="36"/>
        <w:gridCol w:w="36"/>
        <w:gridCol w:w="37"/>
        <w:gridCol w:w="1401"/>
        <w:gridCol w:w="37"/>
        <w:gridCol w:w="36"/>
        <w:gridCol w:w="36"/>
        <w:gridCol w:w="36"/>
        <w:gridCol w:w="37"/>
        <w:gridCol w:w="3067"/>
        <w:gridCol w:w="36"/>
      </w:tblGrid>
      <w:tr w:rsidR="00A91885" w14:paraId="185FF134" w14:textId="77777777">
        <w:trPr>
          <w:jc w:val="center"/>
        </w:trPr>
        <w:tc>
          <w:tcPr>
            <w:tcW w:w="50" w:type="pct"/>
            <w:shd w:val="clear" w:color="auto" w:fill="auto"/>
            <w:vAlign w:val="bottom"/>
          </w:tcPr>
          <w:p w14:paraId="185FF125" w14:textId="77777777" w:rsidR="00A91885" w:rsidRDefault="00A91885">
            <w:pPr>
              <w:rPr>
                <w:rFonts w:ascii="宋体"/>
              </w:rPr>
            </w:pPr>
          </w:p>
        </w:tc>
        <w:tc>
          <w:tcPr>
            <w:tcW w:w="1149" w:type="pct"/>
            <w:shd w:val="clear" w:color="auto" w:fill="auto"/>
            <w:vAlign w:val="bottom"/>
          </w:tcPr>
          <w:p w14:paraId="185FF126" w14:textId="77777777" w:rsidR="00A91885" w:rsidRDefault="00A91885">
            <w:pPr>
              <w:rPr>
                <w:rFonts w:ascii="宋体"/>
              </w:rPr>
            </w:pPr>
          </w:p>
        </w:tc>
        <w:tc>
          <w:tcPr>
            <w:tcW w:w="5" w:type="pct"/>
            <w:shd w:val="clear" w:color="auto" w:fill="auto"/>
            <w:vAlign w:val="bottom"/>
          </w:tcPr>
          <w:p w14:paraId="185FF127" w14:textId="77777777" w:rsidR="00A91885" w:rsidRDefault="00A91885">
            <w:pPr>
              <w:rPr>
                <w:rFonts w:ascii="宋体"/>
              </w:rPr>
            </w:pPr>
          </w:p>
        </w:tc>
        <w:tc>
          <w:tcPr>
            <w:tcW w:w="5" w:type="pct"/>
            <w:shd w:val="clear" w:color="auto" w:fill="auto"/>
            <w:vAlign w:val="bottom"/>
          </w:tcPr>
          <w:p w14:paraId="185FF128" w14:textId="77777777" w:rsidR="00A91885" w:rsidRDefault="00A91885">
            <w:pPr>
              <w:rPr>
                <w:rFonts w:ascii="宋体"/>
              </w:rPr>
            </w:pPr>
          </w:p>
        </w:tc>
        <w:tc>
          <w:tcPr>
            <w:tcW w:w="38" w:type="pct"/>
            <w:shd w:val="clear" w:color="auto" w:fill="auto"/>
            <w:vAlign w:val="bottom"/>
          </w:tcPr>
          <w:p w14:paraId="185FF129" w14:textId="77777777" w:rsidR="00A91885" w:rsidRDefault="00A91885">
            <w:pPr>
              <w:rPr>
                <w:rFonts w:ascii="宋体"/>
              </w:rPr>
            </w:pPr>
          </w:p>
        </w:tc>
        <w:tc>
          <w:tcPr>
            <w:tcW w:w="5" w:type="pct"/>
            <w:shd w:val="clear" w:color="auto" w:fill="auto"/>
            <w:vAlign w:val="bottom"/>
          </w:tcPr>
          <w:p w14:paraId="185FF12A" w14:textId="77777777" w:rsidR="00A91885" w:rsidRDefault="00A91885">
            <w:pPr>
              <w:rPr>
                <w:rFonts w:ascii="宋体"/>
              </w:rPr>
            </w:pPr>
          </w:p>
        </w:tc>
        <w:tc>
          <w:tcPr>
            <w:tcW w:w="50" w:type="pct"/>
            <w:shd w:val="clear" w:color="auto" w:fill="auto"/>
            <w:vAlign w:val="bottom"/>
          </w:tcPr>
          <w:p w14:paraId="185FF12B" w14:textId="77777777" w:rsidR="00A91885" w:rsidRDefault="00A91885">
            <w:pPr>
              <w:rPr>
                <w:rFonts w:ascii="宋体"/>
              </w:rPr>
            </w:pPr>
          </w:p>
        </w:tc>
        <w:tc>
          <w:tcPr>
            <w:tcW w:w="1149" w:type="pct"/>
            <w:shd w:val="clear" w:color="auto" w:fill="auto"/>
            <w:vAlign w:val="bottom"/>
          </w:tcPr>
          <w:p w14:paraId="185FF12C" w14:textId="77777777" w:rsidR="00A91885" w:rsidRDefault="00A91885">
            <w:pPr>
              <w:rPr>
                <w:rFonts w:ascii="宋体"/>
              </w:rPr>
            </w:pPr>
          </w:p>
        </w:tc>
        <w:tc>
          <w:tcPr>
            <w:tcW w:w="5" w:type="pct"/>
            <w:shd w:val="clear" w:color="auto" w:fill="auto"/>
            <w:vAlign w:val="bottom"/>
          </w:tcPr>
          <w:p w14:paraId="185FF12D" w14:textId="77777777" w:rsidR="00A91885" w:rsidRDefault="00A91885">
            <w:pPr>
              <w:rPr>
                <w:rFonts w:ascii="宋体"/>
              </w:rPr>
            </w:pPr>
          </w:p>
        </w:tc>
        <w:tc>
          <w:tcPr>
            <w:tcW w:w="5" w:type="pct"/>
            <w:shd w:val="clear" w:color="auto" w:fill="auto"/>
            <w:vAlign w:val="bottom"/>
          </w:tcPr>
          <w:p w14:paraId="185FF12E" w14:textId="77777777" w:rsidR="00A91885" w:rsidRDefault="00A91885">
            <w:pPr>
              <w:rPr>
                <w:rFonts w:ascii="宋体"/>
              </w:rPr>
            </w:pPr>
          </w:p>
        </w:tc>
        <w:tc>
          <w:tcPr>
            <w:tcW w:w="28" w:type="pct"/>
            <w:shd w:val="clear" w:color="auto" w:fill="auto"/>
            <w:vAlign w:val="bottom"/>
          </w:tcPr>
          <w:p w14:paraId="185FF12F" w14:textId="77777777" w:rsidR="00A91885" w:rsidRDefault="00A91885">
            <w:pPr>
              <w:rPr>
                <w:rFonts w:ascii="宋体"/>
              </w:rPr>
            </w:pPr>
          </w:p>
        </w:tc>
        <w:tc>
          <w:tcPr>
            <w:tcW w:w="5" w:type="pct"/>
            <w:shd w:val="clear" w:color="auto" w:fill="auto"/>
            <w:vAlign w:val="bottom"/>
          </w:tcPr>
          <w:p w14:paraId="185FF130" w14:textId="77777777" w:rsidR="00A91885" w:rsidRDefault="00A91885">
            <w:pPr>
              <w:rPr>
                <w:rFonts w:ascii="宋体"/>
              </w:rPr>
            </w:pPr>
          </w:p>
        </w:tc>
        <w:tc>
          <w:tcPr>
            <w:tcW w:w="50" w:type="pct"/>
            <w:shd w:val="clear" w:color="auto" w:fill="auto"/>
            <w:vAlign w:val="bottom"/>
          </w:tcPr>
          <w:p w14:paraId="185FF131" w14:textId="77777777" w:rsidR="00A91885" w:rsidRDefault="00A91885">
            <w:pPr>
              <w:rPr>
                <w:rFonts w:ascii="宋体"/>
              </w:rPr>
            </w:pPr>
          </w:p>
        </w:tc>
        <w:tc>
          <w:tcPr>
            <w:tcW w:w="2449" w:type="pct"/>
            <w:shd w:val="clear" w:color="auto" w:fill="auto"/>
            <w:vAlign w:val="bottom"/>
          </w:tcPr>
          <w:p w14:paraId="185FF132" w14:textId="77777777" w:rsidR="00A91885" w:rsidRDefault="00A91885">
            <w:pPr>
              <w:rPr>
                <w:rFonts w:ascii="宋体"/>
              </w:rPr>
            </w:pPr>
          </w:p>
        </w:tc>
        <w:tc>
          <w:tcPr>
            <w:tcW w:w="5" w:type="pct"/>
            <w:shd w:val="clear" w:color="auto" w:fill="auto"/>
            <w:vAlign w:val="bottom"/>
          </w:tcPr>
          <w:p w14:paraId="185FF133" w14:textId="77777777" w:rsidR="00A91885" w:rsidRDefault="00A91885">
            <w:pPr>
              <w:rPr>
                <w:rFonts w:ascii="宋体"/>
              </w:rPr>
            </w:pPr>
          </w:p>
        </w:tc>
      </w:tr>
      <w:tr w:rsidR="00A91885" w14:paraId="185FF138" w14:textId="77777777">
        <w:trPr>
          <w:jc w:val="center"/>
        </w:trPr>
        <w:tc>
          <w:tcPr>
            <w:tcW w:w="0" w:type="auto"/>
            <w:gridSpan w:val="9"/>
            <w:shd w:val="clear" w:color="auto" w:fill="auto"/>
            <w:tcMar>
              <w:top w:w="40" w:type="dxa"/>
              <w:left w:w="20" w:type="dxa"/>
              <w:bottom w:w="40" w:type="dxa"/>
              <w:right w:w="20" w:type="dxa"/>
            </w:tcMar>
            <w:vAlign w:val="bottom"/>
          </w:tcPr>
          <w:p w14:paraId="185FF135" w14:textId="77777777" w:rsidR="00A91885" w:rsidRDefault="009C4196">
            <w:pPr>
              <w:jc w:val="center"/>
              <w:textAlignment w:val="bottom"/>
            </w:pPr>
            <w:r>
              <w:rPr>
                <w:rFonts w:ascii="Arial" w:eastAsia="宋体" w:hAnsi="Arial" w:cs="Arial"/>
                <w:b/>
                <w:bCs/>
                <w:color w:val="000000"/>
                <w:sz w:val="15"/>
                <w:szCs w:val="15"/>
              </w:rPr>
              <w:t>Delaware</w:t>
            </w:r>
          </w:p>
        </w:tc>
        <w:tc>
          <w:tcPr>
            <w:tcW w:w="0" w:type="auto"/>
            <w:gridSpan w:val="3"/>
            <w:shd w:val="clear" w:color="auto" w:fill="auto"/>
            <w:tcMar>
              <w:top w:w="0" w:type="dxa"/>
              <w:left w:w="20" w:type="dxa"/>
              <w:bottom w:w="0" w:type="dxa"/>
              <w:right w:w="20" w:type="dxa"/>
            </w:tcMar>
            <w:vAlign w:val="bottom"/>
          </w:tcPr>
          <w:p w14:paraId="185FF136"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5FF137" w14:textId="77777777" w:rsidR="00A91885" w:rsidRDefault="009C4196">
            <w:pPr>
              <w:jc w:val="center"/>
              <w:textAlignment w:val="bottom"/>
            </w:pPr>
            <w:r>
              <w:rPr>
                <w:rFonts w:ascii="Arial" w:eastAsia="宋体" w:hAnsi="Arial" w:cs="Arial"/>
                <w:b/>
                <w:bCs/>
                <w:color w:val="000000"/>
                <w:sz w:val="15"/>
                <w:szCs w:val="15"/>
              </w:rPr>
              <w:t>77-0430924</w:t>
            </w:r>
          </w:p>
        </w:tc>
      </w:tr>
      <w:tr w:rsidR="00A91885" w14:paraId="185FF13C" w14:textId="77777777">
        <w:trPr>
          <w:jc w:val="center"/>
        </w:trPr>
        <w:tc>
          <w:tcPr>
            <w:tcW w:w="0" w:type="auto"/>
            <w:gridSpan w:val="9"/>
            <w:shd w:val="clear" w:color="auto" w:fill="auto"/>
            <w:tcMar>
              <w:top w:w="40" w:type="dxa"/>
              <w:left w:w="20" w:type="dxa"/>
              <w:bottom w:w="40" w:type="dxa"/>
              <w:right w:w="20" w:type="dxa"/>
            </w:tcMar>
            <w:vAlign w:val="bottom"/>
          </w:tcPr>
          <w:p w14:paraId="185FF139" w14:textId="77777777" w:rsidR="00A91885" w:rsidRDefault="009C4196">
            <w:pPr>
              <w:jc w:val="center"/>
              <w:textAlignment w:val="bottom"/>
            </w:pPr>
            <w:r>
              <w:rPr>
                <w:rFonts w:ascii="Arial" w:eastAsia="宋体" w:hAnsi="Arial" w:cs="Arial"/>
                <w:color w:val="000000"/>
                <w:sz w:val="14"/>
                <w:szCs w:val="14"/>
              </w:rPr>
              <w:t>(State or other jurisdiction of</w:t>
            </w:r>
            <w:r>
              <w:rPr>
                <w:rFonts w:ascii="Arial" w:eastAsia="宋体" w:hAnsi="Arial" w:cs="Arial"/>
                <w:color w:val="000000"/>
                <w:sz w:val="14"/>
                <w:szCs w:val="14"/>
              </w:rPr>
              <w:br/>
              <w:t>incorporation or organization)</w:t>
            </w:r>
          </w:p>
        </w:tc>
        <w:tc>
          <w:tcPr>
            <w:tcW w:w="0" w:type="auto"/>
            <w:gridSpan w:val="3"/>
            <w:shd w:val="clear" w:color="auto" w:fill="auto"/>
            <w:tcMar>
              <w:top w:w="0" w:type="dxa"/>
              <w:left w:w="20" w:type="dxa"/>
              <w:bottom w:w="0" w:type="dxa"/>
              <w:right w:w="20" w:type="dxa"/>
            </w:tcMar>
            <w:vAlign w:val="bottom"/>
          </w:tcPr>
          <w:p w14:paraId="185FF13A"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5FF13B" w14:textId="77777777" w:rsidR="00A91885" w:rsidRDefault="009C4196">
            <w:pPr>
              <w:jc w:val="center"/>
              <w:textAlignment w:val="bottom"/>
            </w:pPr>
            <w:r>
              <w:rPr>
                <w:rFonts w:ascii="Arial" w:eastAsia="宋体" w:hAnsi="Arial" w:cs="Arial"/>
                <w:color w:val="000000"/>
                <w:sz w:val="14"/>
                <w:szCs w:val="14"/>
              </w:rPr>
              <w:t>(I.R.S. Employer</w:t>
            </w:r>
            <w:r>
              <w:rPr>
                <w:rFonts w:ascii="Arial" w:eastAsia="宋体" w:hAnsi="Arial" w:cs="Arial"/>
                <w:color w:val="000000"/>
                <w:sz w:val="14"/>
                <w:szCs w:val="14"/>
              </w:rPr>
              <w:br/>
              <w:t>Identification No.)</w:t>
            </w:r>
          </w:p>
        </w:tc>
      </w:tr>
      <w:tr w:rsidR="00A91885" w14:paraId="185FF142" w14:textId="77777777">
        <w:trPr>
          <w:trHeight w:val="120"/>
          <w:jc w:val="center"/>
        </w:trPr>
        <w:tc>
          <w:tcPr>
            <w:tcW w:w="0" w:type="auto"/>
            <w:gridSpan w:val="3"/>
            <w:shd w:val="clear" w:color="auto" w:fill="auto"/>
            <w:tcMar>
              <w:top w:w="0" w:type="dxa"/>
              <w:left w:w="20" w:type="dxa"/>
              <w:bottom w:w="0" w:type="dxa"/>
              <w:right w:w="20" w:type="dxa"/>
            </w:tcMar>
            <w:vAlign w:val="bottom"/>
          </w:tcPr>
          <w:p w14:paraId="185FF13D"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5FF13E"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5FF13F"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5FF140"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5FF141" w14:textId="77777777" w:rsidR="00A91885" w:rsidRDefault="00A91885">
            <w:pPr>
              <w:rPr>
                <w:rFonts w:ascii="宋体"/>
              </w:rPr>
            </w:pPr>
          </w:p>
        </w:tc>
      </w:tr>
      <w:tr w:rsidR="00A91885" w14:paraId="185FF146" w14:textId="77777777">
        <w:trPr>
          <w:jc w:val="center"/>
        </w:trPr>
        <w:tc>
          <w:tcPr>
            <w:tcW w:w="0" w:type="auto"/>
            <w:gridSpan w:val="9"/>
            <w:shd w:val="clear" w:color="auto" w:fill="auto"/>
            <w:tcMar>
              <w:top w:w="40" w:type="dxa"/>
              <w:left w:w="20" w:type="dxa"/>
              <w:bottom w:w="40" w:type="dxa"/>
              <w:right w:w="20" w:type="dxa"/>
            </w:tcMar>
            <w:vAlign w:val="bottom"/>
          </w:tcPr>
          <w:p w14:paraId="185FF143" w14:textId="77777777" w:rsidR="00A91885" w:rsidRDefault="009C4196">
            <w:pPr>
              <w:jc w:val="center"/>
              <w:textAlignment w:val="bottom"/>
            </w:pPr>
            <w:r>
              <w:rPr>
                <w:rFonts w:ascii="Arial" w:eastAsia="宋体" w:hAnsi="Arial" w:cs="Arial"/>
                <w:b/>
                <w:bCs/>
                <w:color w:val="000000"/>
                <w:sz w:val="15"/>
                <w:szCs w:val="15"/>
              </w:rPr>
              <w:t>2025 Hamilton Avenue</w:t>
            </w:r>
          </w:p>
        </w:tc>
        <w:tc>
          <w:tcPr>
            <w:tcW w:w="0" w:type="auto"/>
            <w:gridSpan w:val="3"/>
            <w:shd w:val="clear" w:color="auto" w:fill="auto"/>
            <w:tcMar>
              <w:top w:w="0" w:type="dxa"/>
              <w:left w:w="20" w:type="dxa"/>
              <w:bottom w:w="0" w:type="dxa"/>
              <w:right w:w="20" w:type="dxa"/>
            </w:tcMar>
            <w:vAlign w:val="bottom"/>
          </w:tcPr>
          <w:p w14:paraId="185FF144"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5FF145" w14:textId="77777777" w:rsidR="00A91885" w:rsidRDefault="00A91885">
            <w:pPr>
              <w:rPr>
                <w:rFonts w:ascii="宋体"/>
              </w:rPr>
            </w:pPr>
          </w:p>
        </w:tc>
      </w:tr>
      <w:tr w:rsidR="00A91885" w14:paraId="185FF14C" w14:textId="77777777">
        <w:trPr>
          <w:jc w:val="center"/>
        </w:trPr>
        <w:tc>
          <w:tcPr>
            <w:tcW w:w="0" w:type="auto"/>
            <w:gridSpan w:val="3"/>
            <w:shd w:val="clear" w:color="auto" w:fill="auto"/>
            <w:tcMar>
              <w:top w:w="40" w:type="dxa"/>
              <w:left w:w="20" w:type="dxa"/>
              <w:bottom w:w="40" w:type="dxa"/>
              <w:right w:w="20" w:type="dxa"/>
            </w:tcMar>
            <w:vAlign w:val="bottom"/>
          </w:tcPr>
          <w:p w14:paraId="185FF147" w14:textId="77777777" w:rsidR="00A91885" w:rsidRDefault="009C4196">
            <w:pPr>
              <w:jc w:val="right"/>
              <w:textAlignment w:val="bottom"/>
            </w:pPr>
            <w:r>
              <w:rPr>
                <w:rFonts w:ascii="Arial" w:eastAsia="宋体" w:hAnsi="Arial" w:cs="Arial"/>
                <w:b/>
                <w:bCs/>
                <w:color w:val="000000"/>
                <w:sz w:val="15"/>
                <w:szCs w:val="15"/>
              </w:rPr>
              <w:t>San Jose</w:t>
            </w:r>
          </w:p>
        </w:tc>
        <w:tc>
          <w:tcPr>
            <w:tcW w:w="0" w:type="auto"/>
            <w:gridSpan w:val="3"/>
            <w:shd w:val="clear" w:color="auto" w:fill="auto"/>
            <w:tcMar>
              <w:top w:w="40" w:type="dxa"/>
              <w:left w:w="20" w:type="dxa"/>
              <w:bottom w:w="40" w:type="dxa"/>
              <w:right w:w="20" w:type="dxa"/>
            </w:tcMar>
            <w:vAlign w:val="bottom"/>
          </w:tcPr>
          <w:p w14:paraId="185FF148" w14:textId="77777777" w:rsidR="00A91885" w:rsidRDefault="009C4196">
            <w:pPr>
              <w:jc w:val="center"/>
              <w:textAlignment w:val="bottom"/>
            </w:pPr>
            <w:r>
              <w:rPr>
                <w:rFonts w:ascii="Arial" w:eastAsia="宋体" w:hAnsi="Arial" w:cs="Arial"/>
                <w:b/>
                <w:bCs/>
                <w:color w:val="000000"/>
                <w:sz w:val="16"/>
                <w:szCs w:val="16"/>
              </w:rPr>
              <w:t>,</w:t>
            </w:r>
          </w:p>
        </w:tc>
        <w:tc>
          <w:tcPr>
            <w:tcW w:w="0" w:type="auto"/>
            <w:gridSpan w:val="3"/>
            <w:shd w:val="clear" w:color="auto" w:fill="auto"/>
            <w:tcMar>
              <w:top w:w="40" w:type="dxa"/>
              <w:left w:w="20" w:type="dxa"/>
              <w:bottom w:w="40" w:type="dxa"/>
              <w:right w:w="20" w:type="dxa"/>
            </w:tcMar>
            <w:vAlign w:val="bottom"/>
          </w:tcPr>
          <w:p w14:paraId="185FF149" w14:textId="77777777" w:rsidR="00A91885" w:rsidRDefault="009C4196">
            <w:pPr>
              <w:textAlignment w:val="bottom"/>
            </w:pPr>
            <w:r>
              <w:rPr>
                <w:rFonts w:ascii="Arial" w:eastAsia="宋体" w:hAnsi="Arial" w:cs="Arial"/>
                <w:b/>
                <w:bCs/>
                <w:color w:val="000000"/>
                <w:sz w:val="15"/>
                <w:szCs w:val="15"/>
              </w:rPr>
              <w:t>California</w:t>
            </w:r>
          </w:p>
        </w:tc>
        <w:tc>
          <w:tcPr>
            <w:tcW w:w="0" w:type="auto"/>
            <w:gridSpan w:val="3"/>
            <w:shd w:val="clear" w:color="auto" w:fill="auto"/>
            <w:tcMar>
              <w:top w:w="0" w:type="dxa"/>
              <w:left w:w="20" w:type="dxa"/>
              <w:bottom w:w="0" w:type="dxa"/>
              <w:right w:w="20" w:type="dxa"/>
            </w:tcMar>
            <w:vAlign w:val="bottom"/>
          </w:tcPr>
          <w:p w14:paraId="185FF14A"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5FF14B" w14:textId="77777777" w:rsidR="00A91885" w:rsidRDefault="009C4196">
            <w:pPr>
              <w:jc w:val="center"/>
              <w:textAlignment w:val="bottom"/>
            </w:pPr>
            <w:r>
              <w:rPr>
                <w:rFonts w:ascii="Arial" w:eastAsia="宋体" w:hAnsi="Arial" w:cs="Arial"/>
                <w:b/>
                <w:bCs/>
                <w:color w:val="000000"/>
                <w:sz w:val="15"/>
                <w:szCs w:val="15"/>
              </w:rPr>
              <w:t>95125</w:t>
            </w:r>
          </w:p>
        </w:tc>
      </w:tr>
      <w:tr w:rsidR="00A91885" w14:paraId="185FF150" w14:textId="77777777">
        <w:trPr>
          <w:jc w:val="center"/>
        </w:trPr>
        <w:tc>
          <w:tcPr>
            <w:tcW w:w="0" w:type="auto"/>
            <w:gridSpan w:val="9"/>
            <w:shd w:val="clear" w:color="auto" w:fill="auto"/>
            <w:tcMar>
              <w:top w:w="40" w:type="dxa"/>
              <w:left w:w="20" w:type="dxa"/>
              <w:bottom w:w="40" w:type="dxa"/>
              <w:right w:w="20" w:type="dxa"/>
            </w:tcMar>
            <w:vAlign w:val="bottom"/>
          </w:tcPr>
          <w:p w14:paraId="185FF14D" w14:textId="77777777" w:rsidR="00A91885" w:rsidRDefault="009C4196">
            <w:pPr>
              <w:jc w:val="center"/>
              <w:textAlignment w:val="bottom"/>
            </w:pPr>
            <w:r>
              <w:rPr>
                <w:rFonts w:ascii="Arial" w:eastAsia="宋体" w:hAnsi="Arial" w:cs="Arial"/>
                <w:color w:val="000000"/>
                <w:sz w:val="14"/>
                <w:szCs w:val="14"/>
              </w:rPr>
              <w:t>(Address of principal executive offices)</w:t>
            </w:r>
          </w:p>
        </w:tc>
        <w:tc>
          <w:tcPr>
            <w:tcW w:w="0" w:type="auto"/>
            <w:gridSpan w:val="3"/>
            <w:shd w:val="clear" w:color="auto" w:fill="auto"/>
            <w:tcMar>
              <w:top w:w="0" w:type="dxa"/>
              <w:left w:w="20" w:type="dxa"/>
              <w:bottom w:w="0" w:type="dxa"/>
              <w:right w:w="20" w:type="dxa"/>
            </w:tcMar>
            <w:vAlign w:val="bottom"/>
          </w:tcPr>
          <w:p w14:paraId="185FF14E"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5FF14F" w14:textId="77777777" w:rsidR="00A91885" w:rsidRDefault="009C4196">
            <w:pPr>
              <w:jc w:val="center"/>
              <w:textAlignment w:val="top"/>
            </w:pPr>
            <w:r>
              <w:rPr>
                <w:rFonts w:ascii="Arial" w:eastAsia="宋体" w:hAnsi="Arial" w:cs="Arial"/>
                <w:color w:val="000000"/>
                <w:sz w:val="14"/>
                <w:szCs w:val="14"/>
              </w:rPr>
              <w:t>(Zip Code)</w:t>
            </w:r>
          </w:p>
        </w:tc>
      </w:tr>
    </w:tbl>
    <w:p w14:paraId="185FF151" w14:textId="77777777" w:rsidR="00A91885" w:rsidRDefault="009C4196">
      <w:pPr>
        <w:spacing w:before="60"/>
        <w:jc w:val="center"/>
      </w:pPr>
      <w:r>
        <w:rPr>
          <w:rFonts w:ascii="Arial" w:eastAsia="宋体" w:hAnsi="Arial" w:cs="Arial"/>
          <w:color w:val="000000"/>
          <w:sz w:val="16"/>
          <w:szCs w:val="16"/>
        </w:rPr>
        <w:t xml:space="preserve">Registrant’s telephone number, including area code: </w:t>
      </w:r>
    </w:p>
    <w:p w14:paraId="185FF152" w14:textId="77777777" w:rsidR="00A91885" w:rsidRDefault="009C4196">
      <w:pPr>
        <w:jc w:val="center"/>
      </w:pPr>
      <w:r>
        <w:rPr>
          <w:rFonts w:ascii="Arial" w:eastAsia="宋体" w:hAnsi="Arial" w:cs="Arial"/>
          <w:b/>
          <w:bCs/>
          <w:color w:val="000000"/>
          <w:sz w:val="16"/>
          <w:szCs w:val="16"/>
        </w:rPr>
        <w:t xml:space="preserve">(408) 376-7108 </w:t>
      </w: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A91885" w14:paraId="185FF156" w14:textId="77777777">
        <w:trPr>
          <w:jc w:val="center"/>
        </w:trPr>
        <w:tc>
          <w:tcPr>
            <w:tcW w:w="50" w:type="pct"/>
            <w:shd w:val="clear" w:color="auto" w:fill="auto"/>
            <w:vAlign w:val="bottom"/>
          </w:tcPr>
          <w:p w14:paraId="185FF153" w14:textId="77777777" w:rsidR="00A91885" w:rsidRDefault="00A91885">
            <w:pPr>
              <w:rPr>
                <w:rFonts w:ascii="宋体"/>
              </w:rPr>
            </w:pPr>
          </w:p>
        </w:tc>
        <w:tc>
          <w:tcPr>
            <w:tcW w:w="4945" w:type="pct"/>
            <w:shd w:val="clear" w:color="auto" w:fill="auto"/>
            <w:vAlign w:val="bottom"/>
          </w:tcPr>
          <w:p w14:paraId="185FF154" w14:textId="77777777" w:rsidR="00A91885" w:rsidRDefault="00A91885">
            <w:pPr>
              <w:rPr>
                <w:rFonts w:ascii="宋体"/>
              </w:rPr>
            </w:pPr>
          </w:p>
        </w:tc>
        <w:tc>
          <w:tcPr>
            <w:tcW w:w="5" w:type="pct"/>
            <w:shd w:val="clear" w:color="auto" w:fill="auto"/>
            <w:vAlign w:val="bottom"/>
          </w:tcPr>
          <w:p w14:paraId="185FF155" w14:textId="77777777" w:rsidR="00A91885" w:rsidRDefault="00A91885">
            <w:pPr>
              <w:rPr>
                <w:rFonts w:ascii="宋体"/>
              </w:rPr>
            </w:pPr>
          </w:p>
        </w:tc>
      </w:tr>
      <w:tr w:rsidR="00A91885" w14:paraId="185FF158"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85FF157" w14:textId="77777777" w:rsidR="00A91885" w:rsidRDefault="00A91885">
            <w:pPr>
              <w:rPr>
                <w:rFonts w:ascii="宋体"/>
              </w:rPr>
            </w:pPr>
          </w:p>
        </w:tc>
      </w:tr>
    </w:tbl>
    <w:p w14:paraId="185FF159" w14:textId="77777777" w:rsidR="00A91885" w:rsidRDefault="009C4196">
      <w:pPr>
        <w:spacing w:before="60"/>
        <w:jc w:val="center"/>
      </w:pPr>
      <w:r>
        <w:rPr>
          <w:rFonts w:ascii="Arial" w:eastAsia="宋体" w:hAnsi="Arial" w:cs="Arial"/>
          <w:b/>
          <w:bCs/>
          <w:color w:val="000000"/>
          <w:sz w:val="16"/>
          <w:szCs w:val="16"/>
        </w:rPr>
        <w:t xml:space="preserve">Securities registered pursuant to Section 12(b) of the Act: </w:t>
      </w:r>
    </w:p>
    <w:tbl>
      <w:tblPr>
        <w:tblW w:w="4993" w:type="pct"/>
        <w:jc w:val="center"/>
        <w:tblCellMar>
          <w:top w:w="15" w:type="dxa"/>
          <w:left w:w="15" w:type="dxa"/>
          <w:bottom w:w="15" w:type="dxa"/>
          <w:right w:w="15" w:type="dxa"/>
        </w:tblCellMar>
        <w:tblLook w:val="04A0" w:firstRow="1" w:lastRow="0" w:firstColumn="1" w:lastColumn="0" w:noHBand="0" w:noVBand="1"/>
      </w:tblPr>
      <w:tblGrid>
        <w:gridCol w:w="69"/>
        <w:gridCol w:w="2660"/>
        <w:gridCol w:w="37"/>
        <w:gridCol w:w="69"/>
        <w:gridCol w:w="2673"/>
        <w:gridCol w:w="36"/>
        <w:gridCol w:w="70"/>
        <w:gridCol w:w="2674"/>
        <w:gridCol w:w="36"/>
      </w:tblGrid>
      <w:tr w:rsidR="00A91885" w14:paraId="185FF163" w14:textId="77777777">
        <w:trPr>
          <w:jc w:val="center"/>
        </w:trPr>
        <w:tc>
          <w:tcPr>
            <w:tcW w:w="50" w:type="pct"/>
            <w:shd w:val="clear" w:color="auto" w:fill="auto"/>
            <w:vAlign w:val="bottom"/>
          </w:tcPr>
          <w:p w14:paraId="185FF15A" w14:textId="77777777" w:rsidR="00A91885" w:rsidRDefault="00A91885">
            <w:pPr>
              <w:rPr>
                <w:rFonts w:ascii="宋体"/>
              </w:rPr>
            </w:pPr>
          </w:p>
        </w:tc>
        <w:tc>
          <w:tcPr>
            <w:tcW w:w="1606" w:type="pct"/>
            <w:shd w:val="clear" w:color="auto" w:fill="auto"/>
            <w:vAlign w:val="bottom"/>
          </w:tcPr>
          <w:p w14:paraId="185FF15B" w14:textId="77777777" w:rsidR="00A91885" w:rsidRDefault="00A91885">
            <w:pPr>
              <w:rPr>
                <w:rFonts w:ascii="宋体"/>
              </w:rPr>
            </w:pPr>
          </w:p>
        </w:tc>
        <w:tc>
          <w:tcPr>
            <w:tcW w:w="5" w:type="pct"/>
            <w:shd w:val="clear" w:color="auto" w:fill="auto"/>
            <w:vAlign w:val="bottom"/>
          </w:tcPr>
          <w:p w14:paraId="185FF15C" w14:textId="77777777" w:rsidR="00A91885" w:rsidRDefault="00A91885">
            <w:pPr>
              <w:rPr>
                <w:rFonts w:ascii="宋体"/>
              </w:rPr>
            </w:pPr>
          </w:p>
        </w:tc>
        <w:tc>
          <w:tcPr>
            <w:tcW w:w="50" w:type="pct"/>
            <w:shd w:val="clear" w:color="auto" w:fill="auto"/>
            <w:vAlign w:val="bottom"/>
          </w:tcPr>
          <w:p w14:paraId="185FF15D" w14:textId="77777777" w:rsidR="00A91885" w:rsidRDefault="00A91885">
            <w:pPr>
              <w:rPr>
                <w:rFonts w:ascii="宋体"/>
              </w:rPr>
            </w:pPr>
          </w:p>
        </w:tc>
        <w:tc>
          <w:tcPr>
            <w:tcW w:w="1614" w:type="pct"/>
            <w:shd w:val="clear" w:color="auto" w:fill="auto"/>
            <w:vAlign w:val="bottom"/>
          </w:tcPr>
          <w:p w14:paraId="185FF15E" w14:textId="77777777" w:rsidR="00A91885" w:rsidRDefault="00A91885">
            <w:pPr>
              <w:rPr>
                <w:rFonts w:ascii="宋体"/>
              </w:rPr>
            </w:pPr>
          </w:p>
        </w:tc>
        <w:tc>
          <w:tcPr>
            <w:tcW w:w="5" w:type="pct"/>
            <w:shd w:val="clear" w:color="auto" w:fill="auto"/>
            <w:vAlign w:val="bottom"/>
          </w:tcPr>
          <w:p w14:paraId="185FF15F" w14:textId="77777777" w:rsidR="00A91885" w:rsidRDefault="00A91885">
            <w:pPr>
              <w:rPr>
                <w:rFonts w:ascii="宋体"/>
              </w:rPr>
            </w:pPr>
          </w:p>
        </w:tc>
        <w:tc>
          <w:tcPr>
            <w:tcW w:w="50" w:type="pct"/>
            <w:shd w:val="clear" w:color="auto" w:fill="auto"/>
            <w:vAlign w:val="bottom"/>
          </w:tcPr>
          <w:p w14:paraId="185FF160" w14:textId="77777777" w:rsidR="00A91885" w:rsidRDefault="00A91885">
            <w:pPr>
              <w:rPr>
                <w:rFonts w:ascii="宋体"/>
              </w:rPr>
            </w:pPr>
          </w:p>
        </w:tc>
        <w:tc>
          <w:tcPr>
            <w:tcW w:w="1614" w:type="pct"/>
            <w:shd w:val="clear" w:color="auto" w:fill="auto"/>
            <w:vAlign w:val="bottom"/>
          </w:tcPr>
          <w:p w14:paraId="185FF161" w14:textId="77777777" w:rsidR="00A91885" w:rsidRDefault="00A91885">
            <w:pPr>
              <w:rPr>
                <w:rFonts w:ascii="宋体"/>
              </w:rPr>
            </w:pPr>
          </w:p>
        </w:tc>
        <w:tc>
          <w:tcPr>
            <w:tcW w:w="5" w:type="pct"/>
            <w:shd w:val="clear" w:color="auto" w:fill="auto"/>
            <w:vAlign w:val="bottom"/>
          </w:tcPr>
          <w:p w14:paraId="185FF162" w14:textId="77777777" w:rsidR="00A91885" w:rsidRDefault="00A91885">
            <w:pPr>
              <w:rPr>
                <w:rFonts w:ascii="宋体"/>
              </w:rPr>
            </w:pPr>
          </w:p>
        </w:tc>
      </w:tr>
      <w:tr w:rsidR="00A91885" w14:paraId="185FF167" w14:textId="77777777">
        <w:trPr>
          <w:jc w:val="center"/>
        </w:trPr>
        <w:tc>
          <w:tcPr>
            <w:tcW w:w="0" w:type="auto"/>
            <w:gridSpan w:val="3"/>
            <w:shd w:val="clear" w:color="auto" w:fill="auto"/>
            <w:tcMar>
              <w:top w:w="40" w:type="dxa"/>
              <w:left w:w="20" w:type="dxa"/>
              <w:bottom w:w="40" w:type="dxa"/>
              <w:right w:w="20" w:type="dxa"/>
            </w:tcMar>
            <w:vAlign w:val="bottom"/>
          </w:tcPr>
          <w:p w14:paraId="185FF164" w14:textId="77777777" w:rsidR="00A91885" w:rsidRDefault="009C4196">
            <w:pPr>
              <w:jc w:val="center"/>
              <w:textAlignment w:val="bottom"/>
            </w:pPr>
            <w:r>
              <w:rPr>
                <w:rFonts w:ascii="Arial" w:eastAsia="宋体" w:hAnsi="Arial" w:cs="Arial"/>
                <w:color w:val="000000"/>
                <w:sz w:val="16"/>
                <w:szCs w:val="16"/>
                <w:u w:val="single"/>
              </w:rPr>
              <w:t>Title of each class</w:t>
            </w:r>
          </w:p>
        </w:tc>
        <w:tc>
          <w:tcPr>
            <w:tcW w:w="0" w:type="auto"/>
            <w:gridSpan w:val="3"/>
            <w:shd w:val="clear" w:color="auto" w:fill="auto"/>
            <w:tcMar>
              <w:top w:w="40" w:type="dxa"/>
              <w:left w:w="20" w:type="dxa"/>
              <w:bottom w:w="40" w:type="dxa"/>
              <w:right w:w="20" w:type="dxa"/>
            </w:tcMar>
            <w:vAlign w:val="bottom"/>
          </w:tcPr>
          <w:p w14:paraId="185FF165" w14:textId="77777777" w:rsidR="00A91885" w:rsidRDefault="009C4196">
            <w:pPr>
              <w:jc w:val="center"/>
              <w:textAlignment w:val="bottom"/>
            </w:pPr>
            <w:r>
              <w:rPr>
                <w:rFonts w:ascii="Arial" w:eastAsia="宋体" w:hAnsi="Arial" w:cs="Arial"/>
                <w:color w:val="000000"/>
                <w:sz w:val="16"/>
                <w:szCs w:val="16"/>
                <w:u w:val="single"/>
              </w:rPr>
              <w:t>Trading symbol</w:t>
            </w:r>
          </w:p>
        </w:tc>
        <w:tc>
          <w:tcPr>
            <w:tcW w:w="0" w:type="auto"/>
            <w:gridSpan w:val="3"/>
            <w:shd w:val="clear" w:color="auto" w:fill="auto"/>
            <w:tcMar>
              <w:top w:w="40" w:type="dxa"/>
              <w:left w:w="20" w:type="dxa"/>
              <w:bottom w:w="40" w:type="dxa"/>
              <w:right w:w="20" w:type="dxa"/>
            </w:tcMar>
            <w:vAlign w:val="bottom"/>
          </w:tcPr>
          <w:p w14:paraId="185FF166" w14:textId="77777777" w:rsidR="00A91885" w:rsidRDefault="009C4196">
            <w:pPr>
              <w:jc w:val="center"/>
              <w:textAlignment w:val="bottom"/>
            </w:pPr>
            <w:r>
              <w:rPr>
                <w:rFonts w:ascii="Arial" w:eastAsia="宋体" w:hAnsi="Arial" w:cs="Arial"/>
                <w:color w:val="000000"/>
                <w:sz w:val="16"/>
                <w:szCs w:val="16"/>
                <w:u w:val="single"/>
              </w:rPr>
              <w:t>Name of exchange on which registered</w:t>
            </w:r>
          </w:p>
        </w:tc>
      </w:tr>
      <w:tr w:rsidR="00A91885" w14:paraId="185FF16B" w14:textId="77777777">
        <w:trPr>
          <w:jc w:val="center"/>
        </w:trPr>
        <w:tc>
          <w:tcPr>
            <w:tcW w:w="0" w:type="auto"/>
            <w:gridSpan w:val="3"/>
            <w:shd w:val="clear" w:color="auto" w:fill="auto"/>
            <w:tcMar>
              <w:top w:w="40" w:type="dxa"/>
              <w:left w:w="20" w:type="dxa"/>
              <w:bottom w:w="40" w:type="dxa"/>
              <w:right w:w="20" w:type="dxa"/>
            </w:tcMar>
            <w:vAlign w:val="bottom"/>
          </w:tcPr>
          <w:p w14:paraId="185FF168" w14:textId="77777777" w:rsidR="00A91885" w:rsidRDefault="009C4196">
            <w:pPr>
              <w:jc w:val="center"/>
              <w:textAlignment w:val="bottom"/>
            </w:pPr>
            <w:r>
              <w:rPr>
                <w:rFonts w:ascii="Arial" w:eastAsia="宋体" w:hAnsi="Arial" w:cs="Arial"/>
                <w:color w:val="000000"/>
                <w:sz w:val="16"/>
                <w:szCs w:val="16"/>
              </w:rPr>
              <w:t>Common stock</w:t>
            </w:r>
          </w:p>
        </w:tc>
        <w:tc>
          <w:tcPr>
            <w:tcW w:w="0" w:type="auto"/>
            <w:gridSpan w:val="3"/>
            <w:shd w:val="clear" w:color="auto" w:fill="auto"/>
            <w:tcMar>
              <w:top w:w="40" w:type="dxa"/>
              <w:left w:w="20" w:type="dxa"/>
              <w:bottom w:w="40" w:type="dxa"/>
              <w:right w:w="20" w:type="dxa"/>
            </w:tcMar>
            <w:vAlign w:val="bottom"/>
          </w:tcPr>
          <w:p w14:paraId="185FF169" w14:textId="77777777" w:rsidR="00A91885" w:rsidRDefault="009C4196">
            <w:pPr>
              <w:jc w:val="center"/>
              <w:textAlignment w:val="bottom"/>
            </w:pPr>
            <w:r>
              <w:rPr>
                <w:rFonts w:ascii="Arial" w:eastAsia="宋体" w:hAnsi="Arial" w:cs="Arial"/>
                <w:color w:val="000000"/>
                <w:sz w:val="16"/>
                <w:szCs w:val="16"/>
              </w:rPr>
              <w:t>EBAY</w:t>
            </w:r>
          </w:p>
        </w:tc>
        <w:tc>
          <w:tcPr>
            <w:tcW w:w="0" w:type="auto"/>
            <w:gridSpan w:val="3"/>
            <w:shd w:val="clear" w:color="auto" w:fill="auto"/>
            <w:tcMar>
              <w:top w:w="40" w:type="dxa"/>
              <w:left w:w="20" w:type="dxa"/>
              <w:bottom w:w="40" w:type="dxa"/>
              <w:right w:w="20" w:type="dxa"/>
            </w:tcMar>
            <w:vAlign w:val="bottom"/>
          </w:tcPr>
          <w:p w14:paraId="185FF16A" w14:textId="77777777" w:rsidR="00A91885" w:rsidRDefault="009C4196">
            <w:pPr>
              <w:jc w:val="center"/>
              <w:textAlignment w:val="bottom"/>
            </w:pPr>
            <w:r>
              <w:rPr>
                <w:rFonts w:ascii="Arial" w:eastAsia="宋体" w:hAnsi="Arial" w:cs="Arial"/>
                <w:color w:val="000000"/>
                <w:sz w:val="16"/>
                <w:szCs w:val="16"/>
              </w:rPr>
              <w:t xml:space="preserve">The Nasdaq </w:t>
            </w:r>
            <w:r>
              <w:rPr>
                <w:rFonts w:ascii="Arial" w:eastAsia="宋体" w:hAnsi="Arial" w:cs="Arial"/>
                <w:color w:val="000000"/>
                <w:sz w:val="16"/>
                <w:szCs w:val="16"/>
              </w:rPr>
              <w:t>Global Select Market</w:t>
            </w:r>
          </w:p>
        </w:tc>
      </w:tr>
      <w:tr w:rsidR="00A91885" w14:paraId="185FF16F" w14:textId="77777777">
        <w:trPr>
          <w:jc w:val="center"/>
          <w:hidden/>
        </w:trPr>
        <w:tc>
          <w:tcPr>
            <w:tcW w:w="0" w:type="auto"/>
            <w:gridSpan w:val="3"/>
            <w:shd w:val="clear" w:color="auto" w:fill="auto"/>
            <w:vAlign w:val="bottom"/>
          </w:tcPr>
          <w:p w14:paraId="185FF16C" w14:textId="77777777" w:rsidR="00A91885" w:rsidRDefault="00A91885">
            <w:pPr>
              <w:rPr>
                <w:rFonts w:ascii="宋体"/>
                <w:vanish/>
              </w:rPr>
            </w:pPr>
          </w:p>
        </w:tc>
        <w:tc>
          <w:tcPr>
            <w:tcW w:w="0" w:type="auto"/>
            <w:gridSpan w:val="3"/>
            <w:shd w:val="clear" w:color="auto" w:fill="auto"/>
            <w:vAlign w:val="bottom"/>
          </w:tcPr>
          <w:p w14:paraId="185FF16D" w14:textId="77777777" w:rsidR="00A91885" w:rsidRDefault="00A91885">
            <w:pPr>
              <w:rPr>
                <w:rFonts w:ascii="宋体"/>
                <w:vanish/>
              </w:rPr>
            </w:pPr>
          </w:p>
        </w:tc>
        <w:tc>
          <w:tcPr>
            <w:tcW w:w="0" w:type="auto"/>
            <w:gridSpan w:val="3"/>
            <w:shd w:val="clear" w:color="auto" w:fill="auto"/>
            <w:vAlign w:val="bottom"/>
          </w:tcPr>
          <w:p w14:paraId="185FF16E" w14:textId="77777777" w:rsidR="00A91885" w:rsidRDefault="00A91885">
            <w:pPr>
              <w:rPr>
                <w:rFonts w:ascii="宋体"/>
                <w:vanish/>
              </w:rPr>
            </w:pPr>
          </w:p>
        </w:tc>
      </w:tr>
    </w:tbl>
    <w:p w14:paraId="185FF170" w14:textId="77777777" w:rsidR="00A91885" w:rsidRDefault="00A91885">
      <w:pPr>
        <w:rPr>
          <w:vanish/>
        </w:rPr>
      </w:pPr>
    </w:p>
    <w:tbl>
      <w:tblPr>
        <w:tblW w:w="1462" w:type="pct"/>
        <w:jc w:val="center"/>
        <w:tblCellMar>
          <w:top w:w="15" w:type="dxa"/>
          <w:left w:w="15" w:type="dxa"/>
          <w:bottom w:w="15" w:type="dxa"/>
          <w:right w:w="15" w:type="dxa"/>
        </w:tblCellMar>
        <w:tblLook w:val="04A0" w:firstRow="1" w:lastRow="0" w:firstColumn="1" w:lastColumn="0" w:noHBand="0" w:noVBand="1"/>
      </w:tblPr>
      <w:tblGrid>
        <w:gridCol w:w="36"/>
        <w:gridCol w:w="2365"/>
        <w:gridCol w:w="36"/>
      </w:tblGrid>
      <w:tr w:rsidR="00A91885" w14:paraId="185FF174" w14:textId="77777777">
        <w:trPr>
          <w:jc w:val="center"/>
        </w:trPr>
        <w:tc>
          <w:tcPr>
            <w:tcW w:w="50" w:type="pct"/>
            <w:shd w:val="clear" w:color="auto" w:fill="auto"/>
            <w:vAlign w:val="bottom"/>
          </w:tcPr>
          <w:p w14:paraId="185FF171" w14:textId="77777777" w:rsidR="00A91885" w:rsidRDefault="00A91885">
            <w:pPr>
              <w:rPr>
                <w:rFonts w:ascii="宋体"/>
              </w:rPr>
            </w:pPr>
          </w:p>
        </w:tc>
        <w:tc>
          <w:tcPr>
            <w:tcW w:w="4945" w:type="pct"/>
            <w:shd w:val="clear" w:color="auto" w:fill="auto"/>
            <w:vAlign w:val="bottom"/>
          </w:tcPr>
          <w:p w14:paraId="185FF172" w14:textId="77777777" w:rsidR="00A91885" w:rsidRDefault="00A91885">
            <w:pPr>
              <w:rPr>
                <w:rFonts w:ascii="宋体"/>
              </w:rPr>
            </w:pPr>
          </w:p>
        </w:tc>
        <w:tc>
          <w:tcPr>
            <w:tcW w:w="5" w:type="pct"/>
            <w:shd w:val="clear" w:color="auto" w:fill="auto"/>
            <w:vAlign w:val="bottom"/>
          </w:tcPr>
          <w:p w14:paraId="185FF173" w14:textId="77777777" w:rsidR="00A91885" w:rsidRDefault="00A91885">
            <w:pPr>
              <w:rPr>
                <w:rFonts w:ascii="宋体"/>
              </w:rPr>
            </w:pPr>
          </w:p>
        </w:tc>
      </w:tr>
      <w:tr w:rsidR="00A91885" w14:paraId="185FF176"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85FF175" w14:textId="77777777" w:rsidR="00A91885" w:rsidRDefault="00A91885">
            <w:pPr>
              <w:rPr>
                <w:rFonts w:ascii="宋体"/>
              </w:rPr>
            </w:pPr>
          </w:p>
        </w:tc>
      </w:tr>
    </w:tbl>
    <w:p w14:paraId="185FF177" w14:textId="77777777" w:rsidR="00A91885" w:rsidRDefault="00A91885">
      <w:pPr>
        <w:jc w:val="center"/>
      </w:pPr>
    </w:p>
    <w:p w14:paraId="185FF178" w14:textId="77777777" w:rsidR="00A91885" w:rsidRDefault="009C4196">
      <w:pPr>
        <w:spacing w:before="120"/>
        <w:jc w:val="both"/>
      </w:pPr>
      <w:r>
        <w:rPr>
          <w:rFonts w:ascii="Arial" w:eastAsia="宋体" w:hAnsi="Arial" w:cs="Arial"/>
          <w:color w:val="000000"/>
          <w:sz w:val="14"/>
          <w:szCs w:val="14"/>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宋体" w:hAnsi="Arial" w:cs="Arial"/>
          <w:color w:val="000000"/>
          <w:sz w:val="14"/>
          <w:szCs w:val="14"/>
        </w:rPr>
        <w:t xml:space="preserve">uch reports), and (2) has been subject to such filing requirements for the past 90 days.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w:t>
      </w:r>
    </w:p>
    <w:p w14:paraId="185FF179" w14:textId="77777777" w:rsidR="00A91885" w:rsidRDefault="009C4196">
      <w:pPr>
        <w:spacing w:before="120"/>
        <w:jc w:val="both"/>
      </w:pPr>
      <w:r>
        <w:rPr>
          <w:rFonts w:ascii="Arial" w:eastAsia="宋体" w:hAnsi="Arial" w:cs="Arial"/>
          <w:color w:val="000000"/>
          <w:sz w:val="14"/>
          <w:szCs w:val="14"/>
        </w:rPr>
        <w:t>Indicate by check mark whether the registrant has submitted electronically every Interactive Data File required to be submitted pursuant to Rule 405 of Re</w:t>
      </w:r>
      <w:r>
        <w:rPr>
          <w:rFonts w:ascii="Arial" w:eastAsia="宋体" w:hAnsi="Arial" w:cs="Arial"/>
          <w:color w:val="000000"/>
          <w:sz w:val="14"/>
          <w:szCs w:val="14"/>
        </w:rPr>
        <w:t xml:space="preserve">gulation S-T (§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4"/>
          <w:szCs w:val="14"/>
        </w:rPr>
        <w:t>☐</w:t>
      </w:r>
    </w:p>
    <w:p w14:paraId="185FF17A" w14:textId="77777777" w:rsidR="00A91885" w:rsidRDefault="00A91885">
      <w:pPr>
        <w:jc w:val="both"/>
      </w:pPr>
    </w:p>
    <w:p w14:paraId="185FF17B" w14:textId="77777777" w:rsidR="00A91885" w:rsidRDefault="009C4196">
      <w:pPr>
        <w:jc w:val="both"/>
      </w:pPr>
      <w:r>
        <w:rPr>
          <w:rFonts w:ascii="Arial" w:eastAsia="宋体" w:hAnsi="Arial" w:cs="Arial"/>
          <w:color w:val="000000"/>
          <w:sz w:val="14"/>
          <w:szCs w:val="14"/>
        </w:rPr>
        <w:t xml:space="preserve">Indicate by check mark whether the registrant is a large accelerated filer, an </w:t>
      </w:r>
      <w:r>
        <w:rPr>
          <w:rFonts w:ascii="Arial" w:eastAsia="宋体" w:hAnsi="Arial" w:cs="Arial"/>
          <w:color w:val="000000"/>
          <w:sz w:val="14"/>
          <w:szCs w:val="14"/>
        </w:rPr>
        <w:t>accelerated filer, a non-accelerated filer, a smaller reporting company, or an emerging growth company. See the definitions of “large accelerated filer,” “accelerated filer,” “smaller reporting company” and “emerging growth company” in Rule 12b-2 of the Ex</w:t>
      </w:r>
      <w:r>
        <w:rPr>
          <w:rFonts w:ascii="Arial" w:eastAsia="宋体" w:hAnsi="Arial" w:cs="Arial"/>
          <w:color w:val="000000"/>
          <w:sz w:val="14"/>
          <w:szCs w:val="14"/>
        </w:rPr>
        <w:t>change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1685"/>
        <w:gridCol w:w="37"/>
        <w:gridCol w:w="69"/>
        <w:gridCol w:w="223"/>
        <w:gridCol w:w="36"/>
        <w:gridCol w:w="69"/>
        <w:gridCol w:w="3697"/>
        <w:gridCol w:w="36"/>
        <w:gridCol w:w="70"/>
        <w:gridCol w:w="1979"/>
        <w:gridCol w:w="36"/>
        <w:gridCol w:w="70"/>
        <w:gridCol w:w="224"/>
        <w:gridCol w:w="36"/>
      </w:tblGrid>
      <w:tr w:rsidR="00A91885" w14:paraId="185FF18B" w14:textId="77777777">
        <w:tc>
          <w:tcPr>
            <w:tcW w:w="50" w:type="pct"/>
            <w:shd w:val="clear" w:color="auto" w:fill="auto"/>
            <w:vAlign w:val="bottom"/>
          </w:tcPr>
          <w:p w14:paraId="185FF17C" w14:textId="77777777" w:rsidR="00A91885" w:rsidRDefault="00A91885">
            <w:pPr>
              <w:rPr>
                <w:rFonts w:ascii="宋体"/>
              </w:rPr>
            </w:pPr>
          </w:p>
        </w:tc>
        <w:tc>
          <w:tcPr>
            <w:tcW w:w="1019" w:type="pct"/>
            <w:shd w:val="clear" w:color="auto" w:fill="auto"/>
            <w:vAlign w:val="bottom"/>
          </w:tcPr>
          <w:p w14:paraId="185FF17D" w14:textId="77777777" w:rsidR="00A91885" w:rsidRDefault="00A91885">
            <w:pPr>
              <w:rPr>
                <w:rFonts w:ascii="宋体"/>
              </w:rPr>
            </w:pPr>
          </w:p>
        </w:tc>
        <w:tc>
          <w:tcPr>
            <w:tcW w:w="5" w:type="pct"/>
            <w:shd w:val="clear" w:color="auto" w:fill="auto"/>
            <w:vAlign w:val="bottom"/>
          </w:tcPr>
          <w:p w14:paraId="185FF17E" w14:textId="77777777" w:rsidR="00A91885" w:rsidRDefault="00A91885">
            <w:pPr>
              <w:rPr>
                <w:rFonts w:ascii="宋体"/>
              </w:rPr>
            </w:pPr>
          </w:p>
        </w:tc>
        <w:tc>
          <w:tcPr>
            <w:tcW w:w="50" w:type="pct"/>
            <w:shd w:val="clear" w:color="auto" w:fill="auto"/>
            <w:vAlign w:val="bottom"/>
          </w:tcPr>
          <w:p w14:paraId="185FF17F" w14:textId="77777777" w:rsidR="00A91885" w:rsidRDefault="00A91885">
            <w:pPr>
              <w:rPr>
                <w:rFonts w:ascii="宋体"/>
              </w:rPr>
            </w:pPr>
          </w:p>
        </w:tc>
        <w:tc>
          <w:tcPr>
            <w:tcW w:w="142" w:type="pct"/>
            <w:shd w:val="clear" w:color="auto" w:fill="auto"/>
            <w:vAlign w:val="bottom"/>
          </w:tcPr>
          <w:p w14:paraId="185FF180" w14:textId="77777777" w:rsidR="00A91885" w:rsidRDefault="00A91885">
            <w:pPr>
              <w:rPr>
                <w:rFonts w:ascii="宋体"/>
              </w:rPr>
            </w:pPr>
          </w:p>
        </w:tc>
        <w:tc>
          <w:tcPr>
            <w:tcW w:w="5" w:type="pct"/>
            <w:shd w:val="clear" w:color="auto" w:fill="auto"/>
            <w:vAlign w:val="bottom"/>
          </w:tcPr>
          <w:p w14:paraId="185FF181" w14:textId="77777777" w:rsidR="00A91885" w:rsidRDefault="00A91885">
            <w:pPr>
              <w:rPr>
                <w:rFonts w:ascii="宋体"/>
              </w:rPr>
            </w:pPr>
          </w:p>
        </w:tc>
        <w:tc>
          <w:tcPr>
            <w:tcW w:w="50" w:type="pct"/>
            <w:shd w:val="clear" w:color="auto" w:fill="auto"/>
            <w:vAlign w:val="bottom"/>
          </w:tcPr>
          <w:p w14:paraId="185FF182" w14:textId="77777777" w:rsidR="00A91885" w:rsidRDefault="00A91885">
            <w:pPr>
              <w:rPr>
                <w:rFonts w:ascii="宋体"/>
              </w:rPr>
            </w:pPr>
          </w:p>
        </w:tc>
        <w:tc>
          <w:tcPr>
            <w:tcW w:w="2225" w:type="pct"/>
            <w:shd w:val="clear" w:color="auto" w:fill="auto"/>
            <w:vAlign w:val="bottom"/>
          </w:tcPr>
          <w:p w14:paraId="185FF183" w14:textId="77777777" w:rsidR="00A91885" w:rsidRDefault="00A91885">
            <w:pPr>
              <w:rPr>
                <w:rFonts w:ascii="宋体"/>
              </w:rPr>
            </w:pPr>
          </w:p>
        </w:tc>
        <w:tc>
          <w:tcPr>
            <w:tcW w:w="5" w:type="pct"/>
            <w:shd w:val="clear" w:color="auto" w:fill="auto"/>
            <w:vAlign w:val="bottom"/>
          </w:tcPr>
          <w:p w14:paraId="185FF184" w14:textId="77777777" w:rsidR="00A91885" w:rsidRDefault="00A91885">
            <w:pPr>
              <w:rPr>
                <w:rFonts w:ascii="宋体"/>
              </w:rPr>
            </w:pPr>
          </w:p>
        </w:tc>
        <w:tc>
          <w:tcPr>
            <w:tcW w:w="50" w:type="pct"/>
            <w:shd w:val="clear" w:color="auto" w:fill="auto"/>
            <w:vAlign w:val="bottom"/>
          </w:tcPr>
          <w:p w14:paraId="185FF185" w14:textId="77777777" w:rsidR="00A91885" w:rsidRDefault="00A91885">
            <w:pPr>
              <w:rPr>
                <w:rFonts w:ascii="宋体"/>
              </w:rPr>
            </w:pPr>
          </w:p>
        </w:tc>
        <w:tc>
          <w:tcPr>
            <w:tcW w:w="1195" w:type="pct"/>
            <w:shd w:val="clear" w:color="auto" w:fill="auto"/>
            <w:vAlign w:val="bottom"/>
          </w:tcPr>
          <w:p w14:paraId="185FF186" w14:textId="77777777" w:rsidR="00A91885" w:rsidRDefault="00A91885">
            <w:pPr>
              <w:rPr>
                <w:rFonts w:ascii="宋体"/>
              </w:rPr>
            </w:pPr>
          </w:p>
        </w:tc>
        <w:tc>
          <w:tcPr>
            <w:tcW w:w="5" w:type="pct"/>
            <w:shd w:val="clear" w:color="auto" w:fill="auto"/>
            <w:vAlign w:val="bottom"/>
          </w:tcPr>
          <w:p w14:paraId="185FF187" w14:textId="77777777" w:rsidR="00A91885" w:rsidRDefault="00A91885">
            <w:pPr>
              <w:rPr>
                <w:rFonts w:ascii="宋体"/>
              </w:rPr>
            </w:pPr>
          </w:p>
        </w:tc>
        <w:tc>
          <w:tcPr>
            <w:tcW w:w="50" w:type="pct"/>
            <w:shd w:val="clear" w:color="auto" w:fill="auto"/>
            <w:vAlign w:val="bottom"/>
          </w:tcPr>
          <w:p w14:paraId="185FF188" w14:textId="77777777" w:rsidR="00A91885" w:rsidRDefault="00A91885">
            <w:pPr>
              <w:rPr>
                <w:rFonts w:ascii="宋体"/>
              </w:rPr>
            </w:pPr>
          </w:p>
        </w:tc>
        <w:tc>
          <w:tcPr>
            <w:tcW w:w="142" w:type="pct"/>
            <w:shd w:val="clear" w:color="auto" w:fill="auto"/>
            <w:vAlign w:val="bottom"/>
          </w:tcPr>
          <w:p w14:paraId="185FF189" w14:textId="77777777" w:rsidR="00A91885" w:rsidRDefault="00A91885">
            <w:pPr>
              <w:rPr>
                <w:rFonts w:ascii="宋体"/>
              </w:rPr>
            </w:pPr>
          </w:p>
        </w:tc>
        <w:tc>
          <w:tcPr>
            <w:tcW w:w="5" w:type="pct"/>
            <w:shd w:val="clear" w:color="auto" w:fill="auto"/>
            <w:vAlign w:val="bottom"/>
          </w:tcPr>
          <w:p w14:paraId="185FF18A" w14:textId="77777777" w:rsidR="00A91885" w:rsidRDefault="00A91885">
            <w:pPr>
              <w:rPr>
                <w:rFonts w:ascii="宋体"/>
              </w:rPr>
            </w:pPr>
          </w:p>
        </w:tc>
      </w:tr>
      <w:tr w:rsidR="00A91885" w14:paraId="185FF191" w14:textId="77777777">
        <w:tc>
          <w:tcPr>
            <w:tcW w:w="0" w:type="auto"/>
            <w:gridSpan w:val="3"/>
            <w:shd w:val="clear" w:color="auto" w:fill="auto"/>
            <w:tcMar>
              <w:top w:w="40" w:type="dxa"/>
              <w:left w:w="20" w:type="dxa"/>
              <w:bottom w:w="40" w:type="dxa"/>
              <w:right w:w="20" w:type="dxa"/>
            </w:tcMar>
            <w:vAlign w:val="bottom"/>
          </w:tcPr>
          <w:p w14:paraId="185FF18C" w14:textId="77777777" w:rsidR="00A91885" w:rsidRDefault="009C4196">
            <w:pPr>
              <w:textAlignment w:val="bottom"/>
            </w:pPr>
            <w:r>
              <w:rPr>
                <w:rFonts w:ascii="Arial" w:eastAsia="宋体" w:hAnsi="Arial" w:cs="Arial"/>
                <w:color w:val="000000"/>
                <w:sz w:val="14"/>
                <w:szCs w:val="14"/>
              </w:rPr>
              <w:t>Large accelerated filer</w:t>
            </w:r>
          </w:p>
        </w:tc>
        <w:tc>
          <w:tcPr>
            <w:tcW w:w="0" w:type="auto"/>
            <w:gridSpan w:val="3"/>
            <w:shd w:val="clear" w:color="auto" w:fill="auto"/>
            <w:tcMar>
              <w:top w:w="40" w:type="dxa"/>
              <w:left w:w="20" w:type="dxa"/>
              <w:bottom w:w="40" w:type="dxa"/>
              <w:right w:w="20" w:type="dxa"/>
            </w:tcMar>
            <w:vAlign w:val="bottom"/>
          </w:tcPr>
          <w:p w14:paraId="185FF18D" w14:textId="77777777" w:rsidR="00A91885" w:rsidRDefault="009C4196">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vAlign w:val="bottom"/>
          </w:tcPr>
          <w:p w14:paraId="185FF18E"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5FF18F" w14:textId="77777777" w:rsidR="00A91885" w:rsidRDefault="009C4196">
            <w:pPr>
              <w:textAlignment w:val="bottom"/>
            </w:pPr>
            <w:r>
              <w:rPr>
                <w:rFonts w:ascii="Arial" w:eastAsia="宋体" w:hAnsi="Arial" w:cs="Arial"/>
                <w:color w:val="000000"/>
                <w:sz w:val="14"/>
                <w:szCs w:val="14"/>
              </w:rPr>
              <w:t>Accelerated filer</w:t>
            </w:r>
          </w:p>
        </w:tc>
        <w:tc>
          <w:tcPr>
            <w:tcW w:w="0" w:type="auto"/>
            <w:gridSpan w:val="3"/>
            <w:shd w:val="clear" w:color="auto" w:fill="auto"/>
            <w:tcMar>
              <w:top w:w="40" w:type="dxa"/>
              <w:left w:w="20" w:type="dxa"/>
              <w:bottom w:w="40" w:type="dxa"/>
              <w:right w:w="20" w:type="dxa"/>
            </w:tcMar>
            <w:vAlign w:val="bottom"/>
          </w:tcPr>
          <w:p w14:paraId="185FF190" w14:textId="77777777" w:rsidR="00A91885" w:rsidRDefault="009C4196">
            <w:pPr>
              <w:jc w:val="center"/>
              <w:textAlignment w:val="bottom"/>
            </w:pPr>
            <w:r>
              <w:rPr>
                <w:rFonts w:ascii="Arial Unicode MS" w:eastAsia="Arial Unicode MS" w:hAnsi="Arial Unicode MS" w:cs="Arial Unicode MS" w:hint="eastAsia"/>
                <w:color w:val="000000"/>
                <w:sz w:val="18"/>
                <w:szCs w:val="18"/>
              </w:rPr>
              <w:t>☐</w:t>
            </w:r>
          </w:p>
        </w:tc>
      </w:tr>
      <w:tr w:rsidR="00A91885" w14:paraId="185FF197" w14:textId="77777777">
        <w:tc>
          <w:tcPr>
            <w:tcW w:w="0" w:type="auto"/>
            <w:gridSpan w:val="3"/>
            <w:shd w:val="clear" w:color="auto" w:fill="auto"/>
            <w:tcMar>
              <w:top w:w="40" w:type="dxa"/>
              <w:left w:w="20" w:type="dxa"/>
              <w:bottom w:w="40" w:type="dxa"/>
              <w:right w:w="20" w:type="dxa"/>
            </w:tcMar>
            <w:vAlign w:val="bottom"/>
          </w:tcPr>
          <w:p w14:paraId="185FF192" w14:textId="77777777" w:rsidR="00A91885" w:rsidRDefault="009C4196">
            <w:pPr>
              <w:textAlignment w:val="bottom"/>
            </w:pPr>
            <w:r>
              <w:rPr>
                <w:rFonts w:ascii="Arial" w:eastAsia="宋体" w:hAnsi="Arial" w:cs="Arial"/>
                <w:color w:val="000000"/>
                <w:sz w:val="14"/>
                <w:szCs w:val="14"/>
              </w:rPr>
              <w:t>Non-accelerated filer</w:t>
            </w:r>
          </w:p>
        </w:tc>
        <w:tc>
          <w:tcPr>
            <w:tcW w:w="0" w:type="auto"/>
            <w:gridSpan w:val="3"/>
            <w:shd w:val="clear" w:color="auto" w:fill="auto"/>
            <w:tcMar>
              <w:top w:w="40" w:type="dxa"/>
              <w:left w:w="20" w:type="dxa"/>
              <w:bottom w:w="40" w:type="dxa"/>
              <w:right w:w="20" w:type="dxa"/>
            </w:tcMar>
            <w:vAlign w:val="bottom"/>
          </w:tcPr>
          <w:p w14:paraId="185FF193" w14:textId="77777777" w:rsidR="00A91885" w:rsidRDefault="009C4196">
            <w:pPr>
              <w:jc w:val="cente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vAlign w:val="bottom"/>
          </w:tcPr>
          <w:p w14:paraId="185FF194"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5FF195" w14:textId="77777777" w:rsidR="00A91885" w:rsidRDefault="009C4196">
            <w:pPr>
              <w:textAlignment w:val="bottom"/>
            </w:pPr>
            <w:r>
              <w:rPr>
                <w:rFonts w:ascii="Arial" w:eastAsia="宋体" w:hAnsi="Arial" w:cs="Arial"/>
                <w:color w:val="000000"/>
                <w:sz w:val="14"/>
                <w:szCs w:val="14"/>
              </w:rPr>
              <w:t>Smaller reporting company</w:t>
            </w:r>
          </w:p>
        </w:tc>
        <w:tc>
          <w:tcPr>
            <w:tcW w:w="0" w:type="auto"/>
            <w:gridSpan w:val="3"/>
            <w:shd w:val="clear" w:color="auto" w:fill="auto"/>
            <w:tcMar>
              <w:top w:w="40" w:type="dxa"/>
              <w:left w:w="20" w:type="dxa"/>
              <w:bottom w:w="40" w:type="dxa"/>
              <w:right w:w="20" w:type="dxa"/>
            </w:tcMar>
            <w:vAlign w:val="bottom"/>
          </w:tcPr>
          <w:p w14:paraId="185FF196" w14:textId="77777777" w:rsidR="00A91885" w:rsidRDefault="009C4196">
            <w:pPr>
              <w:jc w:val="center"/>
              <w:textAlignment w:val="bottom"/>
            </w:pPr>
            <w:r>
              <w:rPr>
                <w:rFonts w:ascii="Arial Unicode MS" w:eastAsia="Arial Unicode MS" w:hAnsi="Arial Unicode MS" w:cs="Arial Unicode MS" w:hint="eastAsia"/>
                <w:color w:val="000000"/>
                <w:sz w:val="18"/>
                <w:szCs w:val="18"/>
              </w:rPr>
              <w:t>☐</w:t>
            </w:r>
          </w:p>
        </w:tc>
      </w:tr>
      <w:tr w:rsidR="00A91885" w14:paraId="185FF19D" w14:textId="77777777">
        <w:tc>
          <w:tcPr>
            <w:tcW w:w="0" w:type="auto"/>
            <w:gridSpan w:val="3"/>
            <w:shd w:val="clear" w:color="auto" w:fill="auto"/>
            <w:tcMar>
              <w:top w:w="0" w:type="dxa"/>
              <w:left w:w="20" w:type="dxa"/>
              <w:bottom w:w="0" w:type="dxa"/>
              <w:right w:w="20" w:type="dxa"/>
            </w:tcMar>
            <w:vAlign w:val="bottom"/>
          </w:tcPr>
          <w:p w14:paraId="185FF198"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5FF199"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5FF19A"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5FF19B" w14:textId="77777777" w:rsidR="00A91885" w:rsidRDefault="009C4196">
            <w:pPr>
              <w:textAlignment w:val="bottom"/>
            </w:pPr>
            <w:r>
              <w:rPr>
                <w:rFonts w:ascii="Arial" w:eastAsia="宋体" w:hAnsi="Arial" w:cs="Arial"/>
                <w:color w:val="000000"/>
                <w:sz w:val="14"/>
                <w:szCs w:val="14"/>
              </w:rPr>
              <w:t>Emerging growth company</w:t>
            </w:r>
          </w:p>
        </w:tc>
        <w:tc>
          <w:tcPr>
            <w:tcW w:w="0" w:type="auto"/>
            <w:gridSpan w:val="3"/>
            <w:shd w:val="clear" w:color="auto" w:fill="auto"/>
            <w:tcMar>
              <w:top w:w="40" w:type="dxa"/>
              <w:left w:w="20" w:type="dxa"/>
              <w:bottom w:w="40" w:type="dxa"/>
              <w:right w:w="20" w:type="dxa"/>
            </w:tcMar>
            <w:vAlign w:val="bottom"/>
          </w:tcPr>
          <w:p w14:paraId="185FF19C" w14:textId="77777777" w:rsidR="00A91885" w:rsidRDefault="009C4196">
            <w:pPr>
              <w:jc w:val="center"/>
              <w:textAlignment w:val="bottom"/>
            </w:pPr>
            <w:r>
              <w:rPr>
                <w:rFonts w:ascii="Arial Unicode MS" w:eastAsia="Arial Unicode MS" w:hAnsi="Arial Unicode MS" w:cs="Arial Unicode MS" w:hint="eastAsia"/>
                <w:color w:val="000000"/>
                <w:sz w:val="18"/>
                <w:szCs w:val="18"/>
              </w:rPr>
              <w:t>☐</w:t>
            </w:r>
          </w:p>
        </w:tc>
      </w:tr>
    </w:tbl>
    <w:p w14:paraId="185FF19E" w14:textId="77777777" w:rsidR="00A91885" w:rsidRDefault="00A91885">
      <w:pPr>
        <w:jc w:val="both"/>
      </w:pPr>
    </w:p>
    <w:p w14:paraId="185FF19F" w14:textId="77777777" w:rsidR="00A91885" w:rsidRDefault="009C4196">
      <w:r>
        <w:rPr>
          <w:rFonts w:ascii="Arial" w:eastAsia="宋体" w:hAnsi="Arial" w:cs="Arial"/>
          <w:color w:val="000000"/>
          <w:sz w:val="14"/>
          <w:szCs w:val="14"/>
        </w:rPr>
        <w:t xml:space="preserve">If an emerging growth company, indicate by check mark if the registrant has elected not to use the extended transition period for complying with any new or revised financial accounting standards provided pursuant to Section 13(a) of the Exchange Act.  ☐ </w:t>
      </w:r>
    </w:p>
    <w:p w14:paraId="185FF1A0" w14:textId="77777777" w:rsidR="00A91885" w:rsidRDefault="009C4196">
      <w:pPr>
        <w:spacing w:before="80"/>
      </w:pPr>
      <w:r>
        <w:rPr>
          <w:rFonts w:ascii="Arial" w:eastAsia="宋体" w:hAnsi="Arial" w:cs="Arial"/>
          <w:color w:val="000000"/>
          <w:sz w:val="14"/>
          <w:szCs w:val="14"/>
        </w:rPr>
        <w:t>I</w:t>
      </w:r>
      <w:r>
        <w:rPr>
          <w:rFonts w:ascii="Arial" w:eastAsia="宋体" w:hAnsi="Arial" w:cs="Arial"/>
          <w:color w:val="000000"/>
          <w:sz w:val="14"/>
          <w:szCs w:val="14"/>
        </w:rPr>
        <w:t xml:space="preserve">ndicate by check mark whether the registrant is a shell company (as defined in Rule 12b-2 of the Exchange Act).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4"/>
          <w:szCs w:val="14"/>
        </w:rPr>
        <w:t xml:space="preserve">  No  </w:t>
      </w:r>
      <w:r>
        <w:rPr>
          <w:rFonts w:ascii="Arial Unicode MS" w:eastAsia="Arial Unicode MS" w:hAnsi="Arial Unicode MS" w:cs="Arial Unicode MS" w:hint="eastAsia"/>
          <w:color w:val="000000"/>
          <w:sz w:val="18"/>
          <w:szCs w:val="18"/>
        </w:rPr>
        <w:t>☒</w:t>
      </w:r>
    </w:p>
    <w:p w14:paraId="185FF1A1" w14:textId="77777777" w:rsidR="00A91885" w:rsidRDefault="009C4196">
      <w:pPr>
        <w:spacing w:before="80" w:after="60"/>
        <w:jc w:val="both"/>
      </w:pPr>
      <w:r>
        <w:rPr>
          <w:rFonts w:ascii="Arial" w:eastAsia="宋体" w:hAnsi="Arial" w:cs="Arial"/>
          <w:color w:val="000000"/>
          <w:sz w:val="14"/>
          <w:szCs w:val="14"/>
        </w:rPr>
        <w:t>As of August 1, 2022, there were 549,367,835 shares of the registrant’s common stock, $0.001 par value, outstanding, which is th</w:t>
      </w:r>
      <w:r>
        <w:rPr>
          <w:rFonts w:ascii="Arial" w:eastAsia="宋体" w:hAnsi="Arial" w:cs="Arial"/>
          <w:color w:val="000000"/>
          <w:sz w:val="14"/>
          <w:szCs w:val="14"/>
        </w:rPr>
        <w:t>e only class of common or voting stock of the registrant issued.</w:t>
      </w:r>
    </w:p>
    <w:tbl>
      <w:tblPr>
        <w:tblW w:w="4993" w:type="pct"/>
        <w:tblCellMar>
          <w:top w:w="15" w:type="dxa"/>
          <w:left w:w="15" w:type="dxa"/>
          <w:bottom w:w="15" w:type="dxa"/>
          <w:right w:w="15" w:type="dxa"/>
        </w:tblCellMar>
        <w:tblLook w:val="04A0" w:firstRow="1" w:lastRow="0" w:firstColumn="1" w:lastColumn="0" w:noHBand="0" w:noVBand="1"/>
      </w:tblPr>
      <w:tblGrid>
        <w:gridCol w:w="69"/>
        <w:gridCol w:w="8219"/>
        <w:gridCol w:w="36"/>
      </w:tblGrid>
      <w:tr w:rsidR="00A91885" w14:paraId="185FF1A5" w14:textId="77777777">
        <w:tc>
          <w:tcPr>
            <w:tcW w:w="50" w:type="pct"/>
            <w:shd w:val="clear" w:color="auto" w:fill="auto"/>
            <w:vAlign w:val="bottom"/>
          </w:tcPr>
          <w:p w14:paraId="185FF1A2" w14:textId="77777777" w:rsidR="00A91885" w:rsidRDefault="00A91885">
            <w:pPr>
              <w:rPr>
                <w:rFonts w:ascii="宋体"/>
              </w:rPr>
            </w:pPr>
          </w:p>
        </w:tc>
        <w:tc>
          <w:tcPr>
            <w:tcW w:w="4945" w:type="pct"/>
            <w:shd w:val="clear" w:color="auto" w:fill="auto"/>
            <w:vAlign w:val="bottom"/>
          </w:tcPr>
          <w:p w14:paraId="185FF1A3" w14:textId="77777777" w:rsidR="00A91885" w:rsidRDefault="00A91885">
            <w:pPr>
              <w:rPr>
                <w:rFonts w:ascii="宋体"/>
              </w:rPr>
            </w:pPr>
          </w:p>
        </w:tc>
        <w:tc>
          <w:tcPr>
            <w:tcW w:w="5" w:type="pct"/>
            <w:shd w:val="clear" w:color="auto" w:fill="auto"/>
            <w:vAlign w:val="bottom"/>
          </w:tcPr>
          <w:p w14:paraId="185FF1A4" w14:textId="77777777" w:rsidR="00A91885" w:rsidRDefault="00A91885">
            <w:pPr>
              <w:rPr>
                <w:rFonts w:ascii="宋体"/>
              </w:rPr>
            </w:pPr>
          </w:p>
        </w:tc>
      </w:tr>
      <w:tr w:rsidR="00A91885" w14:paraId="185FF1A7" w14:textId="77777777">
        <w:trPr>
          <w:trHeight w:val="60"/>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85FF1A6" w14:textId="77777777" w:rsidR="00A91885" w:rsidRDefault="00A91885">
            <w:pPr>
              <w:rPr>
                <w:rFonts w:ascii="宋体"/>
              </w:rPr>
            </w:pPr>
          </w:p>
        </w:tc>
      </w:tr>
    </w:tbl>
    <w:p w14:paraId="185FF1A8" w14:textId="77777777" w:rsidR="00A91885" w:rsidRDefault="00A91885">
      <w:pPr>
        <w:jc w:val="center"/>
      </w:pPr>
    </w:p>
    <w:p w14:paraId="185FF1A9" w14:textId="77777777" w:rsidR="00A91885" w:rsidRDefault="00A91885">
      <w:pPr>
        <w:jc w:val="center"/>
      </w:pPr>
    </w:p>
    <w:p w14:paraId="185FF1AA" w14:textId="77777777" w:rsidR="00A91885" w:rsidRDefault="009C4196">
      <w:r>
        <w:pict w14:anchorId="18602184">
          <v:rect id="_x0000_i1025" style="width:415.3pt;height:1.5pt" o:hralign="center" o:hrstd="t" o:hr="t" fillcolor="#a0a0a0" stroked="f"/>
        </w:pict>
      </w:r>
    </w:p>
    <w:p w14:paraId="185FF1AB" w14:textId="77777777" w:rsidR="00A91885" w:rsidRDefault="00A91885"/>
    <w:p w14:paraId="185FF1AC" w14:textId="77777777" w:rsidR="00A91885" w:rsidRDefault="009C4196">
      <w:pPr>
        <w:spacing w:before="120"/>
        <w:jc w:val="center"/>
      </w:pPr>
      <w:r>
        <w:rPr>
          <w:rFonts w:ascii="Arial" w:eastAsia="宋体" w:hAnsi="Arial" w:cs="Arial"/>
          <w:b/>
          <w:bCs/>
          <w:color w:val="000000"/>
          <w:sz w:val="20"/>
          <w:szCs w:val="20"/>
        </w:rPr>
        <w:t xml:space="preserve">eBay Inc. </w:t>
      </w:r>
    </w:p>
    <w:p w14:paraId="185FF1AD" w14:textId="77777777" w:rsidR="00A91885" w:rsidRDefault="009C4196">
      <w:pPr>
        <w:spacing w:before="80"/>
        <w:jc w:val="center"/>
      </w:pPr>
      <w:r>
        <w:rPr>
          <w:rFonts w:ascii="Arial" w:eastAsia="宋体" w:hAnsi="Arial" w:cs="Arial"/>
          <w:b/>
          <w:bCs/>
          <w:color w:val="000000"/>
          <w:sz w:val="20"/>
          <w:szCs w:val="20"/>
        </w:rPr>
        <w:t xml:space="preserve">TABLE OF CONTENTS </w:t>
      </w:r>
    </w:p>
    <w:p w14:paraId="185FF1AE" w14:textId="77777777" w:rsidR="00A91885" w:rsidRDefault="00A91885">
      <w:pPr>
        <w:spacing w:before="80"/>
        <w:jc w:val="center"/>
      </w:pPr>
    </w:p>
    <w:tbl>
      <w:tblPr>
        <w:tblW w:w="5000" w:type="pct"/>
        <w:tblCellMar>
          <w:top w:w="15" w:type="dxa"/>
          <w:left w:w="15" w:type="dxa"/>
          <w:bottom w:w="15" w:type="dxa"/>
          <w:right w:w="15" w:type="dxa"/>
        </w:tblCellMar>
        <w:tblLook w:val="04A0" w:firstRow="1" w:lastRow="0" w:firstColumn="1" w:lastColumn="0" w:noHBand="0" w:noVBand="1"/>
      </w:tblPr>
      <w:tblGrid>
        <w:gridCol w:w="79"/>
        <w:gridCol w:w="943"/>
        <w:gridCol w:w="36"/>
        <w:gridCol w:w="69"/>
        <w:gridCol w:w="6295"/>
        <w:gridCol w:w="36"/>
        <w:gridCol w:w="70"/>
        <w:gridCol w:w="772"/>
        <w:gridCol w:w="36"/>
      </w:tblGrid>
      <w:tr w:rsidR="00A91885" w14:paraId="185FF1B8" w14:textId="77777777">
        <w:tc>
          <w:tcPr>
            <w:tcW w:w="50" w:type="pct"/>
            <w:shd w:val="clear" w:color="auto" w:fill="auto"/>
            <w:vAlign w:val="bottom"/>
          </w:tcPr>
          <w:p w14:paraId="185FF1AF" w14:textId="77777777" w:rsidR="00A91885" w:rsidRDefault="00A91885">
            <w:pPr>
              <w:rPr>
                <w:rFonts w:ascii="宋体"/>
              </w:rPr>
            </w:pPr>
          </w:p>
        </w:tc>
        <w:tc>
          <w:tcPr>
            <w:tcW w:w="580" w:type="pct"/>
            <w:shd w:val="clear" w:color="auto" w:fill="auto"/>
            <w:vAlign w:val="bottom"/>
          </w:tcPr>
          <w:p w14:paraId="185FF1B0" w14:textId="77777777" w:rsidR="00A91885" w:rsidRDefault="00A91885">
            <w:pPr>
              <w:rPr>
                <w:rFonts w:ascii="宋体"/>
              </w:rPr>
            </w:pPr>
          </w:p>
        </w:tc>
        <w:tc>
          <w:tcPr>
            <w:tcW w:w="5" w:type="pct"/>
            <w:shd w:val="clear" w:color="auto" w:fill="auto"/>
            <w:vAlign w:val="bottom"/>
          </w:tcPr>
          <w:p w14:paraId="185FF1B1" w14:textId="77777777" w:rsidR="00A91885" w:rsidRDefault="00A91885">
            <w:pPr>
              <w:rPr>
                <w:rFonts w:ascii="宋体"/>
              </w:rPr>
            </w:pPr>
          </w:p>
        </w:tc>
        <w:tc>
          <w:tcPr>
            <w:tcW w:w="50" w:type="pct"/>
            <w:shd w:val="clear" w:color="auto" w:fill="auto"/>
            <w:vAlign w:val="bottom"/>
          </w:tcPr>
          <w:p w14:paraId="185FF1B2" w14:textId="77777777" w:rsidR="00A91885" w:rsidRDefault="00A91885">
            <w:pPr>
              <w:rPr>
                <w:rFonts w:ascii="宋体"/>
              </w:rPr>
            </w:pPr>
          </w:p>
        </w:tc>
        <w:tc>
          <w:tcPr>
            <w:tcW w:w="3782" w:type="pct"/>
            <w:shd w:val="clear" w:color="auto" w:fill="auto"/>
            <w:vAlign w:val="bottom"/>
          </w:tcPr>
          <w:p w14:paraId="185FF1B3" w14:textId="77777777" w:rsidR="00A91885" w:rsidRDefault="00A91885">
            <w:pPr>
              <w:rPr>
                <w:rFonts w:ascii="宋体"/>
              </w:rPr>
            </w:pPr>
          </w:p>
        </w:tc>
        <w:tc>
          <w:tcPr>
            <w:tcW w:w="5" w:type="pct"/>
            <w:shd w:val="clear" w:color="auto" w:fill="auto"/>
            <w:vAlign w:val="bottom"/>
          </w:tcPr>
          <w:p w14:paraId="185FF1B4" w14:textId="77777777" w:rsidR="00A91885" w:rsidRDefault="00A91885">
            <w:pPr>
              <w:rPr>
                <w:rFonts w:ascii="宋体"/>
              </w:rPr>
            </w:pPr>
          </w:p>
        </w:tc>
        <w:tc>
          <w:tcPr>
            <w:tcW w:w="50" w:type="pct"/>
            <w:shd w:val="clear" w:color="auto" w:fill="auto"/>
            <w:vAlign w:val="bottom"/>
          </w:tcPr>
          <w:p w14:paraId="185FF1B5" w14:textId="77777777" w:rsidR="00A91885" w:rsidRDefault="00A91885">
            <w:pPr>
              <w:rPr>
                <w:rFonts w:ascii="宋体"/>
              </w:rPr>
            </w:pPr>
          </w:p>
        </w:tc>
        <w:tc>
          <w:tcPr>
            <w:tcW w:w="471" w:type="pct"/>
            <w:shd w:val="clear" w:color="auto" w:fill="auto"/>
            <w:vAlign w:val="bottom"/>
          </w:tcPr>
          <w:p w14:paraId="185FF1B6" w14:textId="77777777" w:rsidR="00A91885" w:rsidRDefault="00A91885">
            <w:pPr>
              <w:rPr>
                <w:rFonts w:ascii="宋体"/>
              </w:rPr>
            </w:pPr>
          </w:p>
        </w:tc>
        <w:tc>
          <w:tcPr>
            <w:tcW w:w="5" w:type="pct"/>
            <w:shd w:val="clear" w:color="auto" w:fill="auto"/>
            <w:vAlign w:val="bottom"/>
          </w:tcPr>
          <w:p w14:paraId="185FF1B7" w14:textId="77777777" w:rsidR="00A91885" w:rsidRDefault="00A91885">
            <w:pPr>
              <w:rPr>
                <w:rFonts w:ascii="宋体"/>
              </w:rPr>
            </w:pPr>
          </w:p>
        </w:tc>
      </w:tr>
      <w:tr w:rsidR="00A91885" w14:paraId="185FF1BC" w14:textId="77777777">
        <w:tc>
          <w:tcPr>
            <w:tcW w:w="0" w:type="auto"/>
            <w:gridSpan w:val="3"/>
            <w:shd w:val="clear" w:color="auto" w:fill="auto"/>
            <w:tcMar>
              <w:top w:w="0" w:type="dxa"/>
              <w:left w:w="20" w:type="dxa"/>
              <w:bottom w:w="0" w:type="dxa"/>
              <w:right w:w="20" w:type="dxa"/>
            </w:tcMar>
            <w:vAlign w:val="bottom"/>
          </w:tcPr>
          <w:p w14:paraId="185FF1B9"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5FF1BA"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5FF1BB" w14:textId="77777777" w:rsidR="00A91885" w:rsidRDefault="009C4196">
            <w:pPr>
              <w:jc w:val="center"/>
              <w:textAlignment w:val="top"/>
            </w:pPr>
            <w:r>
              <w:rPr>
                <w:rFonts w:ascii="Arial" w:eastAsia="宋体" w:hAnsi="Arial" w:cs="Arial"/>
                <w:b/>
                <w:bCs/>
                <w:color w:val="000000"/>
                <w:sz w:val="20"/>
                <w:szCs w:val="20"/>
              </w:rPr>
              <w:t>Page</w:t>
            </w:r>
          </w:p>
        </w:tc>
      </w:tr>
      <w:tr w:rsidR="00A91885" w14:paraId="185FF1C0" w14:textId="77777777">
        <w:tc>
          <w:tcPr>
            <w:tcW w:w="0" w:type="auto"/>
            <w:gridSpan w:val="3"/>
            <w:shd w:val="clear" w:color="auto" w:fill="auto"/>
            <w:tcMar>
              <w:top w:w="0" w:type="dxa"/>
              <w:left w:w="20" w:type="dxa"/>
              <w:bottom w:w="0" w:type="dxa"/>
              <w:right w:w="20" w:type="dxa"/>
            </w:tcMar>
            <w:vAlign w:val="bottom"/>
          </w:tcPr>
          <w:p w14:paraId="185FF1BD"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5FF1BE" w14:textId="77777777" w:rsidR="00A91885" w:rsidRDefault="009C4196">
            <w:pPr>
              <w:jc w:val="center"/>
              <w:textAlignment w:val="top"/>
            </w:pPr>
            <w:r>
              <w:rPr>
                <w:rFonts w:ascii="Arial" w:eastAsia="宋体" w:hAnsi="Arial" w:cs="Arial"/>
                <w:b/>
                <w:bCs/>
                <w:color w:val="000000"/>
                <w:sz w:val="20"/>
                <w:szCs w:val="20"/>
              </w:rPr>
              <w:t>PART I: FINANCIAL INFORMATION</w:t>
            </w:r>
          </w:p>
        </w:tc>
        <w:tc>
          <w:tcPr>
            <w:tcW w:w="0" w:type="auto"/>
            <w:gridSpan w:val="3"/>
            <w:shd w:val="clear" w:color="auto" w:fill="auto"/>
            <w:tcMar>
              <w:top w:w="0" w:type="dxa"/>
              <w:left w:w="20" w:type="dxa"/>
              <w:bottom w:w="0" w:type="dxa"/>
              <w:right w:w="20" w:type="dxa"/>
            </w:tcMar>
            <w:vAlign w:val="bottom"/>
          </w:tcPr>
          <w:p w14:paraId="185FF1BF" w14:textId="77777777" w:rsidR="00A91885" w:rsidRDefault="00A91885">
            <w:pPr>
              <w:rPr>
                <w:rFonts w:ascii="宋体"/>
              </w:rPr>
            </w:pPr>
          </w:p>
        </w:tc>
      </w:tr>
      <w:tr w:rsidR="00A91885" w14:paraId="185FF1C4" w14:textId="77777777">
        <w:tc>
          <w:tcPr>
            <w:tcW w:w="0" w:type="auto"/>
            <w:gridSpan w:val="3"/>
            <w:shd w:val="clear" w:color="auto" w:fill="auto"/>
            <w:tcMar>
              <w:top w:w="40" w:type="dxa"/>
              <w:left w:w="20" w:type="dxa"/>
              <w:bottom w:w="40" w:type="dxa"/>
              <w:right w:w="20" w:type="dxa"/>
            </w:tcMar>
          </w:tcPr>
          <w:p w14:paraId="185FF1C1" w14:textId="77777777" w:rsidR="00A91885" w:rsidRDefault="009C4196">
            <w:pPr>
              <w:textAlignment w:val="top"/>
            </w:pPr>
            <w:hyperlink r:id="rId7" w:anchor="ieb971428a625452486c65ae24899afca_10" w:history="1">
              <w:r>
                <w:rPr>
                  <w:rStyle w:val="a5"/>
                  <w:rFonts w:ascii="Arial" w:eastAsia="宋体" w:hAnsi="Arial" w:cs="Arial"/>
                  <w:sz w:val="20"/>
                  <w:szCs w:val="20"/>
                </w:rPr>
                <w:t>Item 1</w:t>
              </w:r>
            </w:hyperlink>
          </w:p>
        </w:tc>
        <w:tc>
          <w:tcPr>
            <w:tcW w:w="0" w:type="auto"/>
            <w:gridSpan w:val="3"/>
            <w:shd w:val="clear" w:color="auto" w:fill="auto"/>
            <w:tcMar>
              <w:top w:w="40" w:type="dxa"/>
              <w:left w:w="20" w:type="dxa"/>
              <w:bottom w:w="40" w:type="dxa"/>
              <w:right w:w="20" w:type="dxa"/>
            </w:tcMar>
          </w:tcPr>
          <w:p w14:paraId="185FF1C2" w14:textId="77777777" w:rsidR="00A91885" w:rsidRDefault="009C4196">
            <w:pPr>
              <w:textAlignment w:val="top"/>
            </w:pPr>
            <w:hyperlink r:id="rId8" w:anchor="ieb971428a625452486c65ae24899afca_10" w:history="1">
              <w:r>
                <w:rPr>
                  <w:rStyle w:val="a5"/>
                  <w:rFonts w:ascii="Arial" w:eastAsia="宋体" w:hAnsi="Arial" w:cs="Arial"/>
                  <w:sz w:val="20"/>
                  <w:szCs w:val="20"/>
                </w:rPr>
                <w:t>Financial Statements (unaudited)</w:t>
              </w:r>
            </w:hyperlink>
          </w:p>
        </w:tc>
        <w:tc>
          <w:tcPr>
            <w:tcW w:w="0" w:type="auto"/>
            <w:gridSpan w:val="3"/>
            <w:shd w:val="clear" w:color="auto" w:fill="auto"/>
            <w:tcMar>
              <w:top w:w="40" w:type="dxa"/>
              <w:left w:w="20" w:type="dxa"/>
              <w:bottom w:w="40" w:type="dxa"/>
              <w:right w:w="20" w:type="dxa"/>
            </w:tcMar>
          </w:tcPr>
          <w:p w14:paraId="185FF1C3" w14:textId="77777777" w:rsidR="00A91885" w:rsidRDefault="009C4196">
            <w:pPr>
              <w:jc w:val="center"/>
              <w:textAlignment w:val="top"/>
            </w:pPr>
            <w:hyperlink r:id="rId9" w:anchor="ieb971428a625452486c65ae24899afca_10" w:history="1">
              <w:r>
                <w:rPr>
                  <w:rStyle w:val="a5"/>
                  <w:rFonts w:ascii="Arial" w:eastAsia="宋体" w:hAnsi="Arial" w:cs="Arial"/>
                  <w:sz w:val="20"/>
                  <w:szCs w:val="20"/>
                </w:rPr>
                <w:t>3</w:t>
              </w:r>
            </w:hyperlink>
          </w:p>
        </w:tc>
      </w:tr>
      <w:tr w:rsidR="00A91885" w14:paraId="185FF1C8" w14:textId="77777777">
        <w:tc>
          <w:tcPr>
            <w:tcW w:w="0" w:type="auto"/>
            <w:gridSpan w:val="3"/>
            <w:shd w:val="clear" w:color="auto" w:fill="auto"/>
            <w:tcMar>
              <w:top w:w="40" w:type="dxa"/>
              <w:left w:w="20" w:type="dxa"/>
              <w:bottom w:w="40" w:type="dxa"/>
              <w:right w:w="20" w:type="dxa"/>
            </w:tcMar>
          </w:tcPr>
          <w:p w14:paraId="185FF1C5" w14:textId="77777777" w:rsidR="00A91885" w:rsidRDefault="009C4196">
            <w:pPr>
              <w:textAlignment w:val="top"/>
            </w:pPr>
            <w:hyperlink r:id="rId10" w:anchor="ieb971428a625452486c65ae24899afca_100" w:history="1">
              <w:r>
                <w:rPr>
                  <w:rStyle w:val="a5"/>
                  <w:rFonts w:ascii="Arial" w:eastAsia="宋体" w:hAnsi="Arial" w:cs="Arial"/>
                  <w:sz w:val="20"/>
                  <w:szCs w:val="20"/>
                </w:rPr>
                <w:t>Item 2</w:t>
              </w:r>
            </w:hyperlink>
          </w:p>
        </w:tc>
        <w:tc>
          <w:tcPr>
            <w:tcW w:w="0" w:type="auto"/>
            <w:gridSpan w:val="3"/>
            <w:shd w:val="clear" w:color="auto" w:fill="auto"/>
            <w:tcMar>
              <w:top w:w="40" w:type="dxa"/>
              <w:left w:w="20" w:type="dxa"/>
              <w:bottom w:w="40" w:type="dxa"/>
              <w:right w:w="20" w:type="dxa"/>
            </w:tcMar>
          </w:tcPr>
          <w:p w14:paraId="185FF1C6" w14:textId="77777777" w:rsidR="00A91885" w:rsidRDefault="009C4196">
            <w:pPr>
              <w:textAlignment w:val="top"/>
            </w:pPr>
            <w:hyperlink r:id="rId11" w:anchor="ieb971428a625452486c65ae24899afca_100" w:history="1">
              <w:r>
                <w:rPr>
                  <w:rStyle w:val="a5"/>
                  <w:rFonts w:ascii="Arial" w:eastAsia="宋体" w:hAnsi="Arial" w:cs="Arial"/>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tcPr>
          <w:p w14:paraId="185FF1C7" w14:textId="77777777" w:rsidR="00A91885" w:rsidRDefault="009C4196">
            <w:pPr>
              <w:jc w:val="center"/>
              <w:textAlignment w:val="top"/>
            </w:pPr>
            <w:hyperlink r:id="rId12" w:anchor="ieb971428a625452486c65ae24899afca_100" w:history="1">
              <w:r>
                <w:rPr>
                  <w:rStyle w:val="a5"/>
                  <w:rFonts w:ascii="Arial" w:eastAsia="宋体" w:hAnsi="Arial" w:cs="Arial"/>
                  <w:sz w:val="20"/>
                  <w:szCs w:val="20"/>
                </w:rPr>
                <w:t>46</w:t>
              </w:r>
            </w:hyperlink>
          </w:p>
        </w:tc>
      </w:tr>
      <w:tr w:rsidR="00A91885" w14:paraId="185FF1CC" w14:textId="77777777">
        <w:tc>
          <w:tcPr>
            <w:tcW w:w="0" w:type="auto"/>
            <w:gridSpan w:val="3"/>
            <w:shd w:val="clear" w:color="auto" w:fill="auto"/>
            <w:tcMar>
              <w:top w:w="40" w:type="dxa"/>
              <w:left w:w="20" w:type="dxa"/>
              <w:bottom w:w="40" w:type="dxa"/>
              <w:right w:w="20" w:type="dxa"/>
            </w:tcMar>
          </w:tcPr>
          <w:p w14:paraId="185FF1C9" w14:textId="77777777" w:rsidR="00A91885" w:rsidRDefault="009C4196">
            <w:pPr>
              <w:textAlignment w:val="top"/>
            </w:pPr>
            <w:hyperlink r:id="rId13" w:anchor="ieb971428a625452486c65ae24899afca_127" w:history="1">
              <w:r>
                <w:rPr>
                  <w:rStyle w:val="a5"/>
                  <w:rFonts w:ascii="Arial" w:eastAsia="宋体" w:hAnsi="Arial" w:cs="Arial"/>
                  <w:sz w:val="20"/>
                  <w:szCs w:val="20"/>
                </w:rPr>
                <w:t>Item 3</w:t>
              </w:r>
            </w:hyperlink>
          </w:p>
        </w:tc>
        <w:tc>
          <w:tcPr>
            <w:tcW w:w="0" w:type="auto"/>
            <w:gridSpan w:val="3"/>
            <w:shd w:val="clear" w:color="auto" w:fill="auto"/>
            <w:tcMar>
              <w:top w:w="40" w:type="dxa"/>
              <w:left w:w="20" w:type="dxa"/>
              <w:bottom w:w="40" w:type="dxa"/>
              <w:right w:w="20" w:type="dxa"/>
            </w:tcMar>
          </w:tcPr>
          <w:p w14:paraId="185FF1CA" w14:textId="77777777" w:rsidR="00A91885" w:rsidRDefault="009C4196">
            <w:pPr>
              <w:textAlignment w:val="top"/>
            </w:pPr>
            <w:hyperlink r:id="rId14" w:anchor="ieb971428a625452486c65ae24899afca_127" w:history="1">
              <w:r>
                <w:rPr>
                  <w:rStyle w:val="a5"/>
                  <w:rFonts w:ascii="Arial" w:eastAsia="宋体" w:hAnsi="Arial" w:cs="Arial"/>
                  <w:sz w:val="20"/>
                  <w:szCs w:val="20"/>
                </w:rPr>
                <w:t>Quantitative and Qualitative Disclosure</w:t>
              </w:r>
              <w:r>
                <w:rPr>
                  <w:rStyle w:val="a5"/>
                  <w:rFonts w:ascii="Arial" w:eastAsia="宋体" w:hAnsi="Arial" w:cs="Arial"/>
                  <w:sz w:val="20"/>
                  <w:szCs w:val="20"/>
                </w:rPr>
                <w:t>s About Market Risk</w:t>
              </w:r>
            </w:hyperlink>
          </w:p>
        </w:tc>
        <w:tc>
          <w:tcPr>
            <w:tcW w:w="0" w:type="auto"/>
            <w:gridSpan w:val="3"/>
            <w:shd w:val="clear" w:color="auto" w:fill="auto"/>
            <w:tcMar>
              <w:top w:w="40" w:type="dxa"/>
              <w:left w:w="20" w:type="dxa"/>
              <w:bottom w:w="40" w:type="dxa"/>
              <w:right w:w="20" w:type="dxa"/>
            </w:tcMar>
          </w:tcPr>
          <w:p w14:paraId="185FF1CB" w14:textId="77777777" w:rsidR="00A91885" w:rsidRDefault="009C4196">
            <w:pPr>
              <w:jc w:val="center"/>
              <w:textAlignment w:val="top"/>
            </w:pPr>
            <w:hyperlink r:id="rId15" w:anchor="ieb971428a625452486c65ae24899afca_127" w:history="1">
              <w:r>
                <w:rPr>
                  <w:rStyle w:val="a5"/>
                  <w:rFonts w:ascii="Arial" w:eastAsia="宋体" w:hAnsi="Arial" w:cs="Arial"/>
                  <w:sz w:val="20"/>
                  <w:szCs w:val="20"/>
                </w:rPr>
                <w:t>61</w:t>
              </w:r>
            </w:hyperlink>
          </w:p>
        </w:tc>
      </w:tr>
      <w:tr w:rsidR="00A91885" w14:paraId="185FF1D0" w14:textId="77777777">
        <w:tc>
          <w:tcPr>
            <w:tcW w:w="0" w:type="auto"/>
            <w:gridSpan w:val="3"/>
            <w:shd w:val="clear" w:color="auto" w:fill="auto"/>
            <w:tcMar>
              <w:top w:w="40" w:type="dxa"/>
              <w:left w:w="20" w:type="dxa"/>
              <w:bottom w:w="40" w:type="dxa"/>
              <w:right w:w="20" w:type="dxa"/>
            </w:tcMar>
          </w:tcPr>
          <w:p w14:paraId="185FF1CD" w14:textId="77777777" w:rsidR="00A91885" w:rsidRDefault="009C4196">
            <w:pPr>
              <w:textAlignment w:val="top"/>
            </w:pPr>
            <w:hyperlink r:id="rId16" w:anchor="ieb971428a625452486c65ae24899afca_130" w:history="1">
              <w:r>
                <w:rPr>
                  <w:rStyle w:val="a5"/>
                  <w:rFonts w:ascii="Arial" w:eastAsia="宋体" w:hAnsi="Arial" w:cs="Arial"/>
                  <w:sz w:val="20"/>
                  <w:szCs w:val="20"/>
                </w:rPr>
                <w:t>Item 4</w:t>
              </w:r>
            </w:hyperlink>
          </w:p>
        </w:tc>
        <w:tc>
          <w:tcPr>
            <w:tcW w:w="0" w:type="auto"/>
            <w:gridSpan w:val="3"/>
            <w:shd w:val="clear" w:color="auto" w:fill="auto"/>
            <w:tcMar>
              <w:top w:w="40" w:type="dxa"/>
              <w:left w:w="20" w:type="dxa"/>
              <w:bottom w:w="40" w:type="dxa"/>
              <w:right w:w="20" w:type="dxa"/>
            </w:tcMar>
          </w:tcPr>
          <w:p w14:paraId="185FF1CE" w14:textId="77777777" w:rsidR="00A91885" w:rsidRDefault="009C4196">
            <w:pPr>
              <w:textAlignment w:val="top"/>
            </w:pPr>
            <w:hyperlink r:id="rId17" w:anchor="ieb971428a625452486c65ae24899afca_130" w:history="1">
              <w:r>
                <w:rPr>
                  <w:rStyle w:val="a5"/>
                  <w:rFonts w:ascii="Arial" w:eastAsia="宋体" w:hAnsi="Arial" w:cs="Arial"/>
                  <w:sz w:val="20"/>
                  <w:szCs w:val="20"/>
                </w:rPr>
                <w:t>Controls and Pro</w:t>
              </w:r>
              <w:r>
                <w:rPr>
                  <w:rStyle w:val="a5"/>
                  <w:rFonts w:ascii="Arial" w:eastAsia="宋体" w:hAnsi="Arial" w:cs="Arial"/>
                  <w:sz w:val="20"/>
                  <w:szCs w:val="20"/>
                </w:rPr>
                <w:t>cedures</w:t>
              </w:r>
            </w:hyperlink>
          </w:p>
        </w:tc>
        <w:tc>
          <w:tcPr>
            <w:tcW w:w="0" w:type="auto"/>
            <w:gridSpan w:val="3"/>
            <w:shd w:val="clear" w:color="auto" w:fill="auto"/>
            <w:tcMar>
              <w:top w:w="40" w:type="dxa"/>
              <w:left w:w="20" w:type="dxa"/>
              <w:bottom w:w="40" w:type="dxa"/>
              <w:right w:w="20" w:type="dxa"/>
            </w:tcMar>
          </w:tcPr>
          <w:p w14:paraId="185FF1CF" w14:textId="77777777" w:rsidR="00A91885" w:rsidRDefault="009C4196">
            <w:pPr>
              <w:jc w:val="center"/>
              <w:textAlignment w:val="top"/>
            </w:pPr>
            <w:hyperlink r:id="rId18" w:anchor="ieb971428a625452486c65ae24899afca_130" w:history="1">
              <w:r>
                <w:rPr>
                  <w:rStyle w:val="a5"/>
                  <w:rFonts w:ascii="Arial" w:eastAsia="宋体" w:hAnsi="Arial" w:cs="Arial"/>
                  <w:sz w:val="20"/>
                  <w:szCs w:val="20"/>
                </w:rPr>
                <w:t>64</w:t>
              </w:r>
            </w:hyperlink>
          </w:p>
        </w:tc>
      </w:tr>
      <w:tr w:rsidR="00A91885" w14:paraId="185FF1D4" w14:textId="77777777">
        <w:tc>
          <w:tcPr>
            <w:tcW w:w="0" w:type="auto"/>
            <w:gridSpan w:val="3"/>
            <w:shd w:val="clear" w:color="auto" w:fill="auto"/>
            <w:tcMar>
              <w:top w:w="0" w:type="dxa"/>
              <w:left w:w="20" w:type="dxa"/>
              <w:bottom w:w="0" w:type="dxa"/>
              <w:right w:w="20" w:type="dxa"/>
            </w:tcMar>
            <w:vAlign w:val="bottom"/>
          </w:tcPr>
          <w:p w14:paraId="185FF1D1"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5FF1D2" w14:textId="77777777" w:rsidR="00A91885" w:rsidRDefault="009C4196">
            <w:pPr>
              <w:jc w:val="center"/>
              <w:textAlignment w:val="top"/>
            </w:pPr>
            <w:r>
              <w:rPr>
                <w:rFonts w:ascii="Arial" w:eastAsia="宋体" w:hAnsi="Arial" w:cs="Arial"/>
                <w:b/>
                <w:bCs/>
                <w:color w:val="000000"/>
                <w:sz w:val="20"/>
                <w:szCs w:val="20"/>
              </w:rPr>
              <w:t>PART II: OTHER INFORMATION</w:t>
            </w:r>
          </w:p>
        </w:tc>
        <w:tc>
          <w:tcPr>
            <w:tcW w:w="0" w:type="auto"/>
            <w:gridSpan w:val="3"/>
            <w:shd w:val="clear" w:color="auto" w:fill="auto"/>
            <w:tcMar>
              <w:top w:w="0" w:type="dxa"/>
              <w:left w:w="20" w:type="dxa"/>
              <w:bottom w:w="0" w:type="dxa"/>
              <w:right w:w="20" w:type="dxa"/>
            </w:tcMar>
            <w:vAlign w:val="bottom"/>
          </w:tcPr>
          <w:p w14:paraId="185FF1D3" w14:textId="77777777" w:rsidR="00A91885" w:rsidRDefault="00A91885">
            <w:pPr>
              <w:rPr>
                <w:rFonts w:ascii="宋体"/>
              </w:rPr>
            </w:pPr>
          </w:p>
        </w:tc>
      </w:tr>
      <w:tr w:rsidR="00A91885" w14:paraId="185FF1D8" w14:textId="77777777">
        <w:tc>
          <w:tcPr>
            <w:tcW w:w="0" w:type="auto"/>
            <w:gridSpan w:val="3"/>
            <w:shd w:val="clear" w:color="auto" w:fill="auto"/>
            <w:tcMar>
              <w:top w:w="40" w:type="dxa"/>
              <w:left w:w="20" w:type="dxa"/>
              <w:bottom w:w="40" w:type="dxa"/>
              <w:right w:w="20" w:type="dxa"/>
            </w:tcMar>
          </w:tcPr>
          <w:p w14:paraId="185FF1D5" w14:textId="77777777" w:rsidR="00A91885" w:rsidRDefault="009C4196">
            <w:pPr>
              <w:textAlignment w:val="top"/>
            </w:pPr>
            <w:hyperlink r:id="rId19" w:anchor="ieb971428a625452486c65ae24899afca_133" w:history="1">
              <w:r>
                <w:rPr>
                  <w:rStyle w:val="a5"/>
                  <w:rFonts w:ascii="Arial" w:eastAsia="宋体" w:hAnsi="Arial" w:cs="Arial"/>
                  <w:sz w:val="20"/>
                  <w:szCs w:val="20"/>
                </w:rPr>
                <w:t>Item 1</w:t>
              </w:r>
            </w:hyperlink>
          </w:p>
        </w:tc>
        <w:tc>
          <w:tcPr>
            <w:tcW w:w="0" w:type="auto"/>
            <w:gridSpan w:val="3"/>
            <w:shd w:val="clear" w:color="auto" w:fill="auto"/>
            <w:tcMar>
              <w:top w:w="40" w:type="dxa"/>
              <w:left w:w="20" w:type="dxa"/>
              <w:bottom w:w="40" w:type="dxa"/>
              <w:right w:w="20" w:type="dxa"/>
            </w:tcMar>
          </w:tcPr>
          <w:p w14:paraId="185FF1D6" w14:textId="77777777" w:rsidR="00A91885" w:rsidRDefault="009C4196">
            <w:pPr>
              <w:textAlignment w:val="top"/>
            </w:pPr>
            <w:hyperlink r:id="rId20" w:anchor="ieb971428a625452486c65ae24899afca_133" w:history="1">
              <w:r>
                <w:rPr>
                  <w:rStyle w:val="a5"/>
                  <w:rFonts w:ascii="Arial" w:eastAsia="宋体" w:hAnsi="Arial" w:cs="Arial"/>
                  <w:sz w:val="20"/>
                  <w:szCs w:val="20"/>
                </w:rPr>
                <w:t>Legal Proceedings</w:t>
              </w:r>
            </w:hyperlink>
          </w:p>
        </w:tc>
        <w:tc>
          <w:tcPr>
            <w:tcW w:w="0" w:type="auto"/>
            <w:gridSpan w:val="3"/>
            <w:shd w:val="clear" w:color="auto" w:fill="auto"/>
            <w:tcMar>
              <w:top w:w="40" w:type="dxa"/>
              <w:left w:w="20" w:type="dxa"/>
              <w:bottom w:w="40" w:type="dxa"/>
              <w:right w:w="20" w:type="dxa"/>
            </w:tcMar>
          </w:tcPr>
          <w:p w14:paraId="185FF1D7" w14:textId="77777777" w:rsidR="00A91885" w:rsidRDefault="009C4196">
            <w:pPr>
              <w:jc w:val="center"/>
              <w:textAlignment w:val="top"/>
            </w:pPr>
            <w:hyperlink r:id="rId21" w:anchor="ieb971428a625452486c65ae24899afca_133" w:history="1">
              <w:r>
                <w:rPr>
                  <w:rStyle w:val="a5"/>
                  <w:rFonts w:ascii="Arial" w:eastAsia="宋体" w:hAnsi="Arial" w:cs="Arial"/>
                  <w:sz w:val="20"/>
                  <w:szCs w:val="20"/>
                </w:rPr>
                <w:t>65</w:t>
              </w:r>
            </w:hyperlink>
          </w:p>
        </w:tc>
      </w:tr>
      <w:tr w:rsidR="00A91885" w14:paraId="185FF1DC" w14:textId="77777777">
        <w:tc>
          <w:tcPr>
            <w:tcW w:w="0" w:type="auto"/>
            <w:gridSpan w:val="3"/>
            <w:shd w:val="clear" w:color="auto" w:fill="auto"/>
            <w:tcMar>
              <w:top w:w="40" w:type="dxa"/>
              <w:left w:w="20" w:type="dxa"/>
              <w:bottom w:w="40" w:type="dxa"/>
              <w:right w:w="20" w:type="dxa"/>
            </w:tcMar>
          </w:tcPr>
          <w:p w14:paraId="185FF1D9" w14:textId="77777777" w:rsidR="00A91885" w:rsidRDefault="009C4196">
            <w:pPr>
              <w:textAlignment w:val="top"/>
            </w:pPr>
            <w:hyperlink r:id="rId22" w:anchor="ieb971428a625452486c65ae24899afca_136" w:history="1">
              <w:r>
                <w:rPr>
                  <w:rStyle w:val="a5"/>
                  <w:rFonts w:ascii="Arial" w:eastAsia="宋体" w:hAnsi="Arial" w:cs="Arial"/>
                  <w:sz w:val="20"/>
                  <w:szCs w:val="20"/>
                </w:rPr>
                <w:t>Item 1A</w:t>
              </w:r>
            </w:hyperlink>
          </w:p>
        </w:tc>
        <w:tc>
          <w:tcPr>
            <w:tcW w:w="0" w:type="auto"/>
            <w:gridSpan w:val="3"/>
            <w:shd w:val="clear" w:color="auto" w:fill="auto"/>
            <w:tcMar>
              <w:top w:w="40" w:type="dxa"/>
              <w:left w:w="20" w:type="dxa"/>
              <w:bottom w:w="40" w:type="dxa"/>
              <w:right w:w="20" w:type="dxa"/>
            </w:tcMar>
          </w:tcPr>
          <w:p w14:paraId="185FF1DA" w14:textId="77777777" w:rsidR="00A91885" w:rsidRDefault="009C4196">
            <w:pPr>
              <w:textAlignment w:val="top"/>
            </w:pPr>
            <w:hyperlink r:id="rId23" w:anchor="ieb971428a625452486c65ae24899afca_136" w:history="1">
              <w:r>
                <w:rPr>
                  <w:rStyle w:val="a5"/>
                  <w:rFonts w:ascii="Arial" w:eastAsia="宋体" w:hAnsi="Arial" w:cs="Arial"/>
                  <w:sz w:val="20"/>
                  <w:szCs w:val="20"/>
                </w:rPr>
                <w:t>Risk Factors</w:t>
              </w:r>
            </w:hyperlink>
          </w:p>
        </w:tc>
        <w:tc>
          <w:tcPr>
            <w:tcW w:w="0" w:type="auto"/>
            <w:gridSpan w:val="3"/>
            <w:shd w:val="clear" w:color="auto" w:fill="auto"/>
            <w:tcMar>
              <w:top w:w="40" w:type="dxa"/>
              <w:left w:w="20" w:type="dxa"/>
              <w:bottom w:w="40" w:type="dxa"/>
              <w:right w:w="20" w:type="dxa"/>
            </w:tcMar>
          </w:tcPr>
          <w:p w14:paraId="185FF1DB" w14:textId="77777777" w:rsidR="00A91885" w:rsidRDefault="009C4196">
            <w:pPr>
              <w:jc w:val="center"/>
              <w:textAlignment w:val="top"/>
            </w:pPr>
            <w:hyperlink r:id="rId24" w:anchor="ieb971428a625452486c65ae24899afca_136" w:history="1">
              <w:r>
                <w:rPr>
                  <w:rStyle w:val="a5"/>
                  <w:rFonts w:ascii="Arial" w:eastAsia="宋体" w:hAnsi="Arial" w:cs="Arial"/>
                  <w:sz w:val="20"/>
                  <w:szCs w:val="20"/>
                </w:rPr>
                <w:t>65</w:t>
              </w:r>
            </w:hyperlink>
          </w:p>
        </w:tc>
      </w:tr>
      <w:tr w:rsidR="00A91885" w14:paraId="185FF1E0" w14:textId="77777777">
        <w:tc>
          <w:tcPr>
            <w:tcW w:w="0" w:type="auto"/>
            <w:gridSpan w:val="3"/>
            <w:shd w:val="clear" w:color="auto" w:fill="auto"/>
            <w:tcMar>
              <w:top w:w="40" w:type="dxa"/>
              <w:left w:w="20" w:type="dxa"/>
              <w:bottom w:w="40" w:type="dxa"/>
              <w:right w:w="20" w:type="dxa"/>
            </w:tcMar>
          </w:tcPr>
          <w:p w14:paraId="185FF1DD" w14:textId="77777777" w:rsidR="00A91885" w:rsidRDefault="009C4196">
            <w:pPr>
              <w:textAlignment w:val="top"/>
            </w:pPr>
            <w:hyperlink r:id="rId25" w:anchor="ieb971428a625452486c65ae24899afca_142" w:history="1">
              <w:r>
                <w:rPr>
                  <w:rStyle w:val="a5"/>
                  <w:rFonts w:ascii="Arial" w:eastAsia="宋体" w:hAnsi="Arial" w:cs="Arial"/>
                  <w:sz w:val="20"/>
                  <w:szCs w:val="20"/>
                </w:rPr>
                <w:t>Item 2</w:t>
              </w:r>
            </w:hyperlink>
          </w:p>
        </w:tc>
        <w:tc>
          <w:tcPr>
            <w:tcW w:w="0" w:type="auto"/>
            <w:gridSpan w:val="3"/>
            <w:shd w:val="clear" w:color="auto" w:fill="auto"/>
            <w:tcMar>
              <w:top w:w="40" w:type="dxa"/>
              <w:left w:w="20" w:type="dxa"/>
              <w:bottom w:w="40" w:type="dxa"/>
              <w:right w:w="20" w:type="dxa"/>
            </w:tcMar>
          </w:tcPr>
          <w:p w14:paraId="185FF1DE" w14:textId="77777777" w:rsidR="00A91885" w:rsidRDefault="009C4196">
            <w:pPr>
              <w:textAlignment w:val="top"/>
            </w:pPr>
            <w:hyperlink r:id="rId26" w:anchor="ieb971428a625452486c65ae24899afca_142" w:history="1">
              <w:r>
                <w:rPr>
                  <w:rStyle w:val="a5"/>
                  <w:rFonts w:ascii="Arial" w:eastAsia="宋体" w:hAnsi="Arial" w:cs="Arial"/>
                  <w:sz w:val="20"/>
                  <w:szCs w:val="20"/>
                </w:rPr>
                <w:t>Unregistered Sales of Equity Securities</w:t>
              </w:r>
              <w:r>
                <w:rPr>
                  <w:rStyle w:val="a5"/>
                  <w:rFonts w:ascii="Arial" w:eastAsia="宋体" w:hAnsi="Arial" w:cs="Arial"/>
                  <w:sz w:val="20"/>
                  <w:szCs w:val="20"/>
                </w:rPr>
                <w:t xml:space="preserve"> and Use of Proceeds</w:t>
              </w:r>
            </w:hyperlink>
          </w:p>
        </w:tc>
        <w:tc>
          <w:tcPr>
            <w:tcW w:w="0" w:type="auto"/>
            <w:gridSpan w:val="3"/>
            <w:shd w:val="clear" w:color="auto" w:fill="auto"/>
            <w:tcMar>
              <w:top w:w="40" w:type="dxa"/>
              <w:left w:w="20" w:type="dxa"/>
              <w:bottom w:w="40" w:type="dxa"/>
              <w:right w:w="20" w:type="dxa"/>
            </w:tcMar>
          </w:tcPr>
          <w:p w14:paraId="185FF1DF" w14:textId="77777777" w:rsidR="00A91885" w:rsidRDefault="009C4196">
            <w:pPr>
              <w:jc w:val="center"/>
              <w:textAlignment w:val="top"/>
            </w:pPr>
            <w:hyperlink r:id="rId27" w:anchor="ieb971428a625452486c65ae24899afca_142" w:history="1">
              <w:r>
                <w:rPr>
                  <w:rStyle w:val="a5"/>
                  <w:rFonts w:ascii="Arial" w:eastAsia="宋体" w:hAnsi="Arial" w:cs="Arial"/>
                  <w:sz w:val="20"/>
                  <w:szCs w:val="20"/>
                </w:rPr>
                <w:t>66</w:t>
              </w:r>
            </w:hyperlink>
          </w:p>
        </w:tc>
      </w:tr>
      <w:tr w:rsidR="00A91885" w14:paraId="185FF1E4" w14:textId="77777777">
        <w:tc>
          <w:tcPr>
            <w:tcW w:w="0" w:type="auto"/>
            <w:gridSpan w:val="3"/>
            <w:shd w:val="clear" w:color="auto" w:fill="auto"/>
            <w:tcMar>
              <w:top w:w="40" w:type="dxa"/>
              <w:left w:w="20" w:type="dxa"/>
              <w:bottom w:w="40" w:type="dxa"/>
              <w:right w:w="20" w:type="dxa"/>
            </w:tcMar>
          </w:tcPr>
          <w:p w14:paraId="185FF1E1" w14:textId="77777777" w:rsidR="00A91885" w:rsidRDefault="009C4196">
            <w:pPr>
              <w:textAlignment w:val="top"/>
            </w:pPr>
            <w:hyperlink r:id="rId28" w:anchor="ieb971428a625452486c65ae24899afca_145" w:history="1">
              <w:r>
                <w:rPr>
                  <w:rStyle w:val="a5"/>
                  <w:rFonts w:ascii="Arial" w:eastAsia="宋体" w:hAnsi="Arial" w:cs="Arial"/>
                  <w:sz w:val="20"/>
                  <w:szCs w:val="20"/>
                </w:rPr>
                <w:t>Item 3</w:t>
              </w:r>
            </w:hyperlink>
          </w:p>
        </w:tc>
        <w:tc>
          <w:tcPr>
            <w:tcW w:w="0" w:type="auto"/>
            <w:gridSpan w:val="3"/>
            <w:shd w:val="clear" w:color="auto" w:fill="auto"/>
            <w:tcMar>
              <w:top w:w="40" w:type="dxa"/>
              <w:left w:w="20" w:type="dxa"/>
              <w:bottom w:w="40" w:type="dxa"/>
              <w:right w:w="20" w:type="dxa"/>
            </w:tcMar>
          </w:tcPr>
          <w:p w14:paraId="185FF1E2" w14:textId="77777777" w:rsidR="00A91885" w:rsidRDefault="009C4196">
            <w:pPr>
              <w:ind w:hanging="1080"/>
              <w:textAlignment w:val="top"/>
            </w:pPr>
            <w:hyperlink r:id="rId29" w:anchor="ieb971428a625452486c65ae24899afca_145" w:history="1">
              <w:r>
                <w:rPr>
                  <w:rStyle w:val="a5"/>
                  <w:rFonts w:ascii="Arial" w:eastAsia="宋体" w:hAnsi="Arial" w:cs="Arial"/>
                  <w:sz w:val="20"/>
                  <w:szCs w:val="20"/>
                </w:rPr>
                <w:t>Defaults Upon S</w:t>
              </w:r>
              <w:r>
                <w:rPr>
                  <w:rStyle w:val="a5"/>
                  <w:rFonts w:ascii="Arial" w:eastAsia="宋体" w:hAnsi="Arial" w:cs="Arial"/>
                  <w:sz w:val="20"/>
                  <w:szCs w:val="20"/>
                </w:rPr>
                <w:t>enior Securities</w:t>
              </w:r>
            </w:hyperlink>
          </w:p>
        </w:tc>
        <w:tc>
          <w:tcPr>
            <w:tcW w:w="0" w:type="auto"/>
            <w:gridSpan w:val="3"/>
            <w:shd w:val="clear" w:color="auto" w:fill="auto"/>
            <w:tcMar>
              <w:top w:w="40" w:type="dxa"/>
              <w:left w:w="20" w:type="dxa"/>
              <w:bottom w:w="40" w:type="dxa"/>
              <w:right w:w="20" w:type="dxa"/>
            </w:tcMar>
          </w:tcPr>
          <w:p w14:paraId="185FF1E3" w14:textId="77777777" w:rsidR="00A91885" w:rsidRDefault="009C4196">
            <w:pPr>
              <w:jc w:val="center"/>
              <w:textAlignment w:val="top"/>
            </w:pPr>
            <w:hyperlink r:id="rId30" w:anchor="ieb971428a625452486c65ae24899afca_145" w:history="1">
              <w:r>
                <w:rPr>
                  <w:rStyle w:val="a5"/>
                  <w:rFonts w:ascii="Arial" w:eastAsia="宋体" w:hAnsi="Arial" w:cs="Arial"/>
                  <w:sz w:val="20"/>
                  <w:szCs w:val="20"/>
                </w:rPr>
                <w:t>66</w:t>
              </w:r>
            </w:hyperlink>
          </w:p>
        </w:tc>
      </w:tr>
      <w:tr w:rsidR="00A91885" w14:paraId="185FF1E8" w14:textId="77777777">
        <w:tc>
          <w:tcPr>
            <w:tcW w:w="0" w:type="auto"/>
            <w:gridSpan w:val="3"/>
            <w:shd w:val="clear" w:color="auto" w:fill="auto"/>
            <w:tcMar>
              <w:top w:w="40" w:type="dxa"/>
              <w:left w:w="20" w:type="dxa"/>
              <w:bottom w:w="40" w:type="dxa"/>
              <w:right w:w="20" w:type="dxa"/>
            </w:tcMar>
          </w:tcPr>
          <w:p w14:paraId="185FF1E5" w14:textId="77777777" w:rsidR="00A91885" w:rsidRDefault="009C4196">
            <w:pPr>
              <w:textAlignment w:val="top"/>
            </w:pPr>
            <w:hyperlink r:id="rId31" w:anchor="ieb971428a625452486c65ae24899afca_148" w:history="1">
              <w:r>
                <w:rPr>
                  <w:rStyle w:val="a5"/>
                  <w:rFonts w:ascii="Arial" w:eastAsia="宋体" w:hAnsi="Arial" w:cs="Arial"/>
                  <w:sz w:val="20"/>
                  <w:szCs w:val="20"/>
                </w:rPr>
                <w:t>Item 4</w:t>
              </w:r>
            </w:hyperlink>
          </w:p>
        </w:tc>
        <w:tc>
          <w:tcPr>
            <w:tcW w:w="0" w:type="auto"/>
            <w:gridSpan w:val="3"/>
            <w:shd w:val="clear" w:color="auto" w:fill="auto"/>
            <w:tcMar>
              <w:top w:w="40" w:type="dxa"/>
              <w:left w:w="20" w:type="dxa"/>
              <w:bottom w:w="40" w:type="dxa"/>
              <w:right w:w="20" w:type="dxa"/>
            </w:tcMar>
          </w:tcPr>
          <w:p w14:paraId="185FF1E6" w14:textId="77777777" w:rsidR="00A91885" w:rsidRDefault="009C4196">
            <w:pPr>
              <w:ind w:hanging="1080"/>
              <w:textAlignment w:val="top"/>
            </w:pPr>
            <w:hyperlink r:id="rId32" w:anchor="ieb971428a625452486c65ae24899afca_148" w:history="1">
              <w:r>
                <w:rPr>
                  <w:rStyle w:val="a5"/>
                  <w:rFonts w:ascii="Arial" w:eastAsia="宋体" w:hAnsi="Arial" w:cs="Arial"/>
                  <w:sz w:val="20"/>
                  <w:szCs w:val="20"/>
                </w:rPr>
                <w:t>Mine Safety Disclos</w:t>
              </w:r>
              <w:r>
                <w:rPr>
                  <w:rStyle w:val="a5"/>
                  <w:rFonts w:ascii="Arial" w:eastAsia="宋体" w:hAnsi="Arial" w:cs="Arial"/>
                  <w:sz w:val="20"/>
                  <w:szCs w:val="20"/>
                </w:rPr>
                <w:t>ures</w:t>
              </w:r>
            </w:hyperlink>
          </w:p>
        </w:tc>
        <w:tc>
          <w:tcPr>
            <w:tcW w:w="0" w:type="auto"/>
            <w:gridSpan w:val="3"/>
            <w:shd w:val="clear" w:color="auto" w:fill="auto"/>
            <w:tcMar>
              <w:top w:w="40" w:type="dxa"/>
              <w:left w:w="20" w:type="dxa"/>
              <w:bottom w:w="40" w:type="dxa"/>
              <w:right w:w="20" w:type="dxa"/>
            </w:tcMar>
          </w:tcPr>
          <w:p w14:paraId="185FF1E7" w14:textId="77777777" w:rsidR="00A91885" w:rsidRDefault="009C4196">
            <w:pPr>
              <w:jc w:val="center"/>
              <w:textAlignment w:val="top"/>
            </w:pPr>
            <w:hyperlink r:id="rId33" w:anchor="ieb971428a625452486c65ae24899afca_148" w:history="1">
              <w:r>
                <w:rPr>
                  <w:rStyle w:val="a5"/>
                  <w:rFonts w:ascii="Arial" w:eastAsia="宋体" w:hAnsi="Arial" w:cs="Arial"/>
                  <w:sz w:val="20"/>
                  <w:szCs w:val="20"/>
                </w:rPr>
                <w:t>66</w:t>
              </w:r>
            </w:hyperlink>
          </w:p>
        </w:tc>
      </w:tr>
      <w:tr w:rsidR="00A91885" w14:paraId="185FF1EC" w14:textId="77777777">
        <w:tc>
          <w:tcPr>
            <w:tcW w:w="0" w:type="auto"/>
            <w:gridSpan w:val="3"/>
            <w:shd w:val="clear" w:color="auto" w:fill="auto"/>
            <w:tcMar>
              <w:top w:w="40" w:type="dxa"/>
              <w:left w:w="20" w:type="dxa"/>
              <w:bottom w:w="40" w:type="dxa"/>
              <w:right w:w="20" w:type="dxa"/>
            </w:tcMar>
          </w:tcPr>
          <w:p w14:paraId="185FF1E9" w14:textId="77777777" w:rsidR="00A91885" w:rsidRDefault="009C4196">
            <w:pPr>
              <w:textAlignment w:val="top"/>
            </w:pPr>
            <w:hyperlink r:id="rId34" w:anchor="ieb971428a625452486c65ae24899afca_151" w:history="1">
              <w:r>
                <w:rPr>
                  <w:rStyle w:val="a5"/>
                  <w:rFonts w:ascii="Arial" w:eastAsia="宋体" w:hAnsi="Arial" w:cs="Arial"/>
                  <w:sz w:val="20"/>
                  <w:szCs w:val="20"/>
                </w:rPr>
                <w:t>Item 5</w:t>
              </w:r>
            </w:hyperlink>
          </w:p>
        </w:tc>
        <w:tc>
          <w:tcPr>
            <w:tcW w:w="0" w:type="auto"/>
            <w:gridSpan w:val="3"/>
            <w:shd w:val="clear" w:color="auto" w:fill="auto"/>
            <w:tcMar>
              <w:top w:w="40" w:type="dxa"/>
              <w:left w:w="20" w:type="dxa"/>
              <w:bottom w:w="40" w:type="dxa"/>
              <w:right w:w="20" w:type="dxa"/>
            </w:tcMar>
          </w:tcPr>
          <w:p w14:paraId="185FF1EA" w14:textId="77777777" w:rsidR="00A91885" w:rsidRDefault="009C4196">
            <w:pPr>
              <w:textAlignment w:val="top"/>
            </w:pPr>
            <w:hyperlink r:id="rId35" w:anchor="ieb971428a625452486c65ae24899afca_151" w:history="1">
              <w:r>
                <w:rPr>
                  <w:rStyle w:val="a5"/>
                  <w:rFonts w:ascii="Arial" w:eastAsia="宋体" w:hAnsi="Arial" w:cs="Arial"/>
                  <w:sz w:val="20"/>
                  <w:szCs w:val="20"/>
                </w:rPr>
                <w:t>Other Information</w:t>
              </w:r>
            </w:hyperlink>
          </w:p>
        </w:tc>
        <w:tc>
          <w:tcPr>
            <w:tcW w:w="0" w:type="auto"/>
            <w:gridSpan w:val="3"/>
            <w:shd w:val="clear" w:color="auto" w:fill="auto"/>
            <w:tcMar>
              <w:top w:w="40" w:type="dxa"/>
              <w:left w:w="20" w:type="dxa"/>
              <w:bottom w:w="40" w:type="dxa"/>
              <w:right w:w="20" w:type="dxa"/>
            </w:tcMar>
          </w:tcPr>
          <w:p w14:paraId="185FF1EB" w14:textId="77777777" w:rsidR="00A91885" w:rsidRDefault="009C4196">
            <w:pPr>
              <w:jc w:val="center"/>
              <w:textAlignment w:val="top"/>
            </w:pPr>
            <w:hyperlink r:id="rId36" w:anchor="ieb971428a625452486c65ae24899afca_151" w:history="1">
              <w:r>
                <w:rPr>
                  <w:rStyle w:val="a5"/>
                  <w:rFonts w:ascii="Arial" w:eastAsia="宋体" w:hAnsi="Arial" w:cs="Arial"/>
                  <w:sz w:val="20"/>
                  <w:szCs w:val="20"/>
                </w:rPr>
                <w:t>66</w:t>
              </w:r>
            </w:hyperlink>
          </w:p>
        </w:tc>
      </w:tr>
      <w:tr w:rsidR="00A91885" w14:paraId="185FF1F0" w14:textId="77777777">
        <w:tc>
          <w:tcPr>
            <w:tcW w:w="0" w:type="auto"/>
            <w:gridSpan w:val="3"/>
            <w:shd w:val="clear" w:color="auto" w:fill="auto"/>
            <w:tcMar>
              <w:top w:w="40" w:type="dxa"/>
              <w:left w:w="20" w:type="dxa"/>
              <w:bottom w:w="40" w:type="dxa"/>
              <w:right w:w="20" w:type="dxa"/>
            </w:tcMar>
          </w:tcPr>
          <w:p w14:paraId="185FF1ED" w14:textId="77777777" w:rsidR="00A91885" w:rsidRDefault="009C4196">
            <w:pPr>
              <w:textAlignment w:val="top"/>
            </w:pPr>
            <w:hyperlink r:id="rId37" w:anchor="ieb971428a625452486c65ae24899afca_154" w:history="1">
              <w:r>
                <w:rPr>
                  <w:rStyle w:val="a5"/>
                  <w:rFonts w:ascii="Arial" w:eastAsia="宋体" w:hAnsi="Arial" w:cs="Arial"/>
                  <w:sz w:val="20"/>
                  <w:szCs w:val="20"/>
                </w:rPr>
                <w:t>Item 6</w:t>
              </w:r>
            </w:hyperlink>
          </w:p>
        </w:tc>
        <w:tc>
          <w:tcPr>
            <w:tcW w:w="0" w:type="auto"/>
            <w:gridSpan w:val="3"/>
            <w:shd w:val="clear" w:color="auto" w:fill="auto"/>
            <w:tcMar>
              <w:top w:w="40" w:type="dxa"/>
              <w:left w:w="20" w:type="dxa"/>
              <w:bottom w:w="40" w:type="dxa"/>
              <w:right w:w="20" w:type="dxa"/>
            </w:tcMar>
          </w:tcPr>
          <w:p w14:paraId="185FF1EE" w14:textId="77777777" w:rsidR="00A91885" w:rsidRDefault="009C4196">
            <w:pPr>
              <w:textAlignment w:val="top"/>
            </w:pPr>
            <w:hyperlink r:id="rId38" w:anchor="ieb971428a625452486c65ae24899afca_154" w:history="1">
              <w:r>
                <w:rPr>
                  <w:rStyle w:val="a5"/>
                  <w:rFonts w:ascii="Arial" w:eastAsia="宋体" w:hAnsi="Arial" w:cs="Arial"/>
                  <w:sz w:val="20"/>
                  <w:szCs w:val="20"/>
                </w:rPr>
                <w:t>Exhibits</w:t>
              </w:r>
            </w:hyperlink>
          </w:p>
        </w:tc>
        <w:tc>
          <w:tcPr>
            <w:tcW w:w="0" w:type="auto"/>
            <w:gridSpan w:val="3"/>
            <w:shd w:val="clear" w:color="auto" w:fill="auto"/>
            <w:tcMar>
              <w:top w:w="40" w:type="dxa"/>
              <w:left w:w="20" w:type="dxa"/>
              <w:bottom w:w="40" w:type="dxa"/>
              <w:right w:w="20" w:type="dxa"/>
            </w:tcMar>
          </w:tcPr>
          <w:p w14:paraId="185FF1EF" w14:textId="77777777" w:rsidR="00A91885" w:rsidRDefault="009C4196">
            <w:pPr>
              <w:jc w:val="center"/>
              <w:textAlignment w:val="top"/>
            </w:pPr>
            <w:hyperlink r:id="rId39" w:anchor="ieb971428a625452486c65ae24899afca_154" w:history="1">
              <w:r>
                <w:rPr>
                  <w:rStyle w:val="a5"/>
                  <w:rFonts w:ascii="Arial" w:eastAsia="宋体" w:hAnsi="Arial" w:cs="Arial"/>
                  <w:sz w:val="20"/>
                  <w:szCs w:val="20"/>
                </w:rPr>
                <w:t>67</w:t>
              </w:r>
            </w:hyperlink>
          </w:p>
        </w:tc>
      </w:tr>
      <w:tr w:rsidR="00A91885" w14:paraId="185FF1F4" w14:textId="77777777">
        <w:tc>
          <w:tcPr>
            <w:tcW w:w="0" w:type="auto"/>
            <w:gridSpan w:val="3"/>
            <w:shd w:val="clear" w:color="auto" w:fill="auto"/>
            <w:tcMar>
              <w:top w:w="40" w:type="dxa"/>
              <w:left w:w="20" w:type="dxa"/>
              <w:bottom w:w="40" w:type="dxa"/>
              <w:right w:w="20" w:type="dxa"/>
            </w:tcMar>
          </w:tcPr>
          <w:p w14:paraId="185FF1F1" w14:textId="77777777" w:rsidR="00A91885" w:rsidRDefault="009C4196">
            <w:pPr>
              <w:textAlignment w:val="top"/>
            </w:pPr>
            <w:hyperlink r:id="rId40" w:anchor="ieb971428a625452486c65ae24899afca_157" w:history="1">
              <w:r>
                <w:rPr>
                  <w:rStyle w:val="a5"/>
                  <w:rFonts w:ascii="Arial" w:eastAsia="宋体" w:hAnsi="Arial" w:cs="Arial"/>
                  <w:sz w:val="20"/>
                  <w:szCs w:val="20"/>
                </w:rPr>
                <w:t>Signatures</w:t>
              </w:r>
            </w:hyperlink>
          </w:p>
        </w:tc>
        <w:tc>
          <w:tcPr>
            <w:tcW w:w="0" w:type="auto"/>
            <w:gridSpan w:val="3"/>
            <w:shd w:val="clear" w:color="auto" w:fill="auto"/>
            <w:tcMar>
              <w:top w:w="0" w:type="dxa"/>
              <w:left w:w="20" w:type="dxa"/>
              <w:bottom w:w="0" w:type="dxa"/>
              <w:right w:w="20" w:type="dxa"/>
            </w:tcMar>
            <w:vAlign w:val="bottom"/>
          </w:tcPr>
          <w:p w14:paraId="185FF1F2"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5FF1F3" w14:textId="77777777" w:rsidR="00A91885" w:rsidRDefault="009C4196">
            <w:pPr>
              <w:jc w:val="center"/>
              <w:textAlignment w:val="top"/>
            </w:pPr>
            <w:hyperlink r:id="rId41" w:anchor="ieb971428a625452486c65ae24899afca_157" w:history="1">
              <w:r>
                <w:rPr>
                  <w:rStyle w:val="a5"/>
                  <w:rFonts w:ascii="Arial" w:eastAsia="宋体" w:hAnsi="Arial" w:cs="Arial"/>
                  <w:sz w:val="20"/>
                  <w:szCs w:val="20"/>
                </w:rPr>
                <w:t>68</w:t>
              </w:r>
            </w:hyperlink>
          </w:p>
        </w:tc>
      </w:tr>
    </w:tbl>
    <w:p w14:paraId="185FF1F5" w14:textId="77777777" w:rsidR="00A91885" w:rsidRDefault="009C4196">
      <w:pPr>
        <w:jc w:val="center"/>
      </w:pPr>
      <w:r>
        <w:rPr>
          <w:rFonts w:ascii="Arial" w:eastAsia="宋体" w:hAnsi="Arial" w:cs="Arial"/>
          <w:color w:val="000000"/>
          <w:sz w:val="20"/>
          <w:szCs w:val="20"/>
        </w:rPr>
        <w:t>2</w:t>
      </w:r>
    </w:p>
    <w:p w14:paraId="185FF1F6" w14:textId="77777777" w:rsidR="00A91885" w:rsidRDefault="009C4196">
      <w:r>
        <w:pict w14:anchorId="18602185">
          <v:rect id="_x0000_i1026" style="width:415.3pt;height:1.5pt" o:hralign="center" o:hrstd="t" o:hr="t" fillcolor="#a0a0a0" stroked="f"/>
        </w:pict>
      </w:r>
    </w:p>
    <w:p w14:paraId="185FF1F7" w14:textId="77777777" w:rsidR="00A91885" w:rsidRDefault="009C4196">
      <w:hyperlink r:id="rId42" w:anchor="ieb971428a625452486c65ae24899afca_7" w:history="1">
        <w:r>
          <w:rPr>
            <w:rStyle w:val="a5"/>
            <w:rFonts w:ascii="Arial" w:eastAsia="宋体" w:hAnsi="Arial" w:cs="Arial"/>
            <w:sz w:val="18"/>
            <w:szCs w:val="18"/>
          </w:rPr>
          <w:t>Table of Contents</w:t>
        </w:r>
      </w:hyperlink>
    </w:p>
    <w:p w14:paraId="185FF1F8" w14:textId="77777777" w:rsidR="00A91885" w:rsidRDefault="009C4196">
      <w:pPr>
        <w:spacing w:before="120"/>
        <w:jc w:val="center"/>
      </w:pPr>
      <w:r>
        <w:rPr>
          <w:rFonts w:ascii="Arial" w:eastAsia="宋体" w:hAnsi="Arial" w:cs="Arial"/>
          <w:b/>
          <w:bCs/>
          <w:color w:val="000000"/>
          <w:sz w:val="20"/>
          <w:szCs w:val="20"/>
        </w:rPr>
        <w:t>PART I: FINANCIAL INFORMATION</w:t>
      </w:r>
    </w:p>
    <w:p w14:paraId="185FF1F9" w14:textId="77777777" w:rsidR="00A91885" w:rsidRDefault="00A91885">
      <w:pPr>
        <w:spacing w:before="80"/>
        <w:jc w:val="center"/>
      </w:pPr>
    </w:p>
    <w:p w14:paraId="185FF1FA" w14:textId="77777777" w:rsidR="00A91885" w:rsidRDefault="009C4196">
      <w:pPr>
        <w:spacing w:before="80"/>
        <w:ind w:hanging="1080"/>
      </w:pPr>
      <w:r>
        <w:rPr>
          <w:rFonts w:ascii="Arial" w:eastAsia="宋体" w:hAnsi="Arial" w:cs="Arial"/>
          <w:b/>
          <w:bCs/>
          <w:color w:val="000000"/>
          <w:sz w:val="20"/>
          <w:szCs w:val="20"/>
        </w:rPr>
        <w:t>Item 1:</w:t>
      </w:r>
      <w:r>
        <w:rPr>
          <w:rFonts w:ascii="Arial" w:eastAsia="宋体" w:hAnsi="Arial" w:cs="Arial"/>
          <w:color w:val="000000"/>
          <w:sz w:val="20"/>
          <w:szCs w:val="20"/>
        </w:rPr>
        <w:t>    </w:t>
      </w:r>
      <w:r>
        <w:rPr>
          <w:rFonts w:ascii="Arial" w:eastAsia="宋体" w:hAnsi="Arial" w:cs="Arial"/>
          <w:b/>
          <w:bCs/>
          <w:color w:val="000000"/>
          <w:sz w:val="20"/>
          <w:szCs w:val="20"/>
        </w:rPr>
        <w:t>Financial Statements (unaudited)</w:t>
      </w:r>
    </w:p>
    <w:p w14:paraId="185FF1FB" w14:textId="77777777" w:rsidR="00A91885" w:rsidRDefault="00A91885">
      <w:pPr>
        <w:spacing w:before="80"/>
        <w:ind w:hanging="1080"/>
      </w:pPr>
    </w:p>
    <w:p w14:paraId="185FF1FC" w14:textId="77777777" w:rsidR="00A91885" w:rsidRDefault="009C4196">
      <w:pPr>
        <w:spacing w:before="80"/>
        <w:jc w:val="center"/>
      </w:pPr>
      <w:r>
        <w:rPr>
          <w:rFonts w:ascii="Arial" w:eastAsia="宋体" w:hAnsi="Arial" w:cs="Arial"/>
          <w:b/>
          <w:bCs/>
          <w:color w:val="000000"/>
          <w:sz w:val="20"/>
          <w:szCs w:val="20"/>
        </w:rPr>
        <w:t>Index</w:t>
      </w:r>
    </w:p>
    <w:tbl>
      <w:tblPr>
        <w:tblW w:w="5000" w:type="pct"/>
        <w:tblCellMar>
          <w:top w:w="15" w:type="dxa"/>
          <w:left w:w="15" w:type="dxa"/>
          <w:bottom w:w="15" w:type="dxa"/>
          <w:right w:w="15" w:type="dxa"/>
        </w:tblCellMar>
        <w:tblLook w:val="04A0" w:firstRow="1" w:lastRow="0" w:firstColumn="1" w:lastColumn="0" w:noHBand="0" w:noVBand="1"/>
      </w:tblPr>
      <w:tblGrid>
        <w:gridCol w:w="69"/>
        <w:gridCol w:w="7342"/>
        <w:gridCol w:w="37"/>
        <w:gridCol w:w="69"/>
        <w:gridCol w:w="783"/>
        <w:gridCol w:w="36"/>
      </w:tblGrid>
      <w:tr w:rsidR="00A91885" w14:paraId="185FF203" w14:textId="77777777">
        <w:tc>
          <w:tcPr>
            <w:tcW w:w="50" w:type="pct"/>
            <w:shd w:val="clear" w:color="auto" w:fill="auto"/>
            <w:vAlign w:val="bottom"/>
          </w:tcPr>
          <w:p w14:paraId="185FF1FD" w14:textId="77777777" w:rsidR="00A91885" w:rsidRDefault="00A91885">
            <w:pPr>
              <w:rPr>
                <w:rFonts w:ascii="宋体"/>
              </w:rPr>
            </w:pPr>
          </w:p>
        </w:tc>
        <w:tc>
          <w:tcPr>
            <w:tcW w:w="4411" w:type="pct"/>
            <w:shd w:val="clear" w:color="auto" w:fill="auto"/>
            <w:vAlign w:val="bottom"/>
          </w:tcPr>
          <w:p w14:paraId="185FF1FE" w14:textId="77777777" w:rsidR="00A91885" w:rsidRDefault="00A91885">
            <w:pPr>
              <w:rPr>
                <w:rFonts w:ascii="宋体"/>
              </w:rPr>
            </w:pPr>
          </w:p>
        </w:tc>
        <w:tc>
          <w:tcPr>
            <w:tcW w:w="5" w:type="pct"/>
            <w:shd w:val="clear" w:color="auto" w:fill="auto"/>
            <w:vAlign w:val="bottom"/>
          </w:tcPr>
          <w:p w14:paraId="185FF1FF" w14:textId="77777777" w:rsidR="00A91885" w:rsidRDefault="00A91885">
            <w:pPr>
              <w:rPr>
                <w:rFonts w:ascii="宋体"/>
              </w:rPr>
            </w:pPr>
          </w:p>
        </w:tc>
        <w:tc>
          <w:tcPr>
            <w:tcW w:w="50" w:type="pct"/>
            <w:shd w:val="clear" w:color="auto" w:fill="auto"/>
            <w:vAlign w:val="bottom"/>
          </w:tcPr>
          <w:p w14:paraId="185FF200" w14:textId="77777777" w:rsidR="00A91885" w:rsidRDefault="00A91885">
            <w:pPr>
              <w:rPr>
                <w:rFonts w:ascii="宋体"/>
              </w:rPr>
            </w:pPr>
          </w:p>
        </w:tc>
        <w:tc>
          <w:tcPr>
            <w:tcW w:w="478" w:type="pct"/>
            <w:shd w:val="clear" w:color="auto" w:fill="auto"/>
            <w:vAlign w:val="bottom"/>
          </w:tcPr>
          <w:p w14:paraId="185FF201" w14:textId="77777777" w:rsidR="00A91885" w:rsidRDefault="00A91885">
            <w:pPr>
              <w:rPr>
                <w:rFonts w:ascii="宋体"/>
              </w:rPr>
            </w:pPr>
          </w:p>
        </w:tc>
        <w:tc>
          <w:tcPr>
            <w:tcW w:w="5" w:type="pct"/>
            <w:shd w:val="clear" w:color="auto" w:fill="auto"/>
            <w:vAlign w:val="bottom"/>
          </w:tcPr>
          <w:p w14:paraId="185FF202" w14:textId="77777777" w:rsidR="00A91885" w:rsidRDefault="00A91885">
            <w:pPr>
              <w:rPr>
                <w:rFonts w:ascii="宋体"/>
              </w:rPr>
            </w:pPr>
          </w:p>
        </w:tc>
      </w:tr>
      <w:tr w:rsidR="00A91885" w14:paraId="185FF206" w14:textId="77777777">
        <w:tc>
          <w:tcPr>
            <w:tcW w:w="0" w:type="auto"/>
            <w:gridSpan w:val="3"/>
            <w:shd w:val="clear" w:color="auto" w:fill="auto"/>
            <w:tcMar>
              <w:top w:w="0" w:type="dxa"/>
              <w:left w:w="20" w:type="dxa"/>
              <w:bottom w:w="0" w:type="dxa"/>
              <w:right w:w="20" w:type="dxa"/>
            </w:tcMar>
            <w:vAlign w:val="bottom"/>
          </w:tcPr>
          <w:p w14:paraId="185FF204"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5FF205" w14:textId="77777777" w:rsidR="00A91885" w:rsidRDefault="009C4196">
            <w:pPr>
              <w:jc w:val="center"/>
              <w:textAlignment w:val="bottom"/>
            </w:pPr>
            <w:r>
              <w:rPr>
                <w:rFonts w:ascii="Arial" w:eastAsia="宋体" w:hAnsi="Arial" w:cs="Arial"/>
                <w:b/>
                <w:bCs/>
                <w:color w:val="000000"/>
                <w:sz w:val="20"/>
                <w:szCs w:val="20"/>
              </w:rPr>
              <w:t>Page</w:t>
            </w:r>
          </w:p>
        </w:tc>
      </w:tr>
      <w:tr w:rsidR="00A91885" w14:paraId="185FF209" w14:textId="77777777">
        <w:tc>
          <w:tcPr>
            <w:tcW w:w="0" w:type="auto"/>
            <w:gridSpan w:val="3"/>
            <w:shd w:val="clear" w:color="auto" w:fill="auto"/>
            <w:tcMar>
              <w:top w:w="40" w:type="dxa"/>
              <w:left w:w="20" w:type="dxa"/>
              <w:bottom w:w="40" w:type="dxa"/>
              <w:right w:w="20" w:type="dxa"/>
            </w:tcMar>
            <w:vAlign w:val="bottom"/>
          </w:tcPr>
          <w:p w14:paraId="185FF207" w14:textId="77777777" w:rsidR="00A91885" w:rsidRDefault="009C4196">
            <w:pPr>
              <w:textAlignment w:val="bottom"/>
            </w:pPr>
            <w:hyperlink r:id="rId43" w:anchor="ieb971428a625452486c65ae24899afca_13" w:history="1">
              <w:r>
                <w:rPr>
                  <w:rStyle w:val="a5"/>
                  <w:rFonts w:ascii="Arial" w:eastAsia="宋体" w:hAnsi="Arial" w:cs="Arial"/>
                  <w:sz w:val="20"/>
                  <w:szCs w:val="20"/>
                </w:rPr>
                <w:t>Condensed Consolidated Balance Sheet as of June 30, 2022 and December 31, 2021</w:t>
              </w:r>
            </w:hyperlink>
          </w:p>
        </w:tc>
        <w:tc>
          <w:tcPr>
            <w:tcW w:w="0" w:type="auto"/>
            <w:gridSpan w:val="3"/>
            <w:shd w:val="clear" w:color="auto" w:fill="auto"/>
            <w:tcMar>
              <w:top w:w="40" w:type="dxa"/>
              <w:left w:w="20" w:type="dxa"/>
              <w:bottom w:w="40" w:type="dxa"/>
              <w:right w:w="20" w:type="dxa"/>
            </w:tcMar>
            <w:vAlign w:val="bottom"/>
          </w:tcPr>
          <w:p w14:paraId="185FF208" w14:textId="77777777" w:rsidR="00A91885" w:rsidRDefault="009C4196">
            <w:pPr>
              <w:jc w:val="center"/>
              <w:textAlignment w:val="bottom"/>
            </w:pPr>
            <w:hyperlink r:id="rId44" w:anchor="ieb971428a625452486c65ae24899afca_13" w:history="1">
              <w:r>
                <w:rPr>
                  <w:rStyle w:val="a5"/>
                  <w:rFonts w:ascii="Arial" w:eastAsia="宋体" w:hAnsi="Arial" w:cs="Arial"/>
                  <w:sz w:val="20"/>
                  <w:szCs w:val="20"/>
                </w:rPr>
                <w:t>4</w:t>
              </w:r>
            </w:hyperlink>
          </w:p>
        </w:tc>
      </w:tr>
      <w:tr w:rsidR="00A91885" w14:paraId="185FF20C" w14:textId="77777777">
        <w:tc>
          <w:tcPr>
            <w:tcW w:w="0" w:type="auto"/>
            <w:gridSpan w:val="3"/>
            <w:shd w:val="clear" w:color="auto" w:fill="auto"/>
            <w:tcMar>
              <w:top w:w="40" w:type="dxa"/>
              <w:left w:w="20" w:type="dxa"/>
              <w:bottom w:w="40" w:type="dxa"/>
              <w:right w:w="20" w:type="dxa"/>
            </w:tcMar>
            <w:vAlign w:val="bottom"/>
          </w:tcPr>
          <w:p w14:paraId="185FF20A" w14:textId="77777777" w:rsidR="00A91885" w:rsidRDefault="009C4196">
            <w:pPr>
              <w:textAlignment w:val="bottom"/>
            </w:pPr>
            <w:hyperlink r:id="rId45" w:anchor="ieb971428a625452486c65ae24899afca_16" w:history="1">
              <w:r>
                <w:rPr>
                  <w:rStyle w:val="a5"/>
                  <w:rFonts w:ascii="Arial" w:eastAsia="宋体" w:hAnsi="Arial" w:cs="Arial"/>
                  <w:sz w:val="20"/>
                  <w:szCs w:val="20"/>
                </w:rPr>
                <w:t>Condensed Consolidated Statement of Income for the three and six months ended June 30, 2022 and 2021</w:t>
              </w:r>
            </w:hyperlink>
          </w:p>
        </w:tc>
        <w:tc>
          <w:tcPr>
            <w:tcW w:w="0" w:type="auto"/>
            <w:gridSpan w:val="3"/>
            <w:shd w:val="clear" w:color="auto" w:fill="auto"/>
            <w:tcMar>
              <w:top w:w="40" w:type="dxa"/>
              <w:left w:w="20" w:type="dxa"/>
              <w:bottom w:w="40" w:type="dxa"/>
              <w:right w:w="20" w:type="dxa"/>
            </w:tcMar>
            <w:vAlign w:val="bottom"/>
          </w:tcPr>
          <w:p w14:paraId="185FF20B" w14:textId="77777777" w:rsidR="00A91885" w:rsidRDefault="009C4196">
            <w:pPr>
              <w:jc w:val="center"/>
              <w:textAlignment w:val="bottom"/>
            </w:pPr>
            <w:hyperlink r:id="rId46" w:anchor="ieb971428a625452486c65ae24899afca_16" w:history="1">
              <w:r>
                <w:rPr>
                  <w:rStyle w:val="a5"/>
                  <w:rFonts w:ascii="Arial" w:eastAsia="宋体" w:hAnsi="Arial" w:cs="Arial"/>
                  <w:sz w:val="20"/>
                  <w:szCs w:val="20"/>
                </w:rPr>
                <w:t>5</w:t>
              </w:r>
            </w:hyperlink>
          </w:p>
        </w:tc>
      </w:tr>
      <w:tr w:rsidR="00A91885" w14:paraId="185FF20F" w14:textId="77777777">
        <w:tc>
          <w:tcPr>
            <w:tcW w:w="0" w:type="auto"/>
            <w:gridSpan w:val="3"/>
            <w:shd w:val="clear" w:color="auto" w:fill="auto"/>
            <w:tcMar>
              <w:top w:w="40" w:type="dxa"/>
              <w:left w:w="20" w:type="dxa"/>
              <w:bottom w:w="40" w:type="dxa"/>
              <w:right w:w="20" w:type="dxa"/>
            </w:tcMar>
            <w:vAlign w:val="bottom"/>
          </w:tcPr>
          <w:p w14:paraId="185FF20D" w14:textId="77777777" w:rsidR="00A91885" w:rsidRDefault="009C4196">
            <w:pPr>
              <w:textAlignment w:val="bottom"/>
            </w:pPr>
            <w:hyperlink r:id="rId47" w:anchor="ieb971428a625452486c65ae24899afca_19" w:history="1">
              <w:r>
                <w:rPr>
                  <w:rStyle w:val="a5"/>
                  <w:rFonts w:ascii="Arial" w:eastAsia="宋体" w:hAnsi="Arial" w:cs="Arial"/>
                  <w:sz w:val="20"/>
                  <w:szCs w:val="20"/>
                </w:rPr>
                <w:t>Condensed Consolidated Statement of Comprehensive Income (Loss) for the</w:t>
              </w:r>
              <w:r>
                <w:rPr>
                  <w:rStyle w:val="a5"/>
                  <w:rFonts w:ascii="Arial" w:eastAsia="宋体" w:hAnsi="Arial" w:cs="Arial"/>
                  <w:sz w:val="20"/>
                  <w:szCs w:val="20"/>
                </w:rPr>
                <w:t xml:space="preserve"> three and six months ended June 30, 2022 and 2021</w:t>
              </w:r>
            </w:hyperlink>
          </w:p>
        </w:tc>
        <w:tc>
          <w:tcPr>
            <w:tcW w:w="0" w:type="auto"/>
            <w:gridSpan w:val="3"/>
            <w:shd w:val="clear" w:color="auto" w:fill="auto"/>
            <w:tcMar>
              <w:top w:w="40" w:type="dxa"/>
              <w:left w:w="20" w:type="dxa"/>
              <w:bottom w:w="40" w:type="dxa"/>
              <w:right w:w="20" w:type="dxa"/>
            </w:tcMar>
            <w:vAlign w:val="bottom"/>
          </w:tcPr>
          <w:p w14:paraId="185FF20E" w14:textId="77777777" w:rsidR="00A91885" w:rsidRDefault="009C4196">
            <w:pPr>
              <w:jc w:val="center"/>
              <w:textAlignment w:val="bottom"/>
            </w:pPr>
            <w:hyperlink r:id="rId48" w:anchor="ieb971428a625452486c65ae24899afca_19" w:history="1">
              <w:r>
                <w:rPr>
                  <w:rStyle w:val="a5"/>
                  <w:rFonts w:ascii="Arial" w:eastAsia="宋体" w:hAnsi="Arial" w:cs="Arial"/>
                  <w:sz w:val="20"/>
                  <w:szCs w:val="20"/>
                </w:rPr>
                <w:t>6</w:t>
              </w:r>
            </w:hyperlink>
          </w:p>
        </w:tc>
      </w:tr>
      <w:tr w:rsidR="00A91885" w14:paraId="185FF212" w14:textId="77777777">
        <w:tc>
          <w:tcPr>
            <w:tcW w:w="0" w:type="auto"/>
            <w:gridSpan w:val="3"/>
            <w:shd w:val="clear" w:color="auto" w:fill="auto"/>
            <w:tcMar>
              <w:top w:w="40" w:type="dxa"/>
              <w:left w:w="20" w:type="dxa"/>
              <w:bottom w:w="40" w:type="dxa"/>
              <w:right w:w="20" w:type="dxa"/>
            </w:tcMar>
            <w:vAlign w:val="bottom"/>
          </w:tcPr>
          <w:p w14:paraId="185FF210" w14:textId="77777777" w:rsidR="00A91885" w:rsidRDefault="009C4196">
            <w:pPr>
              <w:textAlignment w:val="bottom"/>
            </w:pPr>
            <w:hyperlink r:id="rId49" w:anchor="ieb971428a625452486c65ae24899afca_22" w:history="1">
              <w:r>
                <w:rPr>
                  <w:rStyle w:val="a5"/>
                  <w:rFonts w:ascii="Arial" w:eastAsia="宋体" w:hAnsi="Arial" w:cs="Arial"/>
                  <w:sz w:val="20"/>
                  <w:szCs w:val="20"/>
                </w:rPr>
                <w:t>Condensed Consolidated Statement of Stockholders’ Equity for the three and six months ended June 30, 2022 and 2021</w:t>
              </w:r>
            </w:hyperlink>
          </w:p>
        </w:tc>
        <w:tc>
          <w:tcPr>
            <w:tcW w:w="0" w:type="auto"/>
            <w:gridSpan w:val="3"/>
            <w:shd w:val="clear" w:color="auto" w:fill="auto"/>
            <w:tcMar>
              <w:top w:w="40" w:type="dxa"/>
              <w:left w:w="20" w:type="dxa"/>
              <w:bottom w:w="40" w:type="dxa"/>
              <w:right w:w="20" w:type="dxa"/>
            </w:tcMar>
            <w:vAlign w:val="bottom"/>
          </w:tcPr>
          <w:p w14:paraId="185FF211" w14:textId="77777777" w:rsidR="00A91885" w:rsidRDefault="009C4196">
            <w:pPr>
              <w:jc w:val="center"/>
              <w:textAlignment w:val="bottom"/>
            </w:pPr>
            <w:hyperlink r:id="rId50" w:anchor="ieb971428a625452486c65ae24899afca_22" w:history="1">
              <w:r>
                <w:rPr>
                  <w:rStyle w:val="a5"/>
                  <w:rFonts w:ascii="Arial" w:eastAsia="宋体" w:hAnsi="Arial" w:cs="Arial"/>
                  <w:sz w:val="20"/>
                  <w:szCs w:val="20"/>
                </w:rPr>
                <w:t>7</w:t>
              </w:r>
            </w:hyperlink>
          </w:p>
        </w:tc>
      </w:tr>
      <w:tr w:rsidR="00A91885" w14:paraId="185FF215" w14:textId="77777777">
        <w:tc>
          <w:tcPr>
            <w:tcW w:w="0" w:type="auto"/>
            <w:gridSpan w:val="3"/>
            <w:shd w:val="clear" w:color="auto" w:fill="auto"/>
            <w:tcMar>
              <w:top w:w="40" w:type="dxa"/>
              <w:left w:w="20" w:type="dxa"/>
              <w:bottom w:w="40" w:type="dxa"/>
              <w:right w:w="20" w:type="dxa"/>
            </w:tcMar>
            <w:vAlign w:val="bottom"/>
          </w:tcPr>
          <w:p w14:paraId="185FF213" w14:textId="77777777" w:rsidR="00A91885" w:rsidRDefault="009C4196">
            <w:pPr>
              <w:textAlignment w:val="bottom"/>
            </w:pPr>
            <w:hyperlink r:id="rId51" w:anchor="ieb971428a625452486c65ae24899afca_25" w:history="1">
              <w:r>
                <w:rPr>
                  <w:rStyle w:val="a5"/>
                  <w:rFonts w:ascii="Arial" w:eastAsia="宋体" w:hAnsi="Arial" w:cs="Arial"/>
                  <w:sz w:val="20"/>
                  <w:szCs w:val="20"/>
                </w:rPr>
                <w:t>Condensed Consolidated Statement of Cash Flows for the six months ended June 30, 2022 and 2021</w:t>
              </w:r>
            </w:hyperlink>
          </w:p>
        </w:tc>
        <w:tc>
          <w:tcPr>
            <w:tcW w:w="0" w:type="auto"/>
            <w:gridSpan w:val="3"/>
            <w:shd w:val="clear" w:color="auto" w:fill="auto"/>
            <w:tcMar>
              <w:top w:w="40" w:type="dxa"/>
              <w:left w:w="20" w:type="dxa"/>
              <w:bottom w:w="40" w:type="dxa"/>
              <w:right w:w="20" w:type="dxa"/>
            </w:tcMar>
            <w:vAlign w:val="bottom"/>
          </w:tcPr>
          <w:p w14:paraId="185FF214" w14:textId="77777777" w:rsidR="00A91885" w:rsidRDefault="009C4196">
            <w:pPr>
              <w:jc w:val="center"/>
              <w:textAlignment w:val="bottom"/>
            </w:pPr>
            <w:hyperlink r:id="rId52" w:anchor="ieb971428a625452486c65ae24899afca_25" w:history="1">
              <w:r>
                <w:rPr>
                  <w:rStyle w:val="a5"/>
                  <w:rFonts w:ascii="Arial" w:eastAsia="宋体" w:hAnsi="Arial" w:cs="Arial"/>
                  <w:sz w:val="20"/>
                  <w:szCs w:val="20"/>
                </w:rPr>
                <w:t>8</w:t>
              </w:r>
            </w:hyperlink>
          </w:p>
        </w:tc>
      </w:tr>
      <w:tr w:rsidR="00A91885" w14:paraId="185FF218" w14:textId="77777777">
        <w:tc>
          <w:tcPr>
            <w:tcW w:w="0" w:type="auto"/>
            <w:gridSpan w:val="3"/>
            <w:shd w:val="clear" w:color="auto" w:fill="auto"/>
            <w:tcMar>
              <w:top w:w="40" w:type="dxa"/>
              <w:left w:w="20" w:type="dxa"/>
              <w:bottom w:w="40" w:type="dxa"/>
              <w:right w:w="20" w:type="dxa"/>
            </w:tcMar>
            <w:vAlign w:val="bottom"/>
          </w:tcPr>
          <w:p w14:paraId="185FF216" w14:textId="77777777" w:rsidR="00A91885" w:rsidRDefault="009C4196">
            <w:pPr>
              <w:textAlignment w:val="bottom"/>
            </w:pPr>
            <w:hyperlink r:id="rId53" w:anchor="ieb971428a625452486c65ae24899afca_28" w:history="1">
              <w:r>
                <w:rPr>
                  <w:rStyle w:val="a5"/>
                  <w:rFonts w:ascii="Arial" w:eastAsia="宋体" w:hAnsi="Arial" w:cs="Arial"/>
                  <w:sz w:val="20"/>
                  <w:szCs w:val="20"/>
                </w:rPr>
                <w:t>Notes to Condensed Consolidated Financial Statements</w:t>
              </w:r>
            </w:hyperlink>
          </w:p>
        </w:tc>
        <w:tc>
          <w:tcPr>
            <w:tcW w:w="0" w:type="auto"/>
            <w:gridSpan w:val="3"/>
            <w:shd w:val="clear" w:color="auto" w:fill="auto"/>
            <w:tcMar>
              <w:top w:w="40" w:type="dxa"/>
              <w:left w:w="20" w:type="dxa"/>
              <w:bottom w:w="40" w:type="dxa"/>
              <w:right w:w="20" w:type="dxa"/>
            </w:tcMar>
            <w:vAlign w:val="bottom"/>
          </w:tcPr>
          <w:p w14:paraId="185FF217" w14:textId="77777777" w:rsidR="00A91885" w:rsidRDefault="009C4196">
            <w:pPr>
              <w:jc w:val="center"/>
              <w:textAlignment w:val="bottom"/>
            </w:pPr>
            <w:hyperlink r:id="rId54" w:anchor="ieb971428a625452486c65ae24899afca_28" w:history="1">
              <w:r>
                <w:rPr>
                  <w:rStyle w:val="a5"/>
                  <w:rFonts w:ascii="Arial" w:eastAsia="宋体" w:hAnsi="Arial" w:cs="Arial"/>
                  <w:sz w:val="20"/>
                  <w:szCs w:val="20"/>
                </w:rPr>
                <w:t>10</w:t>
              </w:r>
            </w:hyperlink>
          </w:p>
        </w:tc>
      </w:tr>
      <w:tr w:rsidR="00A91885" w14:paraId="185FF21B" w14:textId="77777777">
        <w:tc>
          <w:tcPr>
            <w:tcW w:w="0" w:type="auto"/>
            <w:gridSpan w:val="3"/>
            <w:shd w:val="clear" w:color="auto" w:fill="auto"/>
            <w:tcMar>
              <w:top w:w="40" w:type="dxa"/>
              <w:left w:w="20" w:type="dxa"/>
              <w:bottom w:w="40" w:type="dxa"/>
              <w:right w:w="20" w:type="dxa"/>
            </w:tcMar>
            <w:vAlign w:val="bottom"/>
          </w:tcPr>
          <w:p w14:paraId="185FF219" w14:textId="77777777" w:rsidR="00A91885" w:rsidRDefault="009C4196">
            <w:pPr>
              <w:textAlignment w:val="bottom"/>
            </w:pPr>
            <w:hyperlink r:id="rId55" w:anchor="ieb971428a625452486c65ae24899afca_31" w:history="1">
              <w:r>
                <w:rPr>
                  <w:rStyle w:val="a5"/>
                  <w:rFonts w:ascii="Arial" w:eastAsia="宋体" w:hAnsi="Arial" w:cs="Arial"/>
                  <w:sz w:val="20"/>
                  <w:szCs w:val="20"/>
                </w:rPr>
                <w:t>Note 1 — The Company and Summary of Significant Accounting Policies</w:t>
              </w:r>
            </w:hyperlink>
          </w:p>
        </w:tc>
        <w:tc>
          <w:tcPr>
            <w:tcW w:w="0" w:type="auto"/>
            <w:gridSpan w:val="3"/>
            <w:shd w:val="clear" w:color="auto" w:fill="auto"/>
            <w:tcMar>
              <w:top w:w="40" w:type="dxa"/>
              <w:left w:w="20" w:type="dxa"/>
              <w:bottom w:w="40" w:type="dxa"/>
              <w:right w:w="20" w:type="dxa"/>
            </w:tcMar>
            <w:vAlign w:val="bottom"/>
          </w:tcPr>
          <w:p w14:paraId="185FF21A" w14:textId="77777777" w:rsidR="00A91885" w:rsidRDefault="009C4196">
            <w:pPr>
              <w:jc w:val="center"/>
              <w:textAlignment w:val="bottom"/>
            </w:pPr>
            <w:hyperlink r:id="rId56" w:anchor="ieb971428a625452486c65ae24899afca_31" w:history="1">
              <w:r>
                <w:rPr>
                  <w:rStyle w:val="a5"/>
                  <w:rFonts w:ascii="Arial" w:eastAsia="宋体" w:hAnsi="Arial" w:cs="Arial"/>
                  <w:sz w:val="20"/>
                  <w:szCs w:val="20"/>
                </w:rPr>
                <w:t>10</w:t>
              </w:r>
            </w:hyperlink>
          </w:p>
        </w:tc>
      </w:tr>
      <w:tr w:rsidR="00A91885" w14:paraId="185FF21E" w14:textId="77777777">
        <w:tc>
          <w:tcPr>
            <w:tcW w:w="0" w:type="auto"/>
            <w:gridSpan w:val="3"/>
            <w:shd w:val="clear" w:color="auto" w:fill="auto"/>
            <w:tcMar>
              <w:top w:w="40" w:type="dxa"/>
              <w:left w:w="20" w:type="dxa"/>
              <w:bottom w:w="40" w:type="dxa"/>
              <w:right w:w="20" w:type="dxa"/>
            </w:tcMar>
            <w:vAlign w:val="bottom"/>
          </w:tcPr>
          <w:p w14:paraId="185FF21C" w14:textId="77777777" w:rsidR="00A91885" w:rsidRDefault="009C4196">
            <w:pPr>
              <w:textAlignment w:val="bottom"/>
            </w:pPr>
            <w:hyperlink r:id="rId57" w:anchor="ieb971428a625452486c65ae24899afca_34" w:history="1">
              <w:r>
                <w:rPr>
                  <w:rStyle w:val="a5"/>
                  <w:rFonts w:ascii="Arial" w:eastAsia="宋体" w:hAnsi="Arial" w:cs="Arial"/>
                  <w:sz w:val="20"/>
                  <w:szCs w:val="20"/>
                </w:rPr>
                <w:t>Note 2 — Net Income (Loss) Per Share</w:t>
              </w:r>
            </w:hyperlink>
          </w:p>
        </w:tc>
        <w:tc>
          <w:tcPr>
            <w:tcW w:w="0" w:type="auto"/>
            <w:gridSpan w:val="3"/>
            <w:shd w:val="clear" w:color="auto" w:fill="auto"/>
            <w:tcMar>
              <w:top w:w="40" w:type="dxa"/>
              <w:left w:w="20" w:type="dxa"/>
              <w:bottom w:w="40" w:type="dxa"/>
              <w:right w:w="20" w:type="dxa"/>
            </w:tcMar>
            <w:vAlign w:val="bottom"/>
          </w:tcPr>
          <w:p w14:paraId="185FF21D" w14:textId="77777777" w:rsidR="00A91885" w:rsidRDefault="009C4196">
            <w:pPr>
              <w:jc w:val="center"/>
              <w:textAlignment w:val="bottom"/>
            </w:pPr>
            <w:hyperlink r:id="rId58" w:anchor="ieb971428a625452486c65ae24899afca_34" w:history="1">
              <w:r>
                <w:rPr>
                  <w:rStyle w:val="a5"/>
                  <w:rFonts w:ascii="Arial" w:eastAsia="宋体" w:hAnsi="Arial" w:cs="Arial"/>
                  <w:sz w:val="20"/>
                  <w:szCs w:val="20"/>
                </w:rPr>
                <w:t>12</w:t>
              </w:r>
            </w:hyperlink>
          </w:p>
        </w:tc>
      </w:tr>
      <w:tr w:rsidR="00A91885" w14:paraId="185FF221" w14:textId="77777777">
        <w:tc>
          <w:tcPr>
            <w:tcW w:w="0" w:type="auto"/>
            <w:gridSpan w:val="3"/>
            <w:shd w:val="clear" w:color="auto" w:fill="auto"/>
            <w:tcMar>
              <w:top w:w="40" w:type="dxa"/>
              <w:left w:w="20" w:type="dxa"/>
              <w:bottom w:w="40" w:type="dxa"/>
              <w:right w:w="20" w:type="dxa"/>
            </w:tcMar>
            <w:vAlign w:val="bottom"/>
          </w:tcPr>
          <w:p w14:paraId="185FF21F" w14:textId="77777777" w:rsidR="00A91885" w:rsidRDefault="009C4196">
            <w:pPr>
              <w:textAlignment w:val="bottom"/>
            </w:pPr>
            <w:hyperlink r:id="rId59" w:anchor="ieb971428a625452486c65ae24899afca_37" w:history="1">
              <w:r>
                <w:rPr>
                  <w:rStyle w:val="a5"/>
                  <w:rFonts w:ascii="Arial" w:eastAsia="宋体" w:hAnsi="Arial" w:cs="Arial"/>
                  <w:sz w:val="20"/>
                  <w:szCs w:val="20"/>
                </w:rPr>
                <w:t>Note 3 — Discontinued Operations</w:t>
              </w:r>
            </w:hyperlink>
          </w:p>
        </w:tc>
        <w:tc>
          <w:tcPr>
            <w:tcW w:w="0" w:type="auto"/>
            <w:gridSpan w:val="3"/>
            <w:shd w:val="clear" w:color="auto" w:fill="auto"/>
            <w:tcMar>
              <w:top w:w="40" w:type="dxa"/>
              <w:left w:w="20" w:type="dxa"/>
              <w:bottom w:w="40" w:type="dxa"/>
              <w:right w:w="20" w:type="dxa"/>
            </w:tcMar>
            <w:vAlign w:val="bottom"/>
          </w:tcPr>
          <w:p w14:paraId="185FF220" w14:textId="77777777" w:rsidR="00A91885" w:rsidRDefault="009C4196">
            <w:pPr>
              <w:jc w:val="center"/>
              <w:textAlignment w:val="bottom"/>
            </w:pPr>
            <w:hyperlink r:id="rId60" w:anchor="ieb971428a625452486c65ae24899afca_37" w:history="1">
              <w:r>
                <w:rPr>
                  <w:rStyle w:val="a5"/>
                  <w:rFonts w:ascii="Arial" w:eastAsia="宋体" w:hAnsi="Arial" w:cs="Arial"/>
                  <w:sz w:val="20"/>
                  <w:szCs w:val="20"/>
                </w:rPr>
                <w:t>13</w:t>
              </w:r>
            </w:hyperlink>
          </w:p>
        </w:tc>
      </w:tr>
      <w:tr w:rsidR="00A91885" w14:paraId="185FF224" w14:textId="77777777">
        <w:tc>
          <w:tcPr>
            <w:tcW w:w="0" w:type="auto"/>
            <w:gridSpan w:val="3"/>
            <w:shd w:val="clear" w:color="auto" w:fill="auto"/>
            <w:tcMar>
              <w:top w:w="40" w:type="dxa"/>
              <w:left w:w="20" w:type="dxa"/>
              <w:bottom w:w="40" w:type="dxa"/>
              <w:right w:w="20" w:type="dxa"/>
            </w:tcMar>
            <w:vAlign w:val="bottom"/>
          </w:tcPr>
          <w:p w14:paraId="185FF222" w14:textId="77777777" w:rsidR="00A91885" w:rsidRDefault="009C4196">
            <w:pPr>
              <w:textAlignment w:val="bottom"/>
            </w:pPr>
            <w:hyperlink r:id="rId61" w:anchor="ieb971428a625452486c65ae24899afca_40" w:history="1">
              <w:r>
                <w:rPr>
                  <w:rStyle w:val="a5"/>
                  <w:rFonts w:ascii="Arial" w:eastAsia="宋体" w:hAnsi="Arial" w:cs="Arial"/>
                  <w:sz w:val="20"/>
                  <w:szCs w:val="20"/>
                </w:rPr>
                <w:t>Note 4 — Goodwill</w:t>
              </w:r>
            </w:hyperlink>
            <w:hyperlink r:id="rId62" w:anchor="ieb971428a625452486c65ae24899afca_40" w:history="1">
              <w:r>
                <w:rPr>
                  <w:rStyle w:val="a5"/>
                  <w:rFonts w:ascii="Arial" w:eastAsia="宋体" w:hAnsi="Arial" w:cs="Arial"/>
                  <w:sz w:val="20"/>
                  <w:szCs w:val="20"/>
                </w:rPr>
                <w:t xml:space="preserve"> and Int</w:t>
              </w:r>
            </w:hyperlink>
            <w:hyperlink r:id="rId63" w:anchor="ieb971428a625452486c65ae24899afca_40" w:history="1">
              <w:r>
                <w:rPr>
                  <w:rStyle w:val="a5"/>
                  <w:rFonts w:ascii="Arial" w:eastAsia="宋体" w:hAnsi="Arial" w:cs="Arial"/>
                  <w:sz w:val="20"/>
                  <w:szCs w:val="20"/>
                </w:rPr>
                <w:t>angible Assets</w:t>
              </w:r>
            </w:hyperlink>
          </w:p>
        </w:tc>
        <w:tc>
          <w:tcPr>
            <w:tcW w:w="0" w:type="auto"/>
            <w:gridSpan w:val="3"/>
            <w:shd w:val="clear" w:color="auto" w:fill="auto"/>
            <w:tcMar>
              <w:top w:w="40" w:type="dxa"/>
              <w:left w:w="20" w:type="dxa"/>
              <w:bottom w:w="40" w:type="dxa"/>
              <w:right w:w="20" w:type="dxa"/>
            </w:tcMar>
            <w:vAlign w:val="bottom"/>
          </w:tcPr>
          <w:p w14:paraId="185FF223" w14:textId="77777777" w:rsidR="00A91885" w:rsidRDefault="009C4196">
            <w:pPr>
              <w:jc w:val="center"/>
              <w:textAlignment w:val="bottom"/>
            </w:pPr>
            <w:hyperlink r:id="rId64" w:anchor="ieb971428a625452486c65ae24899afca_40" w:history="1">
              <w:r>
                <w:rPr>
                  <w:rStyle w:val="a5"/>
                  <w:rFonts w:ascii="Arial" w:eastAsia="宋体" w:hAnsi="Arial" w:cs="Arial"/>
                  <w:sz w:val="20"/>
                  <w:szCs w:val="20"/>
                </w:rPr>
                <w:t>16</w:t>
              </w:r>
            </w:hyperlink>
          </w:p>
        </w:tc>
      </w:tr>
      <w:tr w:rsidR="00A91885" w14:paraId="185FF227" w14:textId="77777777">
        <w:tc>
          <w:tcPr>
            <w:tcW w:w="0" w:type="auto"/>
            <w:gridSpan w:val="3"/>
            <w:shd w:val="clear" w:color="auto" w:fill="auto"/>
            <w:tcMar>
              <w:top w:w="40" w:type="dxa"/>
              <w:left w:w="20" w:type="dxa"/>
              <w:bottom w:w="40" w:type="dxa"/>
              <w:right w:w="20" w:type="dxa"/>
            </w:tcMar>
            <w:vAlign w:val="bottom"/>
          </w:tcPr>
          <w:p w14:paraId="185FF225" w14:textId="77777777" w:rsidR="00A91885" w:rsidRDefault="009C4196">
            <w:pPr>
              <w:textAlignment w:val="bottom"/>
            </w:pPr>
            <w:hyperlink r:id="rId65" w:anchor="ieb971428a625452486c65ae24899afca_46" w:history="1">
              <w:r>
                <w:rPr>
                  <w:rStyle w:val="a5"/>
                  <w:rFonts w:ascii="Arial" w:eastAsia="宋体" w:hAnsi="Arial" w:cs="Arial"/>
                  <w:sz w:val="20"/>
                  <w:szCs w:val="20"/>
                </w:rPr>
                <w:t>Note 5 — Segments</w:t>
              </w:r>
            </w:hyperlink>
          </w:p>
        </w:tc>
        <w:tc>
          <w:tcPr>
            <w:tcW w:w="0" w:type="auto"/>
            <w:gridSpan w:val="3"/>
            <w:shd w:val="clear" w:color="auto" w:fill="auto"/>
            <w:tcMar>
              <w:top w:w="40" w:type="dxa"/>
              <w:left w:w="20" w:type="dxa"/>
              <w:bottom w:w="40" w:type="dxa"/>
              <w:right w:w="20" w:type="dxa"/>
            </w:tcMar>
            <w:vAlign w:val="bottom"/>
          </w:tcPr>
          <w:p w14:paraId="185FF226" w14:textId="77777777" w:rsidR="00A91885" w:rsidRDefault="009C4196">
            <w:pPr>
              <w:jc w:val="center"/>
              <w:textAlignment w:val="bottom"/>
            </w:pPr>
            <w:hyperlink r:id="rId66" w:anchor="ieb971428a625452486c65ae24899afca_46" w:history="1">
              <w:r>
                <w:rPr>
                  <w:rStyle w:val="a5"/>
                  <w:rFonts w:ascii="Arial" w:eastAsia="宋体" w:hAnsi="Arial" w:cs="Arial"/>
                  <w:sz w:val="20"/>
                  <w:szCs w:val="20"/>
                </w:rPr>
                <w:t>17</w:t>
              </w:r>
            </w:hyperlink>
          </w:p>
        </w:tc>
      </w:tr>
      <w:tr w:rsidR="00A91885" w14:paraId="185FF22A" w14:textId="77777777">
        <w:tc>
          <w:tcPr>
            <w:tcW w:w="0" w:type="auto"/>
            <w:gridSpan w:val="3"/>
            <w:shd w:val="clear" w:color="auto" w:fill="auto"/>
            <w:tcMar>
              <w:top w:w="40" w:type="dxa"/>
              <w:left w:w="20" w:type="dxa"/>
              <w:bottom w:w="40" w:type="dxa"/>
              <w:right w:w="20" w:type="dxa"/>
            </w:tcMar>
            <w:vAlign w:val="bottom"/>
          </w:tcPr>
          <w:p w14:paraId="185FF228" w14:textId="77777777" w:rsidR="00A91885" w:rsidRDefault="009C4196">
            <w:pPr>
              <w:textAlignment w:val="bottom"/>
            </w:pPr>
            <w:hyperlink r:id="rId67" w:anchor="ieb971428a625452486c65ae24899afca_49" w:history="1">
              <w:r>
                <w:rPr>
                  <w:rStyle w:val="a5"/>
                  <w:rFonts w:ascii="Arial" w:eastAsia="宋体" w:hAnsi="Arial" w:cs="Arial"/>
                  <w:sz w:val="20"/>
                  <w:szCs w:val="20"/>
                </w:rPr>
                <w:t>Note 6 — Investments</w:t>
              </w:r>
            </w:hyperlink>
          </w:p>
        </w:tc>
        <w:tc>
          <w:tcPr>
            <w:tcW w:w="0" w:type="auto"/>
            <w:gridSpan w:val="3"/>
            <w:shd w:val="clear" w:color="auto" w:fill="auto"/>
            <w:tcMar>
              <w:top w:w="40" w:type="dxa"/>
              <w:left w:w="20" w:type="dxa"/>
              <w:bottom w:w="40" w:type="dxa"/>
              <w:right w:w="20" w:type="dxa"/>
            </w:tcMar>
            <w:vAlign w:val="bottom"/>
          </w:tcPr>
          <w:p w14:paraId="185FF229" w14:textId="77777777" w:rsidR="00A91885" w:rsidRDefault="009C4196">
            <w:pPr>
              <w:jc w:val="center"/>
              <w:textAlignment w:val="bottom"/>
            </w:pPr>
            <w:hyperlink r:id="rId68" w:anchor="ieb971428a625452486c65ae24899afca_49" w:history="1">
              <w:r>
                <w:rPr>
                  <w:rStyle w:val="a5"/>
                  <w:rFonts w:ascii="Arial" w:eastAsia="宋体" w:hAnsi="Arial" w:cs="Arial"/>
                  <w:sz w:val="20"/>
                  <w:szCs w:val="20"/>
                </w:rPr>
                <w:t>18</w:t>
              </w:r>
            </w:hyperlink>
          </w:p>
        </w:tc>
      </w:tr>
      <w:tr w:rsidR="00A91885" w14:paraId="185FF22D" w14:textId="77777777">
        <w:tc>
          <w:tcPr>
            <w:tcW w:w="0" w:type="auto"/>
            <w:gridSpan w:val="3"/>
            <w:shd w:val="clear" w:color="auto" w:fill="auto"/>
            <w:tcMar>
              <w:top w:w="40" w:type="dxa"/>
              <w:left w:w="20" w:type="dxa"/>
              <w:bottom w:w="40" w:type="dxa"/>
              <w:right w:w="20" w:type="dxa"/>
            </w:tcMar>
            <w:vAlign w:val="bottom"/>
          </w:tcPr>
          <w:p w14:paraId="185FF22B" w14:textId="77777777" w:rsidR="00A91885" w:rsidRDefault="009C4196">
            <w:pPr>
              <w:textAlignment w:val="bottom"/>
            </w:pPr>
            <w:hyperlink r:id="rId69" w:anchor="ieb971428a625452486c65ae24899afca_55" w:history="1">
              <w:r>
                <w:rPr>
                  <w:rStyle w:val="a5"/>
                  <w:rFonts w:ascii="Arial" w:eastAsia="宋体" w:hAnsi="Arial" w:cs="Arial"/>
                  <w:sz w:val="20"/>
                  <w:szCs w:val="20"/>
                </w:rPr>
                <w:t>Note 7 — Derivative Instruments</w:t>
              </w:r>
            </w:hyperlink>
          </w:p>
        </w:tc>
        <w:tc>
          <w:tcPr>
            <w:tcW w:w="0" w:type="auto"/>
            <w:gridSpan w:val="3"/>
            <w:shd w:val="clear" w:color="auto" w:fill="auto"/>
            <w:tcMar>
              <w:top w:w="40" w:type="dxa"/>
              <w:left w:w="20" w:type="dxa"/>
              <w:bottom w:w="40" w:type="dxa"/>
              <w:right w:w="20" w:type="dxa"/>
            </w:tcMar>
            <w:vAlign w:val="bottom"/>
          </w:tcPr>
          <w:p w14:paraId="185FF22C" w14:textId="77777777" w:rsidR="00A91885" w:rsidRDefault="009C4196">
            <w:pPr>
              <w:jc w:val="center"/>
              <w:textAlignment w:val="bottom"/>
            </w:pPr>
            <w:hyperlink r:id="rId70" w:anchor="ieb971428a625452486c65ae24899afca_55" w:history="1">
              <w:r>
                <w:rPr>
                  <w:rStyle w:val="a5"/>
                  <w:rFonts w:ascii="Arial" w:eastAsia="宋体" w:hAnsi="Arial" w:cs="Arial"/>
                  <w:sz w:val="20"/>
                  <w:szCs w:val="20"/>
                </w:rPr>
                <w:t>23</w:t>
              </w:r>
            </w:hyperlink>
          </w:p>
        </w:tc>
      </w:tr>
      <w:tr w:rsidR="00A91885" w14:paraId="185FF230" w14:textId="77777777">
        <w:tc>
          <w:tcPr>
            <w:tcW w:w="0" w:type="auto"/>
            <w:gridSpan w:val="3"/>
            <w:shd w:val="clear" w:color="auto" w:fill="auto"/>
            <w:tcMar>
              <w:top w:w="40" w:type="dxa"/>
              <w:left w:w="20" w:type="dxa"/>
              <w:bottom w:w="40" w:type="dxa"/>
              <w:right w:w="20" w:type="dxa"/>
            </w:tcMar>
            <w:vAlign w:val="bottom"/>
          </w:tcPr>
          <w:p w14:paraId="185FF22E" w14:textId="77777777" w:rsidR="00A91885" w:rsidRDefault="009C4196">
            <w:pPr>
              <w:textAlignment w:val="bottom"/>
            </w:pPr>
            <w:hyperlink r:id="rId71" w:anchor="ieb971428a625452486c65ae24899afca_58" w:history="1">
              <w:r>
                <w:rPr>
                  <w:rStyle w:val="a5"/>
                  <w:rFonts w:ascii="Arial" w:eastAsia="宋体" w:hAnsi="Arial" w:cs="Arial"/>
                  <w:sz w:val="20"/>
                  <w:szCs w:val="20"/>
                </w:rPr>
                <w:t>Note 8 — Fair Value Measurement of Assets and Liabilities</w:t>
              </w:r>
            </w:hyperlink>
          </w:p>
        </w:tc>
        <w:tc>
          <w:tcPr>
            <w:tcW w:w="0" w:type="auto"/>
            <w:gridSpan w:val="3"/>
            <w:shd w:val="clear" w:color="auto" w:fill="auto"/>
            <w:tcMar>
              <w:top w:w="40" w:type="dxa"/>
              <w:left w:w="20" w:type="dxa"/>
              <w:bottom w:w="40" w:type="dxa"/>
              <w:right w:w="20" w:type="dxa"/>
            </w:tcMar>
            <w:vAlign w:val="bottom"/>
          </w:tcPr>
          <w:p w14:paraId="185FF22F" w14:textId="77777777" w:rsidR="00A91885" w:rsidRDefault="009C4196">
            <w:pPr>
              <w:jc w:val="center"/>
              <w:textAlignment w:val="bottom"/>
            </w:pPr>
            <w:hyperlink r:id="rId72" w:anchor="ieb971428a625452486c65ae24899afca_58" w:history="1">
              <w:r>
                <w:rPr>
                  <w:rStyle w:val="a5"/>
                  <w:rFonts w:ascii="Arial" w:eastAsia="宋体" w:hAnsi="Arial" w:cs="Arial"/>
                  <w:sz w:val="20"/>
                  <w:szCs w:val="20"/>
                </w:rPr>
                <w:t>28</w:t>
              </w:r>
            </w:hyperlink>
          </w:p>
        </w:tc>
      </w:tr>
      <w:tr w:rsidR="00A91885" w14:paraId="185FF233" w14:textId="77777777">
        <w:tc>
          <w:tcPr>
            <w:tcW w:w="0" w:type="auto"/>
            <w:gridSpan w:val="3"/>
            <w:shd w:val="clear" w:color="auto" w:fill="auto"/>
            <w:tcMar>
              <w:top w:w="40" w:type="dxa"/>
              <w:left w:w="20" w:type="dxa"/>
              <w:bottom w:w="40" w:type="dxa"/>
              <w:right w:w="20" w:type="dxa"/>
            </w:tcMar>
            <w:vAlign w:val="bottom"/>
          </w:tcPr>
          <w:p w14:paraId="185FF231" w14:textId="77777777" w:rsidR="00A91885" w:rsidRDefault="009C4196">
            <w:pPr>
              <w:textAlignment w:val="bottom"/>
            </w:pPr>
            <w:hyperlink r:id="rId73" w:anchor="ieb971428a625452486c65ae24899afca_61" w:history="1">
              <w:r>
                <w:rPr>
                  <w:rStyle w:val="a5"/>
                  <w:rFonts w:ascii="Arial" w:eastAsia="宋体" w:hAnsi="Arial" w:cs="Arial"/>
                  <w:sz w:val="20"/>
                  <w:szCs w:val="20"/>
                </w:rPr>
                <w:t>Note 9 — Debt</w:t>
              </w:r>
            </w:hyperlink>
          </w:p>
        </w:tc>
        <w:tc>
          <w:tcPr>
            <w:tcW w:w="0" w:type="auto"/>
            <w:gridSpan w:val="3"/>
            <w:shd w:val="clear" w:color="auto" w:fill="auto"/>
            <w:tcMar>
              <w:top w:w="40" w:type="dxa"/>
              <w:left w:w="20" w:type="dxa"/>
              <w:bottom w:w="40" w:type="dxa"/>
              <w:right w:w="20" w:type="dxa"/>
            </w:tcMar>
            <w:vAlign w:val="bottom"/>
          </w:tcPr>
          <w:p w14:paraId="185FF232" w14:textId="77777777" w:rsidR="00A91885" w:rsidRDefault="009C4196">
            <w:pPr>
              <w:jc w:val="center"/>
              <w:textAlignment w:val="bottom"/>
            </w:pPr>
            <w:hyperlink r:id="rId74" w:anchor="ieb971428a625452486c65ae24899afca_61" w:history="1">
              <w:r>
                <w:rPr>
                  <w:rStyle w:val="a5"/>
                  <w:rFonts w:ascii="Arial" w:eastAsia="宋体" w:hAnsi="Arial" w:cs="Arial"/>
                  <w:sz w:val="20"/>
                  <w:szCs w:val="20"/>
                </w:rPr>
                <w:t>32</w:t>
              </w:r>
            </w:hyperlink>
          </w:p>
        </w:tc>
      </w:tr>
      <w:tr w:rsidR="00A91885" w14:paraId="185FF236" w14:textId="77777777">
        <w:tc>
          <w:tcPr>
            <w:tcW w:w="0" w:type="auto"/>
            <w:gridSpan w:val="3"/>
            <w:shd w:val="clear" w:color="auto" w:fill="auto"/>
            <w:tcMar>
              <w:top w:w="40" w:type="dxa"/>
              <w:left w:w="20" w:type="dxa"/>
              <w:bottom w:w="40" w:type="dxa"/>
              <w:right w:w="20" w:type="dxa"/>
            </w:tcMar>
            <w:vAlign w:val="bottom"/>
          </w:tcPr>
          <w:p w14:paraId="185FF234" w14:textId="77777777" w:rsidR="00A91885" w:rsidRDefault="009C4196">
            <w:pPr>
              <w:jc w:val="both"/>
              <w:textAlignment w:val="bottom"/>
            </w:pPr>
            <w:hyperlink r:id="rId75" w:anchor="ieb971428a625452486c65ae24899afca_67" w:history="1">
              <w:r>
                <w:rPr>
                  <w:rStyle w:val="a5"/>
                  <w:rFonts w:ascii="Arial" w:eastAsia="宋体" w:hAnsi="Arial" w:cs="Arial"/>
                  <w:sz w:val="20"/>
                  <w:szCs w:val="20"/>
                </w:rPr>
                <w:t>Note 10 — Supplemental Consolidated Financial Information</w:t>
              </w:r>
            </w:hyperlink>
          </w:p>
        </w:tc>
        <w:tc>
          <w:tcPr>
            <w:tcW w:w="0" w:type="auto"/>
            <w:gridSpan w:val="3"/>
            <w:shd w:val="clear" w:color="auto" w:fill="auto"/>
            <w:tcMar>
              <w:top w:w="40" w:type="dxa"/>
              <w:left w:w="20" w:type="dxa"/>
              <w:bottom w:w="40" w:type="dxa"/>
              <w:right w:w="20" w:type="dxa"/>
            </w:tcMar>
            <w:vAlign w:val="bottom"/>
          </w:tcPr>
          <w:p w14:paraId="185FF235" w14:textId="77777777" w:rsidR="00A91885" w:rsidRDefault="009C4196">
            <w:pPr>
              <w:jc w:val="center"/>
              <w:textAlignment w:val="bottom"/>
            </w:pPr>
            <w:hyperlink r:id="rId76" w:anchor="ieb971428a625452486c65ae24899afca_67" w:history="1">
              <w:r>
                <w:rPr>
                  <w:rStyle w:val="a5"/>
                  <w:rFonts w:ascii="Arial" w:eastAsia="宋体" w:hAnsi="Arial" w:cs="Arial"/>
                  <w:sz w:val="20"/>
                  <w:szCs w:val="20"/>
                </w:rPr>
                <w:t>35</w:t>
              </w:r>
            </w:hyperlink>
          </w:p>
        </w:tc>
      </w:tr>
      <w:tr w:rsidR="00A91885" w14:paraId="185FF239" w14:textId="77777777">
        <w:tc>
          <w:tcPr>
            <w:tcW w:w="0" w:type="auto"/>
            <w:gridSpan w:val="3"/>
            <w:shd w:val="clear" w:color="auto" w:fill="auto"/>
            <w:tcMar>
              <w:top w:w="40" w:type="dxa"/>
              <w:left w:w="20" w:type="dxa"/>
              <w:bottom w:w="40" w:type="dxa"/>
              <w:right w:w="20" w:type="dxa"/>
            </w:tcMar>
            <w:vAlign w:val="bottom"/>
          </w:tcPr>
          <w:p w14:paraId="185FF237" w14:textId="77777777" w:rsidR="00A91885" w:rsidRDefault="009C4196">
            <w:pPr>
              <w:jc w:val="both"/>
              <w:textAlignment w:val="bottom"/>
            </w:pPr>
            <w:hyperlink r:id="rId77" w:anchor="ieb971428a625452486c65ae24899afca_70" w:history="1">
              <w:r>
                <w:rPr>
                  <w:rStyle w:val="a5"/>
                  <w:rFonts w:ascii="Arial" w:eastAsia="宋体" w:hAnsi="Arial" w:cs="Arial"/>
                  <w:sz w:val="20"/>
                  <w:szCs w:val="20"/>
                </w:rPr>
                <w:t>Note 11 — Commitments and Contingencies</w:t>
              </w:r>
            </w:hyperlink>
          </w:p>
        </w:tc>
        <w:tc>
          <w:tcPr>
            <w:tcW w:w="0" w:type="auto"/>
            <w:gridSpan w:val="3"/>
            <w:shd w:val="clear" w:color="auto" w:fill="auto"/>
            <w:tcMar>
              <w:top w:w="40" w:type="dxa"/>
              <w:left w:w="20" w:type="dxa"/>
              <w:bottom w:w="40" w:type="dxa"/>
              <w:right w:w="20" w:type="dxa"/>
            </w:tcMar>
            <w:vAlign w:val="bottom"/>
          </w:tcPr>
          <w:p w14:paraId="185FF238" w14:textId="77777777" w:rsidR="00A91885" w:rsidRDefault="009C4196">
            <w:pPr>
              <w:jc w:val="center"/>
              <w:textAlignment w:val="bottom"/>
            </w:pPr>
            <w:hyperlink r:id="rId78" w:anchor="ieb971428a625452486c65ae24899afca_70" w:history="1">
              <w:r>
                <w:rPr>
                  <w:rStyle w:val="a5"/>
                  <w:rFonts w:ascii="Arial" w:eastAsia="宋体" w:hAnsi="Arial" w:cs="Arial"/>
                  <w:sz w:val="20"/>
                  <w:szCs w:val="20"/>
                </w:rPr>
                <w:t>37</w:t>
              </w:r>
            </w:hyperlink>
          </w:p>
        </w:tc>
      </w:tr>
      <w:tr w:rsidR="00A91885" w14:paraId="185FF23C" w14:textId="77777777">
        <w:tc>
          <w:tcPr>
            <w:tcW w:w="0" w:type="auto"/>
            <w:gridSpan w:val="3"/>
            <w:shd w:val="clear" w:color="auto" w:fill="auto"/>
            <w:tcMar>
              <w:top w:w="40" w:type="dxa"/>
              <w:left w:w="20" w:type="dxa"/>
              <w:bottom w:w="40" w:type="dxa"/>
              <w:right w:w="20" w:type="dxa"/>
            </w:tcMar>
            <w:vAlign w:val="bottom"/>
          </w:tcPr>
          <w:p w14:paraId="185FF23A" w14:textId="77777777" w:rsidR="00A91885" w:rsidRDefault="009C4196">
            <w:pPr>
              <w:jc w:val="both"/>
              <w:textAlignment w:val="bottom"/>
            </w:pPr>
            <w:hyperlink r:id="rId79" w:anchor="ieb971428a625452486c65ae24899afca_73" w:history="1">
              <w:r>
                <w:rPr>
                  <w:rStyle w:val="a5"/>
                  <w:rFonts w:ascii="Arial" w:eastAsia="宋体" w:hAnsi="Arial" w:cs="Arial"/>
                  <w:sz w:val="20"/>
                  <w:szCs w:val="20"/>
                </w:rPr>
                <w:t>Note 12 — Stockholders’ Equity</w:t>
              </w:r>
            </w:hyperlink>
          </w:p>
        </w:tc>
        <w:tc>
          <w:tcPr>
            <w:tcW w:w="0" w:type="auto"/>
            <w:gridSpan w:val="3"/>
            <w:shd w:val="clear" w:color="auto" w:fill="auto"/>
            <w:tcMar>
              <w:top w:w="40" w:type="dxa"/>
              <w:left w:w="20" w:type="dxa"/>
              <w:bottom w:w="40" w:type="dxa"/>
              <w:right w:w="20" w:type="dxa"/>
            </w:tcMar>
            <w:vAlign w:val="bottom"/>
          </w:tcPr>
          <w:p w14:paraId="185FF23B" w14:textId="77777777" w:rsidR="00A91885" w:rsidRDefault="009C4196">
            <w:pPr>
              <w:jc w:val="center"/>
              <w:textAlignment w:val="bottom"/>
            </w:pPr>
            <w:hyperlink r:id="rId80" w:anchor="ieb971428a625452486c65ae24899afca_73" w:history="1">
              <w:r>
                <w:rPr>
                  <w:rStyle w:val="a5"/>
                  <w:rFonts w:ascii="Arial" w:eastAsia="宋体" w:hAnsi="Arial" w:cs="Arial"/>
                  <w:sz w:val="20"/>
                  <w:szCs w:val="20"/>
                </w:rPr>
                <w:t>40</w:t>
              </w:r>
            </w:hyperlink>
          </w:p>
        </w:tc>
      </w:tr>
      <w:tr w:rsidR="00A91885" w14:paraId="185FF23F" w14:textId="77777777">
        <w:tc>
          <w:tcPr>
            <w:tcW w:w="0" w:type="auto"/>
            <w:gridSpan w:val="3"/>
            <w:shd w:val="clear" w:color="auto" w:fill="auto"/>
            <w:tcMar>
              <w:top w:w="40" w:type="dxa"/>
              <w:left w:w="20" w:type="dxa"/>
              <w:bottom w:w="40" w:type="dxa"/>
              <w:right w:w="20" w:type="dxa"/>
            </w:tcMar>
            <w:vAlign w:val="bottom"/>
          </w:tcPr>
          <w:p w14:paraId="185FF23D" w14:textId="77777777" w:rsidR="00A91885" w:rsidRDefault="009C4196">
            <w:pPr>
              <w:textAlignment w:val="bottom"/>
            </w:pPr>
            <w:hyperlink r:id="rId81" w:anchor="ieb971428a625452486c65ae24899afca_76" w:history="1">
              <w:r>
                <w:rPr>
                  <w:rStyle w:val="a5"/>
                  <w:rFonts w:ascii="Arial" w:eastAsia="宋体" w:hAnsi="Arial" w:cs="Arial"/>
                  <w:sz w:val="20"/>
                  <w:szCs w:val="20"/>
                </w:rPr>
                <w:t>Note 13 — Employee Benefit Plans</w:t>
              </w:r>
            </w:hyperlink>
          </w:p>
        </w:tc>
        <w:tc>
          <w:tcPr>
            <w:tcW w:w="0" w:type="auto"/>
            <w:gridSpan w:val="3"/>
            <w:shd w:val="clear" w:color="auto" w:fill="auto"/>
            <w:tcMar>
              <w:top w:w="40" w:type="dxa"/>
              <w:left w:w="20" w:type="dxa"/>
              <w:bottom w:w="40" w:type="dxa"/>
              <w:right w:w="20" w:type="dxa"/>
            </w:tcMar>
            <w:vAlign w:val="bottom"/>
          </w:tcPr>
          <w:p w14:paraId="185FF23E" w14:textId="77777777" w:rsidR="00A91885" w:rsidRDefault="009C4196">
            <w:pPr>
              <w:jc w:val="center"/>
              <w:textAlignment w:val="bottom"/>
            </w:pPr>
            <w:hyperlink r:id="rId82" w:anchor="ieb971428a625452486c65ae24899afca_76" w:history="1">
              <w:r>
                <w:rPr>
                  <w:rStyle w:val="a5"/>
                  <w:rFonts w:ascii="Arial" w:eastAsia="宋体" w:hAnsi="Arial" w:cs="Arial"/>
                  <w:sz w:val="20"/>
                  <w:szCs w:val="20"/>
                </w:rPr>
                <w:t>42</w:t>
              </w:r>
            </w:hyperlink>
          </w:p>
        </w:tc>
      </w:tr>
      <w:tr w:rsidR="00A91885" w14:paraId="185FF242" w14:textId="77777777">
        <w:tc>
          <w:tcPr>
            <w:tcW w:w="0" w:type="auto"/>
            <w:gridSpan w:val="3"/>
            <w:shd w:val="clear" w:color="auto" w:fill="auto"/>
            <w:tcMar>
              <w:top w:w="40" w:type="dxa"/>
              <w:left w:w="20" w:type="dxa"/>
              <w:bottom w:w="40" w:type="dxa"/>
              <w:right w:w="20" w:type="dxa"/>
            </w:tcMar>
            <w:vAlign w:val="bottom"/>
          </w:tcPr>
          <w:p w14:paraId="185FF240" w14:textId="77777777" w:rsidR="00A91885" w:rsidRDefault="009C4196">
            <w:pPr>
              <w:jc w:val="both"/>
              <w:textAlignment w:val="bottom"/>
            </w:pPr>
            <w:hyperlink r:id="rId83" w:anchor="ieb971428a625452486c65ae24899afca_79" w:history="1">
              <w:r>
                <w:rPr>
                  <w:rStyle w:val="a5"/>
                  <w:rFonts w:ascii="Arial" w:eastAsia="宋体" w:hAnsi="Arial" w:cs="Arial"/>
                  <w:sz w:val="20"/>
                  <w:szCs w:val="20"/>
                </w:rPr>
                <w:t>Note 14 — Income Taxes</w:t>
              </w:r>
            </w:hyperlink>
          </w:p>
        </w:tc>
        <w:tc>
          <w:tcPr>
            <w:tcW w:w="0" w:type="auto"/>
            <w:gridSpan w:val="3"/>
            <w:shd w:val="clear" w:color="auto" w:fill="auto"/>
            <w:tcMar>
              <w:top w:w="40" w:type="dxa"/>
              <w:left w:w="20" w:type="dxa"/>
              <w:bottom w:w="40" w:type="dxa"/>
              <w:right w:w="20" w:type="dxa"/>
            </w:tcMar>
            <w:vAlign w:val="bottom"/>
          </w:tcPr>
          <w:p w14:paraId="185FF241" w14:textId="77777777" w:rsidR="00A91885" w:rsidRDefault="009C4196">
            <w:pPr>
              <w:jc w:val="center"/>
              <w:textAlignment w:val="bottom"/>
            </w:pPr>
            <w:hyperlink r:id="rId84" w:anchor="ieb971428a625452486c65ae24899afca_79" w:history="1">
              <w:r>
                <w:rPr>
                  <w:rStyle w:val="a5"/>
                  <w:rFonts w:ascii="Arial" w:eastAsia="宋体" w:hAnsi="Arial" w:cs="Arial"/>
                  <w:sz w:val="20"/>
                  <w:szCs w:val="20"/>
                </w:rPr>
                <w:t>43</w:t>
              </w:r>
            </w:hyperlink>
          </w:p>
        </w:tc>
      </w:tr>
      <w:tr w:rsidR="00A91885" w14:paraId="185FF245" w14:textId="77777777">
        <w:tc>
          <w:tcPr>
            <w:tcW w:w="0" w:type="auto"/>
            <w:gridSpan w:val="3"/>
            <w:shd w:val="clear" w:color="auto" w:fill="auto"/>
            <w:tcMar>
              <w:top w:w="40" w:type="dxa"/>
              <w:left w:w="20" w:type="dxa"/>
              <w:bottom w:w="40" w:type="dxa"/>
              <w:right w:w="20" w:type="dxa"/>
            </w:tcMar>
            <w:vAlign w:val="bottom"/>
          </w:tcPr>
          <w:p w14:paraId="185FF243" w14:textId="77777777" w:rsidR="00A91885" w:rsidRDefault="009C4196">
            <w:pPr>
              <w:textAlignment w:val="bottom"/>
            </w:pPr>
            <w:hyperlink r:id="rId85" w:anchor="ieb971428a625452486c65ae24899afca_82" w:history="1">
              <w:r>
                <w:rPr>
                  <w:rStyle w:val="a5"/>
                  <w:rFonts w:ascii="Arial" w:eastAsia="宋体" w:hAnsi="Arial" w:cs="Arial"/>
                  <w:sz w:val="20"/>
                  <w:szCs w:val="20"/>
                </w:rPr>
                <w:t>Note 15 — Accumulated Other Comprehensive Income</w:t>
              </w:r>
            </w:hyperlink>
          </w:p>
        </w:tc>
        <w:tc>
          <w:tcPr>
            <w:tcW w:w="0" w:type="auto"/>
            <w:gridSpan w:val="3"/>
            <w:shd w:val="clear" w:color="auto" w:fill="auto"/>
            <w:tcMar>
              <w:top w:w="40" w:type="dxa"/>
              <w:left w:w="20" w:type="dxa"/>
              <w:bottom w:w="40" w:type="dxa"/>
              <w:right w:w="20" w:type="dxa"/>
            </w:tcMar>
            <w:vAlign w:val="bottom"/>
          </w:tcPr>
          <w:p w14:paraId="185FF244" w14:textId="77777777" w:rsidR="00A91885" w:rsidRDefault="009C4196">
            <w:pPr>
              <w:jc w:val="center"/>
              <w:textAlignment w:val="bottom"/>
            </w:pPr>
            <w:hyperlink r:id="rId86" w:anchor="ieb971428a625452486c65ae24899afca_82" w:history="1">
              <w:r>
                <w:rPr>
                  <w:rStyle w:val="a5"/>
                  <w:rFonts w:ascii="Arial" w:eastAsia="宋体" w:hAnsi="Arial" w:cs="Arial"/>
                  <w:sz w:val="20"/>
                  <w:szCs w:val="20"/>
                </w:rPr>
                <w:t>44</w:t>
              </w:r>
            </w:hyperlink>
          </w:p>
        </w:tc>
      </w:tr>
      <w:tr w:rsidR="00A91885" w14:paraId="185FF248" w14:textId="77777777">
        <w:trPr>
          <w:hidden/>
        </w:trPr>
        <w:tc>
          <w:tcPr>
            <w:tcW w:w="0" w:type="auto"/>
            <w:gridSpan w:val="3"/>
            <w:shd w:val="clear" w:color="auto" w:fill="auto"/>
            <w:vAlign w:val="bottom"/>
          </w:tcPr>
          <w:p w14:paraId="185FF246" w14:textId="77777777" w:rsidR="00A91885" w:rsidRDefault="00A91885">
            <w:pPr>
              <w:rPr>
                <w:rFonts w:ascii="宋体"/>
                <w:vanish/>
              </w:rPr>
            </w:pPr>
          </w:p>
        </w:tc>
        <w:tc>
          <w:tcPr>
            <w:tcW w:w="0" w:type="auto"/>
            <w:gridSpan w:val="3"/>
            <w:shd w:val="clear" w:color="auto" w:fill="auto"/>
            <w:vAlign w:val="bottom"/>
          </w:tcPr>
          <w:p w14:paraId="185FF247" w14:textId="77777777" w:rsidR="00A91885" w:rsidRDefault="00A91885">
            <w:pPr>
              <w:rPr>
                <w:rFonts w:ascii="宋体"/>
                <w:vanish/>
              </w:rPr>
            </w:pPr>
          </w:p>
        </w:tc>
      </w:tr>
      <w:tr w:rsidR="00A91885" w14:paraId="185FF24B" w14:textId="77777777">
        <w:trPr>
          <w:hidden/>
        </w:trPr>
        <w:tc>
          <w:tcPr>
            <w:tcW w:w="0" w:type="auto"/>
            <w:gridSpan w:val="3"/>
            <w:shd w:val="clear" w:color="auto" w:fill="auto"/>
            <w:vAlign w:val="bottom"/>
          </w:tcPr>
          <w:p w14:paraId="185FF249" w14:textId="77777777" w:rsidR="00A91885" w:rsidRDefault="00A91885">
            <w:pPr>
              <w:rPr>
                <w:rFonts w:ascii="宋体"/>
                <w:vanish/>
              </w:rPr>
            </w:pPr>
          </w:p>
        </w:tc>
        <w:tc>
          <w:tcPr>
            <w:tcW w:w="0" w:type="auto"/>
            <w:gridSpan w:val="3"/>
            <w:shd w:val="clear" w:color="auto" w:fill="auto"/>
            <w:vAlign w:val="bottom"/>
          </w:tcPr>
          <w:p w14:paraId="185FF24A" w14:textId="77777777" w:rsidR="00A91885" w:rsidRDefault="00A91885">
            <w:pPr>
              <w:rPr>
                <w:rFonts w:ascii="宋体"/>
                <w:vanish/>
              </w:rPr>
            </w:pPr>
          </w:p>
        </w:tc>
      </w:tr>
    </w:tbl>
    <w:p w14:paraId="185FF24C" w14:textId="77777777" w:rsidR="00A91885" w:rsidRDefault="009C4196">
      <w:pPr>
        <w:jc w:val="center"/>
      </w:pPr>
      <w:r>
        <w:rPr>
          <w:rFonts w:ascii="Arial" w:eastAsia="宋体" w:hAnsi="Arial" w:cs="Arial"/>
          <w:color w:val="000000"/>
          <w:sz w:val="20"/>
          <w:szCs w:val="20"/>
        </w:rPr>
        <w:t>3</w:t>
      </w:r>
    </w:p>
    <w:p w14:paraId="185FF24D" w14:textId="77777777" w:rsidR="00A91885" w:rsidRDefault="009C4196">
      <w:r>
        <w:pict w14:anchorId="18602186">
          <v:rect id="_x0000_i1027" style="width:415.3pt;height:1.5pt" o:hralign="center" o:hrstd="t" o:hr="t" fillcolor="#a0a0a0" stroked="f"/>
        </w:pict>
      </w:r>
    </w:p>
    <w:p w14:paraId="185FF24E" w14:textId="77777777" w:rsidR="00A91885" w:rsidRDefault="009C4196">
      <w:hyperlink r:id="rId87" w:anchor="ieb971428a625452486c65ae24899afca_7" w:history="1">
        <w:r>
          <w:rPr>
            <w:rStyle w:val="a5"/>
            <w:rFonts w:ascii="Arial" w:eastAsia="宋体" w:hAnsi="Arial" w:cs="Arial"/>
            <w:sz w:val="18"/>
            <w:szCs w:val="18"/>
          </w:rPr>
          <w:t>Table of Contents</w:t>
        </w:r>
      </w:hyperlink>
    </w:p>
    <w:p w14:paraId="185FF24F" w14:textId="77777777" w:rsidR="00A91885" w:rsidRDefault="009C4196">
      <w:pPr>
        <w:spacing w:before="120"/>
        <w:jc w:val="center"/>
      </w:pPr>
      <w:r>
        <w:rPr>
          <w:rFonts w:ascii="Arial" w:eastAsia="宋体" w:hAnsi="Arial" w:cs="Arial"/>
          <w:b/>
          <w:bCs/>
          <w:color w:val="000000"/>
          <w:sz w:val="20"/>
          <w:szCs w:val="20"/>
        </w:rPr>
        <w:t xml:space="preserve">eBay Inc. </w:t>
      </w:r>
    </w:p>
    <w:p w14:paraId="185FF250" w14:textId="77777777" w:rsidR="00A91885" w:rsidRDefault="009C4196">
      <w:pPr>
        <w:spacing w:before="80"/>
        <w:jc w:val="center"/>
      </w:pPr>
      <w:r>
        <w:rPr>
          <w:rFonts w:ascii="Arial" w:eastAsia="宋体" w:hAnsi="Arial" w:cs="Arial"/>
          <w:b/>
          <w:bCs/>
          <w:color w:val="000000"/>
          <w:sz w:val="20"/>
          <w:szCs w:val="20"/>
        </w:rPr>
        <w:t>CONDENSED CONSOLIDATED BALANCE SHEET</w:t>
      </w:r>
      <w:r>
        <w:rPr>
          <w:rFonts w:ascii="Arial" w:eastAsia="宋体" w:hAnsi="Arial" w:cs="Arial"/>
          <w:b/>
          <w:bCs/>
          <w:color w:val="000000"/>
          <w:sz w:val="18"/>
          <w:szCs w:val="18"/>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634"/>
        <w:gridCol w:w="40"/>
        <w:gridCol w:w="122"/>
        <w:gridCol w:w="1097"/>
        <w:gridCol w:w="37"/>
        <w:gridCol w:w="36"/>
        <w:gridCol w:w="36"/>
        <w:gridCol w:w="36"/>
        <w:gridCol w:w="122"/>
        <w:gridCol w:w="1098"/>
        <w:gridCol w:w="36"/>
      </w:tblGrid>
      <w:tr w:rsidR="00A91885" w14:paraId="185FF25D" w14:textId="77777777">
        <w:trPr>
          <w:jc w:val="center"/>
        </w:trPr>
        <w:tc>
          <w:tcPr>
            <w:tcW w:w="50" w:type="pct"/>
            <w:shd w:val="clear" w:color="auto" w:fill="auto"/>
            <w:vAlign w:val="bottom"/>
          </w:tcPr>
          <w:p w14:paraId="185FF251" w14:textId="77777777" w:rsidR="00A91885" w:rsidRDefault="00A91885">
            <w:pPr>
              <w:rPr>
                <w:rFonts w:ascii="宋体"/>
              </w:rPr>
            </w:pPr>
          </w:p>
        </w:tc>
        <w:tc>
          <w:tcPr>
            <w:tcW w:w="3453" w:type="pct"/>
            <w:shd w:val="clear" w:color="auto" w:fill="auto"/>
            <w:vAlign w:val="bottom"/>
          </w:tcPr>
          <w:p w14:paraId="185FF252" w14:textId="77777777" w:rsidR="00A91885" w:rsidRDefault="00A91885">
            <w:pPr>
              <w:rPr>
                <w:rFonts w:ascii="宋体"/>
              </w:rPr>
            </w:pPr>
          </w:p>
        </w:tc>
        <w:tc>
          <w:tcPr>
            <w:tcW w:w="5" w:type="pct"/>
            <w:shd w:val="clear" w:color="auto" w:fill="auto"/>
            <w:vAlign w:val="bottom"/>
          </w:tcPr>
          <w:p w14:paraId="185FF253" w14:textId="77777777" w:rsidR="00A91885" w:rsidRDefault="00A91885">
            <w:pPr>
              <w:rPr>
                <w:rFonts w:ascii="宋体"/>
              </w:rPr>
            </w:pPr>
          </w:p>
        </w:tc>
        <w:tc>
          <w:tcPr>
            <w:tcW w:w="50" w:type="pct"/>
            <w:shd w:val="clear" w:color="auto" w:fill="auto"/>
            <w:vAlign w:val="bottom"/>
          </w:tcPr>
          <w:p w14:paraId="185FF254" w14:textId="77777777" w:rsidR="00A91885" w:rsidRDefault="00A91885">
            <w:pPr>
              <w:rPr>
                <w:rFonts w:ascii="宋体"/>
              </w:rPr>
            </w:pPr>
          </w:p>
        </w:tc>
        <w:tc>
          <w:tcPr>
            <w:tcW w:w="675" w:type="pct"/>
            <w:shd w:val="clear" w:color="auto" w:fill="auto"/>
            <w:vAlign w:val="bottom"/>
          </w:tcPr>
          <w:p w14:paraId="185FF255" w14:textId="77777777" w:rsidR="00A91885" w:rsidRDefault="00A91885">
            <w:pPr>
              <w:rPr>
                <w:rFonts w:ascii="宋体"/>
              </w:rPr>
            </w:pPr>
          </w:p>
        </w:tc>
        <w:tc>
          <w:tcPr>
            <w:tcW w:w="5" w:type="pct"/>
            <w:shd w:val="clear" w:color="auto" w:fill="auto"/>
            <w:vAlign w:val="bottom"/>
          </w:tcPr>
          <w:p w14:paraId="185FF256" w14:textId="77777777" w:rsidR="00A91885" w:rsidRDefault="00A91885">
            <w:pPr>
              <w:rPr>
                <w:rFonts w:ascii="宋体"/>
              </w:rPr>
            </w:pPr>
          </w:p>
        </w:tc>
        <w:tc>
          <w:tcPr>
            <w:tcW w:w="5" w:type="pct"/>
            <w:shd w:val="clear" w:color="auto" w:fill="auto"/>
            <w:vAlign w:val="bottom"/>
          </w:tcPr>
          <w:p w14:paraId="185FF257" w14:textId="77777777" w:rsidR="00A91885" w:rsidRDefault="00A91885">
            <w:pPr>
              <w:rPr>
                <w:rFonts w:ascii="宋体"/>
              </w:rPr>
            </w:pPr>
          </w:p>
        </w:tc>
        <w:tc>
          <w:tcPr>
            <w:tcW w:w="19" w:type="pct"/>
            <w:shd w:val="clear" w:color="auto" w:fill="auto"/>
            <w:vAlign w:val="bottom"/>
          </w:tcPr>
          <w:p w14:paraId="185FF258" w14:textId="77777777" w:rsidR="00A91885" w:rsidRDefault="00A91885">
            <w:pPr>
              <w:rPr>
                <w:rFonts w:ascii="宋体"/>
              </w:rPr>
            </w:pPr>
          </w:p>
        </w:tc>
        <w:tc>
          <w:tcPr>
            <w:tcW w:w="5" w:type="pct"/>
            <w:shd w:val="clear" w:color="auto" w:fill="auto"/>
            <w:vAlign w:val="bottom"/>
          </w:tcPr>
          <w:p w14:paraId="185FF259" w14:textId="77777777" w:rsidR="00A91885" w:rsidRDefault="00A91885">
            <w:pPr>
              <w:rPr>
                <w:rFonts w:ascii="宋体"/>
              </w:rPr>
            </w:pPr>
          </w:p>
        </w:tc>
        <w:tc>
          <w:tcPr>
            <w:tcW w:w="50" w:type="pct"/>
            <w:shd w:val="clear" w:color="auto" w:fill="auto"/>
            <w:vAlign w:val="bottom"/>
          </w:tcPr>
          <w:p w14:paraId="185FF25A" w14:textId="77777777" w:rsidR="00A91885" w:rsidRDefault="00A91885">
            <w:pPr>
              <w:rPr>
                <w:rFonts w:ascii="宋体"/>
              </w:rPr>
            </w:pPr>
          </w:p>
        </w:tc>
        <w:tc>
          <w:tcPr>
            <w:tcW w:w="676" w:type="pct"/>
            <w:shd w:val="clear" w:color="auto" w:fill="auto"/>
            <w:vAlign w:val="bottom"/>
          </w:tcPr>
          <w:p w14:paraId="185FF25B" w14:textId="77777777" w:rsidR="00A91885" w:rsidRDefault="00A91885">
            <w:pPr>
              <w:rPr>
                <w:rFonts w:ascii="宋体"/>
              </w:rPr>
            </w:pPr>
          </w:p>
        </w:tc>
        <w:tc>
          <w:tcPr>
            <w:tcW w:w="5" w:type="pct"/>
            <w:shd w:val="clear" w:color="auto" w:fill="auto"/>
            <w:vAlign w:val="bottom"/>
          </w:tcPr>
          <w:p w14:paraId="185FF25C" w14:textId="77777777" w:rsidR="00A91885" w:rsidRDefault="00A91885">
            <w:pPr>
              <w:rPr>
                <w:rFonts w:ascii="宋体"/>
              </w:rPr>
            </w:pPr>
          </w:p>
        </w:tc>
      </w:tr>
      <w:tr w:rsidR="00A91885" w14:paraId="185FF262" w14:textId="77777777">
        <w:trPr>
          <w:jc w:val="center"/>
        </w:trPr>
        <w:tc>
          <w:tcPr>
            <w:tcW w:w="0" w:type="auto"/>
            <w:gridSpan w:val="3"/>
            <w:shd w:val="clear" w:color="auto" w:fill="auto"/>
            <w:tcMar>
              <w:top w:w="40" w:type="dxa"/>
              <w:left w:w="20" w:type="dxa"/>
              <w:bottom w:w="40" w:type="dxa"/>
              <w:right w:w="20" w:type="dxa"/>
            </w:tcMar>
            <w:vAlign w:val="bottom"/>
          </w:tcPr>
          <w:p w14:paraId="185FF25E" w14:textId="77777777" w:rsidR="00A91885" w:rsidRDefault="009C4196">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85FF25F" w14:textId="77777777" w:rsidR="00A91885" w:rsidRDefault="009C4196">
            <w:pPr>
              <w:jc w:val="center"/>
              <w:textAlignment w:val="bottom"/>
            </w:pPr>
            <w:r>
              <w:rPr>
                <w:rFonts w:ascii="Arial" w:eastAsia="宋体" w:hAnsi="Arial" w:cs="Arial"/>
                <w:b/>
                <w:bCs/>
                <w:color w:val="000000"/>
                <w:sz w:val="17"/>
                <w:szCs w:val="17"/>
              </w:rPr>
              <w:t>June 30,</w:t>
            </w:r>
            <w:r>
              <w:rPr>
                <w:rFonts w:ascii="Arial" w:eastAsia="宋体" w:hAnsi="Arial" w:cs="Arial"/>
                <w:b/>
                <w:bCs/>
                <w:color w:val="000000"/>
                <w:sz w:val="17"/>
                <w:szCs w:val="17"/>
              </w:rPr>
              <w:br/>
              <w:t>2022</w:t>
            </w: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185FF260" w14:textId="77777777" w:rsidR="00A91885" w:rsidRDefault="00A9188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85FF261" w14:textId="77777777" w:rsidR="00A91885" w:rsidRDefault="009C4196">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r>
      <w:tr w:rsidR="00A91885" w14:paraId="185FF265" w14:textId="77777777">
        <w:trPr>
          <w:jc w:val="center"/>
        </w:trPr>
        <w:tc>
          <w:tcPr>
            <w:tcW w:w="0" w:type="auto"/>
            <w:gridSpan w:val="3"/>
            <w:shd w:val="clear" w:color="auto" w:fill="auto"/>
            <w:tcMar>
              <w:top w:w="40" w:type="dxa"/>
              <w:left w:w="20" w:type="dxa"/>
              <w:bottom w:w="40" w:type="dxa"/>
              <w:right w:w="20" w:type="dxa"/>
            </w:tcMar>
            <w:vAlign w:val="bottom"/>
          </w:tcPr>
          <w:p w14:paraId="185FF263" w14:textId="77777777" w:rsidR="00A91885" w:rsidRDefault="009C4196">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5FF264" w14:textId="77777777" w:rsidR="00A91885" w:rsidRDefault="009C4196">
            <w:pPr>
              <w:jc w:val="center"/>
              <w:textAlignment w:val="bottom"/>
            </w:pPr>
            <w:r>
              <w:rPr>
                <w:rFonts w:ascii="Arial" w:eastAsia="宋体" w:hAnsi="Arial" w:cs="Arial"/>
                <w:b/>
                <w:bCs/>
                <w:color w:val="000000"/>
                <w:sz w:val="17"/>
                <w:szCs w:val="17"/>
              </w:rPr>
              <w:t>(In millions, except par value)</w:t>
            </w:r>
          </w:p>
        </w:tc>
      </w:tr>
      <w:tr w:rsidR="00A91885" w14:paraId="185FF268" w14:textId="77777777">
        <w:trPr>
          <w:jc w:val="center"/>
        </w:trPr>
        <w:tc>
          <w:tcPr>
            <w:tcW w:w="0" w:type="auto"/>
            <w:gridSpan w:val="3"/>
            <w:shd w:val="clear" w:color="auto" w:fill="auto"/>
            <w:tcMar>
              <w:top w:w="40" w:type="dxa"/>
              <w:left w:w="20" w:type="dxa"/>
              <w:bottom w:w="40" w:type="dxa"/>
              <w:right w:w="20" w:type="dxa"/>
            </w:tcMar>
            <w:vAlign w:val="bottom"/>
          </w:tcPr>
          <w:p w14:paraId="185FF266" w14:textId="77777777" w:rsidR="00A91885" w:rsidRDefault="009C4196">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185FF267" w14:textId="77777777" w:rsidR="00A91885" w:rsidRDefault="009C4196">
            <w:pPr>
              <w:jc w:val="center"/>
              <w:textAlignment w:val="bottom"/>
            </w:pPr>
            <w:r>
              <w:rPr>
                <w:rFonts w:ascii="Arial" w:eastAsia="宋体" w:hAnsi="Arial" w:cs="Arial"/>
                <w:b/>
                <w:bCs/>
                <w:color w:val="000000"/>
                <w:sz w:val="17"/>
                <w:szCs w:val="17"/>
              </w:rPr>
              <w:t>(Unaudited)</w:t>
            </w:r>
          </w:p>
        </w:tc>
      </w:tr>
      <w:tr w:rsidR="00A91885" w14:paraId="185FF26D" w14:textId="77777777">
        <w:trPr>
          <w:jc w:val="center"/>
        </w:trPr>
        <w:tc>
          <w:tcPr>
            <w:tcW w:w="0" w:type="auto"/>
            <w:gridSpan w:val="3"/>
            <w:shd w:val="clear" w:color="auto" w:fill="auto"/>
            <w:tcMar>
              <w:top w:w="40" w:type="dxa"/>
              <w:left w:w="20" w:type="dxa"/>
              <w:bottom w:w="40" w:type="dxa"/>
              <w:right w:w="20" w:type="dxa"/>
            </w:tcMar>
            <w:vAlign w:val="bottom"/>
          </w:tcPr>
          <w:p w14:paraId="185FF269" w14:textId="77777777" w:rsidR="00A91885" w:rsidRDefault="009C4196">
            <w:pPr>
              <w:jc w:val="center"/>
              <w:textAlignment w:val="bottom"/>
            </w:pPr>
            <w:r>
              <w:rPr>
                <w:rFonts w:ascii="Arial" w:eastAsia="宋体" w:hAnsi="Arial" w:cs="Arial"/>
                <w:b/>
                <w:bCs/>
                <w:color w:val="000000"/>
                <w:sz w:val="18"/>
                <w:szCs w:val="18"/>
              </w:rPr>
              <w:t>ASSETS</w:t>
            </w:r>
          </w:p>
        </w:tc>
        <w:tc>
          <w:tcPr>
            <w:tcW w:w="0" w:type="auto"/>
            <w:gridSpan w:val="3"/>
            <w:shd w:val="clear" w:color="auto" w:fill="auto"/>
            <w:tcMar>
              <w:top w:w="0" w:type="dxa"/>
              <w:left w:w="20" w:type="dxa"/>
              <w:bottom w:w="0" w:type="dxa"/>
              <w:right w:w="20" w:type="dxa"/>
            </w:tcMar>
            <w:vAlign w:val="bottom"/>
          </w:tcPr>
          <w:p w14:paraId="185FF26A"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5FF26B"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5FF26C" w14:textId="77777777" w:rsidR="00A91885" w:rsidRDefault="00A91885">
            <w:pPr>
              <w:rPr>
                <w:rFonts w:ascii="宋体"/>
              </w:rPr>
            </w:pPr>
          </w:p>
        </w:tc>
      </w:tr>
      <w:tr w:rsidR="00A91885" w14:paraId="185FF272" w14:textId="77777777">
        <w:trPr>
          <w:jc w:val="center"/>
        </w:trPr>
        <w:tc>
          <w:tcPr>
            <w:tcW w:w="0" w:type="auto"/>
            <w:gridSpan w:val="3"/>
            <w:shd w:val="clear" w:color="auto" w:fill="E2E2E2"/>
            <w:tcMar>
              <w:top w:w="40" w:type="dxa"/>
              <w:left w:w="20" w:type="dxa"/>
              <w:bottom w:w="40" w:type="dxa"/>
              <w:right w:w="20" w:type="dxa"/>
            </w:tcMar>
            <w:vAlign w:val="bottom"/>
          </w:tcPr>
          <w:p w14:paraId="185FF26E" w14:textId="77777777" w:rsidR="00A91885" w:rsidRDefault="009C4196">
            <w:pPr>
              <w:textAlignment w:val="bottom"/>
            </w:pPr>
            <w:r>
              <w:rPr>
                <w:rFonts w:ascii="Arial" w:eastAsia="宋体" w:hAnsi="Arial" w:cs="Arial"/>
                <w:color w:val="000000"/>
                <w:sz w:val="18"/>
                <w:szCs w:val="18"/>
              </w:rPr>
              <w:t>Current assets:</w:t>
            </w:r>
          </w:p>
        </w:tc>
        <w:tc>
          <w:tcPr>
            <w:tcW w:w="0" w:type="auto"/>
            <w:gridSpan w:val="3"/>
            <w:shd w:val="clear" w:color="auto" w:fill="E2E2E2"/>
            <w:tcMar>
              <w:top w:w="40" w:type="dxa"/>
              <w:left w:w="20" w:type="dxa"/>
              <w:bottom w:w="40" w:type="dxa"/>
              <w:right w:w="20" w:type="dxa"/>
            </w:tcMar>
            <w:vAlign w:val="bottom"/>
          </w:tcPr>
          <w:p w14:paraId="185FF26F"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85FF270" w14:textId="77777777" w:rsidR="00A91885" w:rsidRDefault="00A91885">
            <w:pPr>
              <w:rPr>
                <w:rFonts w:ascii="宋体"/>
              </w:rPr>
            </w:pPr>
          </w:p>
        </w:tc>
        <w:tc>
          <w:tcPr>
            <w:tcW w:w="0" w:type="auto"/>
            <w:gridSpan w:val="3"/>
            <w:shd w:val="clear" w:color="auto" w:fill="E2E2E2"/>
            <w:tcMar>
              <w:top w:w="40" w:type="dxa"/>
              <w:left w:w="20" w:type="dxa"/>
              <w:bottom w:w="40" w:type="dxa"/>
              <w:right w:w="20" w:type="dxa"/>
            </w:tcMar>
            <w:vAlign w:val="bottom"/>
          </w:tcPr>
          <w:p w14:paraId="185FF271" w14:textId="77777777" w:rsidR="00A91885" w:rsidRDefault="009C4196">
            <w:pPr>
              <w:textAlignment w:val="bottom"/>
            </w:pPr>
            <w:r>
              <w:rPr>
                <w:rFonts w:ascii="Arial" w:eastAsia="宋体" w:hAnsi="Arial" w:cs="Arial"/>
                <w:color w:val="000000"/>
                <w:sz w:val="18"/>
                <w:szCs w:val="18"/>
              </w:rPr>
              <w:t> </w:t>
            </w:r>
          </w:p>
        </w:tc>
      </w:tr>
      <w:tr w:rsidR="00A91885" w14:paraId="185FF27B" w14:textId="77777777">
        <w:trPr>
          <w:jc w:val="center"/>
        </w:trPr>
        <w:tc>
          <w:tcPr>
            <w:tcW w:w="0" w:type="auto"/>
            <w:gridSpan w:val="3"/>
            <w:shd w:val="clear" w:color="auto" w:fill="FFFFFF"/>
            <w:tcMar>
              <w:top w:w="40" w:type="dxa"/>
              <w:left w:w="515" w:type="dxa"/>
              <w:bottom w:w="40" w:type="dxa"/>
              <w:right w:w="20" w:type="dxa"/>
            </w:tcMar>
            <w:vAlign w:val="bottom"/>
          </w:tcPr>
          <w:p w14:paraId="185FF273" w14:textId="77777777" w:rsidR="00A91885" w:rsidRDefault="009C4196">
            <w:pPr>
              <w:textAlignment w:val="bottom"/>
            </w:pPr>
            <w:r>
              <w:rPr>
                <w:rFonts w:ascii="Arial" w:eastAsia="宋体" w:hAnsi="Arial" w:cs="Arial"/>
                <w:color w:val="000000"/>
                <w:sz w:val="18"/>
                <w:szCs w:val="18"/>
              </w:rPr>
              <w:t>Cash and cash equivalents</w:t>
            </w:r>
          </w:p>
        </w:tc>
        <w:tc>
          <w:tcPr>
            <w:tcW w:w="0" w:type="auto"/>
            <w:shd w:val="clear" w:color="auto" w:fill="FFFFFF"/>
            <w:tcMar>
              <w:top w:w="40" w:type="dxa"/>
              <w:left w:w="20" w:type="dxa"/>
              <w:bottom w:w="40" w:type="dxa"/>
              <w:right w:w="0" w:type="dxa"/>
            </w:tcMar>
            <w:vAlign w:val="bottom"/>
          </w:tcPr>
          <w:p w14:paraId="185FF274"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275" w14:textId="77777777" w:rsidR="00A91885" w:rsidRDefault="009C4196">
            <w:pPr>
              <w:jc w:val="right"/>
              <w:textAlignment w:val="bottom"/>
            </w:pPr>
            <w:r>
              <w:rPr>
                <w:rFonts w:ascii="Arial" w:eastAsia="宋体" w:hAnsi="Arial" w:cs="Arial"/>
                <w:color w:val="000000"/>
                <w:sz w:val="18"/>
                <w:szCs w:val="18"/>
              </w:rPr>
              <w:t>1,742 </w:t>
            </w:r>
          </w:p>
        </w:tc>
        <w:tc>
          <w:tcPr>
            <w:tcW w:w="0" w:type="auto"/>
            <w:shd w:val="clear" w:color="auto" w:fill="FFFFFF"/>
            <w:tcMar>
              <w:top w:w="40" w:type="dxa"/>
              <w:left w:w="0" w:type="dxa"/>
              <w:bottom w:w="40" w:type="dxa"/>
              <w:right w:w="20" w:type="dxa"/>
            </w:tcMar>
            <w:vAlign w:val="bottom"/>
          </w:tcPr>
          <w:p w14:paraId="185FF27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277"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278"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279" w14:textId="77777777" w:rsidR="00A91885" w:rsidRDefault="009C4196">
            <w:pPr>
              <w:jc w:val="right"/>
              <w:textAlignment w:val="bottom"/>
            </w:pPr>
            <w:r>
              <w:rPr>
                <w:rFonts w:ascii="Arial" w:eastAsia="宋体" w:hAnsi="Arial" w:cs="Arial"/>
                <w:color w:val="000000"/>
                <w:sz w:val="18"/>
                <w:szCs w:val="18"/>
              </w:rPr>
              <w:t>1,379 </w:t>
            </w:r>
          </w:p>
        </w:tc>
        <w:tc>
          <w:tcPr>
            <w:tcW w:w="0" w:type="auto"/>
            <w:shd w:val="clear" w:color="auto" w:fill="FFFFFF"/>
            <w:tcMar>
              <w:top w:w="40" w:type="dxa"/>
              <w:left w:w="0" w:type="dxa"/>
              <w:bottom w:w="40" w:type="dxa"/>
              <w:right w:w="20" w:type="dxa"/>
            </w:tcMar>
            <w:vAlign w:val="bottom"/>
          </w:tcPr>
          <w:p w14:paraId="185FF27A" w14:textId="77777777" w:rsidR="00A91885" w:rsidRDefault="00A91885">
            <w:pPr>
              <w:jc w:val="right"/>
              <w:rPr>
                <w:rFonts w:ascii="宋体"/>
              </w:rPr>
            </w:pPr>
          </w:p>
        </w:tc>
      </w:tr>
      <w:tr w:rsidR="00A91885" w14:paraId="185FF282" w14:textId="77777777">
        <w:trPr>
          <w:jc w:val="center"/>
        </w:trPr>
        <w:tc>
          <w:tcPr>
            <w:tcW w:w="0" w:type="auto"/>
            <w:gridSpan w:val="3"/>
            <w:shd w:val="clear" w:color="auto" w:fill="E2E2E2"/>
            <w:tcMar>
              <w:top w:w="40" w:type="dxa"/>
              <w:left w:w="515" w:type="dxa"/>
              <w:bottom w:w="40" w:type="dxa"/>
              <w:right w:w="20" w:type="dxa"/>
            </w:tcMar>
            <w:vAlign w:val="bottom"/>
          </w:tcPr>
          <w:p w14:paraId="185FF27C" w14:textId="77777777" w:rsidR="00A91885" w:rsidRDefault="009C4196">
            <w:pPr>
              <w:textAlignment w:val="bottom"/>
            </w:pPr>
            <w:r>
              <w:rPr>
                <w:rFonts w:ascii="Arial" w:eastAsia="宋体" w:hAnsi="Arial" w:cs="Arial"/>
                <w:color w:val="000000"/>
                <w:sz w:val="18"/>
                <w:szCs w:val="18"/>
              </w:rPr>
              <w:t>Short-term investments</w:t>
            </w:r>
          </w:p>
        </w:tc>
        <w:tc>
          <w:tcPr>
            <w:tcW w:w="0" w:type="auto"/>
            <w:gridSpan w:val="2"/>
            <w:shd w:val="clear" w:color="auto" w:fill="E2E2E2"/>
            <w:tcMar>
              <w:top w:w="40" w:type="dxa"/>
              <w:left w:w="20" w:type="dxa"/>
              <w:bottom w:w="40" w:type="dxa"/>
              <w:right w:w="0" w:type="dxa"/>
            </w:tcMar>
            <w:vAlign w:val="bottom"/>
          </w:tcPr>
          <w:p w14:paraId="185FF27D" w14:textId="77777777" w:rsidR="00A91885" w:rsidRDefault="009C4196">
            <w:pPr>
              <w:jc w:val="right"/>
              <w:textAlignment w:val="bottom"/>
            </w:pPr>
            <w:r>
              <w:rPr>
                <w:rFonts w:ascii="Arial" w:eastAsia="宋体" w:hAnsi="Arial" w:cs="Arial"/>
                <w:color w:val="000000"/>
                <w:sz w:val="18"/>
                <w:szCs w:val="18"/>
              </w:rPr>
              <w:t>1,483 </w:t>
            </w:r>
          </w:p>
        </w:tc>
        <w:tc>
          <w:tcPr>
            <w:tcW w:w="0" w:type="auto"/>
            <w:shd w:val="clear" w:color="auto" w:fill="E2E2E2"/>
            <w:tcMar>
              <w:top w:w="40" w:type="dxa"/>
              <w:left w:w="0" w:type="dxa"/>
              <w:bottom w:w="40" w:type="dxa"/>
              <w:right w:w="20" w:type="dxa"/>
            </w:tcMar>
            <w:vAlign w:val="bottom"/>
          </w:tcPr>
          <w:p w14:paraId="185FF27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27F"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280" w14:textId="77777777" w:rsidR="00A91885" w:rsidRDefault="009C4196">
            <w:pPr>
              <w:jc w:val="right"/>
              <w:textAlignment w:val="bottom"/>
            </w:pPr>
            <w:r>
              <w:rPr>
                <w:rFonts w:ascii="Arial" w:eastAsia="宋体" w:hAnsi="Arial" w:cs="Arial"/>
                <w:color w:val="000000"/>
                <w:sz w:val="18"/>
                <w:szCs w:val="18"/>
              </w:rPr>
              <w:t>5,944 </w:t>
            </w:r>
          </w:p>
        </w:tc>
        <w:tc>
          <w:tcPr>
            <w:tcW w:w="0" w:type="auto"/>
            <w:shd w:val="clear" w:color="auto" w:fill="E2E2E2"/>
            <w:tcMar>
              <w:top w:w="40" w:type="dxa"/>
              <w:left w:w="0" w:type="dxa"/>
              <w:bottom w:w="40" w:type="dxa"/>
              <w:right w:w="20" w:type="dxa"/>
            </w:tcMar>
            <w:vAlign w:val="bottom"/>
          </w:tcPr>
          <w:p w14:paraId="185FF281" w14:textId="77777777" w:rsidR="00A91885" w:rsidRDefault="00A91885">
            <w:pPr>
              <w:jc w:val="right"/>
              <w:rPr>
                <w:rFonts w:ascii="宋体"/>
              </w:rPr>
            </w:pPr>
          </w:p>
        </w:tc>
      </w:tr>
      <w:tr w:rsidR="00A91885" w14:paraId="185FF289" w14:textId="77777777">
        <w:trPr>
          <w:jc w:val="center"/>
        </w:trPr>
        <w:tc>
          <w:tcPr>
            <w:tcW w:w="0" w:type="auto"/>
            <w:gridSpan w:val="3"/>
            <w:shd w:val="clear" w:color="auto" w:fill="FFFFFF"/>
            <w:tcMar>
              <w:top w:w="40" w:type="dxa"/>
              <w:left w:w="515" w:type="dxa"/>
              <w:bottom w:w="40" w:type="dxa"/>
              <w:right w:w="20" w:type="dxa"/>
            </w:tcMar>
            <w:vAlign w:val="bottom"/>
          </w:tcPr>
          <w:p w14:paraId="185FF283" w14:textId="77777777" w:rsidR="00A91885" w:rsidRDefault="009C4196">
            <w:pPr>
              <w:textAlignment w:val="bottom"/>
            </w:pPr>
            <w:r>
              <w:rPr>
                <w:rFonts w:ascii="Arial" w:eastAsia="宋体" w:hAnsi="Arial" w:cs="Arial"/>
                <w:color w:val="000000"/>
                <w:sz w:val="18"/>
                <w:szCs w:val="18"/>
              </w:rPr>
              <w:t xml:space="preserve">Customer accounts and funds receivable </w:t>
            </w:r>
          </w:p>
        </w:tc>
        <w:tc>
          <w:tcPr>
            <w:tcW w:w="0" w:type="auto"/>
            <w:gridSpan w:val="2"/>
            <w:shd w:val="clear" w:color="auto" w:fill="FFFFFF"/>
            <w:tcMar>
              <w:top w:w="40" w:type="dxa"/>
              <w:left w:w="20" w:type="dxa"/>
              <w:bottom w:w="40" w:type="dxa"/>
              <w:right w:w="0" w:type="dxa"/>
            </w:tcMar>
            <w:vAlign w:val="bottom"/>
          </w:tcPr>
          <w:p w14:paraId="185FF284" w14:textId="77777777" w:rsidR="00A91885" w:rsidRDefault="009C4196">
            <w:pPr>
              <w:jc w:val="right"/>
              <w:textAlignment w:val="bottom"/>
            </w:pPr>
            <w:r>
              <w:rPr>
                <w:rFonts w:ascii="Arial" w:eastAsia="宋体" w:hAnsi="Arial" w:cs="Arial"/>
                <w:color w:val="000000"/>
                <w:sz w:val="18"/>
                <w:szCs w:val="18"/>
              </w:rPr>
              <w:t>605 </w:t>
            </w:r>
          </w:p>
        </w:tc>
        <w:tc>
          <w:tcPr>
            <w:tcW w:w="0" w:type="auto"/>
            <w:shd w:val="clear" w:color="auto" w:fill="FFFFFF"/>
            <w:tcMar>
              <w:top w:w="40" w:type="dxa"/>
              <w:left w:w="0" w:type="dxa"/>
              <w:bottom w:w="40" w:type="dxa"/>
              <w:right w:w="20" w:type="dxa"/>
            </w:tcMar>
            <w:vAlign w:val="bottom"/>
          </w:tcPr>
          <w:p w14:paraId="185FF28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286"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287" w14:textId="77777777" w:rsidR="00A91885" w:rsidRDefault="009C4196">
            <w:pPr>
              <w:jc w:val="right"/>
              <w:textAlignment w:val="bottom"/>
            </w:pPr>
            <w:r>
              <w:rPr>
                <w:rFonts w:ascii="Arial" w:eastAsia="宋体" w:hAnsi="Arial" w:cs="Arial"/>
                <w:color w:val="000000"/>
                <w:sz w:val="18"/>
                <w:szCs w:val="18"/>
              </w:rPr>
              <w:t>681 </w:t>
            </w:r>
          </w:p>
        </w:tc>
        <w:tc>
          <w:tcPr>
            <w:tcW w:w="0" w:type="auto"/>
            <w:shd w:val="clear" w:color="auto" w:fill="FFFFFF"/>
            <w:tcMar>
              <w:top w:w="40" w:type="dxa"/>
              <w:left w:w="0" w:type="dxa"/>
              <w:bottom w:w="40" w:type="dxa"/>
              <w:right w:w="20" w:type="dxa"/>
            </w:tcMar>
            <w:vAlign w:val="bottom"/>
          </w:tcPr>
          <w:p w14:paraId="185FF288" w14:textId="77777777" w:rsidR="00A91885" w:rsidRDefault="00A91885">
            <w:pPr>
              <w:jc w:val="right"/>
              <w:rPr>
                <w:rFonts w:ascii="宋体"/>
              </w:rPr>
            </w:pPr>
          </w:p>
        </w:tc>
      </w:tr>
      <w:tr w:rsidR="00A91885" w14:paraId="185FF290" w14:textId="77777777">
        <w:trPr>
          <w:jc w:val="center"/>
        </w:trPr>
        <w:tc>
          <w:tcPr>
            <w:tcW w:w="0" w:type="auto"/>
            <w:gridSpan w:val="3"/>
            <w:shd w:val="clear" w:color="auto" w:fill="E2E2E2"/>
            <w:tcMar>
              <w:top w:w="40" w:type="dxa"/>
              <w:left w:w="515" w:type="dxa"/>
              <w:bottom w:w="40" w:type="dxa"/>
              <w:right w:w="20" w:type="dxa"/>
            </w:tcMar>
            <w:vAlign w:val="bottom"/>
          </w:tcPr>
          <w:p w14:paraId="185FF28A" w14:textId="77777777" w:rsidR="00A91885" w:rsidRDefault="009C4196">
            <w:pPr>
              <w:textAlignment w:val="bottom"/>
            </w:pPr>
            <w:r>
              <w:rPr>
                <w:rFonts w:ascii="Arial" w:eastAsia="宋体" w:hAnsi="Arial" w:cs="Arial"/>
                <w:color w:val="000000"/>
                <w:sz w:val="18"/>
                <w:szCs w:val="18"/>
              </w:rPr>
              <w:t>Other current assets</w:t>
            </w:r>
          </w:p>
        </w:tc>
        <w:tc>
          <w:tcPr>
            <w:tcW w:w="0" w:type="auto"/>
            <w:gridSpan w:val="2"/>
            <w:shd w:val="clear" w:color="auto" w:fill="E2E2E2"/>
            <w:tcMar>
              <w:top w:w="40" w:type="dxa"/>
              <w:left w:w="20" w:type="dxa"/>
              <w:bottom w:w="40" w:type="dxa"/>
              <w:right w:w="0" w:type="dxa"/>
            </w:tcMar>
            <w:vAlign w:val="bottom"/>
          </w:tcPr>
          <w:p w14:paraId="185FF28B" w14:textId="77777777" w:rsidR="00A91885" w:rsidRDefault="009C4196">
            <w:pPr>
              <w:jc w:val="right"/>
              <w:textAlignment w:val="bottom"/>
            </w:pPr>
            <w:r>
              <w:rPr>
                <w:rFonts w:ascii="Arial" w:eastAsia="宋体" w:hAnsi="Arial" w:cs="Arial"/>
                <w:color w:val="000000"/>
                <w:sz w:val="18"/>
                <w:szCs w:val="18"/>
              </w:rPr>
              <w:t>1,237 </w:t>
            </w:r>
          </w:p>
        </w:tc>
        <w:tc>
          <w:tcPr>
            <w:tcW w:w="0" w:type="auto"/>
            <w:shd w:val="clear" w:color="auto" w:fill="E2E2E2"/>
            <w:tcMar>
              <w:top w:w="40" w:type="dxa"/>
              <w:left w:w="0" w:type="dxa"/>
              <w:bottom w:w="40" w:type="dxa"/>
              <w:right w:w="20" w:type="dxa"/>
            </w:tcMar>
            <w:vAlign w:val="bottom"/>
          </w:tcPr>
          <w:p w14:paraId="185FF28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28D"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28E" w14:textId="77777777" w:rsidR="00A91885" w:rsidRDefault="009C4196">
            <w:pPr>
              <w:jc w:val="right"/>
              <w:textAlignment w:val="bottom"/>
            </w:pPr>
            <w:r>
              <w:rPr>
                <w:rFonts w:ascii="Arial" w:eastAsia="宋体" w:hAnsi="Arial" w:cs="Arial"/>
                <w:color w:val="000000"/>
                <w:sz w:val="18"/>
                <w:szCs w:val="18"/>
              </w:rPr>
              <w:t>1,107 </w:t>
            </w:r>
          </w:p>
        </w:tc>
        <w:tc>
          <w:tcPr>
            <w:tcW w:w="0" w:type="auto"/>
            <w:shd w:val="clear" w:color="auto" w:fill="E2E2E2"/>
            <w:tcMar>
              <w:top w:w="40" w:type="dxa"/>
              <w:left w:w="0" w:type="dxa"/>
              <w:bottom w:w="40" w:type="dxa"/>
              <w:right w:w="20" w:type="dxa"/>
            </w:tcMar>
            <w:vAlign w:val="bottom"/>
          </w:tcPr>
          <w:p w14:paraId="185FF28F" w14:textId="77777777" w:rsidR="00A91885" w:rsidRDefault="00A91885">
            <w:pPr>
              <w:jc w:val="right"/>
              <w:rPr>
                <w:rFonts w:ascii="宋体"/>
              </w:rPr>
            </w:pPr>
          </w:p>
        </w:tc>
      </w:tr>
      <w:tr w:rsidR="00A91885" w14:paraId="185FF295" w14:textId="77777777">
        <w:trPr>
          <w:jc w:val="center"/>
          <w:hidden/>
        </w:trPr>
        <w:tc>
          <w:tcPr>
            <w:tcW w:w="0" w:type="auto"/>
            <w:gridSpan w:val="3"/>
            <w:shd w:val="clear" w:color="auto" w:fill="auto"/>
            <w:vAlign w:val="bottom"/>
          </w:tcPr>
          <w:p w14:paraId="185FF291" w14:textId="77777777" w:rsidR="00A91885" w:rsidRDefault="00A91885">
            <w:pPr>
              <w:rPr>
                <w:rFonts w:ascii="宋体"/>
                <w:vanish/>
              </w:rPr>
            </w:pPr>
          </w:p>
        </w:tc>
        <w:tc>
          <w:tcPr>
            <w:tcW w:w="0" w:type="auto"/>
            <w:gridSpan w:val="3"/>
            <w:shd w:val="clear" w:color="auto" w:fill="auto"/>
            <w:vAlign w:val="bottom"/>
          </w:tcPr>
          <w:p w14:paraId="185FF292" w14:textId="77777777" w:rsidR="00A91885" w:rsidRDefault="00A91885">
            <w:pPr>
              <w:rPr>
                <w:rFonts w:ascii="宋体"/>
                <w:vanish/>
              </w:rPr>
            </w:pPr>
          </w:p>
        </w:tc>
        <w:tc>
          <w:tcPr>
            <w:tcW w:w="0" w:type="auto"/>
            <w:gridSpan w:val="3"/>
            <w:shd w:val="clear" w:color="auto" w:fill="auto"/>
            <w:vAlign w:val="bottom"/>
          </w:tcPr>
          <w:p w14:paraId="185FF293" w14:textId="77777777" w:rsidR="00A91885" w:rsidRDefault="00A91885">
            <w:pPr>
              <w:rPr>
                <w:rFonts w:ascii="宋体"/>
                <w:vanish/>
              </w:rPr>
            </w:pPr>
          </w:p>
        </w:tc>
        <w:tc>
          <w:tcPr>
            <w:tcW w:w="0" w:type="auto"/>
            <w:gridSpan w:val="3"/>
            <w:shd w:val="clear" w:color="auto" w:fill="auto"/>
            <w:vAlign w:val="bottom"/>
          </w:tcPr>
          <w:p w14:paraId="185FF294" w14:textId="77777777" w:rsidR="00A91885" w:rsidRDefault="00A91885">
            <w:pPr>
              <w:rPr>
                <w:rFonts w:ascii="宋体"/>
                <w:vanish/>
              </w:rPr>
            </w:pPr>
          </w:p>
        </w:tc>
      </w:tr>
      <w:tr w:rsidR="00A91885" w14:paraId="185FF29A" w14:textId="77777777">
        <w:trPr>
          <w:jc w:val="center"/>
          <w:hidden/>
        </w:trPr>
        <w:tc>
          <w:tcPr>
            <w:tcW w:w="0" w:type="auto"/>
            <w:gridSpan w:val="3"/>
            <w:shd w:val="clear" w:color="auto" w:fill="auto"/>
            <w:vAlign w:val="bottom"/>
          </w:tcPr>
          <w:p w14:paraId="185FF296" w14:textId="77777777" w:rsidR="00A91885" w:rsidRDefault="00A91885">
            <w:pPr>
              <w:rPr>
                <w:rFonts w:ascii="宋体"/>
                <w:vanish/>
              </w:rPr>
            </w:pPr>
          </w:p>
        </w:tc>
        <w:tc>
          <w:tcPr>
            <w:tcW w:w="0" w:type="auto"/>
            <w:gridSpan w:val="3"/>
            <w:shd w:val="clear" w:color="auto" w:fill="auto"/>
            <w:vAlign w:val="bottom"/>
          </w:tcPr>
          <w:p w14:paraId="185FF297" w14:textId="77777777" w:rsidR="00A91885" w:rsidRDefault="00A91885">
            <w:pPr>
              <w:rPr>
                <w:rFonts w:ascii="宋体"/>
                <w:vanish/>
              </w:rPr>
            </w:pPr>
          </w:p>
        </w:tc>
        <w:tc>
          <w:tcPr>
            <w:tcW w:w="0" w:type="auto"/>
            <w:gridSpan w:val="3"/>
            <w:shd w:val="clear" w:color="auto" w:fill="auto"/>
            <w:vAlign w:val="bottom"/>
          </w:tcPr>
          <w:p w14:paraId="185FF298" w14:textId="77777777" w:rsidR="00A91885" w:rsidRDefault="00A91885">
            <w:pPr>
              <w:rPr>
                <w:rFonts w:ascii="宋体"/>
                <w:vanish/>
              </w:rPr>
            </w:pPr>
          </w:p>
        </w:tc>
        <w:tc>
          <w:tcPr>
            <w:tcW w:w="0" w:type="auto"/>
            <w:gridSpan w:val="3"/>
            <w:shd w:val="clear" w:color="auto" w:fill="auto"/>
            <w:vAlign w:val="bottom"/>
          </w:tcPr>
          <w:p w14:paraId="185FF299" w14:textId="77777777" w:rsidR="00A91885" w:rsidRDefault="00A91885">
            <w:pPr>
              <w:rPr>
                <w:rFonts w:ascii="宋体"/>
                <w:vanish/>
              </w:rPr>
            </w:pPr>
          </w:p>
        </w:tc>
      </w:tr>
      <w:tr w:rsidR="00A91885" w14:paraId="185FF2A1" w14:textId="77777777">
        <w:trPr>
          <w:jc w:val="center"/>
        </w:trPr>
        <w:tc>
          <w:tcPr>
            <w:tcW w:w="0" w:type="auto"/>
            <w:gridSpan w:val="3"/>
            <w:shd w:val="clear" w:color="auto" w:fill="FFFFFF"/>
            <w:tcMar>
              <w:top w:w="40" w:type="dxa"/>
              <w:left w:w="965" w:type="dxa"/>
              <w:bottom w:w="40" w:type="dxa"/>
              <w:right w:w="20" w:type="dxa"/>
            </w:tcMar>
            <w:vAlign w:val="bottom"/>
          </w:tcPr>
          <w:p w14:paraId="185FF29B" w14:textId="77777777" w:rsidR="00A91885" w:rsidRDefault="009C4196">
            <w:pPr>
              <w:textAlignment w:val="bottom"/>
            </w:pPr>
            <w:r>
              <w:rPr>
                <w:rFonts w:ascii="Arial" w:eastAsia="宋体" w:hAnsi="Arial" w:cs="Arial"/>
                <w:color w:val="000000"/>
                <w:sz w:val="18"/>
                <w:szCs w:val="18"/>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29C" w14:textId="77777777" w:rsidR="00A91885" w:rsidRDefault="009C4196">
            <w:pPr>
              <w:jc w:val="right"/>
              <w:textAlignment w:val="bottom"/>
            </w:pPr>
            <w:r>
              <w:rPr>
                <w:rFonts w:ascii="Arial" w:eastAsia="宋体" w:hAnsi="Arial" w:cs="Arial"/>
                <w:color w:val="000000"/>
                <w:sz w:val="18"/>
                <w:szCs w:val="18"/>
              </w:rPr>
              <w:t>5,067 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29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29E"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29F" w14:textId="77777777" w:rsidR="00A91885" w:rsidRDefault="009C4196">
            <w:pPr>
              <w:jc w:val="right"/>
              <w:textAlignment w:val="bottom"/>
            </w:pPr>
            <w:r>
              <w:rPr>
                <w:rFonts w:ascii="Arial" w:eastAsia="宋体" w:hAnsi="Arial" w:cs="Arial"/>
                <w:color w:val="000000"/>
                <w:sz w:val="18"/>
                <w:szCs w:val="18"/>
              </w:rPr>
              <w:t>9,111 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2A0" w14:textId="77777777" w:rsidR="00A91885" w:rsidRDefault="00A91885">
            <w:pPr>
              <w:jc w:val="right"/>
              <w:rPr>
                <w:rFonts w:ascii="宋体"/>
              </w:rPr>
            </w:pPr>
          </w:p>
        </w:tc>
      </w:tr>
      <w:tr w:rsidR="00A91885" w14:paraId="185FF2A8" w14:textId="77777777">
        <w:trPr>
          <w:jc w:val="center"/>
        </w:trPr>
        <w:tc>
          <w:tcPr>
            <w:tcW w:w="0" w:type="auto"/>
            <w:gridSpan w:val="3"/>
            <w:shd w:val="clear" w:color="auto" w:fill="E2E2E2"/>
            <w:tcMar>
              <w:top w:w="40" w:type="dxa"/>
              <w:left w:w="20" w:type="dxa"/>
              <w:bottom w:w="40" w:type="dxa"/>
              <w:right w:w="20" w:type="dxa"/>
            </w:tcMar>
            <w:vAlign w:val="bottom"/>
          </w:tcPr>
          <w:p w14:paraId="185FF2A2" w14:textId="77777777" w:rsidR="00A91885" w:rsidRDefault="009C4196">
            <w:pPr>
              <w:textAlignment w:val="bottom"/>
            </w:pPr>
            <w:r>
              <w:rPr>
                <w:rFonts w:ascii="Arial" w:eastAsia="宋体" w:hAnsi="Arial" w:cs="Arial"/>
                <w:color w:val="000000"/>
                <w:sz w:val="18"/>
                <w:szCs w:val="18"/>
              </w:rPr>
              <w:t>Long-term investments</w:t>
            </w:r>
          </w:p>
        </w:tc>
        <w:tc>
          <w:tcPr>
            <w:tcW w:w="0" w:type="auto"/>
            <w:gridSpan w:val="2"/>
            <w:shd w:val="clear" w:color="auto" w:fill="E2E2E2"/>
            <w:tcMar>
              <w:top w:w="40" w:type="dxa"/>
              <w:left w:w="20" w:type="dxa"/>
              <w:bottom w:w="40" w:type="dxa"/>
              <w:right w:w="0" w:type="dxa"/>
            </w:tcMar>
            <w:vAlign w:val="bottom"/>
          </w:tcPr>
          <w:p w14:paraId="185FF2A3" w14:textId="77777777" w:rsidR="00A91885" w:rsidRDefault="009C4196">
            <w:pPr>
              <w:jc w:val="right"/>
              <w:textAlignment w:val="bottom"/>
            </w:pPr>
            <w:r>
              <w:rPr>
                <w:rFonts w:ascii="Arial" w:eastAsia="宋体" w:hAnsi="Arial" w:cs="Arial"/>
                <w:color w:val="000000"/>
                <w:sz w:val="18"/>
                <w:szCs w:val="18"/>
              </w:rPr>
              <w:t>2,146 </w:t>
            </w:r>
          </w:p>
        </w:tc>
        <w:tc>
          <w:tcPr>
            <w:tcW w:w="0" w:type="auto"/>
            <w:shd w:val="clear" w:color="auto" w:fill="E2E2E2"/>
            <w:tcMar>
              <w:top w:w="40" w:type="dxa"/>
              <w:left w:w="0" w:type="dxa"/>
              <w:bottom w:w="40" w:type="dxa"/>
              <w:right w:w="20" w:type="dxa"/>
            </w:tcMar>
            <w:vAlign w:val="bottom"/>
          </w:tcPr>
          <w:p w14:paraId="185FF2A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2A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2A6" w14:textId="77777777" w:rsidR="00A91885" w:rsidRDefault="009C4196">
            <w:pPr>
              <w:jc w:val="right"/>
              <w:textAlignment w:val="bottom"/>
            </w:pPr>
            <w:r>
              <w:rPr>
                <w:rFonts w:ascii="Arial" w:eastAsia="宋体" w:hAnsi="Arial" w:cs="Arial"/>
                <w:color w:val="000000"/>
                <w:sz w:val="18"/>
                <w:szCs w:val="18"/>
              </w:rPr>
              <w:t>2,575 </w:t>
            </w:r>
          </w:p>
        </w:tc>
        <w:tc>
          <w:tcPr>
            <w:tcW w:w="0" w:type="auto"/>
            <w:shd w:val="clear" w:color="auto" w:fill="E2E2E2"/>
            <w:tcMar>
              <w:top w:w="40" w:type="dxa"/>
              <w:left w:w="0" w:type="dxa"/>
              <w:bottom w:w="40" w:type="dxa"/>
              <w:right w:w="20" w:type="dxa"/>
            </w:tcMar>
            <w:vAlign w:val="bottom"/>
          </w:tcPr>
          <w:p w14:paraId="185FF2A7" w14:textId="77777777" w:rsidR="00A91885" w:rsidRDefault="00A91885">
            <w:pPr>
              <w:jc w:val="right"/>
              <w:rPr>
                <w:rFonts w:ascii="宋体"/>
              </w:rPr>
            </w:pPr>
          </w:p>
        </w:tc>
      </w:tr>
      <w:tr w:rsidR="00A91885" w14:paraId="185FF2AF" w14:textId="77777777">
        <w:trPr>
          <w:jc w:val="center"/>
        </w:trPr>
        <w:tc>
          <w:tcPr>
            <w:tcW w:w="0" w:type="auto"/>
            <w:gridSpan w:val="3"/>
            <w:shd w:val="clear" w:color="auto" w:fill="FFFFFF"/>
            <w:tcMar>
              <w:top w:w="40" w:type="dxa"/>
              <w:left w:w="20" w:type="dxa"/>
              <w:bottom w:w="40" w:type="dxa"/>
              <w:right w:w="20" w:type="dxa"/>
            </w:tcMar>
            <w:vAlign w:val="bottom"/>
          </w:tcPr>
          <w:p w14:paraId="185FF2A9" w14:textId="77777777" w:rsidR="00A91885" w:rsidRDefault="009C4196">
            <w:pPr>
              <w:textAlignment w:val="bottom"/>
            </w:pPr>
            <w:r>
              <w:rPr>
                <w:rFonts w:ascii="Arial" w:eastAsia="宋体" w:hAnsi="Arial" w:cs="Arial"/>
                <w:color w:val="000000"/>
                <w:sz w:val="18"/>
                <w:szCs w:val="18"/>
              </w:rPr>
              <w:t>Property and equipment, net</w:t>
            </w:r>
          </w:p>
        </w:tc>
        <w:tc>
          <w:tcPr>
            <w:tcW w:w="0" w:type="auto"/>
            <w:gridSpan w:val="2"/>
            <w:shd w:val="clear" w:color="auto" w:fill="FFFFFF"/>
            <w:tcMar>
              <w:top w:w="40" w:type="dxa"/>
              <w:left w:w="20" w:type="dxa"/>
              <w:bottom w:w="40" w:type="dxa"/>
              <w:right w:w="0" w:type="dxa"/>
            </w:tcMar>
            <w:vAlign w:val="bottom"/>
          </w:tcPr>
          <w:p w14:paraId="185FF2AA" w14:textId="77777777" w:rsidR="00A91885" w:rsidRDefault="009C4196">
            <w:pPr>
              <w:jc w:val="right"/>
              <w:textAlignment w:val="bottom"/>
            </w:pPr>
            <w:r>
              <w:rPr>
                <w:rFonts w:ascii="Arial" w:eastAsia="宋体" w:hAnsi="Arial" w:cs="Arial"/>
                <w:color w:val="000000"/>
                <w:sz w:val="18"/>
                <w:szCs w:val="18"/>
              </w:rPr>
              <w:t>1,173 </w:t>
            </w:r>
          </w:p>
        </w:tc>
        <w:tc>
          <w:tcPr>
            <w:tcW w:w="0" w:type="auto"/>
            <w:shd w:val="clear" w:color="auto" w:fill="FFFFFF"/>
            <w:tcMar>
              <w:top w:w="40" w:type="dxa"/>
              <w:left w:w="0" w:type="dxa"/>
              <w:bottom w:w="40" w:type="dxa"/>
              <w:right w:w="20" w:type="dxa"/>
            </w:tcMar>
            <w:vAlign w:val="bottom"/>
          </w:tcPr>
          <w:p w14:paraId="185FF2A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2A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2AD" w14:textId="77777777" w:rsidR="00A91885" w:rsidRDefault="009C4196">
            <w:pPr>
              <w:jc w:val="right"/>
              <w:textAlignment w:val="bottom"/>
            </w:pPr>
            <w:r>
              <w:rPr>
                <w:rFonts w:ascii="Arial" w:eastAsia="宋体" w:hAnsi="Arial" w:cs="Arial"/>
                <w:color w:val="000000"/>
                <w:sz w:val="18"/>
                <w:szCs w:val="18"/>
              </w:rPr>
              <w:t>1,236 </w:t>
            </w:r>
          </w:p>
        </w:tc>
        <w:tc>
          <w:tcPr>
            <w:tcW w:w="0" w:type="auto"/>
            <w:shd w:val="clear" w:color="auto" w:fill="FFFFFF"/>
            <w:tcMar>
              <w:top w:w="40" w:type="dxa"/>
              <w:left w:w="0" w:type="dxa"/>
              <w:bottom w:w="40" w:type="dxa"/>
              <w:right w:w="20" w:type="dxa"/>
            </w:tcMar>
            <w:vAlign w:val="bottom"/>
          </w:tcPr>
          <w:p w14:paraId="185FF2AE" w14:textId="77777777" w:rsidR="00A91885" w:rsidRDefault="00A91885">
            <w:pPr>
              <w:jc w:val="right"/>
              <w:rPr>
                <w:rFonts w:ascii="宋体"/>
              </w:rPr>
            </w:pPr>
          </w:p>
        </w:tc>
      </w:tr>
      <w:tr w:rsidR="00A91885" w14:paraId="185FF2B6" w14:textId="77777777">
        <w:trPr>
          <w:jc w:val="center"/>
        </w:trPr>
        <w:tc>
          <w:tcPr>
            <w:tcW w:w="0" w:type="auto"/>
            <w:gridSpan w:val="3"/>
            <w:shd w:val="clear" w:color="auto" w:fill="E2E2E2"/>
            <w:tcMar>
              <w:top w:w="40" w:type="dxa"/>
              <w:left w:w="20" w:type="dxa"/>
              <w:bottom w:w="40" w:type="dxa"/>
              <w:right w:w="20" w:type="dxa"/>
            </w:tcMar>
            <w:vAlign w:val="bottom"/>
          </w:tcPr>
          <w:p w14:paraId="185FF2B0" w14:textId="77777777" w:rsidR="00A91885" w:rsidRDefault="009C4196">
            <w:pPr>
              <w:textAlignment w:val="bottom"/>
            </w:pPr>
            <w:r>
              <w:rPr>
                <w:rFonts w:ascii="Arial" w:eastAsia="宋体" w:hAnsi="Arial" w:cs="Arial"/>
                <w:color w:val="000000"/>
                <w:sz w:val="18"/>
                <w:szCs w:val="18"/>
              </w:rPr>
              <w:t>Goodwill</w:t>
            </w:r>
          </w:p>
        </w:tc>
        <w:tc>
          <w:tcPr>
            <w:tcW w:w="0" w:type="auto"/>
            <w:gridSpan w:val="2"/>
            <w:shd w:val="clear" w:color="auto" w:fill="E2E2E2"/>
            <w:tcMar>
              <w:top w:w="40" w:type="dxa"/>
              <w:left w:w="20" w:type="dxa"/>
              <w:bottom w:w="40" w:type="dxa"/>
              <w:right w:w="0" w:type="dxa"/>
            </w:tcMar>
            <w:vAlign w:val="bottom"/>
          </w:tcPr>
          <w:p w14:paraId="185FF2B1" w14:textId="77777777" w:rsidR="00A91885" w:rsidRDefault="009C4196">
            <w:pPr>
              <w:jc w:val="right"/>
              <w:textAlignment w:val="bottom"/>
            </w:pPr>
            <w:r>
              <w:rPr>
                <w:rFonts w:ascii="Arial" w:eastAsia="宋体" w:hAnsi="Arial" w:cs="Arial"/>
                <w:color w:val="000000"/>
                <w:sz w:val="18"/>
                <w:szCs w:val="18"/>
              </w:rPr>
              <w:t>4,113 </w:t>
            </w:r>
          </w:p>
        </w:tc>
        <w:tc>
          <w:tcPr>
            <w:tcW w:w="0" w:type="auto"/>
            <w:shd w:val="clear" w:color="auto" w:fill="E2E2E2"/>
            <w:tcMar>
              <w:top w:w="40" w:type="dxa"/>
              <w:left w:w="0" w:type="dxa"/>
              <w:bottom w:w="40" w:type="dxa"/>
              <w:right w:w="20" w:type="dxa"/>
            </w:tcMar>
            <w:vAlign w:val="bottom"/>
          </w:tcPr>
          <w:p w14:paraId="185FF2B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2B3"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2B4" w14:textId="77777777" w:rsidR="00A91885" w:rsidRDefault="009C4196">
            <w:pPr>
              <w:jc w:val="right"/>
              <w:textAlignment w:val="bottom"/>
            </w:pPr>
            <w:r>
              <w:rPr>
                <w:rFonts w:ascii="Arial" w:eastAsia="宋体" w:hAnsi="Arial" w:cs="Arial"/>
                <w:color w:val="000000"/>
                <w:sz w:val="18"/>
                <w:szCs w:val="18"/>
              </w:rPr>
              <w:t>4,178 </w:t>
            </w:r>
          </w:p>
        </w:tc>
        <w:tc>
          <w:tcPr>
            <w:tcW w:w="0" w:type="auto"/>
            <w:shd w:val="clear" w:color="auto" w:fill="E2E2E2"/>
            <w:tcMar>
              <w:top w:w="40" w:type="dxa"/>
              <w:left w:w="0" w:type="dxa"/>
              <w:bottom w:w="40" w:type="dxa"/>
              <w:right w:w="20" w:type="dxa"/>
            </w:tcMar>
            <w:vAlign w:val="bottom"/>
          </w:tcPr>
          <w:p w14:paraId="185FF2B5" w14:textId="77777777" w:rsidR="00A91885" w:rsidRDefault="00A91885">
            <w:pPr>
              <w:jc w:val="right"/>
              <w:rPr>
                <w:rFonts w:ascii="宋体"/>
              </w:rPr>
            </w:pPr>
          </w:p>
        </w:tc>
      </w:tr>
      <w:tr w:rsidR="00A91885" w14:paraId="185FF2BD" w14:textId="77777777">
        <w:trPr>
          <w:jc w:val="center"/>
        </w:trPr>
        <w:tc>
          <w:tcPr>
            <w:tcW w:w="0" w:type="auto"/>
            <w:gridSpan w:val="3"/>
            <w:shd w:val="clear" w:color="auto" w:fill="FFFFFF"/>
            <w:tcMar>
              <w:top w:w="40" w:type="dxa"/>
              <w:left w:w="20" w:type="dxa"/>
              <w:bottom w:w="40" w:type="dxa"/>
              <w:right w:w="20" w:type="dxa"/>
            </w:tcMar>
            <w:vAlign w:val="bottom"/>
          </w:tcPr>
          <w:p w14:paraId="185FF2B7" w14:textId="77777777" w:rsidR="00A91885" w:rsidRDefault="009C4196">
            <w:pPr>
              <w:textAlignment w:val="bottom"/>
            </w:pPr>
            <w:r>
              <w:rPr>
                <w:rFonts w:ascii="Arial" w:eastAsia="宋体" w:hAnsi="Arial" w:cs="Arial"/>
                <w:color w:val="000000"/>
                <w:sz w:val="18"/>
                <w:szCs w:val="18"/>
              </w:rPr>
              <w:t>Operating lease right-of-use assets</w:t>
            </w:r>
          </w:p>
        </w:tc>
        <w:tc>
          <w:tcPr>
            <w:tcW w:w="0" w:type="auto"/>
            <w:gridSpan w:val="2"/>
            <w:shd w:val="clear" w:color="auto" w:fill="FFFFFF"/>
            <w:tcMar>
              <w:top w:w="40" w:type="dxa"/>
              <w:left w:w="20" w:type="dxa"/>
              <w:bottom w:w="40" w:type="dxa"/>
              <w:right w:w="0" w:type="dxa"/>
            </w:tcMar>
            <w:vAlign w:val="bottom"/>
          </w:tcPr>
          <w:p w14:paraId="185FF2B8" w14:textId="77777777" w:rsidR="00A91885" w:rsidRDefault="009C4196">
            <w:pPr>
              <w:jc w:val="right"/>
              <w:textAlignment w:val="bottom"/>
            </w:pPr>
            <w:r>
              <w:rPr>
                <w:rFonts w:ascii="Arial" w:eastAsia="宋体" w:hAnsi="Arial" w:cs="Arial"/>
                <w:color w:val="000000"/>
                <w:sz w:val="18"/>
                <w:szCs w:val="18"/>
              </w:rPr>
              <w:t>541 </w:t>
            </w:r>
          </w:p>
        </w:tc>
        <w:tc>
          <w:tcPr>
            <w:tcW w:w="0" w:type="auto"/>
            <w:shd w:val="clear" w:color="auto" w:fill="FFFFFF"/>
            <w:tcMar>
              <w:top w:w="40" w:type="dxa"/>
              <w:left w:w="0" w:type="dxa"/>
              <w:bottom w:w="40" w:type="dxa"/>
              <w:right w:w="20" w:type="dxa"/>
            </w:tcMar>
            <w:vAlign w:val="bottom"/>
          </w:tcPr>
          <w:p w14:paraId="185FF2B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2B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2BB" w14:textId="77777777" w:rsidR="00A91885" w:rsidRDefault="009C4196">
            <w:pPr>
              <w:jc w:val="right"/>
              <w:textAlignment w:val="bottom"/>
            </w:pPr>
            <w:r>
              <w:rPr>
                <w:rFonts w:ascii="Arial" w:eastAsia="宋体" w:hAnsi="Arial" w:cs="Arial"/>
                <w:color w:val="000000"/>
                <w:sz w:val="18"/>
                <w:szCs w:val="18"/>
              </w:rPr>
              <w:t>289 </w:t>
            </w:r>
          </w:p>
        </w:tc>
        <w:tc>
          <w:tcPr>
            <w:tcW w:w="0" w:type="auto"/>
            <w:shd w:val="clear" w:color="auto" w:fill="FFFFFF"/>
            <w:tcMar>
              <w:top w:w="40" w:type="dxa"/>
              <w:left w:w="0" w:type="dxa"/>
              <w:bottom w:w="40" w:type="dxa"/>
              <w:right w:w="20" w:type="dxa"/>
            </w:tcMar>
            <w:vAlign w:val="bottom"/>
          </w:tcPr>
          <w:p w14:paraId="185FF2BC" w14:textId="77777777" w:rsidR="00A91885" w:rsidRDefault="00A91885">
            <w:pPr>
              <w:jc w:val="right"/>
              <w:rPr>
                <w:rFonts w:ascii="宋体"/>
              </w:rPr>
            </w:pPr>
          </w:p>
        </w:tc>
      </w:tr>
      <w:tr w:rsidR="00A91885" w14:paraId="185FF2C4" w14:textId="77777777">
        <w:trPr>
          <w:jc w:val="center"/>
        </w:trPr>
        <w:tc>
          <w:tcPr>
            <w:tcW w:w="0" w:type="auto"/>
            <w:gridSpan w:val="3"/>
            <w:shd w:val="clear" w:color="auto" w:fill="E2E2E2"/>
            <w:tcMar>
              <w:top w:w="40" w:type="dxa"/>
              <w:left w:w="20" w:type="dxa"/>
              <w:bottom w:w="40" w:type="dxa"/>
              <w:right w:w="20" w:type="dxa"/>
            </w:tcMar>
            <w:vAlign w:val="bottom"/>
          </w:tcPr>
          <w:p w14:paraId="185FF2BE" w14:textId="77777777" w:rsidR="00A91885" w:rsidRDefault="009C4196">
            <w:pPr>
              <w:textAlignment w:val="bottom"/>
            </w:pPr>
            <w:r>
              <w:rPr>
                <w:rFonts w:ascii="Arial" w:eastAsia="宋体" w:hAnsi="Arial" w:cs="Arial"/>
                <w:color w:val="000000"/>
                <w:sz w:val="18"/>
                <w:szCs w:val="18"/>
              </w:rPr>
              <w:t>Deferred tax assets</w:t>
            </w:r>
          </w:p>
        </w:tc>
        <w:tc>
          <w:tcPr>
            <w:tcW w:w="0" w:type="auto"/>
            <w:gridSpan w:val="2"/>
            <w:shd w:val="clear" w:color="auto" w:fill="E2E2E2"/>
            <w:tcMar>
              <w:top w:w="40" w:type="dxa"/>
              <w:left w:w="20" w:type="dxa"/>
              <w:bottom w:w="40" w:type="dxa"/>
              <w:right w:w="0" w:type="dxa"/>
            </w:tcMar>
            <w:vAlign w:val="bottom"/>
          </w:tcPr>
          <w:p w14:paraId="185FF2BF" w14:textId="77777777" w:rsidR="00A91885" w:rsidRDefault="009C4196">
            <w:pPr>
              <w:jc w:val="right"/>
              <w:textAlignment w:val="bottom"/>
            </w:pPr>
            <w:r>
              <w:rPr>
                <w:rFonts w:ascii="Arial" w:eastAsia="宋体" w:hAnsi="Arial" w:cs="Arial"/>
                <w:color w:val="000000"/>
                <w:sz w:val="18"/>
                <w:szCs w:val="18"/>
              </w:rPr>
              <w:t>3,227 </w:t>
            </w:r>
          </w:p>
        </w:tc>
        <w:tc>
          <w:tcPr>
            <w:tcW w:w="0" w:type="auto"/>
            <w:shd w:val="clear" w:color="auto" w:fill="E2E2E2"/>
            <w:tcMar>
              <w:top w:w="40" w:type="dxa"/>
              <w:left w:w="0" w:type="dxa"/>
              <w:bottom w:w="40" w:type="dxa"/>
              <w:right w:w="20" w:type="dxa"/>
            </w:tcMar>
            <w:vAlign w:val="bottom"/>
          </w:tcPr>
          <w:p w14:paraId="185FF2C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2C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2C2" w14:textId="77777777" w:rsidR="00A91885" w:rsidRDefault="009C4196">
            <w:pPr>
              <w:jc w:val="right"/>
              <w:textAlignment w:val="bottom"/>
            </w:pPr>
            <w:r>
              <w:rPr>
                <w:rFonts w:ascii="Arial" w:eastAsia="宋体" w:hAnsi="Arial" w:cs="Arial"/>
                <w:color w:val="000000"/>
                <w:sz w:val="18"/>
                <w:szCs w:val="18"/>
              </w:rPr>
              <w:t>3,255 </w:t>
            </w:r>
          </w:p>
        </w:tc>
        <w:tc>
          <w:tcPr>
            <w:tcW w:w="0" w:type="auto"/>
            <w:shd w:val="clear" w:color="auto" w:fill="E2E2E2"/>
            <w:tcMar>
              <w:top w:w="40" w:type="dxa"/>
              <w:left w:w="0" w:type="dxa"/>
              <w:bottom w:w="40" w:type="dxa"/>
              <w:right w:w="20" w:type="dxa"/>
            </w:tcMar>
            <w:vAlign w:val="bottom"/>
          </w:tcPr>
          <w:p w14:paraId="185FF2C3" w14:textId="77777777" w:rsidR="00A91885" w:rsidRDefault="00A91885">
            <w:pPr>
              <w:jc w:val="right"/>
              <w:rPr>
                <w:rFonts w:ascii="宋体"/>
              </w:rPr>
            </w:pPr>
          </w:p>
        </w:tc>
      </w:tr>
      <w:tr w:rsidR="00A91885" w14:paraId="185FF2CB" w14:textId="77777777">
        <w:trPr>
          <w:jc w:val="center"/>
        </w:trPr>
        <w:tc>
          <w:tcPr>
            <w:tcW w:w="0" w:type="auto"/>
            <w:gridSpan w:val="3"/>
            <w:shd w:val="clear" w:color="auto" w:fill="FFFFFF"/>
            <w:tcMar>
              <w:top w:w="40" w:type="dxa"/>
              <w:left w:w="20" w:type="dxa"/>
              <w:bottom w:w="40" w:type="dxa"/>
              <w:right w:w="20" w:type="dxa"/>
            </w:tcMar>
            <w:vAlign w:val="bottom"/>
          </w:tcPr>
          <w:p w14:paraId="185FF2C5" w14:textId="77777777" w:rsidR="00A91885" w:rsidRDefault="009C4196">
            <w:pPr>
              <w:textAlignment w:val="bottom"/>
            </w:pPr>
            <w:r>
              <w:rPr>
                <w:rFonts w:ascii="Arial" w:eastAsia="宋体" w:hAnsi="Arial" w:cs="Arial"/>
                <w:color w:val="000000"/>
                <w:sz w:val="18"/>
                <w:szCs w:val="18"/>
              </w:rPr>
              <w:t>Equity investment in Adevinta</w:t>
            </w:r>
          </w:p>
        </w:tc>
        <w:tc>
          <w:tcPr>
            <w:tcW w:w="0" w:type="auto"/>
            <w:gridSpan w:val="2"/>
            <w:shd w:val="clear" w:color="auto" w:fill="FFFFFF"/>
            <w:tcMar>
              <w:top w:w="40" w:type="dxa"/>
              <w:left w:w="20" w:type="dxa"/>
              <w:bottom w:w="40" w:type="dxa"/>
              <w:right w:w="0" w:type="dxa"/>
            </w:tcMar>
            <w:vAlign w:val="bottom"/>
          </w:tcPr>
          <w:p w14:paraId="185FF2C6" w14:textId="77777777" w:rsidR="00A91885" w:rsidRDefault="009C4196">
            <w:pPr>
              <w:jc w:val="right"/>
              <w:textAlignment w:val="bottom"/>
            </w:pPr>
            <w:r>
              <w:rPr>
                <w:rFonts w:ascii="Arial" w:eastAsia="宋体" w:hAnsi="Arial" w:cs="Arial"/>
                <w:color w:val="000000"/>
                <w:sz w:val="18"/>
                <w:szCs w:val="18"/>
              </w:rPr>
              <w:t>2,919 </w:t>
            </w:r>
          </w:p>
        </w:tc>
        <w:tc>
          <w:tcPr>
            <w:tcW w:w="0" w:type="auto"/>
            <w:shd w:val="clear" w:color="auto" w:fill="FFFFFF"/>
            <w:tcMar>
              <w:top w:w="40" w:type="dxa"/>
              <w:left w:w="0" w:type="dxa"/>
              <w:bottom w:w="40" w:type="dxa"/>
              <w:right w:w="20" w:type="dxa"/>
            </w:tcMar>
            <w:vAlign w:val="bottom"/>
          </w:tcPr>
          <w:p w14:paraId="185FF2C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2C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2C9" w14:textId="77777777" w:rsidR="00A91885" w:rsidRDefault="009C4196">
            <w:pPr>
              <w:jc w:val="right"/>
              <w:textAlignment w:val="bottom"/>
            </w:pPr>
            <w:r>
              <w:rPr>
                <w:rFonts w:ascii="Arial" w:eastAsia="宋体" w:hAnsi="Arial" w:cs="Arial"/>
                <w:color w:val="000000"/>
                <w:sz w:val="18"/>
                <w:szCs w:val="18"/>
              </w:rPr>
              <w:t>5,391 </w:t>
            </w:r>
          </w:p>
        </w:tc>
        <w:tc>
          <w:tcPr>
            <w:tcW w:w="0" w:type="auto"/>
            <w:shd w:val="clear" w:color="auto" w:fill="FFFFFF"/>
            <w:tcMar>
              <w:top w:w="40" w:type="dxa"/>
              <w:left w:w="0" w:type="dxa"/>
              <w:bottom w:w="40" w:type="dxa"/>
              <w:right w:w="20" w:type="dxa"/>
            </w:tcMar>
            <w:vAlign w:val="bottom"/>
          </w:tcPr>
          <w:p w14:paraId="185FF2CA" w14:textId="77777777" w:rsidR="00A91885" w:rsidRDefault="00A91885">
            <w:pPr>
              <w:jc w:val="right"/>
              <w:rPr>
                <w:rFonts w:ascii="宋体"/>
              </w:rPr>
            </w:pPr>
          </w:p>
        </w:tc>
      </w:tr>
      <w:tr w:rsidR="00A91885" w14:paraId="185FF2D0" w14:textId="77777777">
        <w:trPr>
          <w:jc w:val="center"/>
          <w:hidden/>
        </w:trPr>
        <w:tc>
          <w:tcPr>
            <w:tcW w:w="0" w:type="auto"/>
            <w:gridSpan w:val="3"/>
            <w:shd w:val="clear" w:color="auto" w:fill="auto"/>
            <w:vAlign w:val="bottom"/>
          </w:tcPr>
          <w:p w14:paraId="185FF2CC" w14:textId="77777777" w:rsidR="00A91885" w:rsidRDefault="00A91885">
            <w:pPr>
              <w:rPr>
                <w:rFonts w:ascii="宋体"/>
                <w:vanish/>
              </w:rPr>
            </w:pPr>
          </w:p>
        </w:tc>
        <w:tc>
          <w:tcPr>
            <w:tcW w:w="0" w:type="auto"/>
            <w:gridSpan w:val="3"/>
            <w:shd w:val="clear" w:color="auto" w:fill="auto"/>
            <w:vAlign w:val="bottom"/>
          </w:tcPr>
          <w:p w14:paraId="185FF2CD" w14:textId="77777777" w:rsidR="00A91885" w:rsidRDefault="00A91885">
            <w:pPr>
              <w:rPr>
                <w:rFonts w:ascii="宋体"/>
                <w:vanish/>
              </w:rPr>
            </w:pPr>
          </w:p>
        </w:tc>
        <w:tc>
          <w:tcPr>
            <w:tcW w:w="0" w:type="auto"/>
            <w:gridSpan w:val="3"/>
            <w:shd w:val="clear" w:color="auto" w:fill="auto"/>
            <w:vAlign w:val="bottom"/>
          </w:tcPr>
          <w:p w14:paraId="185FF2CE" w14:textId="77777777" w:rsidR="00A91885" w:rsidRDefault="00A91885">
            <w:pPr>
              <w:rPr>
                <w:rFonts w:ascii="宋体"/>
                <w:vanish/>
              </w:rPr>
            </w:pPr>
          </w:p>
        </w:tc>
        <w:tc>
          <w:tcPr>
            <w:tcW w:w="0" w:type="auto"/>
            <w:gridSpan w:val="3"/>
            <w:shd w:val="clear" w:color="auto" w:fill="auto"/>
            <w:vAlign w:val="bottom"/>
          </w:tcPr>
          <w:p w14:paraId="185FF2CF" w14:textId="77777777" w:rsidR="00A91885" w:rsidRDefault="00A91885">
            <w:pPr>
              <w:rPr>
                <w:rFonts w:ascii="宋体"/>
                <w:vanish/>
              </w:rPr>
            </w:pPr>
          </w:p>
        </w:tc>
      </w:tr>
      <w:tr w:rsidR="00A91885" w14:paraId="185FF2D7" w14:textId="77777777">
        <w:trPr>
          <w:jc w:val="center"/>
        </w:trPr>
        <w:tc>
          <w:tcPr>
            <w:tcW w:w="0" w:type="auto"/>
            <w:gridSpan w:val="3"/>
            <w:shd w:val="clear" w:color="auto" w:fill="E2E2E2"/>
            <w:tcMar>
              <w:top w:w="40" w:type="dxa"/>
              <w:left w:w="20" w:type="dxa"/>
              <w:bottom w:w="40" w:type="dxa"/>
              <w:right w:w="20" w:type="dxa"/>
            </w:tcMar>
            <w:vAlign w:val="bottom"/>
          </w:tcPr>
          <w:p w14:paraId="185FF2D1" w14:textId="77777777" w:rsidR="00A91885" w:rsidRDefault="009C4196">
            <w:pPr>
              <w:textAlignment w:val="bottom"/>
            </w:pPr>
            <w:r>
              <w:rPr>
                <w:rFonts w:ascii="Arial" w:eastAsia="宋体" w:hAnsi="Arial" w:cs="Arial"/>
                <w:color w:val="000000"/>
                <w:sz w:val="18"/>
                <w:szCs w:val="18"/>
              </w:rPr>
              <w:t>Other assets</w:t>
            </w:r>
          </w:p>
        </w:tc>
        <w:tc>
          <w:tcPr>
            <w:tcW w:w="0" w:type="auto"/>
            <w:gridSpan w:val="2"/>
            <w:shd w:val="clear" w:color="auto" w:fill="E2E2E2"/>
            <w:tcMar>
              <w:top w:w="40" w:type="dxa"/>
              <w:left w:w="20" w:type="dxa"/>
              <w:bottom w:w="40" w:type="dxa"/>
              <w:right w:w="0" w:type="dxa"/>
            </w:tcMar>
            <w:vAlign w:val="bottom"/>
          </w:tcPr>
          <w:p w14:paraId="185FF2D2" w14:textId="77777777" w:rsidR="00A91885" w:rsidRDefault="009C4196">
            <w:pPr>
              <w:jc w:val="right"/>
              <w:textAlignment w:val="bottom"/>
            </w:pPr>
            <w:r>
              <w:rPr>
                <w:rFonts w:ascii="Arial" w:eastAsia="宋体" w:hAnsi="Arial" w:cs="Arial"/>
                <w:color w:val="000000"/>
                <w:sz w:val="18"/>
                <w:szCs w:val="18"/>
              </w:rPr>
              <w:t>467 </w:t>
            </w:r>
          </w:p>
        </w:tc>
        <w:tc>
          <w:tcPr>
            <w:tcW w:w="0" w:type="auto"/>
            <w:shd w:val="clear" w:color="auto" w:fill="E2E2E2"/>
            <w:tcMar>
              <w:top w:w="40" w:type="dxa"/>
              <w:left w:w="0" w:type="dxa"/>
              <w:bottom w:w="40" w:type="dxa"/>
              <w:right w:w="20" w:type="dxa"/>
            </w:tcMar>
            <w:vAlign w:val="bottom"/>
          </w:tcPr>
          <w:p w14:paraId="185FF2D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2D4"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2D5" w14:textId="77777777" w:rsidR="00A91885" w:rsidRDefault="009C4196">
            <w:pPr>
              <w:jc w:val="right"/>
              <w:textAlignment w:val="bottom"/>
            </w:pPr>
            <w:r>
              <w:rPr>
                <w:rFonts w:ascii="Arial" w:eastAsia="宋体" w:hAnsi="Arial" w:cs="Arial"/>
                <w:color w:val="000000"/>
                <w:sz w:val="18"/>
                <w:szCs w:val="18"/>
              </w:rPr>
              <w:t>591 </w:t>
            </w:r>
          </w:p>
        </w:tc>
        <w:tc>
          <w:tcPr>
            <w:tcW w:w="0" w:type="auto"/>
            <w:shd w:val="clear" w:color="auto" w:fill="E2E2E2"/>
            <w:tcMar>
              <w:top w:w="40" w:type="dxa"/>
              <w:left w:w="0" w:type="dxa"/>
              <w:bottom w:w="40" w:type="dxa"/>
              <w:right w:w="20" w:type="dxa"/>
            </w:tcMar>
            <w:vAlign w:val="bottom"/>
          </w:tcPr>
          <w:p w14:paraId="185FF2D6" w14:textId="77777777" w:rsidR="00A91885" w:rsidRDefault="00A91885">
            <w:pPr>
              <w:jc w:val="right"/>
              <w:rPr>
                <w:rFonts w:ascii="宋体"/>
              </w:rPr>
            </w:pPr>
          </w:p>
        </w:tc>
      </w:tr>
      <w:tr w:rsidR="00A91885" w14:paraId="185FF2DC" w14:textId="77777777">
        <w:trPr>
          <w:jc w:val="center"/>
          <w:hidden/>
        </w:trPr>
        <w:tc>
          <w:tcPr>
            <w:tcW w:w="0" w:type="auto"/>
            <w:gridSpan w:val="3"/>
            <w:shd w:val="clear" w:color="auto" w:fill="auto"/>
            <w:vAlign w:val="bottom"/>
          </w:tcPr>
          <w:p w14:paraId="185FF2D8" w14:textId="77777777" w:rsidR="00A91885" w:rsidRDefault="00A91885">
            <w:pPr>
              <w:rPr>
                <w:rFonts w:ascii="宋体"/>
                <w:vanish/>
              </w:rPr>
            </w:pPr>
          </w:p>
        </w:tc>
        <w:tc>
          <w:tcPr>
            <w:tcW w:w="0" w:type="auto"/>
            <w:gridSpan w:val="3"/>
            <w:shd w:val="clear" w:color="auto" w:fill="auto"/>
            <w:vAlign w:val="bottom"/>
          </w:tcPr>
          <w:p w14:paraId="185FF2D9" w14:textId="77777777" w:rsidR="00A91885" w:rsidRDefault="00A91885">
            <w:pPr>
              <w:rPr>
                <w:rFonts w:ascii="宋体"/>
                <w:vanish/>
              </w:rPr>
            </w:pPr>
          </w:p>
        </w:tc>
        <w:tc>
          <w:tcPr>
            <w:tcW w:w="0" w:type="auto"/>
            <w:gridSpan w:val="3"/>
            <w:shd w:val="clear" w:color="auto" w:fill="auto"/>
            <w:vAlign w:val="bottom"/>
          </w:tcPr>
          <w:p w14:paraId="185FF2DA" w14:textId="77777777" w:rsidR="00A91885" w:rsidRDefault="00A91885">
            <w:pPr>
              <w:rPr>
                <w:rFonts w:ascii="宋体"/>
                <w:vanish/>
              </w:rPr>
            </w:pPr>
          </w:p>
        </w:tc>
        <w:tc>
          <w:tcPr>
            <w:tcW w:w="0" w:type="auto"/>
            <w:gridSpan w:val="3"/>
            <w:shd w:val="clear" w:color="auto" w:fill="auto"/>
            <w:vAlign w:val="bottom"/>
          </w:tcPr>
          <w:p w14:paraId="185FF2DB" w14:textId="77777777" w:rsidR="00A91885" w:rsidRDefault="00A91885">
            <w:pPr>
              <w:rPr>
                <w:rFonts w:ascii="宋体"/>
                <w:vanish/>
              </w:rPr>
            </w:pPr>
          </w:p>
        </w:tc>
      </w:tr>
      <w:tr w:rsidR="00A91885" w14:paraId="185FF2E1" w14:textId="77777777">
        <w:trPr>
          <w:jc w:val="center"/>
          <w:hidden/>
        </w:trPr>
        <w:tc>
          <w:tcPr>
            <w:tcW w:w="0" w:type="auto"/>
            <w:gridSpan w:val="3"/>
            <w:shd w:val="clear" w:color="auto" w:fill="auto"/>
            <w:vAlign w:val="bottom"/>
          </w:tcPr>
          <w:p w14:paraId="185FF2DD" w14:textId="77777777" w:rsidR="00A91885" w:rsidRDefault="00A91885">
            <w:pPr>
              <w:rPr>
                <w:rFonts w:ascii="宋体"/>
                <w:vanish/>
              </w:rPr>
            </w:pPr>
          </w:p>
        </w:tc>
        <w:tc>
          <w:tcPr>
            <w:tcW w:w="0" w:type="auto"/>
            <w:gridSpan w:val="3"/>
            <w:shd w:val="clear" w:color="auto" w:fill="auto"/>
            <w:vAlign w:val="bottom"/>
          </w:tcPr>
          <w:p w14:paraId="185FF2DE" w14:textId="77777777" w:rsidR="00A91885" w:rsidRDefault="00A91885">
            <w:pPr>
              <w:rPr>
                <w:rFonts w:ascii="宋体"/>
                <w:vanish/>
              </w:rPr>
            </w:pPr>
          </w:p>
        </w:tc>
        <w:tc>
          <w:tcPr>
            <w:tcW w:w="0" w:type="auto"/>
            <w:gridSpan w:val="3"/>
            <w:shd w:val="clear" w:color="auto" w:fill="auto"/>
            <w:vAlign w:val="bottom"/>
          </w:tcPr>
          <w:p w14:paraId="185FF2DF" w14:textId="77777777" w:rsidR="00A91885" w:rsidRDefault="00A91885">
            <w:pPr>
              <w:rPr>
                <w:rFonts w:ascii="宋体"/>
                <w:vanish/>
              </w:rPr>
            </w:pPr>
          </w:p>
        </w:tc>
        <w:tc>
          <w:tcPr>
            <w:tcW w:w="0" w:type="auto"/>
            <w:gridSpan w:val="3"/>
            <w:shd w:val="clear" w:color="auto" w:fill="auto"/>
            <w:vAlign w:val="bottom"/>
          </w:tcPr>
          <w:p w14:paraId="185FF2E0" w14:textId="77777777" w:rsidR="00A91885" w:rsidRDefault="00A91885">
            <w:pPr>
              <w:rPr>
                <w:rFonts w:ascii="宋体"/>
                <w:vanish/>
              </w:rPr>
            </w:pPr>
          </w:p>
        </w:tc>
      </w:tr>
      <w:tr w:rsidR="00A91885" w14:paraId="185FF2EA" w14:textId="77777777">
        <w:trPr>
          <w:jc w:val="center"/>
        </w:trPr>
        <w:tc>
          <w:tcPr>
            <w:tcW w:w="0" w:type="auto"/>
            <w:gridSpan w:val="3"/>
            <w:shd w:val="clear" w:color="auto" w:fill="FFFFFF"/>
            <w:tcMar>
              <w:top w:w="40" w:type="dxa"/>
              <w:left w:w="965" w:type="dxa"/>
              <w:bottom w:w="40" w:type="dxa"/>
              <w:right w:w="20" w:type="dxa"/>
            </w:tcMar>
            <w:vAlign w:val="bottom"/>
          </w:tcPr>
          <w:p w14:paraId="185FF2E2" w14:textId="77777777" w:rsidR="00A91885" w:rsidRDefault="009C4196">
            <w:pPr>
              <w:textAlignment w:val="bottom"/>
            </w:pPr>
            <w:r>
              <w:rPr>
                <w:rFonts w:ascii="Arial" w:eastAsia="宋体" w:hAnsi="Arial" w:cs="Arial"/>
                <w:color w:val="000000"/>
                <w:sz w:val="18"/>
                <w:szCs w:val="18"/>
              </w:rPr>
              <w:t>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185FF2E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2E4" w14:textId="77777777" w:rsidR="00A91885" w:rsidRDefault="009C4196">
            <w:pPr>
              <w:jc w:val="right"/>
              <w:textAlignment w:val="bottom"/>
            </w:pPr>
            <w:r>
              <w:rPr>
                <w:rFonts w:ascii="Arial" w:eastAsia="宋体" w:hAnsi="Arial" w:cs="Arial"/>
                <w:color w:val="000000"/>
                <w:sz w:val="18"/>
                <w:szCs w:val="18"/>
              </w:rPr>
              <w:t>19,653 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2E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2E6"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5FF2E7"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2E8" w14:textId="77777777" w:rsidR="00A91885" w:rsidRDefault="009C4196">
            <w:pPr>
              <w:jc w:val="right"/>
              <w:textAlignment w:val="bottom"/>
            </w:pPr>
            <w:r>
              <w:rPr>
                <w:rFonts w:ascii="Arial" w:eastAsia="宋体" w:hAnsi="Arial" w:cs="Arial"/>
                <w:color w:val="000000"/>
                <w:sz w:val="18"/>
                <w:szCs w:val="18"/>
              </w:rPr>
              <w:t>26,626 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2E9" w14:textId="77777777" w:rsidR="00A91885" w:rsidRDefault="00A91885">
            <w:pPr>
              <w:jc w:val="right"/>
              <w:rPr>
                <w:rFonts w:ascii="宋体"/>
              </w:rPr>
            </w:pPr>
          </w:p>
        </w:tc>
      </w:tr>
      <w:tr w:rsidR="00A91885" w14:paraId="185FF2EF" w14:textId="77777777">
        <w:trPr>
          <w:jc w:val="center"/>
        </w:trPr>
        <w:tc>
          <w:tcPr>
            <w:tcW w:w="0" w:type="auto"/>
            <w:gridSpan w:val="3"/>
            <w:shd w:val="clear" w:color="auto" w:fill="E2E2E2"/>
            <w:tcMar>
              <w:top w:w="40" w:type="dxa"/>
              <w:left w:w="20" w:type="dxa"/>
              <w:bottom w:w="40" w:type="dxa"/>
              <w:right w:w="20" w:type="dxa"/>
            </w:tcMar>
            <w:vAlign w:val="bottom"/>
          </w:tcPr>
          <w:p w14:paraId="185FF2EB" w14:textId="77777777" w:rsidR="00A91885" w:rsidRDefault="009C4196">
            <w:pPr>
              <w:jc w:val="center"/>
              <w:textAlignment w:val="bottom"/>
            </w:pPr>
            <w:r>
              <w:rPr>
                <w:rFonts w:ascii="Arial" w:eastAsia="宋体" w:hAnsi="Arial" w:cs="Arial"/>
                <w:b/>
                <w:bCs/>
                <w:color w:val="000000"/>
                <w:sz w:val="18"/>
                <w:szCs w:val="18"/>
              </w:rPr>
              <w:t xml:space="preserve">LIABILITIES AND </w:t>
            </w:r>
            <w:r>
              <w:rPr>
                <w:rFonts w:ascii="Arial" w:eastAsia="宋体" w:hAnsi="Arial" w:cs="Arial"/>
                <w:b/>
                <w:bCs/>
                <w:color w:val="000000"/>
                <w:sz w:val="18"/>
                <w:szCs w:val="18"/>
              </w:rPr>
              <w:t>STOCKHOLDERS’ EQUITY</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2EC"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2ED"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2EE" w14:textId="77777777" w:rsidR="00A91885" w:rsidRDefault="00A91885">
            <w:pPr>
              <w:rPr>
                <w:rFonts w:ascii="宋体"/>
              </w:rPr>
            </w:pPr>
          </w:p>
        </w:tc>
      </w:tr>
      <w:tr w:rsidR="00A91885" w14:paraId="185FF2F4" w14:textId="77777777">
        <w:trPr>
          <w:jc w:val="center"/>
        </w:trPr>
        <w:tc>
          <w:tcPr>
            <w:tcW w:w="0" w:type="auto"/>
            <w:gridSpan w:val="3"/>
            <w:shd w:val="clear" w:color="auto" w:fill="FFFFFF"/>
            <w:tcMar>
              <w:top w:w="40" w:type="dxa"/>
              <w:left w:w="20" w:type="dxa"/>
              <w:bottom w:w="40" w:type="dxa"/>
              <w:right w:w="20" w:type="dxa"/>
            </w:tcMar>
            <w:vAlign w:val="bottom"/>
          </w:tcPr>
          <w:p w14:paraId="185FF2F0" w14:textId="77777777" w:rsidR="00A91885" w:rsidRDefault="009C4196">
            <w:pPr>
              <w:textAlignment w:val="bottom"/>
            </w:pPr>
            <w:r>
              <w:rPr>
                <w:rFonts w:ascii="Arial" w:eastAsia="宋体" w:hAnsi="Arial" w:cs="Arial"/>
                <w:color w:val="000000"/>
                <w:sz w:val="18"/>
                <w:szCs w:val="18"/>
              </w:rPr>
              <w:t>Current liabilities:</w:t>
            </w:r>
          </w:p>
        </w:tc>
        <w:tc>
          <w:tcPr>
            <w:tcW w:w="0" w:type="auto"/>
            <w:gridSpan w:val="3"/>
            <w:shd w:val="clear" w:color="auto" w:fill="FFFFFF"/>
            <w:tcMar>
              <w:top w:w="0" w:type="dxa"/>
              <w:left w:w="20" w:type="dxa"/>
              <w:bottom w:w="0" w:type="dxa"/>
              <w:right w:w="20" w:type="dxa"/>
            </w:tcMar>
            <w:vAlign w:val="bottom"/>
          </w:tcPr>
          <w:p w14:paraId="185FF2F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2F2"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2F3" w14:textId="77777777" w:rsidR="00A91885" w:rsidRDefault="00A91885">
            <w:pPr>
              <w:rPr>
                <w:rFonts w:ascii="宋体"/>
              </w:rPr>
            </w:pPr>
          </w:p>
        </w:tc>
      </w:tr>
      <w:tr w:rsidR="00A91885" w14:paraId="185FF2FD" w14:textId="77777777">
        <w:trPr>
          <w:jc w:val="center"/>
        </w:trPr>
        <w:tc>
          <w:tcPr>
            <w:tcW w:w="0" w:type="auto"/>
            <w:gridSpan w:val="3"/>
            <w:shd w:val="clear" w:color="auto" w:fill="E2E2E2"/>
            <w:tcMar>
              <w:top w:w="40" w:type="dxa"/>
              <w:left w:w="515" w:type="dxa"/>
              <w:bottom w:w="40" w:type="dxa"/>
              <w:right w:w="20" w:type="dxa"/>
            </w:tcMar>
            <w:vAlign w:val="bottom"/>
          </w:tcPr>
          <w:p w14:paraId="185FF2F5" w14:textId="77777777" w:rsidR="00A91885" w:rsidRDefault="009C4196">
            <w:pPr>
              <w:textAlignment w:val="bottom"/>
            </w:pPr>
            <w:r>
              <w:rPr>
                <w:rFonts w:ascii="Arial" w:eastAsia="宋体" w:hAnsi="Arial" w:cs="Arial"/>
                <w:color w:val="000000"/>
                <w:sz w:val="18"/>
                <w:szCs w:val="18"/>
              </w:rPr>
              <w:t>Short-term debt</w:t>
            </w:r>
          </w:p>
        </w:tc>
        <w:tc>
          <w:tcPr>
            <w:tcW w:w="0" w:type="auto"/>
            <w:shd w:val="clear" w:color="auto" w:fill="E2E2E2"/>
            <w:tcMar>
              <w:top w:w="40" w:type="dxa"/>
              <w:left w:w="20" w:type="dxa"/>
              <w:bottom w:w="40" w:type="dxa"/>
              <w:right w:w="0" w:type="dxa"/>
            </w:tcMar>
            <w:vAlign w:val="bottom"/>
          </w:tcPr>
          <w:p w14:paraId="185FF2F6"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2F7" w14:textId="77777777" w:rsidR="00A91885" w:rsidRDefault="009C4196">
            <w:pPr>
              <w:jc w:val="right"/>
              <w:textAlignment w:val="bottom"/>
            </w:pPr>
            <w:r>
              <w:rPr>
                <w:rFonts w:ascii="Arial" w:eastAsia="宋体" w:hAnsi="Arial" w:cs="Arial"/>
                <w:color w:val="000000"/>
                <w:sz w:val="18"/>
                <w:szCs w:val="18"/>
              </w:rPr>
              <w:t>1,149 </w:t>
            </w:r>
          </w:p>
        </w:tc>
        <w:tc>
          <w:tcPr>
            <w:tcW w:w="0" w:type="auto"/>
            <w:shd w:val="clear" w:color="auto" w:fill="E2E2E2"/>
            <w:tcMar>
              <w:top w:w="40" w:type="dxa"/>
              <w:left w:w="0" w:type="dxa"/>
              <w:bottom w:w="40" w:type="dxa"/>
              <w:right w:w="20" w:type="dxa"/>
            </w:tcMar>
            <w:vAlign w:val="bottom"/>
          </w:tcPr>
          <w:p w14:paraId="185FF2F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2F9"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5FF2FA"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2FB" w14:textId="77777777" w:rsidR="00A91885" w:rsidRDefault="009C4196">
            <w:pPr>
              <w:jc w:val="right"/>
              <w:textAlignment w:val="bottom"/>
            </w:pPr>
            <w:r>
              <w:rPr>
                <w:rFonts w:ascii="Arial" w:eastAsia="宋体" w:hAnsi="Arial" w:cs="Arial"/>
                <w:color w:val="000000"/>
                <w:sz w:val="18"/>
                <w:szCs w:val="18"/>
              </w:rPr>
              <w:t>1,355 </w:t>
            </w:r>
          </w:p>
        </w:tc>
        <w:tc>
          <w:tcPr>
            <w:tcW w:w="0" w:type="auto"/>
            <w:shd w:val="clear" w:color="auto" w:fill="E2E2E2"/>
            <w:tcMar>
              <w:top w:w="40" w:type="dxa"/>
              <w:left w:w="0" w:type="dxa"/>
              <w:bottom w:w="40" w:type="dxa"/>
              <w:right w:w="20" w:type="dxa"/>
            </w:tcMar>
            <w:vAlign w:val="bottom"/>
          </w:tcPr>
          <w:p w14:paraId="185FF2FC" w14:textId="77777777" w:rsidR="00A91885" w:rsidRDefault="00A91885">
            <w:pPr>
              <w:jc w:val="right"/>
              <w:rPr>
                <w:rFonts w:ascii="宋体"/>
              </w:rPr>
            </w:pPr>
          </w:p>
        </w:tc>
      </w:tr>
      <w:tr w:rsidR="00A91885" w14:paraId="185FF304" w14:textId="77777777">
        <w:trPr>
          <w:jc w:val="center"/>
        </w:trPr>
        <w:tc>
          <w:tcPr>
            <w:tcW w:w="0" w:type="auto"/>
            <w:gridSpan w:val="3"/>
            <w:shd w:val="clear" w:color="auto" w:fill="FFFFFF"/>
            <w:tcMar>
              <w:top w:w="40" w:type="dxa"/>
              <w:left w:w="515" w:type="dxa"/>
              <w:bottom w:w="40" w:type="dxa"/>
              <w:right w:w="20" w:type="dxa"/>
            </w:tcMar>
            <w:vAlign w:val="bottom"/>
          </w:tcPr>
          <w:p w14:paraId="185FF2FE" w14:textId="77777777" w:rsidR="00A91885" w:rsidRDefault="009C4196">
            <w:pPr>
              <w:textAlignment w:val="bottom"/>
            </w:pPr>
            <w:r>
              <w:rPr>
                <w:rFonts w:ascii="Arial" w:eastAsia="宋体" w:hAnsi="Arial" w:cs="Arial"/>
                <w:color w:val="000000"/>
                <w:sz w:val="18"/>
                <w:szCs w:val="18"/>
              </w:rPr>
              <w:t>Accounts payable</w:t>
            </w:r>
          </w:p>
        </w:tc>
        <w:tc>
          <w:tcPr>
            <w:tcW w:w="0" w:type="auto"/>
            <w:gridSpan w:val="2"/>
            <w:shd w:val="clear" w:color="auto" w:fill="FFFFFF"/>
            <w:tcMar>
              <w:top w:w="40" w:type="dxa"/>
              <w:left w:w="20" w:type="dxa"/>
              <w:bottom w:w="40" w:type="dxa"/>
              <w:right w:w="0" w:type="dxa"/>
            </w:tcMar>
            <w:vAlign w:val="bottom"/>
          </w:tcPr>
          <w:p w14:paraId="185FF2FF" w14:textId="77777777" w:rsidR="00A91885" w:rsidRDefault="009C4196">
            <w:pPr>
              <w:jc w:val="right"/>
              <w:textAlignment w:val="bottom"/>
            </w:pPr>
            <w:r>
              <w:rPr>
                <w:rFonts w:ascii="Arial" w:eastAsia="宋体" w:hAnsi="Arial" w:cs="Arial"/>
                <w:color w:val="000000"/>
                <w:sz w:val="18"/>
                <w:szCs w:val="18"/>
              </w:rPr>
              <w:t>249 </w:t>
            </w:r>
          </w:p>
        </w:tc>
        <w:tc>
          <w:tcPr>
            <w:tcW w:w="0" w:type="auto"/>
            <w:shd w:val="clear" w:color="auto" w:fill="FFFFFF"/>
            <w:tcMar>
              <w:top w:w="40" w:type="dxa"/>
              <w:left w:w="0" w:type="dxa"/>
              <w:bottom w:w="40" w:type="dxa"/>
              <w:right w:w="20" w:type="dxa"/>
            </w:tcMar>
            <w:vAlign w:val="bottom"/>
          </w:tcPr>
          <w:p w14:paraId="185FF30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30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302" w14:textId="77777777" w:rsidR="00A91885" w:rsidRDefault="009C4196">
            <w:pPr>
              <w:jc w:val="right"/>
              <w:textAlignment w:val="bottom"/>
            </w:pPr>
            <w:r>
              <w:rPr>
                <w:rFonts w:ascii="Arial" w:eastAsia="宋体" w:hAnsi="Arial" w:cs="Arial"/>
                <w:color w:val="000000"/>
                <w:sz w:val="18"/>
                <w:szCs w:val="18"/>
              </w:rPr>
              <w:t>262 </w:t>
            </w:r>
          </w:p>
        </w:tc>
        <w:tc>
          <w:tcPr>
            <w:tcW w:w="0" w:type="auto"/>
            <w:shd w:val="clear" w:color="auto" w:fill="FFFFFF"/>
            <w:tcMar>
              <w:top w:w="40" w:type="dxa"/>
              <w:left w:w="0" w:type="dxa"/>
              <w:bottom w:w="40" w:type="dxa"/>
              <w:right w:w="20" w:type="dxa"/>
            </w:tcMar>
            <w:vAlign w:val="bottom"/>
          </w:tcPr>
          <w:p w14:paraId="185FF303" w14:textId="77777777" w:rsidR="00A91885" w:rsidRDefault="00A91885">
            <w:pPr>
              <w:jc w:val="right"/>
              <w:rPr>
                <w:rFonts w:ascii="宋体"/>
              </w:rPr>
            </w:pPr>
          </w:p>
        </w:tc>
      </w:tr>
      <w:tr w:rsidR="00A91885" w14:paraId="185FF30B" w14:textId="77777777">
        <w:trPr>
          <w:jc w:val="center"/>
        </w:trPr>
        <w:tc>
          <w:tcPr>
            <w:tcW w:w="0" w:type="auto"/>
            <w:gridSpan w:val="3"/>
            <w:shd w:val="clear" w:color="auto" w:fill="E2E2E2"/>
            <w:tcMar>
              <w:top w:w="40" w:type="dxa"/>
              <w:left w:w="515" w:type="dxa"/>
              <w:bottom w:w="40" w:type="dxa"/>
              <w:right w:w="20" w:type="dxa"/>
            </w:tcMar>
            <w:vAlign w:val="bottom"/>
          </w:tcPr>
          <w:p w14:paraId="185FF305" w14:textId="77777777" w:rsidR="00A91885" w:rsidRDefault="009C4196">
            <w:pPr>
              <w:textAlignment w:val="bottom"/>
            </w:pPr>
            <w:r>
              <w:rPr>
                <w:rFonts w:ascii="Arial" w:eastAsia="宋体" w:hAnsi="Arial" w:cs="Arial"/>
                <w:color w:val="000000"/>
                <w:sz w:val="18"/>
                <w:szCs w:val="18"/>
              </w:rPr>
              <w:t>Customer accounts and funds payable</w:t>
            </w:r>
          </w:p>
        </w:tc>
        <w:tc>
          <w:tcPr>
            <w:tcW w:w="0" w:type="auto"/>
            <w:gridSpan w:val="2"/>
            <w:shd w:val="clear" w:color="auto" w:fill="E2E2E2"/>
            <w:tcMar>
              <w:top w:w="40" w:type="dxa"/>
              <w:left w:w="20" w:type="dxa"/>
              <w:bottom w:w="40" w:type="dxa"/>
              <w:right w:w="0" w:type="dxa"/>
            </w:tcMar>
            <w:vAlign w:val="bottom"/>
          </w:tcPr>
          <w:p w14:paraId="185FF306" w14:textId="77777777" w:rsidR="00A91885" w:rsidRDefault="009C4196">
            <w:pPr>
              <w:jc w:val="right"/>
              <w:textAlignment w:val="bottom"/>
            </w:pPr>
            <w:r>
              <w:rPr>
                <w:rFonts w:ascii="Arial" w:eastAsia="宋体" w:hAnsi="Arial" w:cs="Arial"/>
                <w:color w:val="000000"/>
                <w:sz w:val="18"/>
                <w:szCs w:val="18"/>
              </w:rPr>
              <w:t>604 </w:t>
            </w:r>
          </w:p>
        </w:tc>
        <w:tc>
          <w:tcPr>
            <w:tcW w:w="0" w:type="auto"/>
            <w:shd w:val="clear" w:color="auto" w:fill="E2E2E2"/>
            <w:tcMar>
              <w:top w:w="40" w:type="dxa"/>
              <w:left w:w="0" w:type="dxa"/>
              <w:bottom w:w="40" w:type="dxa"/>
              <w:right w:w="20" w:type="dxa"/>
            </w:tcMar>
            <w:vAlign w:val="bottom"/>
          </w:tcPr>
          <w:p w14:paraId="185FF30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30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309" w14:textId="77777777" w:rsidR="00A91885" w:rsidRDefault="009C4196">
            <w:pPr>
              <w:jc w:val="right"/>
              <w:textAlignment w:val="bottom"/>
            </w:pPr>
            <w:r>
              <w:rPr>
                <w:rFonts w:ascii="Arial" w:eastAsia="宋体" w:hAnsi="Arial" w:cs="Arial"/>
                <w:color w:val="000000"/>
                <w:sz w:val="18"/>
                <w:szCs w:val="18"/>
              </w:rPr>
              <w:t>707 </w:t>
            </w:r>
          </w:p>
        </w:tc>
        <w:tc>
          <w:tcPr>
            <w:tcW w:w="0" w:type="auto"/>
            <w:shd w:val="clear" w:color="auto" w:fill="E2E2E2"/>
            <w:tcMar>
              <w:top w:w="40" w:type="dxa"/>
              <w:left w:w="0" w:type="dxa"/>
              <w:bottom w:w="40" w:type="dxa"/>
              <w:right w:w="20" w:type="dxa"/>
            </w:tcMar>
            <w:vAlign w:val="bottom"/>
          </w:tcPr>
          <w:p w14:paraId="185FF30A" w14:textId="77777777" w:rsidR="00A91885" w:rsidRDefault="00A91885">
            <w:pPr>
              <w:jc w:val="right"/>
              <w:rPr>
                <w:rFonts w:ascii="宋体"/>
              </w:rPr>
            </w:pPr>
          </w:p>
        </w:tc>
      </w:tr>
      <w:tr w:rsidR="00A91885" w14:paraId="185FF312" w14:textId="77777777">
        <w:trPr>
          <w:jc w:val="center"/>
        </w:trPr>
        <w:tc>
          <w:tcPr>
            <w:tcW w:w="0" w:type="auto"/>
            <w:gridSpan w:val="3"/>
            <w:shd w:val="clear" w:color="auto" w:fill="FFFFFF"/>
            <w:tcMar>
              <w:top w:w="40" w:type="dxa"/>
              <w:left w:w="515" w:type="dxa"/>
              <w:bottom w:w="40" w:type="dxa"/>
              <w:right w:w="20" w:type="dxa"/>
            </w:tcMar>
            <w:vAlign w:val="bottom"/>
          </w:tcPr>
          <w:p w14:paraId="185FF30C" w14:textId="77777777" w:rsidR="00A91885" w:rsidRDefault="009C4196">
            <w:pPr>
              <w:textAlignment w:val="bottom"/>
            </w:pPr>
            <w:r>
              <w:rPr>
                <w:rFonts w:ascii="Arial" w:eastAsia="宋体" w:hAnsi="Arial" w:cs="Arial"/>
                <w:color w:val="000000"/>
                <w:sz w:val="18"/>
                <w:szCs w:val="18"/>
              </w:rPr>
              <w:t>Accrued expenses and other current liabilities</w:t>
            </w:r>
          </w:p>
        </w:tc>
        <w:tc>
          <w:tcPr>
            <w:tcW w:w="0" w:type="auto"/>
            <w:gridSpan w:val="2"/>
            <w:shd w:val="clear" w:color="auto" w:fill="FFFFFF"/>
            <w:tcMar>
              <w:top w:w="40" w:type="dxa"/>
              <w:left w:w="20" w:type="dxa"/>
              <w:bottom w:w="40" w:type="dxa"/>
              <w:right w:w="0" w:type="dxa"/>
            </w:tcMar>
            <w:vAlign w:val="bottom"/>
          </w:tcPr>
          <w:p w14:paraId="185FF30D" w14:textId="77777777" w:rsidR="00A91885" w:rsidRDefault="009C4196">
            <w:pPr>
              <w:jc w:val="right"/>
              <w:textAlignment w:val="bottom"/>
            </w:pPr>
            <w:r>
              <w:rPr>
                <w:rFonts w:ascii="Arial" w:eastAsia="宋体" w:hAnsi="Arial" w:cs="Arial"/>
                <w:color w:val="000000"/>
                <w:sz w:val="18"/>
                <w:szCs w:val="18"/>
              </w:rPr>
              <w:t>1,735 </w:t>
            </w:r>
          </w:p>
        </w:tc>
        <w:tc>
          <w:tcPr>
            <w:tcW w:w="0" w:type="auto"/>
            <w:shd w:val="clear" w:color="auto" w:fill="FFFFFF"/>
            <w:tcMar>
              <w:top w:w="40" w:type="dxa"/>
              <w:left w:w="0" w:type="dxa"/>
              <w:bottom w:w="40" w:type="dxa"/>
              <w:right w:w="20" w:type="dxa"/>
            </w:tcMar>
            <w:vAlign w:val="bottom"/>
          </w:tcPr>
          <w:p w14:paraId="185FF30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30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310" w14:textId="77777777" w:rsidR="00A91885" w:rsidRDefault="009C4196">
            <w:pPr>
              <w:jc w:val="right"/>
              <w:textAlignment w:val="bottom"/>
            </w:pPr>
            <w:r>
              <w:rPr>
                <w:rFonts w:ascii="Arial" w:eastAsia="宋体" w:hAnsi="Arial" w:cs="Arial"/>
                <w:color w:val="000000"/>
                <w:sz w:val="18"/>
                <w:szCs w:val="18"/>
              </w:rPr>
              <w:t>1,927 </w:t>
            </w:r>
          </w:p>
        </w:tc>
        <w:tc>
          <w:tcPr>
            <w:tcW w:w="0" w:type="auto"/>
            <w:shd w:val="clear" w:color="auto" w:fill="FFFFFF"/>
            <w:tcMar>
              <w:top w:w="40" w:type="dxa"/>
              <w:left w:w="0" w:type="dxa"/>
              <w:bottom w:w="40" w:type="dxa"/>
              <w:right w:w="20" w:type="dxa"/>
            </w:tcMar>
            <w:vAlign w:val="bottom"/>
          </w:tcPr>
          <w:p w14:paraId="185FF311" w14:textId="77777777" w:rsidR="00A91885" w:rsidRDefault="00A91885">
            <w:pPr>
              <w:jc w:val="right"/>
              <w:rPr>
                <w:rFonts w:ascii="宋体"/>
              </w:rPr>
            </w:pPr>
          </w:p>
        </w:tc>
      </w:tr>
      <w:tr w:rsidR="00A91885" w14:paraId="185FF319" w14:textId="77777777">
        <w:trPr>
          <w:jc w:val="center"/>
        </w:trPr>
        <w:tc>
          <w:tcPr>
            <w:tcW w:w="0" w:type="auto"/>
            <w:gridSpan w:val="3"/>
            <w:shd w:val="clear" w:color="auto" w:fill="E2E2E2"/>
            <w:tcMar>
              <w:top w:w="40" w:type="dxa"/>
              <w:left w:w="515" w:type="dxa"/>
              <w:bottom w:w="40" w:type="dxa"/>
              <w:right w:w="20" w:type="dxa"/>
            </w:tcMar>
            <w:vAlign w:val="bottom"/>
          </w:tcPr>
          <w:p w14:paraId="185FF313" w14:textId="77777777" w:rsidR="00A91885" w:rsidRDefault="009C4196">
            <w:pPr>
              <w:textAlignment w:val="bottom"/>
            </w:pPr>
            <w:r>
              <w:rPr>
                <w:rFonts w:ascii="Arial" w:eastAsia="宋体" w:hAnsi="Arial" w:cs="Arial"/>
                <w:color w:val="000000"/>
                <w:sz w:val="18"/>
                <w:szCs w:val="18"/>
              </w:rPr>
              <w:t xml:space="preserve">Income taxes </w:t>
            </w:r>
            <w:r>
              <w:rPr>
                <w:rFonts w:ascii="Arial" w:eastAsia="宋体" w:hAnsi="Arial" w:cs="Arial"/>
                <w:color w:val="000000"/>
                <w:sz w:val="18"/>
                <w:szCs w:val="18"/>
              </w:rPr>
              <w:t>payable</w:t>
            </w:r>
          </w:p>
        </w:tc>
        <w:tc>
          <w:tcPr>
            <w:tcW w:w="0" w:type="auto"/>
            <w:gridSpan w:val="2"/>
            <w:shd w:val="clear" w:color="auto" w:fill="E2E2E2"/>
            <w:tcMar>
              <w:top w:w="40" w:type="dxa"/>
              <w:left w:w="20" w:type="dxa"/>
              <w:bottom w:w="40" w:type="dxa"/>
              <w:right w:w="0" w:type="dxa"/>
            </w:tcMar>
            <w:vAlign w:val="bottom"/>
          </w:tcPr>
          <w:p w14:paraId="185FF314" w14:textId="77777777" w:rsidR="00A91885" w:rsidRDefault="009C4196">
            <w:pPr>
              <w:jc w:val="right"/>
              <w:textAlignment w:val="bottom"/>
            </w:pPr>
            <w:r>
              <w:rPr>
                <w:rFonts w:ascii="Arial" w:eastAsia="宋体" w:hAnsi="Arial" w:cs="Arial"/>
                <w:color w:val="000000"/>
                <w:sz w:val="18"/>
                <w:szCs w:val="18"/>
              </w:rPr>
              <w:t>235 </w:t>
            </w:r>
          </w:p>
        </w:tc>
        <w:tc>
          <w:tcPr>
            <w:tcW w:w="0" w:type="auto"/>
            <w:shd w:val="clear" w:color="auto" w:fill="E2E2E2"/>
            <w:tcMar>
              <w:top w:w="40" w:type="dxa"/>
              <w:left w:w="0" w:type="dxa"/>
              <w:bottom w:w="40" w:type="dxa"/>
              <w:right w:w="20" w:type="dxa"/>
            </w:tcMar>
            <w:vAlign w:val="bottom"/>
          </w:tcPr>
          <w:p w14:paraId="185FF31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316"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317" w14:textId="77777777" w:rsidR="00A91885" w:rsidRDefault="009C4196">
            <w:pPr>
              <w:jc w:val="right"/>
              <w:textAlignment w:val="bottom"/>
            </w:pPr>
            <w:r>
              <w:rPr>
                <w:rFonts w:ascii="Arial" w:eastAsia="宋体" w:hAnsi="Arial" w:cs="Arial"/>
                <w:color w:val="000000"/>
                <w:sz w:val="18"/>
                <w:szCs w:val="18"/>
              </w:rPr>
              <w:t>371 </w:t>
            </w:r>
          </w:p>
        </w:tc>
        <w:tc>
          <w:tcPr>
            <w:tcW w:w="0" w:type="auto"/>
            <w:shd w:val="clear" w:color="auto" w:fill="E2E2E2"/>
            <w:tcMar>
              <w:top w:w="40" w:type="dxa"/>
              <w:left w:w="0" w:type="dxa"/>
              <w:bottom w:w="40" w:type="dxa"/>
              <w:right w:w="20" w:type="dxa"/>
            </w:tcMar>
            <w:vAlign w:val="bottom"/>
          </w:tcPr>
          <w:p w14:paraId="185FF318" w14:textId="77777777" w:rsidR="00A91885" w:rsidRDefault="00A91885">
            <w:pPr>
              <w:jc w:val="right"/>
              <w:rPr>
                <w:rFonts w:ascii="宋体"/>
              </w:rPr>
            </w:pPr>
          </w:p>
        </w:tc>
      </w:tr>
      <w:tr w:rsidR="00A91885" w14:paraId="185FF31E" w14:textId="77777777">
        <w:trPr>
          <w:jc w:val="center"/>
          <w:hidden/>
        </w:trPr>
        <w:tc>
          <w:tcPr>
            <w:tcW w:w="0" w:type="auto"/>
            <w:gridSpan w:val="3"/>
            <w:shd w:val="clear" w:color="auto" w:fill="auto"/>
            <w:vAlign w:val="bottom"/>
          </w:tcPr>
          <w:p w14:paraId="185FF31A" w14:textId="77777777" w:rsidR="00A91885" w:rsidRDefault="00A91885">
            <w:pPr>
              <w:rPr>
                <w:rFonts w:ascii="宋体"/>
                <w:vanish/>
              </w:rPr>
            </w:pPr>
          </w:p>
        </w:tc>
        <w:tc>
          <w:tcPr>
            <w:tcW w:w="0" w:type="auto"/>
            <w:gridSpan w:val="3"/>
            <w:shd w:val="clear" w:color="auto" w:fill="auto"/>
            <w:vAlign w:val="bottom"/>
          </w:tcPr>
          <w:p w14:paraId="185FF31B" w14:textId="77777777" w:rsidR="00A91885" w:rsidRDefault="00A91885">
            <w:pPr>
              <w:rPr>
                <w:rFonts w:ascii="宋体"/>
                <w:vanish/>
              </w:rPr>
            </w:pPr>
          </w:p>
        </w:tc>
        <w:tc>
          <w:tcPr>
            <w:tcW w:w="0" w:type="auto"/>
            <w:gridSpan w:val="3"/>
            <w:shd w:val="clear" w:color="auto" w:fill="auto"/>
            <w:vAlign w:val="bottom"/>
          </w:tcPr>
          <w:p w14:paraId="185FF31C" w14:textId="77777777" w:rsidR="00A91885" w:rsidRDefault="00A91885">
            <w:pPr>
              <w:rPr>
                <w:rFonts w:ascii="宋体"/>
                <w:vanish/>
              </w:rPr>
            </w:pPr>
          </w:p>
        </w:tc>
        <w:tc>
          <w:tcPr>
            <w:tcW w:w="0" w:type="auto"/>
            <w:gridSpan w:val="3"/>
            <w:shd w:val="clear" w:color="auto" w:fill="auto"/>
            <w:vAlign w:val="bottom"/>
          </w:tcPr>
          <w:p w14:paraId="185FF31D" w14:textId="77777777" w:rsidR="00A91885" w:rsidRDefault="00A91885">
            <w:pPr>
              <w:rPr>
                <w:rFonts w:ascii="宋体"/>
                <w:vanish/>
              </w:rPr>
            </w:pPr>
          </w:p>
        </w:tc>
      </w:tr>
      <w:tr w:rsidR="00A91885" w14:paraId="185FF323" w14:textId="77777777">
        <w:trPr>
          <w:jc w:val="center"/>
          <w:hidden/>
        </w:trPr>
        <w:tc>
          <w:tcPr>
            <w:tcW w:w="0" w:type="auto"/>
            <w:gridSpan w:val="3"/>
            <w:shd w:val="clear" w:color="auto" w:fill="auto"/>
            <w:vAlign w:val="bottom"/>
          </w:tcPr>
          <w:p w14:paraId="185FF31F" w14:textId="77777777" w:rsidR="00A91885" w:rsidRDefault="00A91885">
            <w:pPr>
              <w:rPr>
                <w:rFonts w:ascii="宋体"/>
                <w:vanish/>
              </w:rPr>
            </w:pPr>
          </w:p>
        </w:tc>
        <w:tc>
          <w:tcPr>
            <w:tcW w:w="0" w:type="auto"/>
            <w:gridSpan w:val="3"/>
            <w:shd w:val="clear" w:color="auto" w:fill="auto"/>
            <w:vAlign w:val="bottom"/>
          </w:tcPr>
          <w:p w14:paraId="185FF320" w14:textId="77777777" w:rsidR="00A91885" w:rsidRDefault="00A91885">
            <w:pPr>
              <w:rPr>
                <w:rFonts w:ascii="宋体"/>
                <w:vanish/>
              </w:rPr>
            </w:pPr>
          </w:p>
        </w:tc>
        <w:tc>
          <w:tcPr>
            <w:tcW w:w="0" w:type="auto"/>
            <w:gridSpan w:val="3"/>
            <w:shd w:val="clear" w:color="auto" w:fill="auto"/>
            <w:vAlign w:val="bottom"/>
          </w:tcPr>
          <w:p w14:paraId="185FF321" w14:textId="77777777" w:rsidR="00A91885" w:rsidRDefault="00A91885">
            <w:pPr>
              <w:rPr>
                <w:rFonts w:ascii="宋体"/>
                <w:vanish/>
              </w:rPr>
            </w:pPr>
          </w:p>
        </w:tc>
        <w:tc>
          <w:tcPr>
            <w:tcW w:w="0" w:type="auto"/>
            <w:gridSpan w:val="3"/>
            <w:shd w:val="clear" w:color="auto" w:fill="auto"/>
            <w:vAlign w:val="bottom"/>
          </w:tcPr>
          <w:p w14:paraId="185FF322" w14:textId="77777777" w:rsidR="00A91885" w:rsidRDefault="00A91885">
            <w:pPr>
              <w:rPr>
                <w:rFonts w:ascii="宋体"/>
                <w:vanish/>
              </w:rPr>
            </w:pPr>
          </w:p>
        </w:tc>
      </w:tr>
      <w:tr w:rsidR="00A91885" w14:paraId="185FF32A" w14:textId="77777777">
        <w:trPr>
          <w:jc w:val="center"/>
        </w:trPr>
        <w:tc>
          <w:tcPr>
            <w:tcW w:w="0" w:type="auto"/>
            <w:gridSpan w:val="3"/>
            <w:shd w:val="clear" w:color="auto" w:fill="FFFFFF"/>
            <w:tcMar>
              <w:top w:w="40" w:type="dxa"/>
              <w:left w:w="965" w:type="dxa"/>
              <w:bottom w:w="40" w:type="dxa"/>
              <w:right w:w="20" w:type="dxa"/>
            </w:tcMar>
            <w:vAlign w:val="bottom"/>
          </w:tcPr>
          <w:p w14:paraId="185FF324" w14:textId="77777777" w:rsidR="00A91885" w:rsidRDefault="009C4196">
            <w:pPr>
              <w:textAlignment w:val="bottom"/>
            </w:pPr>
            <w:r>
              <w:rPr>
                <w:rFonts w:ascii="Arial" w:eastAsia="宋体" w:hAnsi="Arial" w:cs="Arial"/>
                <w:color w:val="000000"/>
                <w:sz w:val="18"/>
                <w:szCs w:val="18"/>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325" w14:textId="77777777" w:rsidR="00A91885" w:rsidRDefault="009C4196">
            <w:pPr>
              <w:jc w:val="right"/>
              <w:textAlignment w:val="bottom"/>
            </w:pPr>
            <w:r>
              <w:rPr>
                <w:rFonts w:ascii="Arial" w:eastAsia="宋体" w:hAnsi="Arial" w:cs="Arial"/>
                <w:color w:val="000000"/>
                <w:sz w:val="18"/>
                <w:szCs w:val="18"/>
              </w:rPr>
              <w:t>3,972 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32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327"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328" w14:textId="77777777" w:rsidR="00A91885" w:rsidRDefault="009C4196">
            <w:pPr>
              <w:jc w:val="right"/>
              <w:textAlignment w:val="bottom"/>
            </w:pPr>
            <w:r>
              <w:rPr>
                <w:rFonts w:ascii="Arial" w:eastAsia="宋体" w:hAnsi="Arial" w:cs="Arial"/>
                <w:color w:val="000000"/>
                <w:sz w:val="18"/>
                <w:szCs w:val="18"/>
              </w:rPr>
              <w:t>4,622 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329" w14:textId="77777777" w:rsidR="00A91885" w:rsidRDefault="00A91885">
            <w:pPr>
              <w:jc w:val="right"/>
              <w:rPr>
                <w:rFonts w:ascii="宋体"/>
              </w:rPr>
            </w:pPr>
          </w:p>
        </w:tc>
      </w:tr>
      <w:tr w:rsidR="00A91885" w14:paraId="185FF331" w14:textId="77777777">
        <w:trPr>
          <w:jc w:val="center"/>
        </w:trPr>
        <w:tc>
          <w:tcPr>
            <w:tcW w:w="0" w:type="auto"/>
            <w:gridSpan w:val="3"/>
            <w:shd w:val="clear" w:color="auto" w:fill="E2E2E2"/>
            <w:tcMar>
              <w:top w:w="40" w:type="dxa"/>
              <w:left w:w="20" w:type="dxa"/>
              <w:bottom w:w="40" w:type="dxa"/>
              <w:right w:w="20" w:type="dxa"/>
            </w:tcMar>
            <w:vAlign w:val="bottom"/>
          </w:tcPr>
          <w:p w14:paraId="185FF32B" w14:textId="77777777" w:rsidR="00A91885" w:rsidRDefault="009C4196">
            <w:pPr>
              <w:textAlignment w:val="bottom"/>
            </w:pPr>
            <w:r>
              <w:rPr>
                <w:rFonts w:ascii="Arial" w:eastAsia="宋体" w:hAnsi="Arial" w:cs="Arial"/>
                <w:color w:val="000000"/>
                <w:sz w:val="18"/>
                <w:szCs w:val="18"/>
              </w:rPr>
              <w:t>Operating lease liabilities</w:t>
            </w:r>
          </w:p>
        </w:tc>
        <w:tc>
          <w:tcPr>
            <w:tcW w:w="0" w:type="auto"/>
            <w:gridSpan w:val="2"/>
            <w:shd w:val="clear" w:color="auto" w:fill="E2E2E2"/>
            <w:tcMar>
              <w:top w:w="40" w:type="dxa"/>
              <w:left w:w="20" w:type="dxa"/>
              <w:bottom w:w="40" w:type="dxa"/>
              <w:right w:w="0" w:type="dxa"/>
            </w:tcMar>
            <w:vAlign w:val="bottom"/>
          </w:tcPr>
          <w:p w14:paraId="185FF32C" w14:textId="77777777" w:rsidR="00A91885" w:rsidRDefault="009C4196">
            <w:pPr>
              <w:jc w:val="right"/>
              <w:textAlignment w:val="bottom"/>
            </w:pPr>
            <w:r>
              <w:rPr>
                <w:rFonts w:ascii="Arial" w:eastAsia="宋体" w:hAnsi="Arial" w:cs="Arial"/>
                <w:color w:val="000000"/>
                <w:sz w:val="18"/>
                <w:szCs w:val="18"/>
              </w:rPr>
              <w:t>448 </w:t>
            </w:r>
          </w:p>
        </w:tc>
        <w:tc>
          <w:tcPr>
            <w:tcW w:w="0" w:type="auto"/>
            <w:shd w:val="clear" w:color="auto" w:fill="E2E2E2"/>
            <w:tcMar>
              <w:top w:w="40" w:type="dxa"/>
              <w:left w:w="0" w:type="dxa"/>
              <w:bottom w:w="40" w:type="dxa"/>
              <w:right w:w="20" w:type="dxa"/>
            </w:tcMar>
            <w:vAlign w:val="bottom"/>
          </w:tcPr>
          <w:p w14:paraId="185FF32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32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32F" w14:textId="77777777" w:rsidR="00A91885" w:rsidRDefault="009C4196">
            <w:pPr>
              <w:jc w:val="right"/>
              <w:textAlignment w:val="bottom"/>
            </w:pPr>
            <w:r>
              <w:rPr>
                <w:rFonts w:ascii="Arial" w:eastAsia="宋体" w:hAnsi="Arial" w:cs="Arial"/>
                <w:color w:val="000000"/>
                <w:sz w:val="18"/>
                <w:szCs w:val="18"/>
              </w:rPr>
              <w:t>200 </w:t>
            </w:r>
          </w:p>
        </w:tc>
        <w:tc>
          <w:tcPr>
            <w:tcW w:w="0" w:type="auto"/>
            <w:shd w:val="clear" w:color="auto" w:fill="E2E2E2"/>
            <w:tcMar>
              <w:top w:w="40" w:type="dxa"/>
              <w:left w:w="0" w:type="dxa"/>
              <w:bottom w:w="40" w:type="dxa"/>
              <w:right w:w="20" w:type="dxa"/>
            </w:tcMar>
            <w:vAlign w:val="bottom"/>
          </w:tcPr>
          <w:p w14:paraId="185FF330" w14:textId="77777777" w:rsidR="00A91885" w:rsidRDefault="00A91885">
            <w:pPr>
              <w:jc w:val="right"/>
              <w:rPr>
                <w:rFonts w:ascii="宋体"/>
              </w:rPr>
            </w:pPr>
          </w:p>
        </w:tc>
      </w:tr>
      <w:tr w:rsidR="00A91885" w14:paraId="185FF338" w14:textId="77777777">
        <w:trPr>
          <w:jc w:val="center"/>
        </w:trPr>
        <w:tc>
          <w:tcPr>
            <w:tcW w:w="0" w:type="auto"/>
            <w:gridSpan w:val="3"/>
            <w:shd w:val="clear" w:color="auto" w:fill="FFFFFF"/>
            <w:tcMar>
              <w:top w:w="40" w:type="dxa"/>
              <w:left w:w="20" w:type="dxa"/>
              <w:bottom w:w="40" w:type="dxa"/>
              <w:right w:w="20" w:type="dxa"/>
            </w:tcMar>
            <w:vAlign w:val="bottom"/>
          </w:tcPr>
          <w:p w14:paraId="185FF332" w14:textId="77777777" w:rsidR="00A91885" w:rsidRDefault="009C4196">
            <w:pPr>
              <w:textAlignment w:val="bottom"/>
            </w:pPr>
            <w:r>
              <w:rPr>
                <w:rFonts w:ascii="Arial" w:eastAsia="宋体" w:hAnsi="Arial" w:cs="Arial"/>
                <w:color w:val="000000"/>
                <w:sz w:val="18"/>
                <w:szCs w:val="18"/>
              </w:rPr>
              <w:t>Deferred tax liabilities</w:t>
            </w:r>
          </w:p>
        </w:tc>
        <w:tc>
          <w:tcPr>
            <w:tcW w:w="0" w:type="auto"/>
            <w:gridSpan w:val="2"/>
            <w:shd w:val="clear" w:color="auto" w:fill="FFFFFF"/>
            <w:tcMar>
              <w:top w:w="40" w:type="dxa"/>
              <w:left w:w="20" w:type="dxa"/>
              <w:bottom w:w="40" w:type="dxa"/>
              <w:right w:w="0" w:type="dxa"/>
            </w:tcMar>
            <w:vAlign w:val="bottom"/>
          </w:tcPr>
          <w:p w14:paraId="185FF333" w14:textId="77777777" w:rsidR="00A91885" w:rsidRDefault="009C4196">
            <w:pPr>
              <w:jc w:val="right"/>
              <w:textAlignment w:val="bottom"/>
            </w:pPr>
            <w:r>
              <w:rPr>
                <w:rFonts w:ascii="Arial" w:eastAsia="宋体" w:hAnsi="Arial" w:cs="Arial"/>
                <w:color w:val="000000"/>
                <w:sz w:val="18"/>
                <w:szCs w:val="18"/>
              </w:rPr>
              <w:t>2,400 </w:t>
            </w:r>
          </w:p>
        </w:tc>
        <w:tc>
          <w:tcPr>
            <w:tcW w:w="0" w:type="auto"/>
            <w:shd w:val="clear" w:color="auto" w:fill="FFFFFF"/>
            <w:tcMar>
              <w:top w:w="40" w:type="dxa"/>
              <w:left w:w="0" w:type="dxa"/>
              <w:bottom w:w="40" w:type="dxa"/>
              <w:right w:w="20" w:type="dxa"/>
            </w:tcMar>
            <w:vAlign w:val="bottom"/>
          </w:tcPr>
          <w:p w14:paraId="185FF33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33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336" w14:textId="77777777" w:rsidR="00A91885" w:rsidRDefault="009C4196">
            <w:pPr>
              <w:jc w:val="right"/>
              <w:textAlignment w:val="bottom"/>
            </w:pPr>
            <w:r>
              <w:rPr>
                <w:rFonts w:ascii="Arial" w:eastAsia="宋体" w:hAnsi="Arial" w:cs="Arial"/>
                <w:color w:val="000000"/>
                <w:sz w:val="18"/>
                <w:szCs w:val="18"/>
              </w:rPr>
              <w:t>3,116 </w:t>
            </w:r>
          </w:p>
        </w:tc>
        <w:tc>
          <w:tcPr>
            <w:tcW w:w="0" w:type="auto"/>
            <w:shd w:val="clear" w:color="auto" w:fill="FFFFFF"/>
            <w:tcMar>
              <w:top w:w="40" w:type="dxa"/>
              <w:left w:w="0" w:type="dxa"/>
              <w:bottom w:w="40" w:type="dxa"/>
              <w:right w:w="20" w:type="dxa"/>
            </w:tcMar>
            <w:vAlign w:val="bottom"/>
          </w:tcPr>
          <w:p w14:paraId="185FF337" w14:textId="77777777" w:rsidR="00A91885" w:rsidRDefault="00A91885">
            <w:pPr>
              <w:jc w:val="right"/>
              <w:rPr>
                <w:rFonts w:ascii="宋体"/>
              </w:rPr>
            </w:pPr>
          </w:p>
        </w:tc>
      </w:tr>
      <w:tr w:rsidR="00A91885" w14:paraId="185FF33F" w14:textId="77777777">
        <w:trPr>
          <w:jc w:val="center"/>
        </w:trPr>
        <w:tc>
          <w:tcPr>
            <w:tcW w:w="0" w:type="auto"/>
            <w:gridSpan w:val="3"/>
            <w:shd w:val="clear" w:color="auto" w:fill="E2E2E2"/>
            <w:tcMar>
              <w:top w:w="40" w:type="dxa"/>
              <w:left w:w="20" w:type="dxa"/>
              <w:bottom w:w="40" w:type="dxa"/>
              <w:right w:w="20" w:type="dxa"/>
            </w:tcMar>
            <w:vAlign w:val="bottom"/>
          </w:tcPr>
          <w:p w14:paraId="185FF339" w14:textId="77777777" w:rsidR="00A91885" w:rsidRDefault="009C4196">
            <w:pPr>
              <w:textAlignment w:val="bottom"/>
            </w:pPr>
            <w:r>
              <w:rPr>
                <w:rFonts w:ascii="Arial" w:eastAsia="宋体" w:hAnsi="Arial" w:cs="Arial"/>
                <w:color w:val="000000"/>
                <w:sz w:val="18"/>
                <w:szCs w:val="18"/>
              </w:rPr>
              <w:t>Long-term debt</w:t>
            </w:r>
          </w:p>
        </w:tc>
        <w:tc>
          <w:tcPr>
            <w:tcW w:w="0" w:type="auto"/>
            <w:gridSpan w:val="2"/>
            <w:shd w:val="clear" w:color="auto" w:fill="E2E2E2"/>
            <w:tcMar>
              <w:top w:w="40" w:type="dxa"/>
              <w:left w:w="20" w:type="dxa"/>
              <w:bottom w:w="40" w:type="dxa"/>
              <w:right w:w="0" w:type="dxa"/>
            </w:tcMar>
            <w:vAlign w:val="bottom"/>
          </w:tcPr>
          <w:p w14:paraId="185FF33A" w14:textId="77777777" w:rsidR="00A91885" w:rsidRDefault="009C4196">
            <w:pPr>
              <w:jc w:val="right"/>
              <w:textAlignment w:val="bottom"/>
            </w:pPr>
            <w:r>
              <w:rPr>
                <w:rFonts w:ascii="Arial" w:eastAsia="宋体" w:hAnsi="Arial" w:cs="Arial"/>
                <w:color w:val="000000"/>
                <w:sz w:val="18"/>
                <w:szCs w:val="18"/>
              </w:rPr>
              <w:t>6,579 </w:t>
            </w:r>
          </w:p>
        </w:tc>
        <w:tc>
          <w:tcPr>
            <w:tcW w:w="0" w:type="auto"/>
            <w:shd w:val="clear" w:color="auto" w:fill="E2E2E2"/>
            <w:tcMar>
              <w:top w:w="40" w:type="dxa"/>
              <w:left w:w="0" w:type="dxa"/>
              <w:bottom w:w="40" w:type="dxa"/>
              <w:right w:w="20" w:type="dxa"/>
            </w:tcMar>
            <w:vAlign w:val="bottom"/>
          </w:tcPr>
          <w:p w14:paraId="185FF33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33C"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33D" w14:textId="77777777" w:rsidR="00A91885" w:rsidRDefault="009C4196">
            <w:pPr>
              <w:jc w:val="right"/>
              <w:textAlignment w:val="bottom"/>
            </w:pPr>
            <w:r>
              <w:rPr>
                <w:rFonts w:ascii="Arial" w:eastAsia="宋体" w:hAnsi="Arial" w:cs="Arial"/>
                <w:color w:val="000000"/>
                <w:sz w:val="18"/>
                <w:szCs w:val="18"/>
              </w:rPr>
              <w:t>7,727 </w:t>
            </w:r>
          </w:p>
        </w:tc>
        <w:tc>
          <w:tcPr>
            <w:tcW w:w="0" w:type="auto"/>
            <w:shd w:val="clear" w:color="auto" w:fill="E2E2E2"/>
            <w:tcMar>
              <w:top w:w="40" w:type="dxa"/>
              <w:left w:w="0" w:type="dxa"/>
              <w:bottom w:w="40" w:type="dxa"/>
              <w:right w:w="20" w:type="dxa"/>
            </w:tcMar>
            <w:vAlign w:val="bottom"/>
          </w:tcPr>
          <w:p w14:paraId="185FF33E" w14:textId="77777777" w:rsidR="00A91885" w:rsidRDefault="00A91885">
            <w:pPr>
              <w:jc w:val="right"/>
              <w:rPr>
                <w:rFonts w:ascii="宋体"/>
              </w:rPr>
            </w:pPr>
          </w:p>
        </w:tc>
      </w:tr>
      <w:tr w:rsidR="00A91885" w14:paraId="185FF346" w14:textId="77777777">
        <w:trPr>
          <w:jc w:val="center"/>
        </w:trPr>
        <w:tc>
          <w:tcPr>
            <w:tcW w:w="0" w:type="auto"/>
            <w:gridSpan w:val="3"/>
            <w:shd w:val="clear" w:color="auto" w:fill="FFFFFF"/>
            <w:tcMar>
              <w:top w:w="40" w:type="dxa"/>
              <w:left w:w="20" w:type="dxa"/>
              <w:bottom w:w="40" w:type="dxa"/>
              <w:right w:w="20" w:type="dxa"/>
            </w:tcMar>
            <w:vAlign w:val="bottom"/>
          </w:tcPr>
          <w:p w14:paraId="185FF340" w14:textId="77777777" w:rsidR="00A91885" w:rsidRDefault="009C4196">
            <w:pPr>
              <w:textAlignment w:val="bottom"/>
            </w:pPr>
            <w:r>
              <w:rPr>
                <w:rFonts w:ascii="Arial" w:eastAsia="宋体" w:hAnsi="Arial" w:cs="Arial"/>
                <w:color w:val="000000"/>
                <w:sz w:val="18"/>
                <w:szCs w:val="18"/>
              </w:rPr>
              <w:t>Other liabilities</w:t>
            </w:r>
          </w:p>
        </w:tc>
        <w:tc>
          <w:tcPr>
            <w:tcW w:w="0" w:type="auto"/>
            <w:gridSpan w:val="2"/>
            <w:shd w:val="clear" w:color="auto" w:fill="FFFFFF"/>
            <w:tcMar>
              <w:top w:w="40" w:type="dxa"/>
              <w:left w:w="20" w:type="dxa"/>
              <w:bottom w:w="40" w:type="dxa"/>
              <w:right w:w="0" w:type="dxa"/>
            </w:tcMar>
            <w:vAlign w:val="bottom"/>
          </w:tcPr>
          <w:p w14:paraId="185FF341" w14:textId="77777777" w:rsidR="00A91885" w:rsidRDefault="009C4196">
            <w:pPr>
              <w:jc w:val="right"/>
              <w:textAlignment w:val="bottom"/>
            </w:pPr>
            <w:r>
              <w:rPr>
                <w:rFonts w:ascii="Arial" w:eastAsia="宋体" w:hAnsi="Arial" w:cs="Arial"/>
                <w:color w:val="000000"/>
                <w:sz w:val="18"/>
                <w:szCs w:val="18"/>
              </w:rPr>
              <w:t>1,011 </w:t>
            </w:r>
          </w:p>
        </w:tc>
        <w:tc>
          <w:tcPr>
            <w:tcW w:w="0" w:type="auto"/>
            <w:shd w:val="clear" w:color="auto" w:fill="FFFFFF"/>
            <w:tcMar>
              <w:top w:w="40" w:type="dxa"/>
              <w:left w:w="0" w:type="dxa"/>
              <w:bottom w:w="40" w:type="dxa"/>
              <w:right w:w="20" w:type="dxa"/>
            </w:tcMar>
            <w:vAlign w:val="bottom"/>
          </w:tcPr>
          <w:p w14:paraId="185FF34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343"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344" w14:textId="77777777" w:rsidR="00A91885" w:rsidRDefault="009C4196">
            <w:pPr>
              <w:jc w:val="right"/>
              <w:textAlignment w:val="bottom"/>
            </w:pPr>
            <w:r>
              <w:rPr>
                <w:rFonts w:ascii="Arial" w:eastAsia="宋体" w:hAnsi="Arial" w:cs="Arial"/>
                <w:color w:val="000000"/>
                <w:sz w:val="18"/>
                <w:szCs w:val="18"/>
              </w:rPr>
              <w:t>1,183 </w:t>
            </w:r>
          </w:p>
        </w:tc>
        <w:tc>
          <w:tcPr>
            <w:tcW w:w="0" w:type="auto"/>
            <w:shd w:val="clear" w:color="auto" w:fill="FFFFFF"/>
            <w:tcMar>
              <w:top w:w="40" w:type="dxa"/>
              <w:left w:w="0" w:type="dxa"/>
              <w:bottom w:w="40" w:type="dxa"/>
              <w:right w:w="20" w:type="dxa"/>
            </w:tcMar>
            <w:vAlign w:val="bottom"/>
          </w:tcPr>
          <w:p w14:paraId="185FF345" w14:textId="77777777" w:rsidR="00A91885" w:rsidRDefault="00A91885">
            <w:pPr>
              <w:jc w:val="right"/>
              <w:rPr>
                <w:rFonts w:ascii="宋体"/>
              </w:rPr>
            </w:pPr>
          </w:p>
        </w:tc>
      </w:tr>
      <w:tr w:rsidR="00A91885" w14:paraId="185FF34B" w14:textId="77777777">
        <w:trPr>
          <w:jc w:val="center"/>
          <w:hidden/>
        </w:trPr>
        <w:tc>
          <w:tcPr>
            <w:tcW w:w="0" w:type="auto"/>
            <w:gridSpan w:val="3"/>
            <w:shd w:val="clear" w:color="auto" w:fill="auto"/>
            <w:vAlign w:val="bottom"/>
          </w:tcPr>
          <w:p w14:paraId="185FF347" w14:textId="77777777" w:rsidR="00A91885" w:rsidRDefault="00A91885">
            <w:pPr>
              <w:rPr>
                <w:rFonts w:ascii="宋体"/>
                <w:vanish/>
              </w:rPr>
            </w:pPr>
          </w:p>
        </w:tc>
        <w:tc>
          <w:tcPr>
            <w:tcW w:w="0" w:type="auto"/>
            <w:gridSpan w:val="3"/>
            <w:shd w:val="clear" w:color="auto" w:fill="auto"/>
            <w:vAlign w:val="bottom"/>
          </w:tcPr>
          <w:p w14:paraId="185FF348" w14:textId="77777777" w:rsidR="00A91885" w:rsidRDefault="00A91885">
            <w:pPr>
              <w:rPr>
                <w:rFonts w:ascii="宋体"/>
                <w:vanish/>
              </w:rPr>
            </w:pPr>
          </w:p>
        </w:tc>
        <w:tc>
          <w:tcPr>
            <w:tcW w:w="0" w:type="auto"/>
            <w:gridSpan w:val="3"/>
            <w:shd w:val="clear" w:color="auto" w:fill="auto"/>
            <w:vAlign w:val="bottom"/>
          </w:tcPr>
          <w:p w14:paraId="185FF349" w14:textId="77777777" w:rsidR="00A91885" w:rsidRDefault="00A91885">
            <w:pPr>
              <w:rPr>
                <w:rFonts w:ascii="宋体"/>
                <w:vanish/>
              </w:rPr>
            </w:pPr>
          </w:p>
        </w:tc>
        <w:tc>
          <w:tcPr>
            <w:tcW w:w="0" w:type="auto"/>
            <w:gridSpan w:val="3"/>
            <w:shd w:val="clear" w:color="auto" w:fill="auto"/>
            <w:vAlign w:val="bottom"/>
          </w:tcPr>
          <w:p w14:paraId="185FF34A" w14:textId="77777777" w:rsidR="00A91885" w:rsidRDefault="00A91885">
            <w:pPr>
              <w:rPr>
                <w:rFonts w:ascii="宋体"/>
                <w:vanish/>
              </w:rPr>
            </w:pPr>
          </w:p>
        </w:tc>
      </w:tr>
      <w:tr w:rsidR="00A91885" w14:paraId="185FF350" w14:textId="77777777">
        <w:trPr>
          <w:jc w:val="center"/>
          <w:hidden/>
        </w:trPr>
        <w:tc>
          <w:tcPr>
            <w:tcW w:w="0" w:type="auto"/>
            <w:gridSpan w:val="3"/>
            <w:shd w:val="clear" w:color="auto" w:fill="auto"/>
            <w:vAlign w:val="bottom"/>
          </w:tcPr>
          <w:p w14:paraId="185FF34C" w14:textId="77777777" w:rsidR="00A91885" w:rsidRDefault="00A91885">
            <w:pPr>
              <w:rPr>
                <w:rFonts w:ascii="宋体"/>
                <w:vanish/>
              </w:rPr>
            </w:pPr>
          </w:p>
        </w:tc>
        <w:tc>
          <w:tcPr>
            <w:tcW w:w="0" w:type="auto"/>
            <w:gridSpan w:val="3"/>
            <w:shd w:val="clear" w:color="auto" w:fill="auto"/>
            <w:vAlign w:val="bottom"/>
          </w:tcPr>
          <w:p w14:paraId="185FF34D" w14:textId="77777777" w:rsidR="00A91885" w:rsidRDefault="00A91885">
            <w:pPr>
              <w:rPr>
                <w:rFonts w:ascii="宋体"/>
                <w:vanish/>
              </w:rPr>
            </w:pPr>
          </w:p>
        </w:tc>
        <w:tc>
          <w:tcPr>
            <w:tcW w:w="0" w:type="auto"/>
            <w:gridSpan w:val="3"/>
            <w:shd w:val="clear" w:color="auto" w:fill="auto"/>
            <w:vAlign w:val="bottom"/>
          </w:tcPr>
          <w:p w14:paraId="185FF34E" w14:textId="77777777" w:rsidR="00A91885" w:rsidRDefault="00A91885">
            <w:pPr>
              <w:rPr>
                <w:rFonts w:ascii="宋体"/>
                <w:vanish/>
              </w:rPr>
            </w:pPr>
          </w:p>
        </w:tc>
        <w:tc>
          <w:tcPr>
            <w:tcW w:w="0" w:type="auto"/>
            <w:gridSpan w:val="3"/>
            <w:shd w:val="clear" w:color="auto" w:fill="auto"/>
            <w:vAlign w:val="bottom"/>
          </w:tcPr>
          <w:p w14:paraId="185FF34F" w14:textId="77777777" w:rsidR="00A91885" w:rsidRDefault="00A91885">
            <w:pPr>
              <w:rPr>
                <w:rFonts w:ascii="宋体"/>
                <w:vanish/>
              </w:rPr>
            </w:pPr>
          </w:p>
        </w:tc>
      </w:tr>
      <w:tr w:rsidR="00A91885" w14:paraId="185FF357" w14:textId="77777777">
        <w:trPr>
          <w:jc w:val="center"/>
        </w:trPr>
        <w:tc>
          <w:tcPr>
            <w:tcW w:w="0" w:type="auto"/>
            <w:gridSpan w:val="3"/>
            <w:shd w:val="clear" w:color="auto" w:fill="E2E2E2"/>
            <w:tcMar>
              <w:top w:w="40" w:type="dxa"/>
              <w:left w:w="965" w:type="dxa"/>
              <w:bottom w:w="40" w:type="dxa"/>
              <w:right w:w="20" w:type="dxa"/>
            </w:tcMar>
            <w:vAlign w:val="bottom"/>
          </w:tcPr>
          <w:p w14:paraId="185FF351" w14:textId="77777777" w:rsidR="00A91885" w:rsidRDefault="009C4196">
            <w:pPr>
              <w:textAlignment w:val="bottom"/>
            </w:pPr>
            <w:r>
              <w:rPr>
                <w:rFonts w:ascii="Arial" w:eastAsia="宋体" w:hAnsi="Arial" w:cs="Arial"/>
                <w:color w:val="000000"/>
                <w:sz w:val="18"/>
                <w:szCs w:val="18"/>
              </w:rPr>
              <w:t xml:space="preserve">Total </w:t>
            </w:r>
            <w:r>
              <w:rPr>
                <w:rFonts w:ascii="Arial" w:eastAsia="宋体" w:hAnsi="Arial" w:cs="Arial"/>
                <w:color w:val="000000"/>
                <w:sz w:val="18"/>
                <w:szCs w:val="18"/>
              </w:rPr>
              <w:t>liabilities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352" w14:textId="77777777" w:rsidR="00A91885" w:rsidRDefault="009C4196">
            <w:pPr>
              <w:jc w:val="right"/>
              <w:textAlignment w:val="bottom"/>
            </w:pPr>
            <w:r>
              <w:rPr>
                <w:rFonts w:ascii="Arial" w:eastAsia="宋体" w:hAnsi="Arial" w:cs="Arial"/>
                <w:color w:val="000000"/>
                <w:sz w:val="18"/>
                <w:szCs w:val="18"/>
              </w:rPr>
              <w:t>14,410 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35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354"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355" w14:textId="77777777" w:rsidR="00A91885" w:rsidRDefault="009C4196">
            <w:pPr>
              <w:jc w:val="right"/>
              <w:textAlignment w:val="bottom"/>
            </w:pPr>
            <w:r>
              <w:rPr>
                <w:rFonts w:ascii="Arial" w:eastAsia="宋体" w:hAnsi="Arial" w:cs="Arial"/>
                <w:color w:val="000000"/>
                <w:sz w:val="18"/>
                <w:szCs w:val="18"/>
              </w:rPr>
              <w:t>16,848 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356" w14:textId="77777777" w:rsidR="00A91885" w:rsidRDefault="00A91885">
            <w:pPr>
              <w:jc w:val="right"/>
              <w:rPr>
                <w:rFonts w:ascii="宋体"/>
              </w:rPr>
            </w:pPr>
          </w:p>
        </w:tc>
      </w:tr>
      <w:tr w:rsidR="00A91885" w14:paraId="185FF35C" w14:textId="77777777">
        <w:trPr>
          <w:jc w:val="center"/>
        </w:trPr>
        <w:tc>
          <w:tcPr>
            <w:tcW w:w="0" w:type="auto"/>
            <w:gridSpan w:val="3"/>
            <w:shd w:val="clear" w:color="auto" w:fill="FFFFFF"/>
            <w:tcMar>
              <w:top w:w="40" w:type="dxa"/>
              <w:left w:w="20" w:type="dxa"/>
              <w:bottom w:w="40" w:type="dxa"/>
              <w:right w:w="20" w:type="dxa"/>
            </w:tcMar>
            <w:vAlign w:val="bottom"/>
          </w:tcPr>
          <w:p w14:paraId="185FF358" w14:textId="77777777" w:rsidR="00A91885" w:rsidRDefault="009C4196">
            <w:pPr>
              <w:textAlignment w:val="bottom"/>
            </w:pPr>
            <w:r>
              <w:rPr>
                <w:rFonts w:ascii="Arial" w:eastAsia="宋体" w:hAnsi="Arial" w:cs="Arial"/>
                <w:color w:val="000000"/>
                <w:sz w:val="18"/>
                <w:szCs w:val="18"/>
              </w:rPr>
              <w:t>Commitments and Contingencies (Note 11)</w:t>
            </w:r>
          </w:p>
        </w:tc>
        <w:tc>
          <w:tcPr>
            <w:tcW w:w="0" w:type="auto"/>
            <w:gridSpan w:val="3"/>
            <w:shd w:val="clear" w:color="auto" w:fill="FFFFFF"/>
            <w:tcMar>
              <w:top w:w="0" w:type="dxa"/>
              <w:left w:w="20" w:type="dxa"/>
              <w:bottom w:w="0" w:type="dxa"/>
              <w:right w:w="20" w:type="dxa"/>
            </w:tcMar>
            <w:vAlign w:val="bottom"/>
          </w:tcPr>
          <w:p w14:paraId="185FF359"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35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35B" w14:textId="77777777" w:rsidR="00A91885" w:rsidRDefault="00A91885">
            <w:pPr>
              <w:rPr>
                <w:rFonts w:ascii="宋体"/>
              </w:rPr>
            </w:pPr>
          </w:p>
        </w:tc>
      </w:tr>
      <w:tr w:rsidR="00A91885" w14:paraId="185FF361" w14:textId="77777777">
        <w:trPr>
          <w:jc w:val="center"/>
        </w:trPr>
        <w:tc>
          <w:tcPr>
            <w:tcW w:w="0" w:type="auto"/>
            <w:gridSpan w:val="3"/>
            <w:shd w:val="clear" w:color="auto" w:fill="E2E2E2"/>
            <w:tcMar>
              <w:top w:w="40" w:type="dxa"/>
              <w:left w:w="20" w:type="dxa"/>
              <w:bottom w:w="40" w:type="dxa"/>
              <w:right w:w="20" w:type="dxa"/>
            </w:tcMar>
            <w:vAlign w:val="bottom"/>
          </w:tcPr>
          <w:p w14:paraId="185FF35D" w14:textId="77777777" w:rsidR="00A91885" w:rsidRDefault="009C4196">
            <w:pPr>
              <w:textAlignment w:val="bottom"/>
            </w:pPr>
            <w:r>
              <w:rPr>
                <w:rFonts w:ascii="Arial" w:eastAsia="宋体" w:hAnsi="Arial" w:cs="Arial"/>
                <w:color w:val="000000"/>
                <w:sz w:val="18"/>
                <w:szCs w:val="18"/>
              </w:rPr>
              <w:t>Stockholders’ equity:</w:t>
            </w:r>
          </w:p>
        </w:tc>
        <w:tc>
          <w:tcPr>
            <w:tcW w:w="0" w:type="auto"/>
            <w:gridSpan w:val="3"/>
            <w:shd w:val="clear" w:color="auto" w:fill="E2E2E2"/>
            <w:tcMar>
              <w:top w:w="0" w:type="dxa"/>
              <w:left w:w="20" w:type="dxa"/>
              <w:bottom w:w="0" w:type="dxa"/>
              <w:right w:w="20" w:type="dxa"/>
            </w:tcMar>
            <w:vAlign w:val="bottom"/>
          </w:tcPr>
          <w:p w14:paraId="185FF35E"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35F"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360" w14:textId="77777777" w:rsidR="00A91885" w:rsidRDefault="00A91885">
            <w:pPr>
              <w:rPr>
                <w:rFonts w:ascii="宋体"/>
              </w:rPr>
            </w:pPr>
          </w:p>
        </w:tc>
      </w:tr>
      <w:tr w:rsidR="00A91885" w14:paraId="185FF368" w14:textId="77777777">
        <w:trPr>
          <w:jc w:val="center"/>
        </w:trPr>
        <w:tc>
          <w:tcPr>
            <w:tcW w:w="0" w:type="auto"/>
            <w:gridSpan w:val="3"/>
            <w:shd w:val="clear" w:color="auto" w:fill="FFFFFF"/>
            <w:tcMar>
              <w:top w:w="40" w:type="dxa"/>
              <w:left w:w="20" w:type="dxa"/>
              <w:bottom w:w="40" w:type="dxa"/>
              <w:right w:w="20" w:type="dxa"/>
            </w:tcMar>
            <w:vAlign w:val="bottom"/>
          </w:tcPr>
          <w:p w14:paraId="185FF362" w14:textId="77777777" w:rsidR="00A91885" w:rsidRDefault="009C4196">
            <w:pPr>
              <w:textAlignment w:val="bottom"/>
            </w:pPr>
            <w:r>
              <w:rPr>
                <w:rFonts w:ascii="Arial" w:eastAsia="宋体" w:hAnsi="Arial" w:cs="Arial"/>
                <w:color w:val="000000"/>
                <w:sz w:val="18"/>
                <w:szCs w:val="18"/>
              </w:rPr>
              <w:t>Common stock, $0.001 par value; 3,580 shares authorized; 549 and 594 shares outstanding</w:t>
            </w:r>
          </w:p>
        </w:tc>
        <w:tc>
          <w:tcPr>
            <w:tcW w:w="0" w:type="auto"/>
            <w:gridSpan w:val="2"/>
            <w:shd w:val="clear" w:color="auto" w:fill="FFFFFF"/>
            <w:tcMar>
              <w:top w:w="40" w:type="dxa"/>
              <w:left w:w="20" w:type="dxa"/>
              <w:bottom w:w="40" w:type="dxa"/>
              <w:right w:w="0" w:type="dxa"/>
            </w:tcMar>
            <w:vAlign w:val="bottom"/>
          </w:tcPr>
          <w:p w14:paraId="185FF363"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85FF36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36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366"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85FF367" w14:textId="77777777" w:rsidR="00A91885" w:rsidRDefault="00A91885">
            <w:pPr>
              <w:jc w:val="right"/>
              <w:rPr>
                <w:rFonts w:ascii="宋体"/>
              </w:rPr>
            </w:pPr>
          </w:p>
        </w:tc>
      </w:tr>
      <w:tr w:rsidR="00A91885" w14:paraId="185FF36F" w14:textId="77777777">
        <w:trPr>
          <w:jc w:val="center"/>
        </w:trPr>
        <w:tc>
          <w:tcPr>
            <w:tcW w:w="0" w:type="auto"/>
            <w:gridSpan w:val="3"/>
            <w:shd w:val="clear" w:color="auto" w:fill="E2E2E2"/>
            <w:tcMar>
              <w:top w:w="40" w:type="dxa"/>
              <w:left w:w="20" w:type="dxa"/>
              <w:bottom w:w="40" w:type="dxa"/>
              <w:right w:w="20" w:type="dxa"/>
            </w:tcMar>
            <w:vAlign w:val="bottom"/>
          </w:tcPr>
          <w:p w14:paraId="185FF369" w14:textId="77777777" w:rsidR="00A91885" w:rsidRDefault="009C4196">
            <w:pPr>
              <w:textAlignment w:val="bottom"/>
            </w:pPr>
            <w:r>
              <w:rPr>
                <w:rFonts w:ascii="Arial" w:eastAsia="宋体" w:hAnsi="Arial" w:cs="Arial"/>
                <w:color w:val="000000"/>
                <w:sz w:val="18"/>
                <w:szCs w:val="18"/>
              </w:rPr>
              <w:t>Additional paid-in capital</w:t>
            </w:r>
          </w:p>
        </w:tc>
        <w:tc>
          <w:tcPr>
            <w:tcW w:w="0" w:type="auto"/>
            <w:gridSpan w:val="2"/>
            <w:shd w:val="clear" w:color="auto" w:fill="E2E2E2"/>
            <w:tcMar>
              <w:top w:w="40" w:type="dxa"/>
              <w:left w:w="20" w:type="dxa"/>
              <w:bottom w:w="40" w:type="dxa"/>
              <w:right w:w="0" w:type="dxa"/>
            </w:tcMar>
            <w:vAlign w:val="bottom"/>
          </w:tcPr>
          <w:p w14:paraId="185FF36A" w14:textId="77777777" w:rsidR="00A91885" w:rsidRDefault="009C4196">
            <w:pPr>
              <w:jc w:val="right"/>
              <w:textAlignment w:val="bottom"/>
            </w:pPr>
            <w:r>
              <w:rPr>
                <w:rFonts w:ascii="Arial" w:eastAsia="宋体" w:hAnsi="Arial" w:cs="Arial"/>
                <w:color w:val="000000"/>
                <w:sz w:val="18"/>
                <w:szCs w:val="18"/>
              </w:rPr>
              <w:t>17,059 </w:t>
            </w:r>
          </w:p>
        </w:tc>
        <w:tc>
          <w:tcPr>
            <w:tcW w:w="0" w:type="auto"/>
            <w:shd w:val="clear" w:color="auto" w:fill="E2E2E2"/>
            <w:tcMar>
              <w:top w:w="40" w:type="dxa"/>
              <w:left w:w="0" w:type="dxa"/>
              <w:bottom w:w="40" w:type="dxa"/>
              <w:right w:w="20" w:type="dxa"/>
            </w:tcMar>
            <w:vAlign w:val="bottom"/>
          </w:tcPr>
          <w:p w14:paraId="185FF36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36C"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36D" w14:textId="77777777" w:rsidR="00A91885" w:rsidRDefault="009C4196">
            <w:pPr>
              <w:jc w:val="right"/>
              <w:textAlignment w:val="bottom"/>
            </w:pPr>
            <w:r>
              <w:rPr>
                <w:rFonts w:ascii="Arial" w:eastAsia="宋体" w:hAnsi="Arial" w:cs="Arial"/>
                <w:color w:val="000000"/>
                <w:sz w:val="18"/>
                <w:szCs w:val="18"/>
              </w:rPr>
              <w:t>16,659 </w:t>
            </w:r>
          </w:p>
        </w:tc>
        <w:tc>
          <w:tcPr>
            <w:tcW w:w="0" w:type="auto"/>
            <w:shd w:val="clear" w:color="auto" w:fill="E2E2E2"/>
            <w:tcMar>
              <w:top w:w="40" w:type="dxa"/>
              <w:left w:w="0" w:type="dxa"/>
              <w:bottom w:w="40" w:type="dxa"/>
              <w:right w:w="20" w:type="dxa"/>
            </w:tcMar>
            <w:vAlign w:val="bottom"/>
          </w:tcPr>
          <w:p w14:paraId="185FF36E" w14:textId="77777777" w:rsidR="00A91885" w:rsidRDefault="00A91885">
            <w:pPr>
              <w:jc w:val="right"/>
              <w:rPr>
                <w:rFonts w:ascii="宋体"/>
              </w:rPr>
            </w:pPr>
          </w:p>
        </w:tc>
      </w:tr>
      <w:tr w:rsidR="00A91885" w14:paraId="185FF376" w14:textId="77777777">
        <w:trPr>
          <w:jc w:val="center"/>
        </w:trPr>
        <w:tc>
          <w:tcPr>
            <w:tcW w:w="0" w:type="auto"/>
            <w:gridSpan w:val="3"/>
            <w:shd w:val="clear" w:color="auto" w:fill="FFFFFF"/>
            <w:tcMar>
              <w:top w:w="40" w:type="dxa"/>
              <w:left w:w="20" w:type="dxa"/>
              <w:bottom w:w="40" w:type="dxa"/>
              <w:right w:w="20" w:type="dxa"/>
            </w:tcMar>
            <w:vAlign w:val="bottom"/>
          </w:tcPr>
          <w:p w14:paraId="185FF370" w14:textId="77777777" w:rsidR="00A91885" w:rsidRDefault="009C4196">
            <w:pPr>
              <w:textAlignment w:val="bottom"/>
            </w:pPr>
            <w:r>
              <w:rPr>
                <w:rFonts w:ascii="Arial" w:eastAsia="宋体" w:hAnsi="Arial" w:cs="Arial"/>
                <w:color w:val="000000"/>
                <w:sz w:val="18"/>
                <w:szCs w:val="18"/>
              </w:rPr>
              <w:t>Treasury stock at cost, 1,171 and 1,121 shares</w:t>
            </w:r>
          </w:p>
        </w:tc>
        <w:tc>
          <w:tcPr>
            <w:tcW w:w="0" w:type="auto"/>
            <w:gridSpan w:val="2"/>
            <w:shd w:val="clear" w:color="auto" w:fill="FFFFFF"/>
            <w:tcMar>
              <w:top w:w="40" w:type="dxa"/>
              <w:left w:w="20" w:type="dxa"/>
              <w:bottom w:w="40" w:type="dxa"/>
              <w:right w:w="0" w:type="dxa"/>
            </w:tcMar>
            <w:vAlign w:val="bottom"/>
          </w:tcPr>
          <w:p w14:paraId="185FF371" w14:textId="77777777" w:rsidR="00A91885" w:rsidRDefault="009C4196">
            <w:pPr>
              <w:jc w:val="right"/>
              <w:textAlignment w:val="bottom"/>
            </w:pPr>
            <w:r>
              <w:rPr>
                <w:rFonts w:ascii="Arial" w:eastAsia="宋体" w:hAnsi="Arial" w:cs="Arial"/>
                <w:color w:val="000000"/>
                <w:sz w:val="18"/>
                <w:szCs w:val="18"/>
              </w:rPr>
              <w:t>(46,101)</w:t>
            </w:r>
          </w:p>
        </w:tc>
        <w:tc>
          <w:tcPr>
            <w:tcW w:w="0" w:type="auto"/>
            <w:shd w:val="clear" w:color="auto" w:fill="FFFFFF"/>
            <w:tcMar>
              <w:top w:w="40" w:type="dxa"/>
              <w:left w:w="0" w:type="dxa"/>
              <w:bottom w:w="40" w:type="dxa"/>
              <w:right w:w="20" w:type="dxa"/>
            </w:tcMar>
            <w:vAlign w:val="bottom"/>
          </w:tcPr>
          <w:p w14:paraId="185FF37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373"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374" w14:textId="77777777" w:rsidR="00A91885" w:rsidRDefault="009C4196">
            <w:pPr>
              <w:jc w:val="right"/>
              <w:textAlignment w:val="bottom"/>
            </w:pPr>
            <w:r>
              <w:rPr>
                <w:rFonts w:ascii="Arial" w:eastAsia="宋体" w:hAnsi="Arial" w:cs="Arial"/>
                <w:color w:val="000000"/>
                <w:sz w:val="18"/>
                <w:szCs w:val="18"/>
              </w:rPr>
              <w:t>(43,371)</w:t>
            </w:r>
          </w:p>
        </w:tc>
        <w:tc>
          <w:tcPr>
            <w:tcW w:w="0" w:type="auto"/>
            <w:shd w:val="clear" w:color="auto" w:fill="FFFFFF"/>
            <w:tcMar>
              <w:top w:w="40" w:type="dxa"/>
              <w:left w:w="0" w:type="dxa"/>
              <w:bottom w:w="40" w:type="dxa"/>
              <w:right w:w="20" w:type="dxa"/>
            </w:tcMar>
            <w:vAlign w:val="bottom"/>
          </w:tcPr>
          <w:p w14:paraId="185FF375" w14:textId="77777777" w:rsidR="00A91885" w:rsidRDefault="00A91885">
            <w:pPr>
              <w:jc w:val="right"/>
              <w:rPr>
                <w:rFonts w:ascii="宋体"/>
              </w:rPr>
            </w:pPr>
          </w:p>
        </w:tc>
      </w:tr>
      <w:tr w:rsidR="00A91885" w14:paraId="185FF37D" w14:textId="77777777">
        <w:trPr>
          <w:jc w:val="center"/>
        </w:trPr>
        <w:tc>
          <w:tcPr>
            <w:tcW w:w="0" w:type="auto"/>
            <w:gridSpan w:val="3"/>
            <w:shd w:val="clear" w:color="auto" w:fill="E2E2E2"/>
            <w:tcMar>
              <w:top w:w="40" w:type="dxa"/>
              <w:left w:w="20" w:type="dxa"/>
              <w:bottom w:w="40" w:type="dxa"/>
              <w:right w:w="20" w:type="dxa"/>
            </w:tcMar>
            <w:vAlign w:val="bottom"/>
          </w:tcPr>
          <w:p w14:paraId="185FF377" w14:textId="77777777" w:rsidR="00A91885" w:rsidRDefault="009C4196">
            <w:pPr>
              <w:textAlignment w:val="bottom"/>
            </w:pPr>
            <w:r>
              <w:rPr>
                <w:rFonts w:ascii="Arial" w:eastAsia="宋体" w:hAnsi="Arial" w:cs="Arial"/>
                <w:color w:val="000000"/>
                <w:sz w:val="18"/>
                <w:szCs w:val="18"/>
              </w:rPr>
              <w:t>Retained earnings</w:t>
            </w:r>
          </w:p>
        </w:tc>
        <w:tc>
          <w:tcPr>
            <w:tcW w:w="0" w:type="auto"/>
            <w:gridSpan w:val="2"/>
            <w:shd w:val="clear" w:color="auto" w:fill="E2E2E2"/>
            <w:tcMar>
              <w:top w:w="40" w:type="dxa"/>
              <w:left w:w="20" w:type="dxa"/>
              <w:bottom w:w="40" w:type="dxa"/>
              <w:right w:w="0" w:type="dxa"/>
            </w:tcMar>
            <w:vAlign w:val="bottom"/>
          </w:tcPr>
          <w:p w14:paraId="185FF378" w14:textId="77777777" w:rsidR="00A91885" w:rsidRDefault="009C4196">
            <w:pPr>
              <w:jc w:val="right"/>
              <w:textAlignment w:val="bottom"/>
            </w:pPr>
            <w:r>
              <w:rPr>
                <w:rFonts w:ascii="Arial" w:eastAsia="宋体" w:hAnsi="Arial" w:cs="Arial"/>
                <w:color w:val="000000"/>
                <w:sz w:val="18"/>
                <w:szCs w:val="18"/>
              </w:rPr>
              <w:t>33,960 </w:t>
            </w:r>
          </w:p>
        </w:tc>
        <w:tc>
          <w:tcPr>
            <w:tcW w:w="0" w:type="auto"/>
            <w:shd w:val="clear" w:color="auto" w:fill="E2E2E2"/>
            <w:tcMar>
              <w:top w:w="40" w:type="dxa"/>
              <w:left w:w="0" w:type="dxa"/>
              <w:bottom w:w="40" w:type="dxa"/>
              <w:right w:w="20" w:type="dxa"/>
            </w:tcMar>
            <w:vAlign w:val="bottom"/>
          </w:tcPr>
          <w:p w14:paraId="185FF379"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37A"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37B" w14:textId="77777777" w:rsidR="00A91885" w:rsidRDefault="009C4196">
            <w:pPr>
              <w:jc w:val="right"/>
              <w:textAlignment w:val="bottom"/>
            </w:pPr>
            <w:r>
              <w:rPr>
                <w:rFonts w:ascii="Arial" w:eastAsia="宋体" w:hAnsi="Arial" w:cs="Arial"/>
                <w:color w:val="000000"/>
                <w:sz w:val="18"/>
                <w:szCs w:val="18"/>
              </w:rPr>
              <w:t>36,090 </w:t>
            </w:r>
          </w:p>
        </w:tc>
        <w:tc>
          <w:tcPr>
            <w:tcW w:w="0" w:type="auto"/>
            <w:shd w:val="clear" w:color="auto" w:fill="E2E2E2"/>
            <w:tcMar>
              <w:top w:w="40" w:type="dxa"/>
              <w:left w:w="0" w:type="dxa"/>
              <w:bottom w:w="40" w:type="dxa"/>
              <w:right w:w="20" w:type="dxa"/>
            </w:tcMar>
            <w:vAlign w:val="bottom"/>
          </w:tcPr>
          <w:p w14:paraId="185FF37C" w14:textId="77777777" w:rsidR="00A91885" w:rsidRDefault="00A91885">
            <w:pPr>
              <w:jc w:val="right"/>
              <w:rPr>
                <w:rFonts w:ascii="宋体"/>
              </w:rPr>
            </w:pPr>
          </w:p>
        </w:tc>
      </w:tr>
      <w:tr w:rsidR="00A91885" w14:paraId="185FF384" w14:textId="77777777">
        <w:trPr>
          <w:jc w:val="center"/>
        </w:trPr>
        <w:tc>
          <w:tcPr>
            <w:tcW w:w="0" w:type="auto"/>
            <w:gridSpan w:val="3"/>
            <w:shd w:val="clear" w:color="auto" w:fill="FFFFFF"/>
            <w:tcMar>
              <w:top w:w="40" w:type="dxa"/>
              <w:left w:w="20" w:type="dxa"/>
              <w:bottom w:w="40" w:type="dxa"/>
              <w:right w:w="20" w:type="dxa"/>
            </w:tcMar>
            <w:vAlign w:val="bottom"/>
          </w:tcPr>
          <w:p w14:paraId="185FF37E" w14:textId="77777777" w:rsidR="00A91885" w:rsidRDefault="009C4196">
            <w:pPr>
              <w:textAlignment w:val="bottom"/>
            </w:pPr>
            <w:r>
              <w:rPr>
                <w:rFonts w:ascii="Arial" w:eastAsia="宋体" w:hAnsi="Arial" w:cs="Arial"/>
                <w:color w:val="000000"/>
                <w:sz w:val="18"/>
                <w:szCs w:val="18"/>
              </w:rPr>
              <w:t>Accumulated other comprehensive income</w:t>
            </w:r>
          </w:p>
        </w:tc>
        <w:tc>
          <w:tcPr>
            <w:tcW w:w="0" w:type="auto"/>
            <w:gridSpan w:val="2"/>
            <w:shd w:val="clear" w:color="auto" w:fill="FFFFFF"/>
            <w:tcMar>
              <w:top w:w="40" w:type="dxa"/>
              <w:left w:w="20" w:type="dxa"/>
              <w:bottom w:w="40" w:type="dxa"/>
              <w:right w:w="0" w:type="dxa"/>
            </w:tcMar>
            <w:vAlign w:val="bottom"/>
          </w:tcPr>
          <w:p w14:paraId="185FF37F" w14:textId="77777777" w:rsidR="00A91885" w:rsidRDefault="009C4196">
            <w:pPr>
              <w:jc w:val="right"/>
              <w:textAlignment w:val="bottom"/>
            </w:pPr>
            <w:r>
              <w:rPr>
                <w:rFonts w:ascii="Arial" w:eastAsia="宋体" w:hAnsi="Arial" w:cs="Arial"/>
                <w:color w:val="000000"/>
                <w:sz w:val="18"/>
                <w:szCs w:val="18"/>
              </w:rPr>
              <w:t>323 </w:t>
            </w:r>
          </w:p>
        </w:tc>
        <w:tc>
          <w:tcPr>
            <w:tcW w:w="0" w:type="auto"/>
            <w:shd w:val="clear" w:color="auto" w:fill="FFFFFF"/>
            <w:tcMar>
              <w:top w:w="40" w:type="dxa"/>
              <w:left w:w="0" w:type="dxa"/>
              <w:bottom w:w="40" w:type="dxa"/>
              <w:right w:w="20" w:type="dxa"/>
            </w:tcMar>
            <w:vAlign w:val="bottom"/>
          </w:tcPr>
          <w:p w14:paraId="185FF38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38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382" w14:textId="77777777" w:rsidR="00A91885" w:rsidRDefault="009C4196">
            <w:pPr>
              <w:jc w:val="right"/>
              <w:textAlignment w:val="bottom"/>
            </w:pPr>
            <w:r>
              <w:rPr>
                <w:rFonts w:ascii="Arial" w:eastAsia="宋体" w:hAnsi="Arial" w:cs="Arial"/>
                <w:color w:val="000000"/>
                <w:sz w:val="18"/>
                <w:szCs w:val="18"/>
              </w:rPr>
              <w:t>398 </w:t>
            </w:r>
          </w:p>
        </w:tc>
        <w:tc>
          <w:tcPr>
            <w:tcW w:w="0" w:type="auto"/>
            <w:shd w:val="clear" w:color="auto" w:fill="FFFFFF"/>
            <w:tcMar>
              <w:top w:w="40" w:type="dxa"/>
              <w:left w:w="0" w:type="dxa"/>
              <w:bottom w:w="40" w:type="dxa"/>
              <w:right w:w="20" w:type="dxa"/>
            </w:tcMar>
            <w:vAlign w:val="bottom"/>
          </w:tcPr>
          <w:p w14:paraId="185FF383" w14:textId="77777777" w:rsidR="00A91885" w:rsidRDefault="00A91885">
            <w:pPr>
              <w:jc w:val="right"/>
              <w:rPr>
                <w:rFonts w:ascii="宋体"/>
              </w:rPr>
            </w:pPr>
          </w:p>
        </w:tc>
      </w:tr>
      <w:tr w:rsidR="00A91885" w14:paraId="185FF38B" w14:textId="77777777">
        <w:trPr>
          <w:jc w:val="center"/>
        </w:trPr>
        <w:tc>
          <w:tcPr>
            <w:tcW w:w="0" w:type="auto"/>
            <w:gridSpan w:val="3"/>
            <w:shd w:val="clear" w:color="auto" w:fill="E2E2E2"/>
            <w:tcMar>
              <w:top w:w="40" w:type="dxa"/>
              <w:left w:w="965" w:type="dxa"/>
              <w:bottom w:w="40" w:type="dxa"/>
              <w:right w:w="20" w:type="dxa"/>
            </w:tcMar>
            <w:vAlign w:val="bottom"/>
          </w:tcPr>
          <w:p w14:paraId="185FF385" w14:textId="77777777" w:rsidR="00A91885" w:rsidRDefault="009C4196">
            <w:pPr>
              <w:textAlignment w:val="bottom"/>
            </w:pPr>
            <w:r>
              <w:rPr>
                <w:rFonts w:ascii="Arial" w:eastAsia="宋体" w:hAnsi="Arial" w:cs="Arial"/>
                <w:color w:val="000000"/>
                <w:sz w:val="18"/>
                <w:szCs w:val="18"/>
              </w:rPr>
              <w:t>Total stockholders’ equity</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386" w14:textId="77777777" w:rsidR="00A91885" w:rsidRDefault="009C4196">
            <w:pPr>
              <w:jc w:val="right"/>
              <w:textAlignment w:val="bottom"/>
            </w:pPr>
            <w:r>
              <w:rPr>
                <w:rFonts w:ascii="Arial" w:eastAsia="宋体" w:hAnsi="Arial" w:cs="Arial"/>
                <w:color w:val="000000"/>
                <w:sz w:val="18"/>
                <w:szCs w:val="18"/>
              </w:rPr>
              <w:t>5,243 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38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388"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389" w14:textId="77777777" w:rsidR="00A91885" w:rsidRDefault="009C4196">
            <w:pPr>
              <w:jc w:val="right"/>
              <w:textAlignment w:val="bottom"/>
            </w:pPr>
            <w:r>
              <w:rPr>
                <w:rFonts w:ascii="Arial" w:eastAsia="宋体" w:hAnsi="Arial" w:cs="Arial"/>
                <w:color w:val="000000"/>
                <w:sz w:val="18"/>
                <w:szCs w:val="18"/>
              </w:rPr>
              <w:t>9,778 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38A" w14:textId="77777777" w:rsidR="00A91885" w:rsidRDefault="00A91885">
            <w:pPr>
              <w:jc w:val="right"/>
              <w:rPr>
                <w:rFonts w:ascii="宋体"/>
              </w:rPr>
            </w:pPr>
          </w:p>
        </w:tc>
      </w:tr>
      <w:tr w:rsidR="00A91885" w14:paraId="185FF394" w14:textId="77777777">
        <w:trPr>
          <w:jc w:val="center"/>
        </w:trPr>
        <w:tc>
          <w:tcPr>
            <w:tcW w:w="0" w:type="auto"/>
            <w:gridSpan w:val="3"/>
            <w:shd w:val="clear" w:color="auto" w:fill="FFFFFF"/>
            <w:tcMar>
              <w:top w:w="40" w:type="dxa"/>
              <w:left w:w="515" w:type="dxa"/>
              <w:bottom w:w="40" w:type="dxa"/>
              <w:right w:w="20" w:type="dxa"/>
            </w:tcMar>
            <w:vAlign w:val="bottom"/>
          </w:tcPr>
          <w:p w14:paraId="185FF38C" w14:textId="77777777" w:rsidR="00A91885" w:rsidRDefault="009C4196">
            <w:pPr>
              <w:textAlignment w:val="bottom"/>
            </w:pPr>
            <w:r>
              <w:rPr>
                <w:rFonts w:ascii="Arial" w:eastAsia="宋体" w:hAnsi="Arial" w:cs="Arial"/>
                <w:color w:val="000000"/>
                <w:sz w:val="18"/>
                <w:szCs w:val="18"/>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5FF38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5FF38E" w14:textId="77777777" w:rsidR="00A91885" w:rsidRDefault="009C4196">
            <w:pPr>
              <w:jc w:val="right"/>
              <w:textAlignment w:val="bottom"/>
            </w:pPr>
            <w:r>
              <w:rPr>
                <w:rFonts w:ascii="Arial" w:eastAsia="宋体" w:hAnsi="Arial" w:cs="Arial"/>
                <w:color w:val="000000"/>
                <w:sz w:val="18"/>
                <w:szCs w:val="18"/>
              </w:rPr>
              <w:t>19,653 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5FF38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390"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5FF39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5FF392" w14:textId="77777777" w:rsidR="00A91885" w:rsidRDefault="009C4196">
            <w:pPr>
              <w:jc w:val="right"/>
              <w:textAlignment w:val="bottom"/>
            </w:pPr>
            <w:r>
              <w:rPr>
                <w:rFonts w:ascii="Arial" w:eastAsia="宋体" w:hAnsi="Arial" w:cs="Arial"/>
                <w:color w:val="000000"/>
                <w:sz w:val="18"/>
                <w:szCs w:val="18"/>
              </w:rPr>
              <w:t>26,626 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5FF393" w14:textId="77777777" w:rsidR="00A91885" w:rsidRDefault="00A91885">
            <w:pPr>
              <w:jc w:val="right"/>
              <w:rPr>
                <w:rFonts w:ascii="宋体"/>
              </w:rPr>
            </w:pPr>
          </w:p>
        </w:tc>
      </w:tr>
    </w:tbl>
    <w:p w14:paraId="185FF395" w14:textId="77777777" w:rsidR="00A91885" w:rsidRDefault="00A91885">
      <w:pPr>
        <w:jc w:val="center"/>
      </w:pPr>
    </w:p>
    <w:p w14:paraId="185FF396" w14:textId="77777777" w:rsidR="00A91885" w:rsidRDefault="009C4196">
      <w:pPr>
        <w:jc w:val="center"/>
      </w:pPr>
      <w:r>
        <w:rPr>
          <w:rFonts w:ascii="Arial" w:eastAsia="宋体" w:hAnsi="Arial" w:cs="Arial"/>
          <w:color w:val="000000"/>
          <w:sz w:val="18"/>
          <w:szCs w:val="18"/>
        </w:rPr>
        <w:t>The accompanying notes are an integral part of these condensed consolidated financial statements.</w:t>
      </w:r>
    </w:p>
    <w:p w14:paraId="185FF397" w14:textId="77777777" w:rsidR="00A91885" w:rsidRDefault="00A91885">
      <w:pPr>
        <w:jc w:val="center"/>
      </w:pPr>
    </w:p>
    <w:p w14:paraId="185FF398" w14:textId="77777777" w:rsidR="00A91885" w:rsidRDefault="009C4196">
      <w:pPr>
        <w:jc w:val="center"/>
      </w:pPr>
      <w:r>
        <w:rPr>
          <w:rFonts w:ascii="Arial" w:eastAsia="宋体" w:hAnsi="Arial" w:cs="Arial"/>
          <w:color w:val="000000"/>
          <w:sz w:val="20"/>
          <w:szCs w:val="20"/>
        </w:rPr>
        <w:t>4</w:t>
      </w:r>
    </w:p>
    <w:p w14:paraId="185FF399" w14:textId="77777777" w:rsidR="00A91885" w:rsidRDefault="009C4196">
      <w:r>
        <w:pict w14:anchorId="18602187">
          <v:rect id="_x0000_i1028" style="width:415.3pt;height:1.5pt" o:hralign="center" o:hrstd="t" o:hr="t" fillcolor="#a0a0a0" stroked="f"/>
        </w:pict>
      </w:r>
    </w:p>
    <w:p w14:paraId="185FF39A" w14:textId="77777777" w:rsidR="00A91885" w:rsidRDefault="009C4196">
      <w:hyperlink r:id="rId88" w:anchor="ieb971428a625452486c65ae24899afca_7" w:history="1">
        <w:r>
          <w:rPr>
            <w:rStyle w:val="a5"/>
            <w:rFonts w:ascii="Arial" w:eastAsia="宋体" w:hAnsi="Arial" w:cs="Arial"/>
            <w:sz w:val="18"/>
            <w:szCs w:val="18"/>
          </w:rPr>
          <w:t>Table of Contents</w:t>
        </w:r>
      </w:hyperlink>
    </w:p>
    <w:p w14:paraId="185FF39B" w14:textId="77777777" w:rsidR="00A91885" w:rsidRDefault="009C4196">
      <w:pPr>
        <w:spacing w:before="120"/>
        <w:jc w:val="center"/>
      </w:pPr>
      <w:r>
        <w:rPr>
          <w:rFonts w:ascii="Arial" w:eastAsia="宋体" w:hAnsi="Arial" w:cs="Arial"/>
          <w:b/>
          <w:bCs/>
          <w:color w:val="000000"/>
          <w:sz w:val="20"/>
          <w:szCs w:val="20"/>
        </w:rPr>
        <w:t xml:space="preserve">eBay Inc. </w:t>
      </w:r>
    </w:p>
    <w:p w14:paraId="185FF39C" w14:textId="77777777" w:rsidR="00A91885" w:rsidRDefault="009C4196">
      <w:pPr>
        <w:spacing w:before="80"/>
        <w:jc w:val="center"/>
      </w:pPr>
      <w:r>
        <w:rPr>
          <w:rFonts w:ascii="Arial" w:eastAsia="宋体" w:hAnsi="Arial" w:cs="Arial"/>
          <w:b/>
          <w:bCs/>
          <w:color w:val="000000"/>
          <w:sz w:val="20"/>
          <w:szCs w:val="20"/>
        </w:rPr>
        <w:t xml:space="preserve">CONDENSED CONSOLIDATED STATEMENT OF INCOME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47"/>
        <w:gridCol w:w="39"/>
        <w:gridCol w:w="121"/>
        <w:gridCol w:w="889"/>
        <w:gridCol w:w="36"/>
        <w:gridCol w:w="36"/>
        <w:gridCol w:w="36"/>
        <w:gridCol w:w="36"/>
        <w:gridCol w:w="121"/>
        <w:gridCol w:w="889"/>
        <w:gridCol w:w="36"/>
        <w:gridCol w:w="36"/>
        <w:gridCol w:w="36"/>
        <w:gridCol w:w="36"/>
        <w:gridCol w:w="121"/>
        <w:gridCol w:w="889"/>
        <w:gridCol w:w="36"/>
        <w:gridCol w:w="36"/>
        <w:gridCol w:w="36"/>
        <w:gridCol w:w="36"/>
        <w:gridCol w:w="121"/>
        <w:gridCol w:w="891"/>
        <w:gridCol w:w="36"/>
      </w:tblGrid>
      <w:tr w:rsidR="00A91885" w14:paraId="185FF3B5" w14:textId="77777777">
        <w:trPr>
          <w:jc w:val="center"/>
        </w:trPr>
        <w:tc>
          <w:tcPr>
            <w:tcW w:w="50" w:type="pct"/>
            <w:shd w:val="clear" w:color="auto" w:fill="auto"/>
            <w:vAlign w:val="bottom"/>
          </w:tcPr>
          <w:p w14:paraId="185FF39D" w14:textId="77777777" w:rsidR="00A91885" w:rsidRDefault="00A91885">
            <w:pPr>
              <w:rPr>
                <w:rFonts w:ascii="宋体"/>
              </w:rPr>
            </w:pPr>
          </w:p>
        </w:tc>
        <w:tc>
          <w:tcPr>
            <w:tcW w:w="2313" w:type="pct"/>
            <w:shd w:val="clear" w:color="auto" w:fill="auto"/>
            <w:vAlign w:val="bottom"/>
          </w:tcPr>
          <w:p w14:paraId="185FF39E" w14:textId="77777777" w:rsidR="00A91885" w:rsidRDefault="00A91885">
            <w:pPr>
              <w:rPr>
                <w:rFonts w:ascii="宋体"/>
              </w:rPr>
            </w:pPr>
          </w:p>
        </w:tc>
        <w:tc>
          <w:tcPr>
            <w:tcW w:w="5" w:type="pct"/>
            <w:shd w:val="clear" w:color="auto" w:fill="auto"/>
            <w:vAlign w:val="bottom"/>
          </w:tcPr>
          <w:p w14:paraId="185FF39F" w14:textId="77777777" w:rsidR="00A91885" w:rsidRDefault="00A91885">
            <w:pPr>
              <w:rPr>
                <w:rFonts w:ascii="宋体"/>
              </w:rPr>
            </w:pPr>
          </w:p>
        </w:tc>
        <w:tc>
          <w:tcPr>
            <w:tcW w:w="50" w:type="pct"/>
            <w:shd w:val="clear" w:color="auto" w:fill="auto"/>
            <w:vAlign w:val="bottom"/>
          </w:tcPr>
          <w:p w14:paraId="185FF3A0" w14:textId="77777777" w:rsidR="00A91885" w:rsidRDefault="00A91885">
            <w:pPr>
              <w:rPr>
                <w:rFonts w:ascii="宋体"/>
              </w:rPr>
            </w:pPr>
          </w:p>
        </w:tc>
        <w:tc>
          <w:tcPr>
            <w:tcW w:w="580" w:type="pct"/>
            <w:shd w:val="clear" w:color="auto" w:fill="auto"/>
            <w:vAlign w:val="bottom"/>
          </w:tcPr>
          <w:p w14:paraId="185FF3A1" w14:textId="77777777" w:rsidR="00A91885" w:rsidRDefault="00A91885">
            <w:pPr>
              <w:rPr>
                <w:rFonts w:ascii="宋体"/>
              </w:rPr>
            </w:pPr>
          </w:p>
        </w:tc>
        <w:tc>
          <w:tcPr>
            <w:tcW w:w="5" w:type="pct"/>
            <w:shd w:val="clear" w:color="auto" w:fill="auto"/>
            <w:vAlign w:val="bottom"/>
          </w:tcPr>
          <w:p w14:paraId="185FF3A2" w14:textId="77777777" w:rsidR="00A91885" w:rsidRDefault="00A91885">
            <w:pPr>
              <w:rPr>
                <w:rFonts w:ascii="宋体"/>
              </w:rPr>
            </w:pPr>
          </w:p>
        </w:tc>
        <w:tc>
          <w:tcPr>
            <w:tcW w:w="5" w:type="pct"/>
            <w:shd w:val="clear" w:color="auto" w:fill="auto"/>
            <w:vAlign w:val="bottom"/>
          </w:tcPr>
          <w:p w14:paraId="185FF3A3" w14:textId="77777777" w:rsidR="00A91885" w:rsidRDefault="00A91885">
            <w:pPr>
              <w:rPr>
                <w:rFonts w:ascii="宋体"/>
              </w:rPr>
            </w:pPr>
          </w:p>
        </w:tc>
        <w:tc>
          <w:tcPr>
            <w:tcW w:w="19" w:type="pct"/>
            <w:shd w:val="clear" w:color="auto" w:fill="auto"/>
            <w:vAlign w:val="bottom"/>
          </w:tcPr>
          <w:p w14:paraId="185FF3A4" w14:textId="77777777" w:rsidR="00A91885" w:rsidRDefault="00A91885">
            <w:pPr>
              <w:rPr>
                <w:rFonts w:ascii="宋体"/>
              </w:rPr>
            </w:pPr>
          </w:p>
        </w:tc>
        <w:tc>
          <w:tcPr>
            <w:tcW w:w="5" w:type="pct"/>
            <w:shd w:val="clear" w:color="auto" w:fill="auto"/>
            <w:vAlign w:val="bottom"/>
          </w:tcPr>
          <w:p w14:paraId="185FF3A5" w14:textId="77777777" w:rsidR="00A91885" w:rsidRDefault="00A91885">
            <w:pPr>
              <w:rPr>
                <w:rFonts w:ascii="宋体"/>
              </w:rPr>
            </w:pPr>
          </w:p>
        </w:tc>
        <w:tc>
          <w:tcPr>
            <w:tcW w:w="50" w:type="pct"/>
            <w:shd w:val="clear" w:color="auto" w:fill="auto"/>
            <w:vAlign w:val="bottom"/>
          </w:tcPr>
          <w:p w14:paraId="185FF3A6" w14:textId="77777777" w:rsidR="00A91885" w:rsidRDefault="00A91885">
            <w:pPr>
              <w:rPr>
                <w:rFonts w:ascii="宋体"/>
              </w:rPr>
            </w:pPr>
          </w:p>
        </w:tc>
        <w:tc>
          <w:tcPr>
            <w:tcW w:w="580" w:type="pct"/>
            <w:shd w:val="clear" w:color="auto" w:fill="auto"/>
            <w:vAlign w:val="bottom"/>
          </w:tcPr>
          <w:p w14:paraId="185FF3A7" w14:textId="77777777" w:rsidR="00A91885" w:rsidRDefault="00A91885">
            <w:pPr>
              <w:rPr>
                <w:rFonts w:ascii="宋体"/>
              </w:rPr>
            </w:pPr>
          </w:p>
        </w:tc>
        <w:tc>
          <w:tcPr>
            <w:tcW w:w="5" w:type="pct"/>
            <w:shd w:val="clear" w:color="auto" w:fill="auto"/>
            <w:vAlign w:val="bottom"/>
          </w:tcPr>
          <w:p w14:paraId="185FF3A8" w14:textId="77777777" w:rsidR="00A91885" w:rsidRDefault="00A91885">
            <w:pPr>
              <w:rPr>
                <w:rFonts w:ascii="宋体"/>
              </w:rPr>
            </w:pPr>
          </w:p>
        </w:tc>
        <w:tc>
          <w:tcPr>
            <w:tcW w:w="5" w:type="pct"/>
            <w:shd w:val="clear" w:color="auto" w:fill="auto"/>
            <w:vAlign w:val="bottom"/>
          </w:tcPr>
          <w:p w14:paraId="185FF3A9" w14:textId="77777777" w:rsidR="00A91885" w:rsidRDefault="00A91885">
            <w:pPr>
              <w:rPr>
                <w:rFonts w:ascii="宋体"/>
              </w:rPr>
            </w:pPr>
          </w:p>
        </w:tc>
        <w:tc>
          <w:tcPr>
            <w:tcW w:w="19" w:type="pct"/>
            <w:shd w:val="clear" w:color="auto" w:fill="auto"/>
            <w:vAlign w:val="bottom"/>
          </w:tcPr>
          <w:p w14:paraId="185FF3AA" w14:textId="77777777" w:rsidR="00A91885" w:rsidRDefault="00A91885">
            <w:pPr>
              <w:rPr>
                <w:rFonts w:ascii="宋体"/>
              </w:rPr>
            </w:pPr>
          </w:p>
        </w:tc>
        <w:tc>
          <w:tcPr>
            <w:tcW w:w="5" w:type="pct"/>
            <w:shd w:val="clear" w:color="auto" w:fill="auto"/>
            <w:vAlign w:val="bottom"/>
          </w:tcPr>
          <w:p w14:paraId="185FF3AB" w14:textId="77777777" w:rsidR="00A91885" w:rsidRDefault="00A91885">
            <w:pPr>
              <w:rPr>
                <w:rFonts w:ascii="宋体"/>
              </w:rPr>
            </w:pPr>
          </w:p>
        </w:tc>
        <w:tc>
          <w:tcPr>
            <w:tcW w:w="50" w:type="pct"/>
            <w:shd w:val="clear" w:color="auto" w:fill="auto"/>
            <w:vAlign w:val="bottom"/>
          </w:tcPr>
          <w:p w14:paraId="185FF3AC" w14:textId="77777777" w:rsidR="00A91885" w:rsidRDefault="00A91885">
            <w:pPr>
              <w:rPr>
                <w:rFonts w:ascii="宋体"/>
              </w:rPr>
            </w:pPr>
          </w:p>
        </w:tc>
        <w:tc>
          <w:tcPr>
            <w:tcW w:w="580" w:type="pct"/>
            <w:shd w:val="clear" w:color="auto" w:fill="auto"/>
            <w:vAlign w:val="bottom"/>
          </w:tcPr>
          <w:p w14:paraId="185FF3AD" w14:textId="77777777" w:rsidR="00A91885" w:rsidRDefault="00A91885">
            <w:pPr>
              <w:rPr>
                <w:rFonts w:ascii="宋体"/>
              </w:rPr>
            </w:pPr>
          </w:p>
        </w:tc>
        <w:tc>
          <w:tcPr>
            <w:tcW w:w="5" w:type="pct"/>
            <w:shd w:val="clear" w:color="auto" w:fill="auto"/>
            <w:vAlign w:val="bottom"/>
          </w:tcPr>
          <w:p w14:paraId="185FF3AE" w14:textId="77777777" w:rsidR="00A91885" w:rsidRDefault="00A91885">
            <w:pPr>
              <w:rPr>
                <w:rFonts w:ascii="宋体"/>
              </w:rPr>
            </w:pPr>
          </w:p>
        </w:tc>
        <w:tc>
          <w:tcPr>
            <w:tcW w:w="5" w:type="pct"/>
            <w:shd w:val="clear" w:color="auto" w:fill="auto"/>
            <w:vAlign w:val="bottom"/>
          </w:tcPr>
          <w:p w14:paraId="185FF3AF" w14:textId="77777777" w:rsidR="00A91885" w:rsidRDefault="00A91885">
            <w:pPr>
              <w:rPr>
                <w:rFonts w:ascii="宋体"/>
              </w:rPr>
            </w:pPr>
          </w:p>
        </w:tc>
        <w:tc>
          <w:tcPr>
            <w:tcW w:w="19" w:type="pct"/>
            <w:shd w:val="clear" w:color="auto" w:fill="auto"/>
            <w:vAlign w:val="bottom"/>
          </w:tcPr>
          <w:p w14:paraId="185FF3B0" w14:textId="77777777" w:rsidR="00A91885" w:rsidRDefault="00A91885">
            <w:pPr>
              <w:rPr>
                <w:rFonts w:ascii="宋体"/>
              </w:rPr>
            </w:pPr>
          </w:p>
        </w:tc>
        <w:tc>
          <w:tcPr>
            <w:tcW w:w="5" w:type="pct"/>
            <w:shd w:val="clear" w:color="auto" w:fill="auto"/>
            <w:vAlign w:val="bottom"/>
          </w:tcPr>
          <w:p w14:paraId="185FF3B1" w14:textId="77777777" w:rsidR="00A91885" w:rsidRDefault="00A91885">
            <w:pPr>
              <w:rPr>
                <w:rFonts w:ascii="宋体"/>
              </w:rPr>
            </w:pPr>
          </w:p>
        </w:tc>
        <w:tc>
          <w:tcPr>
            <w:tcW w:w="50" w:type="pct"/>
            <w:shd w:val="clear" w:color="auto" w:fill="auto"/>
            <w:vAlign w:val="bottom"/>
          </w:tcPr>
          <w:p w14:paraId="185FF3B2" w14:textId="77777777" w:rsidR="00A91885" w:rsidRDefault="00A91885">
            <w:pPr>
              <w:rPr>
                <w:rFonts w:ascii="宋体"/>
              </w:rPr>
            </w:pPr>
          </w:p>
        </w:tc>
        <w:tc>
          <w:tcPr>
            <w:tcW w:w="581" w:type="pct"/>
            <w:shd w:val="clear" w:color="auto" w:fill="auto"/>
            <w:vAlign w:val="bottom"/>
          </w:tcPr>
          <w:p w14:paraId="185FF3B3" w14:textId="77777777" w:rsidR="00A91885" w:rsidRDefault="00A91885">
            <w:pPr>
              <w:rPr>
                <w:rFonts w:ascii="宋体"/>
              </w:rPr>
            </w:pPr>
          </w:p>
        </w:tc>
        <w:tc>
          <w:tcPr>
            <w:tcW w:w="5" w:type="pct"/>
            <w:shd w:val="clear" w:color="auto" w:fill="auto"/>
            <w:vAlign w:val="bottom"/>
          </w:tcPr>
          <w:p w14:paraId="185FF3B4" w14:textId="77777777" w:rsidR="00A91885" w:rsidRDefault="00A91885">
            <w:pPr>
              <w:rPr>
                <w:rFonts w:ascii="宋体"/>
              </w:rPr>
            </w:pPr>
          </w:p>
        </w:tc>
      </w:tr>
      <w:tr w:rsidR="00A91885" w14:paraId="185FF3BA" w14:textId="77777777">
        <w:trPr>
          <w:jc w:val="center"/>
        </w:trPr>
        <w:tc>
          <w:tcPr>
            <w:tcW w:w="0" w:type="auto"/>
            <w:gridSpan w:val="3"/>
            <w:shd w:val="clear" w:color="auto" w:fill="auto"/>
            <w:tcMar>
              <w:top w:w="40" w:type="dxa"/>
              <w:left w:w="20" w:type="dxa"/>
              <w:bottom w:w="40" w:type="dxa"/>
              <w:right w:w="20" w:type="dxa"/>
            </w:tcMar>
            <w:vAlign w:val="bottom"/>
          </w:tcPr>
          <w:p w14:paraId="185FF3B6" w14:textId="77777777" w:rsidR="00A91885" w:rsidRDefault="009C4196">
            <w:pPr>
              <w:textAlignment w:val="bottom"/>
            </w:pPr>
            <w:r>
              <w:rPr>
                <w:rFonts w:ascii="Arial" w:eastAsia="宋体" w:hAnsi="Arial" w:cs="Arial"/>
                <w:b/>
                <w:bCs/>
                <w:color w:val="000000"/>
                <w:sz w:val="16"/>
                <w:szCs w:val="16"/>
              </w:rPr>
              <w:t> </w:t>
            </w:r>
          </w:p>
        </w:tc>
        <w:tc>
          <w:tcPr>
            <w:tcW w:w="0" w:type="auto"/>
            <w:gridSpan w:val="9"/>
            <w:shd w:val="clear" w:color="auto" w:fill="auto"/>
            <w:tcMar>
              <w:top w:w="40" w:type="dxa"/>
              <w:left w:w="20" w:type="dxa"/>
              <w:bottom w:w="40" w:type="dxa"/>
              <w:right w:w="20" w:type="dxa"/>
            </w:tcMar>
            <w:vAlign w:val="bottom"/>
          </w:tcPr>
          <w:p w14:paraId="185FF3B7"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5FF3B8"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5FF3B9"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5FF3C3" w14:textId="77777777">
        <w:trPr>
          <w:jc w:val="center"/>
        </w:trPr>
        <w:tc>
          <w:tcPr>
            <w:tcW w:w="0" w:type="auto"/>
            <w:gridSpan w:val="3"/>
            <w:shd w:val="clear" w:color="auto" w:fill="auto"/>
            <w:tcMar>
              <w:top w:w="40" w:type="dxa"/>
              <w:left w:w="20" w:type="dxa"/>
              <w:bottom w:w="40" w:type="dxa"/>
              <w:right w:w="20" w:type="dxa"/>
            </w:tcMar>
            <w:vAlign w:val="bottom"/>
          </w:tcPr>
          <w:p w14:paraId="185FF3BB" w14:textId="77777777" w:rsidR="00A91885" w:rsidRDefault="009C4196">
            <w:pP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3BC"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85FF3BD"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5FF3BE"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5FF3BF"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5FF3C0"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85FF3C1"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5FF3C2"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5FF3C6" w14:textId="77777777">
        <w:trPr>
          <w:jc w:val="center"/>
        </w:trPr>
        <w:tc>
          <w:tcPr>
            <w:tcW w:w="0" w:type="auto"/>
            <w:gridSpan w:val="3"/>
            <w:shd w:val="clear" w:color="auto" w:fill="auto"/>
            <w:tcMar>
              <w:top w:w="40" w:type="dxa"/>
              <w:left w:w="20" w:type="dxa"/>
              <w:bottom w:w="40" w:type="dxa"/>
              <w:right w:w="20" w:type="dxa"/>
            </w:tcMar>
            <w:vAlign w:val="bottom"/>
          </w:tcPr>
          <w:p w14:paraId="185FF3C4" w14:textId="77777777" w:rsidR="00A91885" w:rsidRDefault="009C4196">
            <w:pPr>
              <w:textAlignment w:val="bottom"/>
            </w:pPr>
            <w:r>
              <w:rPr>
                <w:rFonts w:ascii="Arial" w:eastAsia="宋体" w:hAnsi="Arial" w:cs="Arial"/>
                <w:b/>
                <w:bCs/>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185FF3C5" w14:textId="77777777" w:rsidR="00A91885" w:rsidRDefault="009C4196">
            <w:pPr>
              <w:jc w:val="center"/>
              <w:textAlignment w:val="bottom"/>
            </w:pPr>
            <w:r>
              <w:rPr>
                <w:rFonts w:ascii="Arial" w:eastAsia="宋体" w:hAnsi="Arial" w:cs="Arial"/>
                <w:b/>
                <w:bCs/>
                <w:color w:val="000000"/>
                <w:sz w:val="17"/>
                <w:szCs w:val="17"/>
              </w:rPr>
              <w:t>(In millions, except per share amounts)</w:t>
            </w:r>
          </w:p>
        </w:tc>
      </w:tr>
      <w:tr w:rsidR="00A91885" w14:paraId="185FF3C9" w14:textId="77777777">
        <w:trPr>
          <w:jc w:val="center"/>
        </w:trPr>
        <w:tc>
          <w:tcPr>
            <w:tcW w:w="0" w:type="auto"/>
            <w:gridSpan w:val="3"/>
            <w:shd w:val="clear" w:color="auto" w:fill="auto"/>
            <w:tcMar>
              <w:top w:w="40" w:type="dxa"/>
              <w:left w:w="20" w:type="dxa"/>
              <w:bottom w:w="40" w:type="dxa"/>
              <w:right w:w="20" w:type="dxa"/>
            </w:tcMar>
            <w:vAlign w:val="bottom"/>
          </w:tcPr>
          <w:p w14:paraId="185FF3C7" w14:textId="77777777" w:rsidR="00A91885" w:rsidRDefault="009C4196">
            <w:pPr>
              <w:textAlignment w:val="bottom"/>
            </w:pPr>
            <w:r>
              <w:rPr>
                <w:rFonts w:ascii="Arial" w:eastAsia="宋体" w:hAnsi="Arial" w:cs="Arial"/>
                <w:b/>
                <w:bCs/>
                <w:color w:val="000000"/>
                <w:sz w:val="16"/>
                <w:szCs w:val="16"/>
              </w:rPr>
              <w:t> </w:t>
            </w:r>
          </w:p>
        </w:tc>
        <w:tc>
          <w:tcPr>
            <w:tcW w:w="0" w:type="auto"/>
            <w:gridSpan w:val="21"/>
            <w:shd w:val="clear" w:color="auto" w:fill="auto"/>
            <w:tcMar>
              <w:top w:w="40" w:type="dxa"/>
              <w:left w:w="20" w:type="dxa"/>
              <w:bottom w:w="40" w:type="dxa"/>
              <w:right w:w="20" w:type="dxa"/>
            </w:tcMar>
            <w:vAlign w:val="bottom"/>
          </w:tcPr>
          <w:p w14:paraId="185FF3C8" w14:textId="77777777" w:rsidR="00A91885" w:rsidRDefault="009C4196">
            <w:pPr>
              <w:jc w:val="center"/>
              <w:textAlignment w:val="bottom"/>
            </w:pPr>
            <w:r>
              <w:rPr>
                <w:rFonts w:ascii="Arial" w:eastAsia="宋体" w:hAnsi="Arial" w:cs="Arial"/>
                <w:b/>
                <w:bCs/>
                <w:color w:val="000000"/>
                <w:sz w:val="17"/>
                <w:szCs w:val="17"/>
              </w:rPr>
              <w:t>(Unaudited)</w:t>
            </w:r>
          </w:p>
        </w:tc>
      </w:tr>
      <w:tr w:rsidR="00A91885" w14:paraId="185FF3DA" w14:textId="77777777">
        <w:trPr>
          <w:jc w:val="center"/>
        </w:trPr>
        <w:tc>
          <w:tcPr>
            <w:tcW w:w="0" w:type="auto"/>
            <w:gridSpan w:val="3"/>
            <w:shd w:val="clear" w:color="auto" w:fill="E2E2E2"/>
            <w:tcMar>
              <w:top w:w="40" w:type="dxa"/>
              <w:left w:w="20" w:type="dxa"/>
              <w:bottom w:w="40" w:type="dxa"/>
              <w:right w:w="20" w:type="dxa"/>
            </w:tcMar>
            <w:vAlign w:val="bottom"/>
          </w:tcPr>
          <w:p w14:paraId="185FF3CA" w14:textId="77777777" w:rsidR="00A91885" w:rsidRDefault="009C4196">
            <w:pPr>
              <w:textAlignment w:val="bottom"/>
            </w:pPr>
            <w:r>
              <w:rPr>
                <w:rFonts w:ascii="Arial" w:eastAsia="宋体" w:hAnsi="Arial" w:cs="Arial"/>
                <w:color w:val="000000"/>
                <w:sz w:val="18"/>
                <w:szCs w:val="18"/>
              </w:rPr>
              <w:t>Net revenues</w:t>
            </w:r>
          </w:p>
        </w:tc>
        <w:tc>
          <w:tcPr>
            <w:tcW w:w="0" w:type="auto"/>
            <w:shd w:val="clear" w:color="auto" w:fill="E2E2E2"/>
            <w:tcMar>
              <w:top w:w="40" w:type="dxa"/>
              <w:left w:w="20" w:type="dxa"/>
              <w:bottom w:w="40" w:type="dxa"/>
              <w:right w:w="0" w:type="dxa"/>
            </w:tcMar>
            <w:vAlign w:val="bottom"/>
          </w:tcPr>
          <w:p w14:paraId="185FF3CB"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3CC" w14:textId="77777777" w:rsidR="00A91885" w:rsidRDefault="009C4196">
            <w:pPr>
              <w:jc w:val="right"/>
              <w:textAlignment w:val="bottom"/>
            </w:pPr>
            <w:r>
              <w:rPr>
                <w:rFonts w:ascii="Arial" w:eastAsia="宋体" w:hAnsi="Arial" w:cs="Arial"/>
                <w:color w:val="000000"/>
                <w:sz w:val="18"/>
                <w:szCs w:val="18"/>
              </w:rPr>
              <w:t>2,422 </w:t>
            </w:r>
          </w:p>
        </w:tc>
        <w:tc>
          <w:tcPr>
            <w:tcW w:w="0" w:type="auto"/>
            <w:shd w:val="clear" w:color="auto" w:fill="E2E2E2"/>
            <w:tcMar>
              <w:top w:w="40" w:type="dxa"/>
              <w:left w:w="0" w:type="dxa"/>
              <w:bottom w:w="40" w:type="dxa"/>
              <w:right w:w="20" w:type="dxa"/>
            </w:tcMar>
            <w:vAlign w:val="bottom"/>
          </w:tcPr>
          <w:p w14:paraId="185FF3C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3CE"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5FF3CF"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3D0" w14:textId="77777777" w:rsidR="00A91885" w:rsidRDefault="009C4196">
            <w:pPr>
              <w:jc w:val="right"/>
              <w:textAlignment w:val="bottom"/>
            </w:pPr>
            <w:r>
              <w:rPr>
                <w:rFonts w:ascii="Arial" w:eastAsia="宋体" w:hAnsi="Arial" w:cs="Arial"/>
                <w:color w:val="000000"/>
                <w:sz w:val="18"/>
                <w:szCs w:val="18"/>
              </w:rPr>
              <w:t>2,668 </w:t>
            </w:r>
          </w:p>
        </w:tc>
        <w:tc>
          <w:tcPr>
            <w:tcW w:w="0" w:type="auto"/>
            <w:shd w:val="clear" w:color="auto" w:fill="E2E2E2"/>
            <w:tcMar>
              <w:top w:w="40" w:type="dxa"/>
              <w:left w:w="0" w:type="dxa"/>
              <w:bottom w:w="40" w:type="dxa"/>
              <w:right w:w="20" w:type="dxa"/>
            </w:tcMar>
            <w:vAlign w:val="bottom"/>
          </w:tcPr>
          <w:p w14:paraId="185FF3D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3D2"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5FF3D3"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3D4" w14:textId="77777777" w:rsidR="00A91885" w:rsidRDefault="009C4196">
            <w:pPr>
              <w:jc w:val="right"/>
              <w:textAlignment w:val="bottom"/>
            </w:pPr>
            <w:r>
              <w:rPr>
                <w:rFonts w:ascii="Arial" w:eastAsia="宋体" w:hAnsi="Arial" w:cs="Arial"/>
                <w:color w:val="000000"/>
                <w:sz w:val="18"/>
                <w:szCs w:val="18"/>
              </w:rPr>
              <w:t>4,905 </w:t>
            </w:r>
          </w:p>
        </w:tc>
        <w:tc>
          <w:tcPr>
            <w:tcW w:w="0" w:type="auto"/>
            <w:shd w:val="clear" w:color="auto" w:fill="E2E2E2"/>
            <w:tcMar>
              <w:top w:w="40" w:type="dxa"/>
              <w:left w:w="0" w:type="dxa"/>
              <w:bottom w:w="40" w:type="dxa"/>
              <w:right w:w="20" w:type="dxa"/>
            </w:tcMar>
            <w:vAlign w:val="bottom"/>
          </w:tcPr>
          <w:p w14:paraId="185FF3D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3D6"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5FF3D7"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3D8" w14:textId="77777777" w:rsidR="00A91885" w:rsidRDefault="009C4196">
            <w:pPr>
              <w:jc w:val="right"/>
              <w:textAlignment w:val="bottom"/>
            </w:pPr>
            <w:r>
              <w:rPr>
                <w:rFonts w:ascii="Arial" w:eastAsia="宋体" w:hAnsi="Arial" w:cs="Arial"/>
                <w:color w:val="000000"/>
                <w:sz w:val="18"/>
                <w:szCs w:val="18"/>
              </w:rPr>
              <w:t>5,306 </w:t>
            </w:r>
          </w:p>
        </w:tc>
        <w:tc>
          <w:tcPr>
            <w:tcW w:w="0" w:type="auto"/>
            <w:shd w:val="clear" w:color="auto" w:fill="E2E2E2"/>
            <w:tcMar>
              <w:top w:w="40" w:type="dxa"/>
              <w:left w:w="0" w:type="dxa"/>
              <w:bottom w:w="40" w:type="dxa"/>
              <w:right w:w="20" w:type="dxa"/>
            </w:tcMar>
            <w:vAlign w:val="bottom"/>
          </w:tcPr>
          <w:p w14:paraId="185FF3D9" w14:textId="77777777" w:rsidR="00A91885" w:rsidRDefault="00A91885">
            <w:pPr>
              <w:jc w:val="right"/>
              <w:rPr>
                <w:rFonts w:ascii="宋体"/>
              </w:rPr>
            </w:pPr>
          </w:p>
        </w:tc>
      </w:tr>
      <w:tr w:rsidR="00A91885" w14:paraId="185FF3E7" w14:textId="77777777">
        <w:trPr>
          <w:jc w:val="center"/>
        </w:trPr>
        <w:tc>
          <w:tcPr>
            <w:tcW w:w="0" w:type="auto"/>
            <w:gridSpan w:val="3"/>
            <w:shd w:val="clear" w:color="auto" w:fill="FFFFFF"/>
            <w:tcMar>
              <w:top w:w="40" w:type="dxa"/>
              <w:left w:w="20" w:type="dxa"/>
              <w:bottom w:w="40" w:type="dxa"/>
              <w:right w:w="20" w:type="dxa"/>
            </w:tcMar>
            <w:vAlign w:val="bottom"/>
          </w:tcPr>
          <w:p w14:paraId="185FF3DB" w14:textId="77777777" w:rsidR="00A91885" w:rsidRDefault="009C4196">
            <w:pPr>
              <w:textAlignment w:val="bottom"/>
            </w:pPr>
            <w:r>
              <w:rPr>
                <w:rFonts w:ascii="Arial" w:eastAsia="宋体" w:hAnsi="Arial" w:cs="Arial"/>
                <w:color w:val="000000"/>
                <w:sz w:val="18"/>
                <w:szCs w:val="18"/>
              </w:rPr>
              <w:t>Cost of net revenues</w:t>
            </w:r>
          </w:p>
        </w:tc>
        <w:tc>
          <w:tcPr>
            <w:tcW w:w="0" w:type="auto"/>
            <w:gridSpan w:val="2"/>
            <w:shd w:val="clear" w:color="auto" w:fill="FFFFFF"/>
            <w:tcMar>
              <w:top w:w="40" w:type="dxa"/>
              <w:left w:w="20" w:type="dxa"/>
              <w:bottom w:w="40" w:type="dxa"/>
              <w:right w:w="0" w:type="dxa"/>
            </w:tcMar>
            <w:vAlign w:val="bottom"/>
          </w:tcPr>
          <w:p w14:paraId="185FF3DC" w14:textId="77777777" w:rsidR="00A91885" w:rsidRDefault="009C4196">
            <w:pPr>
              <w:jc w:val="right"/>
              <w:textAlignment w:val="bottom"/>
            </w:pPr>
            <w:r>
              <w:rPr>
                <w:rFonts w:ascii="Arial" w:eastAsia="宋体" w:hAnsi="Arial" w:cs="Arial"/>
                <w:color w:val="000000"/>
                <w:sz w:val="18"/>
                <w:szCs w:val="18"/>
              </w:rPr>
              <w:t>663 </w:t>
            </w:r>
          </w:p>
        </w:tc>
        <w:tc>
          <w:tcPr>
            <w:tcW w:w="0" w:type="auto"/>
            <w:shd w:val="clear" w:color="auto" w:fill="FFFFFF"/>
            <w:tcMar>
              <w:top w:w="40" w:type="dxa"/>
              <w:left w:w="0" w:type="dxa"/>
              <w:bottom w:w="40" w:type="dxa"/>
              <w:right w:w="20" w:type="dxa"/>
            </w:tcMar>
            <w:vAlign w:val="bottom"/>
          </w:tcPr>
          <w:p w14:paraId="185FF3D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3D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3DF" w14:textId="77777777" w:rsidR="00A91885" w:rsidRDefault="009C4196">
            <w:pPr>
              <w:jc w:val="right"/>
              <w:textAlignment w:val="bottom"/>
            </w:pPr>
            <w:r>
              <w:rPr>
                <w:rFonts w:ascii="Arial" w:eastAsia="宋体" w:hAnsi="Arial" w:cs="Arial"/>
                <w:color w:val="000000"/>
                <w:sz w:val="18"/>
                <w:szCs w:val="18"/>
              </w:rPr>
              <w:t>672 </w:t>
            </w:r>
          </w:p>
        </w:tc>
        <w:tc>
          <w:tcPr>
            <w:tcW w:w="0" w:type="auto"/>
            <w:shd w:val="clear" w:color="auto" w:fill="FFFFFF"/>
            <w:tcMar>
              <w:top w:w="40" w:type="dxa"/>
              <w:left w:w="0" w:type="dxa"/>
              <w:bottom w:w="40" w:type="dxa"/>
              <w:right w:w="20" w:type="dxa"/>
            </w:tcMar>
            <w:vAlign w:val="bottom"/>
          </w:tcPr>
          <w:p w14:paraId="185FF3E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3E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3E2" w14:textId="77777777" w:rsidR="00A91885" w:rsidRDefault="009C4196">
            <w:pPr>
              <w:jc w:val="right"/>
              <w:textAlignment w:val="bottom"/>
            </w:pPr>
            <w:r>
              <w:rPr>
                <w:rFonts w:ascii="Arial" w:eastAsia="宋体" w:hAnsi="Arial" w:cs="Arial"/>
                <w:color w:val="000000"/>
                <w:sz w:val="18"/>
                <w:szCs w:val="18"/>
              </w:rPr>
              <w:t>1,352 </w:t>
            </w:r>
          </w:p>
        </w:tc>
        <w:tc>
          <w:tcPr>
            <w:tcW w:w="0" w:type="auto"/>
            <w:shd w:val="clear" w:color="auto" w:fill="FFFFFF"/>
            <w:tcMar>
              <w:top w:w="40" w:type="dxa"/>
              <w:left w:w="0" w:type="dxa"/>
              <w:bottom w:w="40" w:type="dxa"/>
              <w:right w:w="20" w:type="dxa"/>
            </w:tcMar>
            <w:vAlign w:val="bottom"/>
          </w:tcPr>
          <w:p w14:paraId="185FF3E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3E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3E5" w14:textId="77777777" w:rsidR="00A91885" w:rsidRDefault="009C4196">
            <w:pPr>
              <w:jc w:val="right"/>
              <w:textAlignment w:val="bottom"/>
            </w:pPr>
            <w:r>
              <w:rPr>
                <w:rFonts w:ascii="Arial" w:eastAsia="宋体" w:hAnsi="Arial" w:cs="Arial"/>
                <w:color w:val="000000"/>
                <w:sz w:val="18"/>
                <w:szCs w:val="18"/>
              </w:rPr>
              <w:t>1,278 </w:t>
            </w:r>
          </w:p>
        </w:tc>
        <w:tc>
          <w:tcPr>
            <w:tcW w:w="0" w:type="auto"/>
            <w:shd w:val="clear" w:color="auto" w:fill="FFFFFF"/>
            <w:tcMar>
              <w:top w:w="40" w:type="dxa"/>
              <w:left w:w="0" w:type="dxa"/>
              <w:bottom w:w="40" w:type="dxa"/>
              <w:right w:w="20" w:type="dxa"/>
            </w:tcMar>
            <w:vAlign w:val="bottom"/>
          </w:tcPr>
          <w:p w14:paraId="185FF3E6" w14:textId="77777777" w:rsidR="00A91885" w:rsidRDefault="00A91885">
            <w:pPr>
              <w:jc w:val="right"/>
              <w:rPr>
                <w:rFonts w:ascii="宋体"/>
              </w:rPr>
            </w:pPr>
          </w:p>
        </w:tc>
      </w:tr>
      <w:tr w:rsidR="00A91885" w14:paraId="185FF3F4" w14:textId="77777777">
        <w:trPr>
          <w:jc w:val="center"/>
        </w:trPr>
        <w:tc>
          <w:tcPr>
            <w:tcW w:w="0" w:type="auto"/>
            <w:gridSpan w:val="3"/>
            <w:shd w:val="clear" w:color="auto" w:fill="E2E2E2"/>
            <w:tcMar>
              <w:top w:w="40" w:type="dxa"/>
              <w:left w:w="875" w:type="dxa"/>
              <w:bottom w:w="40" w:type="dxa"/>
              <w:right w:w="20" w:type="dxa"/>
            </w:tcMar>
            <w:vAlign w:val="bottom"/>
          </w:tcPr>
          <w:p w14:paraId="185FF3E8" w14:textId="77777777" w:rsidR="00A91885" w:rsidRDefault="009C4196">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3E9" w14:textId="77777777" w:rsidR="00A91885" w:rsidRDefault="009C4196">
            <w:pPr>
              <w:jc w:val="right"/>
              <w:textAlignment w:val="bottom"/>
            </w:pPr>
            <w:r>
              <w:rPr>
                <w:rFonts w:ascii="Arial" w:eastAsia="宋体" w:hAnsi="Arial" w:cs="Arial"/>
                <w:color w:val="000000"/>
                <w:sz w:val="18"/>
                <w:szCs w:val="18"/>
              </w:rPr>
              <w:t>1,759 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3E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3EB"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3EC" w14:textId="77777777" w:rsidR="00A91885" w:rsidRDefault="009C4196">
            <w:pPr>
              <w:jc w:val="right"/>
              <w:textAlignment w:val="bottom"/>
            </w:pPr>
            <w:r>
              <w:rPr>
                <w:rFonts w:ascii="Arial" w:eastAsia="宋体" w:hAnsi="Arial" w:cs="Arial"/>
                <w:color w:val="000000"/>
                <w:sz w:val="18"/>
                <w:szCs w:val="18"/>
              </w:rPr>
              <w:t>1,996 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3E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3EE"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3EF" w14:textId="77777777" w:rsidR="00A91885" w:rsidRDefault="009C4196">
            <w:pPr>
              <w:jc w:val="right"/>
              <w:textAlignment w:val="bottom"/>
            </w:pPr>
            <w:r>
              <w:rPr>
                <w:rFonts w:ascii="Arial" w:eastAsia="宋体" w:hAnsi="Arial" w:cs="Arial"/>
                <w:color w:val="000000"/>
                <w:sz w:val="18"/>
                <w:szCs w:val="18"/>
              </w:rPr>
              <w:t>3,553 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3F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3F1"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3F2" w14:textId="77777777" w:rsidR="00A91885" w:rsidRDefault="009C4196">
            <w:pPr>
              <w:jc w:val="right"/>
              <w:textAlignment w:val="bottom"/>
            </w:pPr>
            <w:r>
              <w:rPr>
                <w:rFonts w:ascii="Arial" w:eastAsia="宋体" w:hAnsi="Arial" w:cs="Arial"/>
                <w:color w:val="000000"/>
                <w:sz w:val="18"/>
                <w:szCs w:val="18"/>
              </w:rPr>
              <w:t>4,028 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3F3" w14:textId="77777777" w:rsidR="00A91885" w:rsidRDefault="00A91885">
            <w:pPr>
              <w:jc w:val="right"/>
              <w:rPr>
                <w:rFonts w:ascii="宋体"/>
              </w:rPr>
            </w:pPr>
          </w:p>
        </w:tc>
      </w:tr>
      <w:tr w:rsidR="00A91885" w14:paraId="185FF3FD" w14:textId="77777777">
        <w:trPr>
          <w:jc w:val="center"/>
        </w:trPr>
        <w:tc>
          <w:tcPr>
            <w:tcW w:w="0" w:type="auto"/>
            <w:gridSpan w:val="3"/>
            <w:shd w:val="clear" w:color="auto" w:fill="FFFFFF"/>
            <w:tcMar>
              <w:top w:w="40" w:type="dxa"/>
              <w:left w:w="20" w:type="dxa"/>
              <w:bottom w:w="40" w:type="dxa"/>
              <w:right w:w="20" w:type="dxa"/>
            </w:tcMar>
            <w:vAlign w:val="bottom"/>
          </w:tcPr>
          <w:p w14:paraId="185FF3F5" w14:textId="77777777" w:rsidR="00A91885" w:rsidRDefault="009C4196">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3F6"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3F7"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3F8"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3F9"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3F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3FB"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3FC" w14:textId="77777777" w:rsidR="00A91885" w:rsidRDefault="00A91885">
            <w:pPr>
              <w:rPr>
                <w:rFonts w:ascii="宋体"/>
              </w:rPr>
            </w:pPr>
          </w:p>
        </w:tc>
      </w:tr>
      <w:tr w:rsidR="00A91885" w14:paraId="185FF40A" w14:textId="77777777">
        <w:trPr>
          <w:jc w:val="center"/>
        </w:trPr>
        <w:tc>
          <w:tcPr>
            <w:tcW w:w="0" w:type="auto"/>
            <w:gridSpan w:val="3"/>
            <w:shd w:val="clear" w:color="auto" w:fill="E2E2E2"/>
            <w:tcMar>
              <w:top w:w="40" w:type="dxa"/>
              <w:left w:w="515" w:type="dxa"/>
              <w:bottom w:w="40" w:type="dxa"/>
              <w:right w:w="20" w:type="dxa"/>
            </w:tcMar>
            <w:vAlign w:val="bottom"/>
          </w:tcPr>
          <w:p w14:paraId="185FF3FE" w14:textId="77777777" w:rsidR="00A91885" w:rsidRDefault="009C4196">
            <w:pPr>
              <w:textAlignment w:val="bottom"/>
            </w:pPr>
            <w:r>
              <w:rPr>
                <w:rFonts w:ascii="Arial" w:eastAsia="宋体" w:hAnsi="Arial" w:cs="Arial"/>
                <w:color w:val="000000"/>
                <w:sz w:val="18"/>
                <w:szCs w:val="18"/>
              </w:rPr>
              <w:t>Sales and marketing</w:t>
            </w:r>
          </w:p>
        </w:tc>
        <w:tc>
          <w:tcPr>
            <w:tcW w:w="0" w:type="auto"/>
            <w:gridSpan w:val="2"/>
            <w:shd w:val="clear" w:color="auto" w:fill="E2E2E2"/>
            <w:tcMar>
              <w:top w:w="40" w:type="dxa"/>
              <w:left w:w="20" w:type="dxa"/>
              <w:bottom w:w="40" w:type="dxa"/>
              <w:right w:w="0" w:type="dxa"/>
            </w:tcMar>
            <w:vAlign w:val="bottom"/>
          </w:tcPr>
          <w:p w14:paraId="185FF3FF" w14:textId="77777777" w:rsidR="00A91885" w:rsidRDefault="009C4196">
            <w:pPr>
              <w:jc w:val="right"/>
              <w:textAlignment w:val="bottom"/>
            </w:pPr>
            <w:r>
              <w:rPr>
                <w:rFonts w:ascii="Arial" w:eastAsia="宋体" w:hAnsi="Arial" w:cs="Arial"/>
                <w:color w:val="000000"/>
                <w:sz w:val="18"/>
                <w:szCs w:val="18"/>
              </w:rPr>
              <w:t>566 </w:t>
            </w:r>
          </w:p>
        </w:tc>
        <w:tc>
          <w:tcPr>
            <w:tcW w:w="0" w:type="auto"/>
            <w:shd w:val="clear" w:color="auto" w:fill="E2E2E2"/>
            <w:tcMar>
              <w:top w:w="40" w:type="dxa"/>
              <w:left w:w="0" w:type="dxa"/>
              <w:bottom w:w="40" w:type="dxa"/>
              <w:right w:w="20" w:type="dxa"/>
            </w:tcMar>
            <w:vAlign w:val="bottom"/>
          </w:tcPr>
          <w:p w14:paraId="185FF40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0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02" w14:textId="77777777" w:rsidR="00A91885" w:rsidRDefault="009C4196">
            <w:pPr>
              <w:jc w:val="right"/>
              <w:textAlignment w:val="bottom"/>
            </w:pPr>
            <w:r>
              <w:rPr>
                <w:rFonts w:ascii="Arial" w:eastAsia="宋体" w:hAnsi="Arial" w:cs="Arial"/>
                <w:color w:val="000000"/>
                <w:sz w:val="18"/>
                <w:szCs w:val="18"/>
              </w:rPr>
              <w:t>559 </w:t>
            </w:r>
          </w:p>
        </w:tc>
        <w:tc>
          <w:tcPr>
            <w:tcW w:w="0" w:type="auto"/>
            <w:shd w:val="clear" w:color="auto" w:fill="E2E2E2"/>
            <w:tcMar>
              <w:top w:w="40" w:type="dxa"/>
              <w:left w:w="0" w:type="dxa"/>
              <w:bottom w:w="40" w:type="dxa"/>
              <w:right w:w="20" w:type="dxa"/>
            </w:tcMar>
            <w:vAlign w:val="bottom"/>
          </w:tcPr>
          <w:p w14:paraId="185FF40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04"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05" w14:textId="77777777" w:rsidR="00A91885" w:rsidRDefault="009C4196">
            <w:pPr>
              <w:jc w:val="right"/>
              <w:textAlignment w:val="bottom"/>
            </w:pPr>
            <w:r>
              <w:rPr>
                <w:rFonts w:ascii="Arial" w:eastAsia="宋体" w:hAnsi="Arial" w:cs="Arial"/>
                <w:color w:val="000000"/>
                <w:sz w:val="18"/>
                <w:szCs w:val="18"/>
              </w:rPr>
              <w:t>1,044 </w:t>
            </w:r>
          </w:p>
        </w:tc>
        <w:tc>
          <w:tcPr>
            <w:tcW w:w="0" w:type="auto"/>
            <w:shd w:val="clear" w:color="auto" w:fill="E2E2E2"/>
            <w:tcMar>
              <w:top w:w="40" w:type="dxa"/>
              <w:left w:w="0" w:type="dxa"/>
              <w:bottom w:w="40" w:type="dxa"/>
              <w:right w:w="20" w:type="dxa"/>
            </w:tcMar>
            <w:vAlign w:val="bottom"/>
          </w:tcPr>
          <w:p w14:paraId="185FF40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07"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08" w14:textId="77777777" w:rsidR="00A91885" w:rsidRDefault="009C4196">
            <w:pPr>
              <w:jc w:val="right"/>
              <w:textAlignment w:val="bottom"/>
            </w:pPr>
            <w:r>
              <w:rPr>
                <w:rFonts w:ascii="Arial" w:eastAsia="宋体" w:hAnsi="Arial" w:cs="Arial"/>
                <w:color w:val="000000"/>
                <w:sz w:val="18"/>
                <w:szCs w:val="18"/>
              </w:rPr>
              <w:t>1,105 </w:t>
            </w:r>
          </w:p>
        </w:tc>
        <w:tc>
          <w:tcPr>
            <w:tcW w:w="0" w:type="auto"/>
            <w:shd w:val="clear" w:color="auto" w:fill="E2E2E2"/>
            <w:tcMar>
              <w:top w:w="40" w:type="dxa"/>
              <w:left w:w="0" w:type="dxa"/>
              <w:bottom w:w="40" w:type="dxa"/>
              <w:right w:w="20" w:type="dxa"/>
            </w:tcMar>
            <w:vAlign w:val="bottom"/>
          </w:tcPr>
          <w:p w14:paraId="185FF409" w14:textId="77777777" w:rsidR="00A91885" w:rsidRDefault="00A91885">
            <w:pPr>
              <w:jc w:val="right"/>
              <w:rPr>
                <w:rFonts w:ascii="宋体"/>
              </w:rPr>
            </w:pPr>
          </w:p>
        </w:tc>
      </w:tr>
      <w:tr w:rsidR="00A91885" w14:paraId="185FF417" w14:textId="77777777">
        <w:trPr>
          <w:jc w:val="center"/>
        </w:trPr>
        <w:tc>
          <w:tcPr>
            <w:tcW w:w="0" w:type="auto"/>
            <w:gridSpan w:val="3"/>
            <w:shd w:val="clear" w:color="auto" w:fill="FFFFFF"/>
            <w:tcMar>
              <w:top w:w="40" w:type="dxa"/>
              <w:left w:w="515" w:type="dxa"/>
              <w:bottom w:w="40" w:type="dxa"/>
              <w:right w:w="20" w:type="dxa"/>
            </w:tcMar>
            <w:vAlign w:val="bottom"/>
          </w:tcPr>
          <w:p w14:paraId="185FF40B" w14:textId="77777777" w:rsidR="00A91885" w:rsidRDefault="009C4196">
            <w:pPr>
              <w:textAlignment w:val="bottom"/>
            </w:pPr>
            <w:r>
              <w:rPr>
                <w:rFonts w:ascii="Arial" w:eastAsia="宋体" w:hAnsi="Arial" w:cs="Arial"/>
                <w:color w:val="000000"/>
                <w:sz w:val="18"/>
                <w:szCs w:val="18"/>
              </w:rPr>
              <w:t>Product development</w:t>
            </w:r>
          </w:p>
        </w:tc>
        <w:tc>
          <w:tcPr>
            <w:tcW w:w="0" w:type="auto"/>
            <w:gridSpan w:val="2"/>
            <w:shd w:val="clear" w:color="auto" w:fill="FFFFFF"/>
            <w:tcMar>
              <w:top w:w="40" w:type="dxa"/>
              <w:left w:w="20" w:type="dxa"/>
              <w:bottom w:w="40" w:type="dxa"/>
              <w:right w:w="0" w:type="dxa"/>
            </w:tcMar>
            <w:vAlign w:val="bottom"/>
          </w:tcPr>
          <w:p w14:paraId="185FF40C" w14:textId="77777777" w:rsidR="00A91885" w:rsidRDefault="009C4196">
            <w:pPr>
              <w:jc w:val="right"/>
              <w:textAlignment w:val="bottom"/>
            </w:pPr>
            <w:r>
              <w:rPr>
                <w:rFonts w:ascii="Arial" w:eastAsia="宋体" w:hAnsi="Arial" w:cs="Arial"/>
                <w:color w:val="000000"/>
                <w:sz w:val="18"/>
                <w:szCs w:val="18"/>
              </w:rPr>
              <w:t>344 </w:t>
            </w:r>
          </w:p>
        </w:tc>
        <w:tc>
          <w:tcPr>
            <w:tcW w:w="0" w:type="auto"/>
            <w:shd w:val="clear" w:color="auto" w:fill="FFFFFF"/>
            <w:tcMar>
              <w:top w:w="40" w:type="dxa"/>
              <w:left w:w="0" w:type="dxa"/>
              <w:bottom w:w="40" w:type="dxa"/>
              <w:right w:w="20" w:type="dxa"/>
            </w:tcMar>
            <w:vAlign w:val="bottom"/>
          </w:tcPr>
          <w:p w14:paraId="185FF40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0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40F" w14:textId="77777777" w:rsidR="00A91885" w:rsidRDefault="009C4196">
            <w:pPr>
              <w:jc w:val="right"/>
              <w:textAlignment w:val="bottom"/>
            </w:pPr>
            <w:r>
              <w:rPr>
                <w:rFonts w:ascii="Arial" w:eastAsia="宋体" w:hAnsi="Arial" w:cs="Arial"/>
                <w:color w:val="000000"/>
                <w:sz w:val="18"/>
                <w:szCs w:val="18"/>
              </w:rPr>
              <w:t>350 </w:t>
            </w:r>
          </w:p>
        </w:tc>
        <w:tc>
          <w:tcPr>
            <w:tcW w:w="0" w:type="auto"/>
            <w:shd w:val="clear" w:color="auto" w:fill="FFFFFF"/>
            <w:tcMar>
              <w:top w:w="40" w:type="dxa"/>
              <w:left w:w="0" w:type="dxa"/>
              <w:bottom w:w="40" w:type="dxa"/>
              <w:right w:w="20" w:type="dxa"/>
            </w:tcMar>
            <w:vAlign w:val="bottom"/>
          </w:tcPr>
          <w:p w14:paraId="185FF41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1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412" w14:textId="77777777" w:rsidR="00A91885" w:rsidRDefault="009C4196">
            <w:pPr>
              <w:jc w:val="right"/>
              <w:textAlignment w:val="bottom"/>
            </w:pPr>
            <w:r>
              <w:rPr>
                <w:rFonts w:ascii="Arial" w:eastAsia="宋体" w:hAnsi="Arial" w:cs="Arial"/>
                <w:color w:val="000000"/>
                <w:sz w:val="18"/>
                <w:szCs w:val="18"/>
              </w:rPr>
              <w:t>645 </w:t>
            </w:r>
          </w:p>
        </w:tc>
        <w:tc>
          <w:tcPr>
            <w:tcW w:w="0" w:type="auto"/>
            <w:shd w:val="clear" w:color="auto" w:fill="FFFFFF"/>
            <w:tcMar>
              <w:top w:w="40" w:type="dxa"/>
              <w:left w:w="0" w:type="dxa"/>
              <w:bottom w:w="40" w:type="dxa"/>
              <w:right w:w="20" w:type="dxa"/>
            </w:tcMar>
            <w:vAlign w:val="bottom"/>
          </w:tcPr>
          <w:p w14:paraId="185FF41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1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415" w14:textId="77777777" w:rsidR="00A91885" w:rsidRDefault="009C4196">
            <w:pPr>
              <w:jc w:val="right"/>
              <w:textAlignment w:val="bottom"/>
            </w:pPr>
            <w:r>
              <w:rPr>
                <w:rFonts w:ascii="Arial" w:eastAsia="宋体" w:hAnsi="Arial" w:cs="Arial"/>
                <w:color w:val="000000"/>
                <w:sz w:val="18"/>
                <w:szCs w:val="18"/>
              </w:rPr>
              <w:t>654 </w:t>
            </w:r>
          </w:p>
        </w:tc>
        <w:tc>
          <w:tcPr>
            <w:tcW w:w="0" w:type="auto"/>
            <w:shd w:val="clear" w:color="auto" w:fill="FFFFFF"/>
            <w:tcMar>
              <w:top w:w="40" w:type="dxa"/>
              <w:left w:w="0" w:type="dxa"/>
              <w:bottom w:w="40" w:type="dxa"/>
              <w:right w:w="20" w:type="dxa"/>
            </w:tcMar>
            <w:vAlign w:val="bottom"/>
          </w:tcPr>
          <w:p w14:paraId="185FF416" w14:textId="77777777" w:rsidR="00A91885" w:rsidRDefault="00A91885">
            <w:pPr>
              <w:jc w:val="right"/>
              <w:rPr>
                <w:rFonts w:ascii="宋体"/>
              </w:rPr>
            </w:pPr>
          </w:p>
        </w:tc>
      </w:tr>
      <w:tr w:rsidR="00A91885" w14:paraId="185FF424" w14:textId="77777777">
        <w:trPr>
          <w:jc w:val="center"/>
        </w:trPr>
        <w:tc>
          <w:tcPr>
            <w:tcW w:w="0" w:type="auto"/>
            <w:gridSpan w:val="3"/>
            <w:shd w:val="clear" w:color="auto" w:fill="E2E2E2"/>
            <w:tcMar>
              <w:top w:w="40" w:type="dxa"/>
              <w:left w:w="515" w:type="dxa"/>
              <w:bottom w:w="40" w:type="dxa"/>
              <w:right w:w="20" w:type="dxa"/>
            </w:tcMar>
            <w:vAlign w:val="bottom"/>
          </w:tcPr>
          <w:p w14:paraId="185FF418" w14:textId="77777777" w:rsidR="00A91885" w:rsidRDefault="009C4196">
            <w:pPr>
              <w:textAlignment w:val="bottom"/>
            </w:pPr>
            <w:r>
              <w:rPr>
                <w:rFonts w:ascii="Arial" w:eastAsia="宋体" w:hAnsi="Arial" w:cs="Arial"/>
                <w:color w:val="000000"/>
                <w:sz w:val="18"/>
                <w:szCs w:val="18"/>
              </w:rPr>
              <w:t>General and administrative</w:t>
            </w:r>
          </w:p>
        </w:tc>
        <w:tc>
          <w:tcPr>
            <w:tcW w:w="0" w:type="auto"/>
            <w:gridSpan w:val="2"/>
            <w:shd w:val="clear" w:color="auto" w:fill="E2E2E2"/>
            <w:tcMar>
              <w:top w:w="40" w:type="dxa"/>
              <w:left w:w="20" w:type="dxa"/>
              <w:bottom w:w="40" w:type="dxa"/>
              <w:right w:w="0" w:type="dxa"/>
            </w:tcMar>
            <w:vAlign w:val="bottom"/>
          </w:tcPr>
          <w:p w14:paraId="185FF419" w14:textId="77777777" w:rsidR="00A91885" w:rsidRDefault="009C4196">
            <w:pPr>
              <w:jc w:val="right"/>
              <w:textAlignment w:val="bottom"/>
            </w:pPr>
            <w:r>
              <w:rPr>
                <w:rFonts w:ascii="Arial" w:eastAsia="宋体" w:hAnsi="Arial" w:cs="Arial"/>
                <w:color w:val="000000"/>
                <w:sz w:val="18"/>
                <w:szCs w:val="18"/>
              </w:rPr>
              <w:t>237 </w:t>
            </w:r>
          </w:p>
        </w:tc>
        <w:tc>
          <w:tcPr>
            <w:tcW w:w="0" w:type="auto"/>
            <w:shd w:val="clear" w:color="auto" w:fill="E2E2E2"/>
            <w:tcMar>
              <w:top w:w="40" w:type="dxa"/>
              <w:left w:w="0" w:type="dxa"/>
              <w:bottom w:w="40" w:type="dxa"/>
              <w:right w:w="20" w:type="dxa"/>
            </w:tcMar>
            <w:vAlign w:val="bottom"/>
          </w:tcPr>
          <w:p w14:paraId="185FF41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1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1C" w14:textId="77777777" w:rsidR="00A91885" w:rsidRDefault="009C4196">
            <w:pPr>
              <w:jc w:val="right"/>
              <w:textAlignment w:val="bottom"/>
            </w:pPr>
            <w:r>
              <w:rPr>
                <w:rFonts w:ascii="Arial" w:eastAsia="宋体" w:hAnsi="Arial" w:cs="Arial"/>
                <w:color w:val="000000"/>
                <w:sz w:val="18"/>
                <w:szCs w:val="18"/>
              </w:rPr>
              <w:t>250 </w:t>
            </w:r>
          </w:p>
        </w:tc>
        <w:tc>
          <w:tcPr>
            <w:tcW w:w="0" w:type="auto"/>
            <w:shd w:val="clear" w:color="auto" w:fill="E2E2E2"/>
            <w:tcMar>
              <w:top w:w="40" w:type="dxa"/>
              <w:left w:w="0" w:type="dxa"/>
              <w:bottom w:w="40" w:type="dxa"/>
              <w:right w:w="20" w:type="dxa"/>
            </w:tcMar>
            <w:vAlign w:val="bottom"/>
          </w:tcPr>
          <w:p w14:paraId="185FF41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1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1F" w14:textId="77777777" w:rsidR="00A91885" w:rsidRDefault="009C4196">
            <w:pPr>
              <w:jc w:val="right"/>
              <w:textAlignment w:val="bottom"/>
            </w:pPr>
            <w:r>
              <w:rPr>
                <w:rFonts w:ascii="Arial" w:eastAsia="宋体" w:hAnsi="Arial" w:cs="Arial"/>
                <w:color w:val="000000"/>
                <w:sz w:val="18"/>
                <w:szCs w:val="18"/>
              </w:rPr>
              <w:t>463 </w:t>
            </w:r>
          </w:p>
        </w:tc>
        <w:tc>
          <w:tcPr>
            <w:tcW w:w="0" w:type="auto"/>
            <w:shd w:val="clear" w:color="auto" w:fill="E2E2E2"/>
            <w:tcMar>
              <w:top w:w="40" w:type="dxa"/>
              <w:left w:w="0" w:type="dxa"/>
              <w:bottom w:w="40" w:type="dxa"/>
              <w:right w:w="20" w:type="dxa"/>
            </w:tcMar>
            <w:vAlign w:val="bottom"/>
          </w:tcPr>
          <w:p w14:paraId="185FF42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2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22" w14:textId="77777777" w:rsidR="00A91885" w:rsidRDefault="009C4196">
            <w:pPr>
              <w:jc w:val="right"/>
              <w:textAlignment w:val="bottom"/>
            </w:pPr>
            <w:r>
              <w:rPr>
                <w:rFonts w:ascii="Arial" w:eastAsia="宋体" w:hAnsi="Arial" w:cs="Arial"/>
                <w:color w:val="000000"/>
                <w:sz w:val="18"/>
                <w:szCs w:val="18"/>
              </w:rPr>
              <w:t>496 </w:t>
            </w:r>
          </w:p>
        </w:tc>
        <w:tc>
          <w:tcPr>
            <w:tcW w:w="0" w:type="auto"/>
            <w:shd w:val="clear" w:color="auto" w:fill="E2E2E2"/>
            <w:tcMar>
              <w:top w:w="40" w:type="dxa"/>
              <w:left w:w="0" w:type="dxa"/>
              <w:bottom w:w="40" w:type="dxa"/>
              <w:right w:w="20" w:type="dxa"/>
            </w:tcMar>
            <w:vAlign w:val="bottom"/>
          </w:tcPr>
          <w:p w14:paraId="185FF423" w14:textId="77777777" w:rsidR="00A91885" w:rsidRDefault="00A91885">
            <w:pPr>
              <w:jc w:val="right"/>
              <w:rPr>
                <w:rFonts w:ascii="宋体"/>
              </w:rPr>
            </w:pPr>
          </w:p>
        </w:tc>
      </w:tr>
      <w:tr w:rsidR="00A91885" w14:paraId="185FF431" w14:textId="77777777">
        <w:trPr>
          <w:jc w:val="center"/>
        </w:trPr>
        <w:tc>
          <w:tcPr>
            <w:tcW w:w="0" w:type="auto"/>
            <w:gridSpan w:val="3"/>
            <w:shd w:val="clear" w:color="auto" w:fill="FFFFFF"/>
            <w:tcMar>
              <w:top w:w="40" w:type="dxa"/>
              <w:left w:w="515" w:type="dxa"/>
              <w:bottom w:w="40" w:type="dxa"/>
              <w:right w:w="20" w:type="dxa"/>
            </w:tcMar>
            <w:vAlign w:val="bottom"/>
          </w:tcPr>
          <w:p w14:paraId="185FF425" w14:textId="77777777" w:rsidR="00A91885" w:rsidRDefault="009C4196">
            <w:pPr>
              <w:textAlignment w:val="bottom"/>
            </w:pPr>
            <w:r>
              <w:rPr>
                <w:rFonts w:ascii="Arial" w:eastAsia="宋体" w:hAnsi="Arial" w:cs="Arial"/>
                <w:color w:val="000000"/>
                <w:sz w:val="18"/>
                <w:szCs w:val="18"/>
              </w:rPr>
              <w:t>Provision for transaction losses</w:t>
            </w:r>
          </w:p>
        </w:tc>
        <w:tc>
          <w:tcPr>
            <w:tcW w:w="0" w:type="auto"/>
            <w:gridSpan w:val="2"/>
            <w:shd w:val="clear" w:color="auto" w:fill="FFFFFF"/>
            <w:tcMar>
              <w:top w:w="40" w:type="dxa"/>
              <w:left w:w="20" w:type="dxa"/>
              <w:bottom w:w="40" w:type="dxa"/>
              <w:right w:w="0" w:type="dxa"/>
            </w:tcMar>
            <w:vAlign w:val="bottom"/>
          </w:tcPr>
          <w:p w14:paraId="185FF426" w14:textId="77777777" w:rsidR="00A91885" w:rsidRDefault="009C4196">
            <w:pPr>
              <w:jc w:val="right"/>
              <w:textAlignment w:val="bottom"/>
            </w:pPr>
            <w:r>
              <w:rPr>
                <w:rFonts w:ascii="Arial" w:eastAsia="宋体" w:hAnsi="Arial" w:cs="Arial"/>
                <w:color w:val="000000"/>
                <w:sz w:val="18"/>
                <w:szCs w:val="18"/>
              </w:rPr>
              <w:t>86 </w:t>
            </w:r>
          </w:p>
        </w:tc>
        <w:tc>
          <w:tcPr>
            <w:tcW w:w="0" w:type="auto"/>
            <w:shd w:val="clear" w:color="auto" w:fill="FFFFFF"/>
            <w:tcMar>
              <w:top w:w="40" w:type="dxa"/>
              <w:left w:w="0" w:type="dxa"/>
              <w:bottom w:w="40" w:type="dxa"/>
              <w:right w:w="20" w:type="dxa"/>
            </w:tcMar>
            <w:vAlign w:val="bottom"/>
          </w:tcPr>
          <w:p w14:paraId="185FF42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2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429" w14:textId="77777777" w:rsidR="00A91885" w:rsidRDefault="009C4196">
            <w:pPr>
              <w:jc w:val="right"/>
              <w:textAlignment w:val="bottom"/>
            </w:pPr>
            <w:r>
              <w:rPr>
                <w:rFonts w:ascii="Arial" w:eastAsia="宋体" w:hAnsi="Arial" w:cs="Arial"/>
                <w:color w:val="000000"/>
                <w:sz w:val="18"/>
                <w:szCs w:val="18"/>
              </w:rPr>
              <w:t>103 </w:t>
            </w:r>
          </w:p>
        </w:tc>
        <w:tc>
          <w:tcPr>
            <w:tcW w:w="0" w:type="auto"/>
            <w:shd w:val="clear" w:color="auto" w:fill="FFFFFF"/>
            <w:tcMar>
              <w:top w:w="40" w:type="dxa"/>
              <w:left w:w="0" w:type="dxa"/>
              <w:bottom w:w="40" w:type="dxa"/>
              <w:right w:w="20" w:type="dxa"/>
            </w:tcMar>
            <w:vAlign w:val="bottom"/>
          </w:tcPr>
          <w:p w14:paraId="185FF42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2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42C" w14:textId="77777777" w:rsidR="00A91885" w:rsidRDefault="009C4196">
            <w:pPr>
              <w:jc w:val="right"/>
              <w:textAlignment w:val="bottom"/>
            </w:pPr>
            <w:r>
              <w:rPr>
                <w:rFonts w:ascii="Arial" w:eastAsia="宋体" w:hAnsi="Arial" w:cs="Arial"/>
                <w:color w:val="000000"/>
                <w:sz w:val="18"/>
                <w:szCs w:val="18"/>
              </w:rPr>
              <w:t>182 </w:t>
            </w:r>
          </w:p>
        </w:tc>
        <w:tc>
          <w:tcPr>
            <w:tcW w:w="0" w:type="auto"/>
            <w:shd w:val="clear" w:color="auto" w:fill="FFFFFF"/>
            <w:tcMar>
              <w:top w:w="40" w:type="dxa"/>
              <w:left w:w="0" w:type="dxa"/>
              <w:bottom w:w="40" w:type="dxa"/>
              <w:right w:w="20" w:type="dxa"/>
            </w:tcMar>
            <w:vAlign w:val="bottom"/>
          </w:tcPr>
          <w:p w14:paraId="185FF42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2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42F" w14:textId="77777777" w:rsidR="00A91885" w:rsidRDefault="009C4196">
            <w:pPr>
              <w:jc w:val="right"/>
              <w:textAlignment w:val="bottom"/>
            </w:pPr>
            <w:r>
              <w:rPr>
                <w:rFonts w:ascii="Arial" w:eastAsia="宋体" w:hAnsi="Arial" w:cs="Arial"/>
                <w:color w:val="000000"/>
                <w:sz w:val="18"/>
                <w:szCs w:val="18"/>
              </w:rPr>
              <w:t>191 </w:t>
            </w:r>
          </w:p>
        </w:tc>
        <w:tc>
          <w:tcPr>
            <w:tcW w:w="0" w:type="auto"/>
            <w:shd w:val="clear" w:color="auto" w:fill="FFFFFF"/>
            <w:tcMar>
              <w:top w:w="40" w:type="dxa"/>
              <w:left w:w="0" w:type="dxa"/>
              <w:bottom w:w="40" w:type="dxa"/>
              <w:right w:w="20" w:type="dxa"/>
            </w:tcMar>
            <w:vAlign w:val="bottom"/>
          </w:tcPr>
          <w:p w14:paraId="185FF430" w14:textId="77777777" w:rsidR="00A91885" w:rsidRDefault="00A91885">
            <w:pPr>
              <w:jc w:val="right"/>
              <w:rPr>
                <w:rFonts w:ascii="宋体"/>
              </w:rPr>
            </w:pPr>
          </w:p>
        </w:tc>
      </w:tr>
      <w:tr w:rsidR="00A91885" w14:paraId="185FF43E" w14:textId="77777777">
        <w:trPr>
          <w:jc w:val="center"/>
        </w:trPr>
        <w:tc>
          <w:tcPr>
            <w:tcW w:w="0" w:type="auto"/>
            <w:gridSpan w:val="3"/>
            <w:shd w:val="clear" w:color="auto" w:fill="E2E2E2"/>
            <w:tcMar>
              <w:top w:w="40" w:type="dxa"/>
              <w:left w:w="515" w:type="dxa"/>
              <w:bottom w:w="40" w:type="dxa"/>
              <w:right w:w="20" w:type="dxa"/>
            </w:tcMar>
            <w:vAlign w:val="bottom"/>
          </w:tcPr>
          <w:p w14:paraId="185FF432" w14:textId="77777777" w:rsidR="00A91885" w:rsidRDefault="009C4196">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E2E2E2"/>
            <w:tcMar>
              <w:top w:w="40" w:type="dxa"/>
              <w:left w:w="20" w:type="dxa"/>
              <w:bottom w:w="40" w:type="dxa"/>
              <w:right w:w="0" w:type="dxa"/>
            </w:tcMar>
            <w:vAlign w:val="bottom"/>
          </w:tcPr>
          <w:p w14:paraId="185FF433"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185FF43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3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36"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185FF43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3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39"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185FF43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3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3C" w14:textId="77777777" w:rsidR="00A91885" w:rsidRDefault="009C4196">
            <w:pPr>
              <w:jc w:val="right"/>
              <w:textAlignment w:val="bottom"/>
            </w:pPr>
            <w:r>
              <w:rPr>
                <w:rFonts w:ascii="Arial" w:eastAsia="宋体" w:hAnsi="Arial" w:cs="Arial"/>
                <w:color w:val="000000"/>
                <w:sz w:val="18"/>
                <w:szCs w:val="18"/>
              </w:rPr>
              <w:t>9 </w:t>
            </w:r>
          </w:p>
        </w:tc>
        <w:tc>
          <w:tcPr>
            <w:tcW w:w="0" w:type="auto"/>
            <w:shd w:val="clear" w:color="auto" w:fill="E2E2E2"/>
            <w:tcMar>
              <w:top w:w="40" w:type="dxa"/>
              <w:left w:w="0" w:type="dxa"/>
              <w:bottom w:w="40" w:type="dxa"/>
              <w:right w:w="20" w:type="dxa"/>
            </w:tcMar>
            <w:vAlign w:val="bottom"/>
          </w:tcPr>
          <w:p w14:paraId="185FF43D" w14:textId="77777777" w:rsidR="00A91885" w:rsidRDefault="00A91885">
            <w:pPr>
              <w:jc w:val="right"/>
              <w:rPr>
                <w:rFonts w:ascii="宋体"/>
              </w:rPr>
            </w:pPr>
          </w:p>
        </w:tc>
      </w:tr>
      <w:tr w:rsidR="00A91885" w14:paraId="185FF44B" w14:textId="77777777">
        <w:trPr>
          <w:jc w:val="center"/>
        </w:trPr>
        <w:tc>
          <w:tcPr>
            <w:tcW w:w="0" w:type="auto"/>
            <w:gridSpan w:val="3"/>
            <w:shd w:val="clear" w:color="auto" w:fill="FFFFFF"/>
            <w:tcMar>
              <w:top w:w="40" w:type="dxa"/>
              <w:left w:w="875" w:type="dxa"/>
              <w:bottom w:w="40" w:type="dxa"/>
              <w:right w:w="20" w:type="dxa"/>
            </w:tcMar>
            <w:vAlign w:val="bottom"/>
          </w:tcPr>
          <w:p w14:paraId="185FF43F" w14:textId="77777777" w:rsidR="00A91885" w:rsidRDefault="009C4196">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440" w14:textId="77777777" w:rsidR="00A91885" w:rsidRDefault="009C4196">
            <w:pPr>
              <w:jc w:val="right"/>
              <w:textAlignment w:val="bottom"/>
            </w:pPr>
            <w:r>
              <w:rPr>
                <w:rFonts w:ascii="Arial" w:eastAsia="宋体" w:hAnsi="Arial" w:cs="Arial"/>
                <w:color w:val="000000"/>
                <w:sz w:val="18"/>
                <w:szCs w:val="18"/>
              </w:rPr>
              <w:t>1,234 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44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42"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443" w14:textId="77777777" w:rsidR="00A91885" w:rsidRDefault="009C4196">
            <w:pPr>
              <w:jc w:val="right"/>
              <w:textAlignment w:val="bottom"/>
            </w:pPr>
            <w:r>
              <w:rPr>
                <w:rFonts w:ascii="Arial" w:eastAsia="宋体" w:hAnsi="Arial" w:cs="Arial"/>
                <w:color w:val="000000"/>
                <w:sz w:val="18"/>
                <w:szCs w:val="18"/>
              </w:rPr>
              <w:t>1,264 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44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45"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446" w14:textId="77777777" w:rsidR="00A91885" w:rsidRDefault="009C4196">
            <w:pPr>
              <w:jc w:val="right"/>
              <w:textAlignment w:val="bottom"/>
            </w:pPr>
            <w:r>
              <w:rPr>
                <w:rFonts w:ascii="Arial" w:eastAsia="宋体" w:hAnsi="Arial" w:cs="Arial"/>
                <w:color w:val="000000"/>
                <w:sz w:val="18"/>
                <w:szCs w:val="18"/>
              </w:rPr>
              <w:t>2,336 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44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48"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449" w14:textId="77777777" w:rsidR="00A91885" w:rsidRDefault="009C4196">
            <w:pPr>
              <w:jc w:val="right"/>
              <w:textAlignment w:val="bottom"/>
            </w:pPr>
            <w:r>
              <w:rPr>
                <w:rFonts w:ascii="Arial" w:eastAsia="宋体" w:hAnsi="Arial" w:cs="Arial"/>
                <w:color w:val="000000"/>
                <w:sz w:val="18"/>
                <w:szCs w:val="18"/>
              </w:rPr>
              <w:t>2,455 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44A" w14:textId="77777777" w:rsidR="00A91885" w:rsidRDefault="00A91885">
            <w:pPr>
              <w:jc w:val="right"/>
              <w:rPr>
                <w:rFonts w:ascii="宋体"/>
              </w:rPr>
            </w:pPr>
          </w:p>
        </w:tc>
      </w:tr>
      <w:tr w:rsidR="00A91885" w14:paraId="185FF458" w14:textId="77777777">
        <w:trPr>
          <w:jc w:val="center"/>
        </w:trPr>
        <w:tc>
          <w:tcPr>
            <w:tcW w:w="0" w:type="auto"/>
            <w:gridSpan w:val="3"/>
            <w:shd w:val="clear" w:color="auto" w:fill="E2E2E2"/>
            <w:tcMar>
              <w:top w:w="40" w:type="dxa"/>
              <w:left w:w="20" w:type="dxa"/>
              <w:bottom w:w="40" w:type="dxa"/>
              <w:right w:w="20" w:type="dxa"/>
            </w:tcMar>
            <w:vAlign w:val="bottom"/>
          </w:tcPr>
          <w:p w14:paraId="185FF44C" w14:textId="77777777" w:rsidR="00A91885" w:rsidRDefault="009C4196">
            <w:pPr>
              <w:textAlignment w:val="bottom"/>
            </w:pPr>
            <w:r>
              <w:rPr>
                <w:rFonts w:ascii="Arial" w:eastAsia="宋体" w:hAnsi="Arial" w:cs="Arial"/>
                <w:color w:val="000000"/>
                <w:sz w:val="18"/>
                <w:szCs w:val="18"/>
              </w:rPr>
              <w:t>Income from operations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44D" w14:textId="77777777" w:rsidR="00A91885" w:rsidRDefault="009C4196">
            <w:pPr>
              <w:jc w:val="right"/>
              <w:textAlignment w:val="bottom"/>
            </w:pPr>
            <w:r>
              <w:rPr>
                <w:rFonts w:ascii="Arial" w:eastAsia="宋体" w:hAnsi="Arial" w:cs="Arial"/>
                <w:color w:val="000000"/>
                <w:sz w:val="18"/>
                <w:szCs w:val="18"/>
              </w:rPr>
              <w:t>525 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44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4F"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450" w14:textId="77777777" w:rsidR="00A91885" w:rsidRDefault="009C4196">
            <w:pPr>
              <w:jc w:val="right"/>
              <w:textAlignment w:val="bottom"/>
            </w:pPr>
            <w:r>
              <w:rPr>
                <w:rFonts w:ascii="Arial" w:eastAsia="宋体" w:hAnsi="Arial" w:cs="Arial"/>
                <w:color w:val="000000"/>
                <w:sz w:val="18"/>
                <w:szCs w:val="18"/>
              </w:rPr>
              <w:t>732 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45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52"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453" w14:textId="77777777" w:rsidR="00A91885" w:rsidRDefault="009C4196">
            <w:pPr>
              <w:jc w:val="right"/>
              <w:textAlignment w:val="bottom"/>
            </w:pPr>
            <w:r>
              <w:rPr>
                <w:rFonts w:ascii="Arial" w:eastAsia="宋体" w:hAnsi="Arial" w:cs="Arial"/>
                <w:color w:val="000000"/>
                <w:sz w:val="18"/>
                <w:szCs w:val="18"/>
              </w:rPr>
              <w:t>1,217 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45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55"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456" w14:textId="77777777" w:rsidR="00A91885" w:rsidRDefault="009C4196">
            <w:pPr>
              <w:jc w:val="right"/>
              <w:textAlignment w:val="bottom"/>
            </w:pPr>
            <w:r>
              <w:rPr>
                <w:rFonts w:ascii="Arial" w:eastAsia="宋体" w:hAnsi="Arial" w:cs="Arial"/>
                <w:color w:val="000000"/>
                <w:sz w:val="18"/>
                <w:szCs w:val="18"/>
              </w:rPr>
              <w:t>1,573 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457" w14:textId="77777777" w:rsidR="00A91885" w:rsidRDefault="00A91885">
            <w:pPr>
              <w:jc w:val="right"/>
              <w:rPr>
                <w:rFonts w:ascii="宋体"/>
              </w:rPr>
            </w:pPr>
          </w:p>
        </w:tc>
      </w:tr>
      <w:tr w:rsidR="00A91885" w14:paraId="185FF465" w14:textId="77777777">
        <w:trPr>
          <w:jc w:val="center"/>
        </w:trPr>
        <w:tc>
          <w:tcPr>
            <w:tcW w:w="0" w:type="auto"/>
            <w:gridSpan w:val="3"/>
            <w:shd w:val="clear" w:color="auto" w:fill="FFFFFF"/>
            <w:tcMar>
              <w:top w:w="40" w:type="dxa"/>
              <w:left w:w="20" w:type="dxa"/>
              <w:bottom w:w="40" w:type="dxa"/>
              <w:right w:w="20" w:type="dxa"/>
            </w:tcMar>
            <w:vAlign w:val="bottom"/>
          </w:tcPr>
          <w:p w14:paraId="185FF459" w14:textId="77777777" w:rsidR="00A91885" w:rsidRDefault="009C4196">
            <w:pPr>
              <w:textAlignment w:val="bottom"/>
            </w:pPr>
            <w:r>
              <w:rPr>
                <w:rFonts w:ascii="Arial" w:eastAsia="宋体" w:hAnsi="Arial" w:cs="Arial"/>
                <w:color w:val="000000"/>
                <w:sz w:val="18"/>
                <w:szCs w:val="18"/>
              </w:rPr>
              <w:t>Gain (loss) on equity investments and warrant, net</w:t>
            </w:r>
          </w:p>
        </w:tc>
        <w:tc>
          <w:tcPr>
            <w:tcW w:w="0" w:type="auto"/>
            <w:gridSpan w:val="2"/>
            <w:shd w:val="clear" w:color="auto" w:fill="FFFFFF"/>
            <w:tcMar>
              <w:top w:w="40" w:type="dxa"/>
              <w:left w:w="20" w:type="dxa"/>
              <w:bottom w:w="40" w:type="dxa"/>
              <w:right w:w="0" w:type="dxa"/>
            </w:tcMar>
            <w:vAlign w:val="bottom"/>
          </w:tcPr>
          <w:p w14:paraId="185FF45A" w14:textId="77777777" w:rsidR="00A91885" w:rsidRDefault="009C4196">
            <w:pPr>
              <w:jc w:val="right"/>
              <w:textAlignment w:val="bottom"/>
            </w:pPr>
            <w:r>
              <w:rPr>
                <w:rFonts w:ascii="Arial" w:eastAsia="宋体" w:hAnsi="Arial" w:cs="Arial"/>
                <w:color w:val="000000"/>
                <w:sz w:val="18"/>
                <w:szCs w:val="18"/>
              </w:rPr>
              <w:t>(1,221)</w:t>
            </w:r>
          </w:p>
        </w:tc>
        <w:tc>
          <w:tcPr>
            <w:tcW w:w="0" w:type="auto"/>
            <w:shd w:val="clear" w:color="auto" w:fill="FFFFFF"/>
            <w:tcMar>
              <w:top w:w="40" w:type="dxa"/>
              <w:left w:w="0" w:type="dxa"/>
              <w:bottom w:w="40" w:type="dxa"/>
              <w:right w:w="20" w:type="dxa"/>
            </w:tcMar>
            <w:vAlign w:val="bottom"/>
          </w:tcPr>
          <w:p w14:paraId="185FF45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5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45D" w14:textId="77777777" w:rsidR="00A91885" w:rsidRDefault="009C4196">
            <w:pPr>
              <w:jc w:val="right"/>
              <w:textAlignment w:val="bottom"/>
            </w:pPr>
            <w:r>
              <w:rPr>
                <w:rFonts w:ascii="Arial" w:eastAsia="宋体" w:hAnsi="Arial" w:cs="Arial"/>
                <w:color w:val="000000"/>
                <w:sz w:val="18"/>
                <w:szCs w:val="18"/>
              </w:rPr>
              <w:t>(273)</w:t>
            </w:r>
          </w:p>
        </w:tc>
        <w:tc>
          <w:tcPr>
            <w:tcW w:w="0" w:type="auto"/>
            <w:shd w:val="clear" w:color="auto" w:fill="FFFFFF"/>
            <w:tcMar>
              <w:top w:w="40" w:type="dxa"/>
              <w:left w:w="0" w:type="dxa"/>
              <w:bottom w:w="40" w:type="dxa"/>
              <w:right w:w="20" w:type="dxa"/>
            </w:tcMar>
            <w:vAlign w:val="bottom"/>
          </w:tcPr>
          <w:p w14:paraId="185FF45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5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460" w14:textId="77777777" w:rsidR="00A91885" w:rsidRDefault="009C4196">
            <w:pPr>
              <w:jc w:val="right"/>
              <w:textAlignment w:val="bottom"/>
            </w:pPr>
            <w:r>
              <w:rPr>
                <w:rFonts w:ascii="Arial" w:eastAsia="宋体" w:hAnsi="Arial" w:cs="Arial"/>
                <w:color w:val="000000"/>
                <w:sz w:val="18"/>
                <w:szCs w:val="18"/>
              </w:rPr>
              <w:t>(3,512)</w:t>
            </w:r>
          </w:p>
        </w:tc>
        <w:tc>
          <w:tcPr>
            <w:tcW w:w="0" w:type="auto"/>
            <w:shd w:val="clear" w:color="auto" w:fill="FFFFFF"/>
            <w:tcMar>
              <w:top w:w="40" w:type="dxa"/>
              <w:left w:w="0" w:type="dxa"/>
              <w:bottom w:w="40" w:type="dxa"/>
              <w:right w:w="20" w:type="dxa"/>
            </w:tcMar>
            <w:vAlign w:val="bottom"/>
          </w:tcPr>
          <w:p w14:paraId="185FF46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6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463" w14:textId="77777777" w:rsidR="00A91885" w:rsidRDefault="009C4196">
            <w:pPr>
              <w:jc w:val="right"/>
              <w:textAlignment w:val="bottom"/>
            </w:pPr>
            <w:r>
              <w:rPr>
                <w:rFonts w:ascii="Arial" w:eastAsia="宋体" w:hAnsi="Arial" w:cs="Arial"/>
                <w:color w:val="000000"/>
                <w:sz w:val="18"/>
                <w:szCs w:val="18"/>
              </w:rPr>
              <w:t>(309)</w:t>
            </w:r>
          </w:p>
        </w:tc>
        <w:tc>
          <w:tcPr>
            <w:tcW w:w="0" w:type="auto"/>
            <w:shd w:val="clear" w:color="auto" w:fill="FFFFFF"/>
            <w:tcMar>
              <w:top w:w="40" w:type="dxa"/>
              <w:left w:w="0" w:type="dxa"/>
              <w:bottom w:w="40" w:type="dxa"/>
              <w:right w:w="20" w:type="dxa"/>
            </w:tcMar>
            <w:vAlign w:val="bottom"/>
          </w:tcPr>
          <w:p w14:paraId="185FF464" w14:textId="77777777" w:rsidR="00A91885" w:rsidRDefault="00A91885">
            <w:pPr>
              <w:jc w:val="right"/>
              <w:rPr>
                <w:rFonts w:ascii="宋体"/>
              </w:rPr>
            </w:pPr>
          </w:p>
        </w:tc>
      </w:tr>
      <w:tr w:rsidR="00A91885" w14:paraId="185FF472" w14:textId="77777777">
        <w:trPr>
          <w:jc w:val="center"/>
        </w:trPr>
        <w:tc>
          <w:tcPr>
            <w:tcW w:w="0" w:type="auto"/>
            <w:gridSpan w:val="3"/>
            <w:shd w:val="clear" w:color="auto" w:fill="E2E2E2"/>
            <w:tcMar>
              <w:top w:w="40" w:type="dxa"/>
              <w:left w:w="20" w:type="dxa"/>
              <w:bottom w:w="40" w:type="dxa"/>
              <w:right w:w="20" w:type="dxa"/>
            </w:tcMar>
            <w:vAlign w:val="bottom"/>
          </w:tcPr>
          <w:p w14:paraId="185FF466" w14:textId="77777777" w:rsidR="00A91885" w:rsidRDefault="009C4196">
            <w:pPr>
              <w:textAlignment w:val="bottom"/>
            </w:pPr>
            <w:r>
              <w:rPr>
                <w:rFonts w:ascii="Arial" w:eastAsia="宋体" w:hAnsi="Arial" w:cs="Arial"/>
                <w:color w:val="000000"/>
                <w:sz w:val="18"/>
                <w:szCs w:val="18"/>
              </w:rPr>
              <w:t>Interest and other, net</w:t>
            </w:r>
          </w:p>
        </w:tc>
        <w:tc>
          <w:tcPr>
            <w:tcW w:w="0" w:type="auto"/>
            <w:gridSpan w:val="2"/>
            <w:shd w:val="clear" w:color="auto" w:fill="E2E2E2"/>
            <w:tcMar>
              <w:top w:w="40" w:type="dxa"/>
              <w:left w:w="20" w:type="dxa"/>
              <w:bottom w:w="40" w:type="dxa"/>
              <w:right w:w="0" w:type="dxa"/>
            </w:tcMar>
            <w:vAlign w:val="bottom"/>
          </w:tcPr>
          <w:p w14:paraId="185FF467" w14:textId="77777777" w:rsidR="00A91885" w:rsidRDefault="009C4196">
            <w:pPr>
              <w:jc w:val="right"/>
              <w:textAlignment w:val="bottom"/>
            </w:pPr>
            <w:r>
              <w:rPr>
                <w:rFonts w:ascii="Arial" w:eastAsia="宋体" w:hAnsi="Arial" w:cs="Arial"/>
                <w:color w:val="000000"/>
                <w:sz w:val="18"/>
                <w:szCs w:val="18"/>
              </w:rPr>
              <w:t>(31)</w:t>
            </w:r>
          </w:p>
        </w:tc>
        <w:tc>
          <w:tcPr>
            <w:tcW w:w="0" w:type="auto"/>
            <w:shd w:val="clear" w:color="auto" w:fill="E2E2E2"/>
            <w:tcMar>
              <w:top w:w="40" w:type="dxa"/>
              <w:left w:w="0" w:type="dxa"/>
              <w:bottom w:w="40" w:type="dxa"/>
              <w:right w:w="20" w:type="dxa"/>
            </w:tcMar>
            <w:vAlign w:val="bottom"/>
          </w:tcPr>
          <w:p w14:paraId="185FF46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69"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6A" w14:textId="77777777" w:rsidR="00A91885" w:rsidRDefault="009C4196">
            <w:pPr>
              <w:jc w:val="right"/>
              <w:textAlignment w:val="bottom"/>
            </w:pPr>
            <w:r>
              <w:rPr>
                <w:rFonts w:ascii="Arial" w:eastAsia="宋体" w:hAnsi="Arial" w:cs="Arial"/>
                <w:color w:val="000000"/>
                <w:sz w:val="18"/>
                <w:szCs w:val="18"/>
              </w:rPr>
              <w:t>(58)</w:t>
            </w:r>
          </w:p>
        </w:tc>
        <w:tc>
          <w:tcPr>
            <w:tcW w:w="0" w:type="auto"/>
            <w:shd w:val="clear" w:color="auto" w:fill="E2E2E2"/>
            <w:tcMar>
              <w:top w:w="40" w:type="dxa"/>
              <w:left w:w="0" w:type="dxa"/>
              <w:bottom w:w="40" w:type="dxa"/>
              <w:right w:w="20" w:type="dxa"/>
            </w:tcMar>
            <w:vAlign w:val="bottom"/>
          </w:tcPr>
          <w:p w14:paraId="185FF46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6C"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6D" w14:textId="77777777" w:rsidR="00A91885" w:rsidRDefault="009C4196">
            <w:pPr>
              <w:jc w:val="right"/>
              <w:textAlignment w:val="bottom"/>
            </w:pPr>
            <w:r>
              <w:rPr>
                <w:rFonts w:ascii="Arial" w:eastAsia="宋体" w:hAnsi="Arial" w:cs="Arial"/>
                <w:color w:val="000000"/>
                <w:sz w:val="18"/>
                <w:szCs w:val="18"/>
              </w:rPr>
              <w:t>(81)</w:t>
            </w:r>
          </w:p>
        </w:tc>
        <w:tc>
          <w:tcPr>
            <w:tcW w:w="0" w:type="auto"/>
            <w:shd w:val="clear" w:color="auto" w:fill="E2E2E2"/>
            <w:tcMar>
              <w:top w:w="40" w:type="dxa"/>
              <w:left w:w="0" w:type="dxa"/>
              <w:bottom w:w="40" w:type="dxa"/>
              <w:right w:w="20" w:type="dxa"/>
            </w:tcMar>
            <w:vAlign w:val="bottom"/>
          </w:tcPr>
          <w:p w14:paraId="185FF46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6F"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70" w14:textId="77777777" w:rsidR="00A91885" w:rsidRDefault="009C4196">
            <w:pPr>
              <w:jc w:val="right"/>
              <w:textAlignment w:val="bottom"/>
            </w:pPr>
            <w:r>
              <w:rPr>
                <w:rFonts w:ascii="Arial" w:eastAsia="宋体" w:hAnsi="Arial" w:cs="Arial"/>
                <w:color w:val="000000"/>
                <w:sz w:val="18"/>
                <w:szCs w:val="18"/>
              </w:rPr>
              <w:t>(139)</w:t>
            </w:r>
          </w:p>
        </w:tc>
        <w:tc>
          <w:tcPr>
            <w:tcW w:w="0" w:type="auto"/>
            <w:shd w:val="clear" w:color="auto" w:fill="E2E2E2"/>
            <w:tcMar>
              <w:top w:w="40" w:type="dxa"/>
              <w:left w:w="0" w:type="dxa"/>
              <w:bottom w:w="40" w:type="dxa"/>
              <w:right w:w="20" w:type="dxa"/>
            </w:tcMar>
            <w:vAlign w:val="bottom"/>
          </w:tcPr>
          <w:p w14:paraId="185FF471" w14:textId="77777777" w:rsidR="00A91885" w:rsidRDefault="00A91885">
            <w:pPr>
              <w:jc w:val="right"/>
              <w:rPr>
                <w:rFonts w:ascii="宋体"/>
              </w:rPr>
            </w:pPr>
          </w:p>
        </w:tc>
      </w:tr>
      <w:tr w:rsidR="00A91885" w14:paraId="185FF47F" w14:textId="77777777">
        <w:trPr>
          <w:jc w:val="center"/>
        </w:trPr>
        <w:tc>
          <w:tcPr>
            <w:tcW w:w="0" w:type="auto"/>
            <w:gridSpan w:val="3"/>
            <w:shd w:val="clear" w:color="auto" w:fill="FFFFFF"/>
            <w:tcMar>
              <w:top w:w="40" w:type="dxa"/>
              <w:left w:w="20" w:type="dxa"/>
              <w:bottom w:w="40" w:type="dxa"/>
              <w:right w:w="20" w:type="dxa"/>
            </w:tcMar>
            <w:vAlign w:val="bottom"/>
          </w:tcPr>
          <w:p w14:paraId="185FF473" w14:textId="77777777" w:rsidR="00A91885" w:rsidRDefault="009C4196">
            <w:pPr>
              <w:textAlignment w:val="bottom"/>
            </w:pPr>
            <w:r>
              <w:rPr>
                <w:rFonts w:ascii="Arial" w:eastAsia="宋体" w:hAnsi="Arial" w:cs="Arial"/>
                <w:color w:val="000000"/>
                <w:sz w:val="18"/>
                <w:szCs w:val="18"/>
              </w:rPr>
              <w:t>Income (loss) from continuing operations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474" w14:textId="77777777" w:rsidR="00A91885" w:rsidRDefault="009C4196">
            <w:pPr>
              <w:jc w:val="right"/>
              <w:textAlignment w:val="bottom"/>
            </w:pPr>
            <w:r>
              <w:rPr>
                <w:rFonts w:ascii="Arial" w:eastAsia="宋体" w:hAnsi="Arial" w:cs="Arial"/>
                <w:color w:val="000000"/>
                <w:sz w:val="18"/>
                <w:szCs w:val="18"/>
              </w:rPr>
              <w:t>(727)</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47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76"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477" w14:textId="77777777" w:rsidR="00A91885" w:rsidRDefault="009C4196">
            <w:pPr>
              <w:jc w:val="right"/>
              <w:textAlignment w:val="bottom"/>
            </w:pPr>
            <w:r>
              <w:rPr>
                <w:rFonts w:ascii="Arial" w:eastAsia="宋体" w:hAnsi="Arial" w:cs="Arial"/>
                <w:color w:val="000000"/>
                <w:sz w:val="18"/>
                <w:szCs w:val="18"/>
              </w:rPr>
              <w:t>401 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47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79"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47A" w14:textId="77777777" w:rsidR="00A91885" w:rsidRDefault="009C4196">
            <w:pPr>
              <w:jc w:val="right"/>
              <w:textAlignment w:val="bottom"/>
            </w:pPr>
            <w:r>
              <w:rPr>
                <w:rFonts w:ascii="Arial" w:eastAsia="宋体" w:hAnsi="Arial" w:cs="Arial"/>
                <w:color w:val="000000"/>
                <w:sz w:val="18"/>
                <w:szCs w:val="18"/>
              </w:rPr>
              <w:t>(2,376)</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47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7C"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47D" w14:textId="77777777" w:rsidR="00A91885" w:rsidRDefault="009C4196">
            <w:pPr>
              <w:jc w:val="right"/>
              <w:textAlignment w:val="bottom"/>
            </w:pPr>
            <w:r>
              <w:rPr>
                <w:rFonts w:ascii="Arial" w:eastAsia="宋体" w:hAnsi="Arial" w:cs="Arial"/>
                <w:color w:val="000000"/>
                <w:sz w:val="18"/>
                <w:szCs w:val="18"/>
              </w:rPr>
              <w:t>1,125 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47E" w14:textId="77777777" w:rsidR="00A91885" w:rsidRDefault="00A91885">
            <w:pPr>
              <w:jc w:val="right"/>
              <w:rPr>
                <w:rFonts w:ascii="宋体"/>
              </w:rPr>
            </w:pPr>
          </w:p>
        </w:tc>
      </w:tr>
      <w:tr w:rsidR="00A91885" w14:paraId="185FF48C" w14:textId="77777777">
        <w:trPr>
          <w:jc w:val="center"/>
        </w:trPr>
        <w:tc>
          <w:tcPr>
            <w:tcW w:w="0" w:type="auto"/>
            <w:gridSpan w:val="3"/>
            <w:shd w:val="clear" w:color="auto" w:fill="E2E2E2"/>
            <w:tcMar>
              <w:top w:w="40" w:type="dxa"/>
              <w:left w:w="20" w:type="dxa"/>
              <w:bottom w:w="40" w:type="dxa"/>
              <w:right w:w="20" w:type="dxa"/>
            </w:tcMar>
            <w:vAlign w:val="bottom"/>
          </w:tcPr>
          <w:p w14:paraId="185FF480" w14:textId="77777777" w:rsidR="00A91885" w:rsidRDefault="009C4196">
            <w:pPr>
              <w:textAlignment w:val="bottom"/>
            </w:pPr>
            <w:r>
              <w:rPr>
                <w:rFonts w:ascii="Arial" w:eastAsia="宋体" w:hAnsi="Arial" w:cs="Arial"/>
                <w:color w:val="000000"/>
                <w:sz w:val="18"/>
                <w:szCs w:val="18"/>
              </w:rPr>
              <w:t>Income tax benefit (provision)</w:t>
            </w:r>
          </w:p>
        </w:tc>
        <w:tc>
          <w:tcPr>
            <w:tcW w:w="0" w:type="auto"/>
            <w:gridSpan w:val="2"/>
            <w:shd w:val="clear" w:color="auto" w:fill="E2E2E2"/>
            <w:tcMar>
              <w:top w:w="40" w:type="dxa"/>
              <w:left w:w="20" w:type="dxa"/>
              <w:bottom w:w="40" w:type="dxa"/>
              <w:right w:w="0" w:type="dxa"/>
            </w:tcMar>
            <w:vAlign w:val="bottom"/>
          </w:tcPr>
          <w:p w14:paraId="185FF481" w14:textId="77777777" w:rsidR="00A91885" w:rsidRDefault="009C4196">
            <w:pPr>
              <w:jc w:val="right"/>
              <w:textAlignment w:val="bottom"/>
            </w:pPr>
            <w:r>
              <w:rPr>
                <w:rFonts w:ascii="Arial" w:eastAsia="宋体" w:hAnsi="Arial" w:cs="Arial"/>
                <w:color w:val="000000"/>
                <w:sz w:val="18"/>
                <w:szCs w:val="18"/>
              </w:rPr>
              <w:t>191 </w:t>
            </w:r>
          </w:p>
        </w:tc>
        <w:tc>
          <w:tcPr>
            <w:tcW w:w="0" w:type="auto"/>
            <w:shd w:val="clear" w:color="auto" w:fill="E2E2E2"/>
            <w:tcMar>
              <w:top w:w="40" w:type="dxa"/>
              <w:left w:w="0" w:type="dxa"/>
              <w:bottom w:w="40" w:type="dxa"/>
              <w:right w:w="20" w:type="dxa"/>
            </w:tcMar>
            <w:vAlign w:val="bottom"/>
          </w:tcPr>
          <w:p w14:paraId="185FF48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83"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84" w14:textId="77777777" w:rsidR="00A91885" w:rsidRDefault="009C4196">
            <w:pPr>
              <w:jc w:val="right"/>
              <w:textAlignment w:val="bottom"/>
            </w:pPr>
            <w:r>
              <w:rPr>
                <w:rFonts w:ascii="Arial" w:eastAsia="宋体" w:hAnsi="Arial" w:cs="Arial"/>
                <w:color w:val="000000"/>
                <w:sz w:val="18"/>
                <w:szCs w:val="18"/>
              </w:rPr>
              <w:t>(107)</w:t>
            </w:r>
          </w:p>
        </w:tc>
        <w:tc>
          <w:tcPr>
            <w:tcW w:w="0" w:type="auto"/>
            <w:shd w:val="clear" w:color="auto" w:fill="E2E2E2"/>
            <w:tcMar>
              <w:top w:w="40" w:type="dxa"/>
              <w:left w:w="0" w:type="dxa"/>
              <w:bottom w:w="40" w:type="dxa"/>
              <w:right w:w="20" w:type="dxa"/>
            </w:tcMar>
            <w:vAlign w:val="bottom"/>
          </w:tcPr>
          <w:p w14:paraId="185FF48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86"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87" w14:textId="77777777" w:rsidR="00A91885" w:rsidRDefault="009C4196">
            <w:pPr>
              <w:jc w:val="right"/>
              <w:textAlignment w:val="bottom"/>
            </w:pPr>
            <w:r>
              <w:rPr>
                <w:rFonts w:ascii="Arial" w:eastAsia="宋体" w:hAnsi="Arial" w:cs="Arial"/>
                <w:color w:val="000000"/>
                <w:sz w:val="18"/>
                <w:szCs w:val="18"/>
              </w:rPr>
              <w:t>501 </w:t>
            </w:r>
          </w:p>
        </w:tc>
        <w:tc>
          <w:tcPr>
            <w:tcW w:w="0" w:type="auto"/>
            <w:shd w:val="clear" w:color="auto" w:fill="E2E2E2"/>
            <w:tcMar>
              <w:top w:w="40" w:type="dxa"/>
              <w:left w:w="0" w:type="dxa"/>
              <w:bottom w:w="40" w:type="dxa"/>
              <w:right w:w="20" w:type="dxa"/>
            </w:tcMar>
            <w:vAlign w:val="bottom"/>
          </w:tcPr>
          <w:p w14:paraId="185FF48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89"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8A" w14:textId="77777777" w:rsidR="00A91885" w:rsidRDefault="009C4196">
            <w:pPr>
              <w:jc w:val="right"/>
              <w:textAlignment w:val="bottom"/>
            </w:pPr>
            <w:r>
              <w:rPr>
                <w:rFonts w:ascii="Arial" w:eastAsia="宋体" w:hAnsi="Arial" w:cs="Arial"/>
                <w:color w:val="000000"/>
                <w:sz w:val="18"/>
                <w:szCs w:val="18"/>
              </w:rPr>
              <w:t>(263)</w:t>
            </w:r>
          </w:p>
        </w:tc>
        <w:tc>
          <w:tcPr>
            <w:tcW w:w="0" w:type="auto"/>
            <w:shd w:val="clear" w:color="auto" w:fill="E2E2E2"/>
            <w:tcMar>
              <w:top w:w="40" w:type="dxa"/>
              <w:left w:w="0" w:type="dxa"/>
              <w:bottom w:w="40" w:type="dxa"/>
              <w:right w:w="20" w:type="dxa"/>
            </w:tcMar>
            <w:vAlign w:val="bottom"/>
          </w:tcPr>
          <w:p w14:paraId="185FF48B" w14:textId="77777777" w:rsidR="00A91885" w:rsidRDefault="00A91885">
            <w:pPr>
              <w:jc w:val="right"/>
              <w:rPr>
                <w:rFonts w:ascii="宋体"/>
              </w:rPr>
            </w:pPr>
          </w:p>
        </w:tc>
      </w:tr>
      <w:tr w:rsidR="00A91885" w14:paraId="185FF499" w14:textId="77777777">
        <w:trPr>
          <w:jc w:val="center"/>
        </w:trPr>
        <w:tc>
          <w:tcPr>
            <w:tcW w:w="0" w:type="auto"/>
            <w:gridSpan w:val="3"/>
            <w:shd w:val="clear" w:color="auto" w:fill="FFFFFF"/>
            <w:tcMar>
              <w:top w:w="40" w:type="dxa"/>
              <w:left w:w="20" w:type="dxa"/>
              <w:bottom w:w="40" w:type="dxa"/>
              <w:right w:w="20" w:type="dxa"/>
            </w:tcMar>
            <w:vAlign w:val="bottom"/>
          </w:tcPr>
          <w:p w14:paraId="185FF48D" w14:textId="77777777" w:rsidR="00A91885" w:rsidRDefault="009C4196">
            <w:pPr>
              <w:textAlignment w:val="bottom"/>
            </w:pPr>
            <w:r>
              <w:rPr>
                <w:rFonts w:ascii="Arial" w:eastAsia="宋体" w:hAnsi="Arial" w:cs="Arial"/>
                <w:color w:val="000000"/>
                <w:sz w:val="18"/>
                <w:szCs w:val="18"/>
              </w:rPr>
              <w:t>Income (loss) from continuing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48E" w14:textId="77777777" w:rsidR="00A91885" w:rsidRDefault="009C4196">
            <w:pPr>
              <w:jc w:val="right"/>
              <w:textAlignment w:val="bottom"/>
            </w:pPr>
            <w:r>
              <w:rPr>
                <w:rFonts w:ascii="Arial" w:eastAsia="宋体" w:hAnsi="Arial" w:cs="Arial"/>
                <w:color w:val="000000"/>
                <w:sz w:val="18"/>
                <w:szCs w:val="18"/>
              </w:rPr>
              <w:t>(536)</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48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90"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491" w14:textId="77777777" w:rsidR="00A91885" w:rsidRDefault="009C4196">
            <w:pPr>
              <w:jc w:val="right"/>
              <w:textAlignment w:val="bottom"/>
            </w:pPr>
            <w:r>
              <w:rPr>
                <w:rFonts w:ascii="Arial" w:eastAsia="宋体" w:hAnsi="Arial" w:cs="Arial"/>
                <w:color w:val="000000"/>
                <w:sz w:val="18"/>
                <w:szCs w:val="18"/>
              </w:rPr>
              <w:t>294 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49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93"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494" w14:textId="77777777" w:rsidR="00A91885" w:rsidRDefault="009C4196">
            <w:pPr>
              <w:jc w:val="right"/>
              <w:textAlignment w:val="bottom"/>
            </w:pPr>
            <w:r>
              <w:rPr>
                <w:rFonts w:ascii="Arial" w:eastAsia="宋体" w:hAnsi="Arial" w:cs="Arial"/>
                <w:color w:val="000000"/>
                <w:sz w:val="18"/>
                <w:szCs w:val="18"/>
              </w:rPr>
              <w:t>(1,875)</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49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96"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497" w14:textId="77777777" w:rsidR="00A91885" w:rsidRDefault="009C4196">
            <w:pPr>
              <w:jc w:val="right"/>
              <w:textAlignment w:val="bottom"/>
            </w:pPr>
            <w:r>
              <w:rPr>
                <w:rFonts w:ascii="Arial" w:eastAsia="宋体" w:hAnsi="Arial" w:cs="Arial"/>
                <w:color w:val="000000"/>
                <w:sz w:val="18"/>
                <w:szCs w:val="18"/>
              </w:rPr>
              <w:t>862 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498" w14:textId="77777777" w:rsidR="00A91885" w:rsidRDefault="00A91885">
            <w:pPr>
              <w:jc w:val="right"/>
              <w:rPr>
                <w:rFonts w:ascii="宋体"/>
              </w:rPr>
            </w:pPr>
          </w:p>
        </w:tc>
      </w:tr>
      <w:tr w:rsidR="00A91885" w14:paraId="185FF4A6" w14:textId="77777777">
        <w:trPr>
          <w:jc w:val="center"/>
        </w:trPr>
        <w:tc>
          <w:tcPr>
            <w:tcW w:w="0" w:type="auto"/>
            <w:gridSpan w:val="3"/>
            <w:shd w:val="clear" w:color="auto" w:fill="E2E2E2"/>
            <w:tcMar>
              <w:top w:w="40" w:type="dxa"/>
              <w:left w:w="20" w:type="dxa"/>
              <w:bottom w:w="40" w:type="dxa"/>
              <w:right w:w="20" w:type="dxa"/>
            </w:tcMar>
            <w:vAlign w:val="bottom"/>
          </w:tcPr>
          <w:p w14:paraId="185FF49A" w14:textId="77777777" w:rsidR="00A91885" w:rsidRDefault="009C4196">
            <w:pPr>
              <w:textAlignment w:val="bottom"/>
            </w:pPr>
            <w:r>
              <w:rPr>
                <w:rFonts w:ascii="Arial" w:eastAsia="宋体" w:hAnsi="Arial" w:cs="Arial"/>
                <w:color w:val="000000"/>
                <w:sz w:val="18"/>
                <w:szCs w:val="18"/>
              </w:rPr>
              <w:t>Income (loss) from discontinued operations, net of income taxes</w:t>
            </w:r>
          </w:p>
        </w:tc>
        <w:tc>
          <w:tcPr>
            <w:tcW w:w="0" w:type="auto"/>
            <w:gridSpan w:val="2"/>
            <w:shd w:val="clear" w:color="auto" w:fill="E2E2E2"/>
            <w:tcMar>
              <w:top w:w="40" w:type="dxa"/>
              <w:left w:w="20" w:type="dxa"/>
              <w:bottom w:w="40" w:type="dxa"/>
              <w:right w:w="0" w:type="dxa"/>
            </w:tcMar>
            <w:vAlign w:val="bottom"/>
          </w:tcPr>
          <w:p w14:paraId="185FF49B" w14:textId="77777777" w:rsidR="00A91885" w:rsidRDefault="009C4196">
            <w:pPr>
              <w:jc w:val="right"/>
              <w:textAlignment w:val="bottom"/>
            </w:pPr>
            <w:r>
              <w:rPr>
                <w:rFonts w:ascii="Arial" w:eastAsia="宋体" w:hAnsi="Arial" w:cs="Arial"/>
                <w:color w:val="000000"/>
                <w:sz w:val="18"/>
                <w:szCs w:val="18"/>
              </w:rPr>
              <w:t>5 </w:t>
            </w:r>
          </w:p>
        </w:tc>
        <w:tc>
          <w:tcPr>
            <w:tcW w:w="0" w:type="auto"/>
            <w:shd w:val="clear" w:color="auto" w:fill="E2E2E2"/>
            <w:tcMar>
              <w:top w:w="40" w:type="dxa"/>
              <w:left w:w="0" w:type="dxa"/>
              <w:bottom w:w="40" w:type="dxa"/>
              <w:right w:w="20" w:type="dxa"/>
            </w:tcMar>
            <w:vAlign w:val="bottom"/>
          </w:tcPr>
          <w:p w14:paraId="185FF49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9D"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9E" w14:textId="77777777" w:rsidR="00A91885" w:rsidRDefault="009C4196">
            <w:pPr>
              <w:jc w:val="right"/>
              <w:textAlignment w:val="bottom"/>
            </w:pPr>
            <w:r>
              <w:rPr>
                <w:rFonts w:ascii="Arial" w:eastAsia="宋体" w:hAnsi="Arial" w:cs="Arial"/>
                <w:color w:val="000000"/>
                <w:sz w:val="18"/>
                <w:szCs w:val="18"/>
              </w:rPr>
              <w:t>10,440 </w:t>
            </w:r>
          </w:p>
        </w:tc>
        <w:tc>
          <w:tcPr>
            <w:tcW w:w="0" w:type="auto"/>
            <w:shd w:val="clear" w:color="auto" w:fill="E2E2E2"/>
            <w:tcMar>
              <w:top w:w="40" w:type="dxa"/>
              <w:left w:w="0" w:type="dxa"/>
              <w:bottom w:w="40" w:type="dxa"/>
              <w:right w:w="20" w:type="dxa"/>
            </w:tcMar>
            <w:vAlign w:val="bottom"/>
          </w:tcPr>
          <w:p w14:paraId="185FF49F"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A0"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A1" w14:textId="77777777" w:rsidR="00A91885" w:rsidRDefault="009C4196">
            <w:pPr>
              <w:jc w:val="right"/>
              <w:textAlignment w:val="bottom"/>
            </w:pPr>
            <w:r>
              <w:rPr>
                <w:rFonts w:ascii="Arial" w:eastAsia="宋体" w:hAnsi="Arial" w:cs="Arial"/>
                <w:color w:val="000000"/>
                <w:sz w:val="18"/>
                <w:szCs w:val="18"/>
              </w:rPr>
              <w:t>3 </w:t>
            </w:r>
          </w:p>
        </w:tc>
        <w:tc>
          <w:tcPr>
            <w:tcW w:w="0" w:type="auto"/>
            <w:shd w:val="clear" w:color="auto" w:fill="E2E2E2"/>
            <w:tcMar>
              <w:top w:w="40" w:type="dxa"/>
              <w:left w:w="0" w:type="dxa"/>
              <w:bottom w:w="40" w:type="dxa"/>
              <w:right w:w="20" w:type="dxa"/>
            </w:tcMar>
            <w:vAlign w:val="bottom"/>
          </w:tcPr>
          <w:p w14:paraId="185FF4A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A3"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4A4" w14:textId="77777777" w:rsidR="00A91885" w:rsidRDefault="009C4196">
            <w:pPr>
              <w:jc w:val="right"/>
              <w:textAlignment w:val="bottom"/>
            </w:pPr>
            <w:r>
              <w:rPr>
                <w:rFonts w:ascii="Arial" w:eastAsia="宋体" w:hAnsi="Arial" w:cs="Arial"/>
                <w:color w:val="000000"/>
                <w:sz w:val="18"/>
                <w:szCs w:val="18"/>
              </w:rPr>
              <w:t>10,513 </w:t>
            </w:r>
          </w:p>
        </w:tc>
        <w:tc>
          <w:tcPr>
            <w:tcW w:w="0" w:type="auto"/>
            <w:shd w:val="clear" w:color="auto" w:fill="E2E2E2"/>
            <w:tcMar>
              <w:top w:w="40" w:type="dxa"/>
              <w:left w:w="0" w:type="dxa"/>
              <w:bottom w:w="40" w:type="dxa"/>
              <w:right w:w="20" w:type="dxa"/>
            </w:tcMar>
            <w:vAlign w:val="bottom"/>
          </w:tcPr>
          <w:p w14:paraId="185FF4A5" w14:textId="77777777" w:rsidR="00A91885" w:rsidRDefault="00A91885">
            <w:pPr>
              <w:jc w:val="right"/>
              <w:rPr>
                <w:rFonts w:ascii="宋体"/>
              </w:rPr>
            </w:pPr>
          </w:p>
        </w:tc>
      </w:tr>
      <w:tr w:rsidR="00A91885" w14:paraId="185FF4B7" w14:textId="77777777">
        <w:trPr>
          <w:jc w:val="center"/>
        </w:trPr>
        <w:tc>
          <w:tcPr>
            <w:tcW w:w="0" w:type="auto"/>
            <w:gridSpan w:val="3"/>
            <w:shd w:val="clear" w:color="auto" w:fill="FFFFFF"/>
            <w:tcMar>
              <w:top w:w="40" w:type="dxa"/>
              <w:left w:w="20" w:type="dxa"/>
              <w:bottom w:w="40" w:type="dxa"/>
              <w:right w:w="20" w:type="dxa"/>
            </w:tcMar>
            <w:vAlign w:val="bottom"/>
          </w:tcPr>
          <w:p w14:paraId="185FF4A7" w14:textId="77777777" w:rsidR="00A91885" w:rsidRDefault="009C4196">
            <w:pPr>
              <w:textAlignment w:val="bottom"/>
            </w:pPr>
            <w:r>
              <w:rPr>
                <w:rFonts w:ascii="Arial" w:eastAsia="宋体" w:hAnsi="Arial" w:cs="Arial"/>
                <w:color w:val="000000"/>
                <w:sz w:val="18"/>
                <w:szCs w:val="18"/>
              </w:rPr>
              <w:t>Net income (loss)</w:t>
            </w:r>
          </w:p>
        </w:tc>
        <w:tc>
          <w:tcPr>
            <w:tcW w:w="0" w:type="auto"/>
            <w:tcBorders>
              <w:top w:val="single" w:sz="8" w:space="0" w:color="000000"/>
            </w:tcBorders>
            <w:shd w:val="clear" w:color="auto" w:fill="FFFFFF"/>
            <w:tcMar>
              <w:top w:w="40" w:type="dxa"/>
              <w:left w:w="20" w:type="dxa"/>
              <w:bottom w:w="40" w:type="dxa"/>
              <w:right w:w="0" w:type="dxa"/>
            </w:tcMar>
            <w:vAlign w:val="bottom"/>
          </w:tcPr>
          <w:p w14:paraId="185FF4A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4A9" w14:textId="77777777" w:rsidR="00A91885" w:rsidRDefault="009C4196">
            <w:pPr>
              <w:jc w:val="right"/>
              <w:textAlignment w:val="bottom"/>
            </w:pPr>
            <w:r>
              <w:rPr>
                <w:rFonts w:ascii="Arial" w:eastAsia="宋体" w:hAnsi="Arial" w:cs="Arial"/>
                <w:color w:val="000000"/>
                <w:sz w:val="18"/>
                <w:szCs w:val="18"/>
              </w:rPr>
              <w:t>(531)</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4A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AB"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5FF4A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4AD" w14:textId="77777777" w:rsidR="00A91885" w:rsidRDefault="009C4196">
            <w:pPr>
              <w:jc w:val="right"/>
              <w:textAlignment w:val="bottom"/>
            </w:pPr>
            <w:r>
              <w:rPr>
                <w:rFonts w:ascii="Arial" w:eastAsia="宋体" w:hAnsi="Arial" w:cs="Arial"/>
                <w:color w:val="000000"/>
                <w:sz w:val="18"/>
                <w:szCs w:val="18"/>
              </w:rPr>
              <w:t>10,734 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4A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AF"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5FF4B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4B1" w14:textId="77777777" w:rsidR="00A91885" w:rsidRDefault="009C4196">
            <w:pPr>
              <w:jc w:val="right"/>
              <w:textAlignment w:val="bottom"/>
            </w:pPr>
            <w:r>
              <w:rPr>
                <w:rFonts w:ascii="Arial" w:eastAsia="宋体" w:hAnsi="Arial" w:cs="Arial"/>
                <w:color w:val="000000"/>
                <w:sz w:val="18"/>
                <w:szCs w:val="18"/>
              </w:rPr>
              <w:t>(1,872)</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4B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B3"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5FF4B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4B5" w14:textId="77777777" w:rsidR="00A91885" w:rsidRDefault="009C4196">
            <w:pPr>
              <w:jc w:val="right"/>
              <w:textAlignment w:val="bottom"/>
            </w:pPr>
            <w:r>
              <w:rPr>
                <w:rFonts w:ascii="Arial" w:eastAsia="宋体" w:hAnsi="Arial" w:cs="Arial"/>
                <w:color w:val="000000"/>
                <w:sz w:val="18"/>
                <w:szCs w:val="18"/>
              </w:rPr>
              <w:t>11,375 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4B6" w14:textId="77777777" w:rsidR="00A91885" w:rsidRDefault="00A91885">
            <w:pPr>
              <w:jc w:val="right"/>
              <w:rPr>
                <w:rFonts w:ascii="宋体"/>
              </w:rPr>
            </w:pPr>
          </w:p>
        </w:tc>
      </w:tr>
      <w:tr w:rsidR="00A91885" w14:paraId="185FF4C0" w14:textId="77777777">
        <w:trPr>
          <w:trHeight w:val="300"/>
          <w:jc w:val="center"/>
        </w:trPr>
        <w:tc>
          <w:tcPr>
            <w:tcW w:w="0" w:type="auto"/>
            <w:gridSpan w:val="3"/>
            <w:shd w:val="clear" w:color="auto" w:fill="E2E2E2"/>
            <w:tcMar>
              <w:top w:w="0" w:type="dxa"/>
              <w:left w:w="20" w:type="dxa"/>
              <w:bottom w:w="0" w:type="dxa"/>
              <w:right w:w="20" w:type="dxa"/>
            </w:tcMar>
            <w:vAlign w:val="bottom"/>
          </w:tcPr>
          <w:p w14:paraId="185FF4B8"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4B9"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4BA"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4BB"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4BC"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4BD"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4BE"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4BF" w14:textId="77777777" w:rsidR="00A91885" w:rsidRDefault="00A91885">
            <w:pPr>
              <w:rPr>
                <w:rFonts w:ascii="宋体"/>
              </w:rPr>
            </w:pPr>
          </w:p>
        </w:tc>
      </w:tr>
      <w:tr w:rsidR="00A91885" w14:paraId="185FF4C9" w14:textId="77777777">
        <w:trPr>
          <w:jc w:val="center"/>
          <w:hidden/>
        </w:trPr>
        <w:tc>
          <w:tcPr>
            <w:tcW w:w="0" w:type="auto"/>
            <w:gridSpan w:val="3"/>
            <w:shd w:val="clear" w:color="auto" w:fill="auto"/>
            <w:vAlign w:val="bottom"/>
          </w:tcPr>
          <w:p w14:paraId="185FF4C1" w14:textId="77777777" w:rsidR="00A91885" w:rsidRDefault="00A91885">
            <w:pPr>
              <w:rPr>
                <w:rFonts w:ascii="宋体"/>
                <w:vanish/>
              </w:rPr>
            </w:pPr>
          </w:p>
        </w:tc>
        <w:tc>
          <w:tcPr>
            <w:tcW w:w="0" w:type="auto"/>
            <w:gridSpan w:val="3"/>
            <w:shd w:val="clear" w:color="auto" w:fill="auto"/>
            <w:vAlign w:val="bottom"/>
          </w:tcPr>
          <w:p w14:paraId="185FF4C2" w14:textId="77777777" w:rsidR="00A91885" w:rsidRDefault="00A91885">
            <w:pPr>
              <w:rPr>
                <w:rFonts w:ascii="宋体"/>
                <w:vanish/>
              </w:rPr>
            </w:pPr>
          </w:p>
        </w:tc>
        <w:tc>
          <w:tcPr>
            <w:tcW w:w="0" w:type="auto"/>
            <w:gridSpan w:val="3"/>
            <w:shd w:val="clear" w:color="auto" w:fill="auto"/>
            <w:vAlign w:val="bottom"/>
          </w:tcPr>
          <w:p w14:paraId="185FF4C3" w14:textId="77777777" w:rsidR="00A91885" w:rsidRDefault="00A91885">
            <w:pPr>
              <w:rPr>
                <w:rFonts w:ascii="宋体"/>
                <w:vanish/>
              </w:rPr>
            </w:pPr>
          </w:p>
        </w:tc>
        <w:tc>
          <w:tcPr>
            <w:tcW w:w="0" w:type="auto"/>
            <w:gridSpan w:val="3"/>
            <w:shd w:val="clear" w:color="auto" w:fill="auto"/>
            <w:vAlign w:val="bottom"/>
          </w:tcPr>
          <w:p w14:paraId="185FF4C4" w14:textId="77777777" w:rsidR="00A91885" w:rsidRDefault="00A91885">
            <w:pPr>
              <w:rPr>
                <w:rFonts w:ascii="宋体"/>
                <w:vanish/>
              </w:rPr>
            </w:pPr>
          </w:p>
        </w:tc>
        <w:tc>
          <w:tcPr>
            <w:tcW w:w="0" w:type="auto"/>
            <w:gridSpan w:val="3"/>
            <w:shd w:val="clear" w:color="auto" w:fill="auto"/>
            <w:vAlign w:val="bottom"/>
          </w:tcPr>
          <w:p w14:paraId="185FF4C5" w14:textId="77777777" w:rsidR="00A91885" w:rsidRDefault="00A91885">
            <w:pPr>
              <w:rPr>
                <w:rFonts w:ascii="宋体"/>
                <w:vanish/>
              </w:rPr>
            </w:pPr>
          </w:p>
        </w:tc>
        <w:tc>
          <w:tcPr>
            <w:tcW w:w="0" w:type="auto"/>
            <w:gridSpan w:val="3"/>
            <w:shd w:val="clear" w:color="auto" w:fill="auto"/>
            <w:vAlign w:val="bottom"/>
          </w:tcPr>
          <w:p w14:paraId="185FF4C6" w14:textId="77777777" w:rsidR="00A91885" w:rsidRDefault="00A91885">
            <w:pPr>
              <w:rPr>
                <w:rFonts w:ascii="宋体"/>
                <w:vanish/>
              </w:rPr>
            </w:pPr>
          </w:p>
        </w:tc>
        <w:tc>
          <w:tcPr>
            <w:tcW w:w="0" w:type="auto"/>
            <w:gridSpan w:val="3"/>
            <w:shd w:val="clear" w:color="auto" w:fill="auto"/>
            <w:vAlign w:val="bottom"/>
          </w:tcPr>
          <w:p w14:paraId="185FF4C7" w14:textId="77777777" w:rsidR="00A91885" w:rsidRDefault="00A91885">
            <w:pPr>
              <w:rPr>
                <w:rFonts w:ascii="宋体"/>
                <w:vanish/>
              </w:rPr>
            </w:pPr>
          </w:p>
        </w:tc>
        <w:tc>
          <w:tcPr>
            <w:tcW w:w="0" w:type="auto"/>
            <w:gridSpan w:val="3"/>
            <w:shd w:val="clear" w:color="auto" w:fill="auto"/>
            <w:vAlign w:val="bottom"/>
          </w:tcPr>
          <w:p w14:paraId="185FF4C8" w14:textId="77777777" w:rsidR="00A91885" w:rsidRDefault="00A91885">
            <w:pPr>
              <w:rPr>
                <w:rFonts w:ascii="宋体"/>
                <w:vanish/>
              </w:rPr>
            </w:pPr>
          </w:p>
        </w:tc>
      </w:tr>
      <w:tr w:rsidR="00A91885" w14:paraId="185FF4D2" w14:textId="77777777">
        <w:trPr>
          <w:jc w:val="center"/>
        </w:trPr>
        <w:tc>
          <w:tcPr>
            <w:tcW w:w="0" w:type="auto"/>
            <w:gridSpan w:val="3"/>
            <w:shd w:val="clear" w:color="auto" w:fill="FFFFFF"/>
            <w:tcMar>
              <w:top w:w="40" w:type="dxa"/>
              <w:left w:w="20" w:type="dxa"/>
              <w:bottom w:w="40" w:type="dxa"/>
              <w:right w:w="20" w:type="dxa"/>
            </w:tcMar>
            <w:vAlign w:val="bottom"/>
          </w:tcPr>
          <w:p w14:paraId="185FF4CA" w14:textId="77777777" w:rsidR="00A91885" w:rsidRDefault="009C4196">
            <w:pPr>
              <w:textAlignment w:val="bottom"/>
            </w:pPr>
            <w:r>
              <w:rPr>
                <w:rFonts w:ascii="Arial" w:eastAsia="宋体" w:hAnsi="Arial" w:cs="Arial"/>
                <w:color w:val="000000"/>
                <w:sz w:val="18"/>
                <w:szCs w:val="18"/>
              </w:rPr>
              <w:t>Income (loss) per share - basic:</w:t>
            </w:r>
          </w:p>
        </w:tc>
        <w:tc>
          <w:tcPr>
            <w:tcW w:w="0" w:type="auto"/>
            <w:gridSpan w:val="3"/>
            <w:shd w:val="clear" w:color="auto" w:fill="FFFFFF"/>
            <w:tcMar>
              <w:top w:w="0" w:type="dxa"/>
              <w:left w:w="20" w:type="dxa"/>
              <w:bottom w:w="0" w:type="dxa"/>
              <w:right w:w="20" w:type="dxa"/>
            </w:tcMar>
            <w:vAlign w:val="bottom"/>
          </w:tcPr>
          <w:p w14:paraId="185FF4C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4CC"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4C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4CE"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5FF4CF"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185FF4D0"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5FF4D1" w14:textId="77777777" w:rsidR="00A91885" w:rsidRDefault="009C4196">
            <w:pPr>
              <w:textAlignment w:val="bottom"/>
            </w:pPr>
            <w:r>
              <w:rPr>
                <w:rFonts w:ascii="Arial" w:eastAsia="宋体" w:hAnsi="Arial" w:cs="Arial"/>
                <w:color w:val="000000"/>
                <w:sz w:val="18"/>
                <w:szCs w:val="18"/>
              </w:rPr>
              <w:t> </w:t>
            </w:r>
          </w:p>
        </w:tc>
      </w:tr>
      <w:tr w:rsidR="00A91885" w14:paraId="185FF4E3" w14:textId="77777777">
        <w:trPr>
          <w:jc w:val="center"/>
        </w:trPr>
        <w:tc>
          <w:tcPr>
            <w:tcW w:w="0" w:type="auto"/>
            <w:gridSpan w:val="3"/>
            <w:shd w:val="clear" w:color="auto" w:fill="E2E2E2"/>
            <w:tcMar>
              <w:top w:w="40" w:type="dxa"/>
              <w:left w:w="515" w:type="dxa"/>
              <w:bottom w:w="40" w:type="dxa"/>
              <w:right w:w="20" w:type="dxa"/>
            </w:tcMar>
            <w:vAlign w:val="bottom"/>
          </w:tcPr>
          <w:p w14:paraId="185FF4D3" w14:textId="77777777" w:rsidR="00A91885" w:rsidRDefault="009C4196">
            <w:pPr>
              <w:textAlignment w:val="bottom"/>
            </w:pPr>
            <w:r>
              <w:rPr>
                <w:rFonts w:ascii="Arial" w:eastAsia="宋体" w:hAnsi="Arial" w:cs="Arial"/>
                <w:color w:val="000000"/>
                <w:sz w:val="18"/>
                <w:szCs w:val="18"/>
              </w:rPr>
              <w:t>Continuing operations</w:t>
            </w:r>
          </w:p>
        </w:tc>
        <w:tc>
          <w:tcPr>
            <w:tcW w:w="0" w:type="auto"/>
            <w:shd w:val="clear" w:color="auto" w:fill="E2E2E2"/>
            <w:tcMar>
              <w:top w:w="40" w:type="dxa"/>
              <w:left w:w="20" w:type="dxa"/>
              <w:bottom w:w="40" w:type="dxa"/>
              <w:right w:w="0" w:type="dxa"/>
            </w:tcMar>
            <w:vAlign w:val="bottom"/>
          </w:tcPr>
          <w:p w14:paraId="185FF4D4"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4D5" w14:textId="77777777" w:rsidR="00A91885" w:rsidRDefault="009C4196">
            <w:pPr>
              <w:jc w:val="right"/>
              <w:textAlignment w:val="bottom"/>
            </w:pPr>
            <w:r>
              <w:rPr>
                <w:rFonts w:ascii="Arial" w:eastAsia="宋体" w:hAnsi="Arial" w:cs="Arial"/>
                <w:color w:val="000000"/>
                <w:sz w:val="18"/>
                <w:szCs w:val="18"/>
              </w:rPr>
              <w:t>(0.96)</w:t>
            </w:r>
          </w:p>
        </w:tc>
        <w:tc>
          <w:tcPr>
            <w:tcW w:w="0" w:type="auto"/>
            <w:shd w:val="clear" w:color="auto" w:fill="E2E2E2"/>
            <w:tcMar>
              <w:top w:w="40" w:type="dxa"/>
              <w:left w:w="0" w:type="dxa"/>
              <w:bottom w:w="40" w:type="dxa"/>
              <w:right w:w="20" w:type="dxa"/>
            </w:tcMar>
            <w:vAlign w:val="bottom"/>
          </w:tcPr>
          <w:p w14:paraId="185FF4D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D7"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5FF4D8"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4D9" w14:textId="77777777" w:rsidR="00A91885" w:rsidRDefault="009C4196">
            <w:pPr>
              <w:jc w:val="right"/>
              <w:textAlignment w:val="bottom"/>
            </w:pPr>
            <w:r>
              <w:rPr>
                <w:rFonts w:ascii="Arial" w:eastAsia="宋体" w:hAnsi="Arial" w:cs="Arial"/>
                <w:color w:val="000000"/>
                <w:sz w:val="18"/>
                <w:szCs w:val="18"/>
              </w:rPr>
              <w:t>0.44 </w:t>
            </w:r>
          </w:p>
        </w:tc>
        <w:tc>
          <w:tcPr>
            <w:tcW w:w="0" w:type="auto"/>
            <w:shd w:val="clear" w:color="auto" w:fill="E2E2E2"/>
            <w:tcMar>
              <w:top w:w="40" w:type="dxa"/>
              <w:left w:w="0" w:type="dxa"/>
              <w:bottom w:w="40" w:type="dxa"/>
              <w:right w:w="20" w:type="dxa"/>
            </w:tcMar>
            <w:vAlign w:val="bottom"/>
          </w:tcPr>
          <w:p w14:paraId="185FF4D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DB"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5FF4DC"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4DD" w14:textId="77777777" w:rsidR="00A91885" w:rsidRDefault="009C4196">
            <w:pPr>
              <w:jc w:val="right"/>
              <w:textAlignment w:val="bottom"/>
            </w:pPr>
            <w:r>
              <w:rPr>
                <w:rFonts w:ascii="Arial" w:eastAsia="宋体" w:hAnsi="Arial" w:cs="Arial"/>
                <w:color w:val="000000"/>
                <w:sz w:val="18"/>
                <w:szCs w:val="18"/>
              </w:rPr>
              <w:t>(3.28)</w:t>
            </w:r>
          </w:p>
        </w:tc>
        <w:tc>
          <w:tcPr>
            <w:tcW w:w="0" w:type="auto"/>
            <w:shd w:val="clear" w:color="auto" w:fill="E2E2E2"/>
            <w:tcMar>
              <w:top w:w="40" w:type="dxa"/>
              <w:left w:w="0" w:type="dxa"/>
              <w:bottom w:w="40" w:type="dxa"/>
              <w:right w:w="20" w:type="dxa"/>
            </w:tcMar>
            <w:vAlign w:val="bottom"/>
          </w:tcPr>
          <w:p w14:paraId="185FF4D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DF"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5FF4E0"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4E1" w14:textId="77777777" w:rsidR="00A91885" w:rsidRDefault="009C4196">
            <w:pPr>
              <w:jc w:val="right"/>
              <w:textAlignment w:val="bottom"/>
            </w:pPr>
            <w:r>
              <w:rPr>
                <w:rFonts w:ascii="Arial" w:eastAsia="宋体" w:hAnsi="Arial" w:cs="Arial"/>
                <w:color w:val="000000"/>
                <w:sz w:val="18"/>
                <w:szCs w:val="18"/>
              </w:rPr>
              <w:t>1.27 </w:t>
            </w:r>
          </w:p>
        </w:tc>
        <w:tc>
          <w:tcPr>
            <w:tcW w:w="0" w:type="auto"/>
            <w:shd w:val="clear" w:color="auto" w:fill="E2E2E2"/>
            <w:tcMar>
              <w:top w:w="40" w:type="dxa"/>
              <w:left w:w="0" w:type="dxa"/>
              <w:bottom w:w="40" w:type="dxa"/>
              <w:right w:w="20" w:type="dxa"/>
            </w:tcMar>
            <w:vAlign w:val="bottom"/>
          </w:tcPr>
          <w:p w14:paraId="185FF4E2" w14:textId="77777777" w:rsidR="00A91885" w:rsidRDefault="00A91885">
            <w:pPr>
              <w:jc w:val="right"/>
              <w:rPr>
                <w:rFonts w:ascii="宋体"/>
              </w:rPr>
            </w:pPr>
          </w:p>
        </w:tc>
      </w:tr>
      <w:tr w:rsidR="00A91885" w14:paraId="185FF4F0" w14:textId="77777777">
        <w:trPr>
          <w:jc w:val="center"/>
        </w:trPr>
        <w:tc>
          <w:tcPr>
            <w:tcW w:w="0" w:type="auto"/>
            <w:gridSpan w:val="3"/>
            <w:shd w:val="clear" w:color="auto" w:fill="FFFFFF"/>
            <w:tcMar>
              <w:top w:w="40" w:type="dxa"/>
              <w:left w:w="515" w:type="dxa"/>
              <w:bottom w:w="40" w:type="dxa"/>
              <w:right w:w="20" w:type="dxa"/>
            </w:tcMar>
            <w:vAlign w:val="bottom"/>
          </w:tcPr>
          <w:p w14:paraId="185FF4E4" w14:textId="77777777" w:rsidR="00A91885" w:rsidRDefault="009C4196">
            <w:pPr>
              <w:textAlignment w:val="bottom"/>
            </w:pPr>
            <w:r>
              <w:rPr>
                <w:rFonts w:ascii="Arial" w:eastAsia="宋体" w:hAnsi="Arial" w:cs="Arial"/>
                <w:color w:val="000000"/>
                <w:sz w:val="18"/>
                <w:szCs w:val="18"/>
              </w:rPr>
              <w:t>Discontinued operations</w:t>
            </w:r>
          </w:p>
        </w:tc>
        <w:tc>
          <w:tcPr>
            <w:tcW w:w="0" w:type="auto"/>
            <w:gridSpan w:val="2"/>
            <w:shd w:val="clear" w:color="auto" w:fill="FFFFFF"/>
            <w:tcMar>
              <w:top w:w="40" w:type="dxa"/>
              <w:left w:w="20" w:type="dxa"/>
              <w:bottom w:w="40" w:type="dxa"/>
              <w:right w:w="0" w:type="dxa"/>
            </w:tcMar>
            <w:vAlign w:val="bottom"/>
          </w:tcPr>
          <w:p w14:paraId="185FF4E5" w14:textId="77777777" w:rsidR="00A91885" w:rsidRDefault="009C4196">
            <w:pPr>
              <w:jc w:val="right"/>
              <w:textAlignment w:val="bottom"/>
            </w:pPr>
            <w:r>
              <w:rPr>
                <w:rFonts w:ascii="Arial" w:eastAsia="宋体" w:hAnsi="Arial" w:cs="Arial"/>
                <w:color w:val="000000"/>
                <w:sz w:val="18"/>
                <w:szCs w:val="18"/>
              </w:rPr>
              <w:t>0.01 </w:t>
            </w:r>
          </w:p>
        </w:tc>
        <w:tc>
          <w:tcPr>
            <w:tcW w:w="0" w:type="auto"/>
            <w:shd w:val="clear" w:color="auto" w:fill="FFFFFF"/>
            <w:tcMar>
              <w:top w:w="40" w:type="dxa"/>
              <w:left w:w="0" w:type="dxa"/>
              <w:bottom w:w="40" w:type="dxa"/>
              <w:right w:w="20" w:type="dxa"/>
            </w:tcMar>
            <w:vAlign w:val="bottom"/>
          </w:tcPr>
          <w:p w14:paraId="185FF4E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E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4E8" w14:textId="77777777" w:rsidR="00A91885" w:rsidRDefault="009C4196">
            <w:pPr>
              <w:jc w:val="right"/>
              <w:textAlignment w:val="bottom"/>
            </w:pPr>
            <w:r>
              <w:rPr>
                <w:rFonts w:ascii="Arial" w:eastAsia="宋体" w:hAnsi="Arial" w:cs="Arial"/>
                <w:color w:val="000000"/>
                <w:sz w:val="18"/>
                <w:szCs w:val="18"/>
              </w:rPr>
              <w:t>15.48 </w:t>
            </w:r>
          </w:p>
        </w:tc>
        <w:tc>
          <w:tcPr>
            <w:tcW w:w="0" w:type="auto"/>
            <w:shd w:val="clear" w:color="auto" w:fill="FFFFFF"/>
            <w:tcMar>
              <w:top w:w="40" w:type="dxa"/>
              <w:left w:w="0" w:type="dxa"/>
              <w:bottom w:w="40" w:type="dxa"/>
              <w:right w:w="20" w:type="dxa"/>
            </w:tcMar>
            <w:vAlign w:val="bottom"/>
          </w:tcPr>
          <w:p w14:paraId="185FF4E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E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4EB" w14:textId="77777777" w:rsidR="00A91885" w:rsidRDefault="009C4196">
            <w:pPr>
              <w:jc w:val="right"/>
              <w:textAlignment w:val="bottom"/>
            </w:pPr>
            <w:r>
              <w:rPr>
                <w:rFonts w:ascii="Arial" w:eastAsia="宋体" w:hAnsi="Arial" w:cs="Arial"/>
                <w:color w:val="000000"/>
                <w:sz w:val="18"/>
                <w:szCs w:val="18"/>
              </w:rPr>
              <w:t>0.01 </w:t>
            </w:r>
          </w:p>
        </w:tc>
        <w:tc>
          <w:tcPr>
            <w:tcW w:w="0" w:type="auto"/>
            <w:shd w:val="clear" w:color="auto" w:fill="FFFFFF"/>
            <w:tcMar>
              <w:top w:w="40" w:type="dxa"/>
              <w:left w:w="0" w:type="dxa"/>
              <w:bottom w:w="40" w:type="dxa"/>
              <w:right w:w="20" w:type="dxa"/>
            </w:tcMar>
            <w:vAlign w:val="bottom"/>
          </w:tcPr>
          <w:p w14:paraId="185FF4E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4ED"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4EE" w14:textId="77777777" w:rsidR="00A91885" w:rsidRDefault="009C4196">
            <w:pPr>
              <w:jc w:val="right"/>
              <w:textAlignment w:val="bottom"/>
            </w:pPr>
            <w:r>
              <w:rPr>
                <w:rFonts w:ascii="Arial" w:eastAsia="宋体" w:hAnsi="Arial" w:cs="Arial"/>
                <w:color w:val="000000"/>
                <w:sz w:val="18"/>
                <w:szCs w:val="18"/>
              </w:rPr>
              <w:t>15.52 </w:t>
            </w:r>
          </w:p>
        </w:tc>
        <w:tc>
          <w:tcPr>
            <w:tcW w:w="0" w:type="auto"/>
            <w:shd w:val="clear" w:color="auto" w:fill="FFFFFF"/>
            <w:tcMar>
              <w:top w:w="40" w:type="dxa"/>
              <w:left w:w="0" w:type="dxa"/>
              <w:bottom w:w="40" w:type="dxa"/>
              <w:right w:w="20" w:type="dxa"/>
            </w:tcMar>
            <w:vAlign w:val="bottom"/>
          </w:tcPr>
          <w:p w14:paraId="185FF4EF" w14:textId="77777777" w:rsidR="00A91885" w:rsidRDefault="00A91885">
            <w:pPr>
              <w:jc w:val="right"/>
              <w:rPr>
                <w:rFonts w:ascii="宋体"/>
              </w:rPr>
            </w:pPr>
          </w:p>
        </w:tc>
      </w:tr>
      <w:tr w:rsidR="00A91885" w14:paraId="185FF501" w14:textId="77777777">
        <w:trPr>
          <w:jc w:val="center"/>
        </w:trPr>
        <w:tc>
          <w:tcPr>
            <w:tcW w:w="0" w:type="auto"/>
            <w:gridSpan w:val="3"/>
            <w:shd w:val="clear" w:color="auto" w:fill="E2E2E2"/>
            <w:tcMar>
              <w:top w:w="40" w:type="dxa"/>
              <w:left w:w="20" w:type="dxa"/>
              <w:bottom w:w="40" w:type="dxa"/>
              <w:right w:w="20" w:type="dxa"/>
            </w:tcMar>
            <w:vAlign w:val="bottom"/>
          </w:tcPr>
          <w:p w14:paraId="185FF4F1" w14:textId="77777777" w:rsidR="00A91885" w:rsidRDefault="009C4196">
            <w:pPr>
              <w:textAlignment w:val="bottom"/>
            </w:pPr>
            <w:r>
              <w:rPr>
                <w:rFonts w:ascii="Arial" w:eastAsia="宋体" w:hAnsi="Arial" w:cs="Arial"/>
                <w:color w:val="000000"/>
                <w:sz w:val="18"/>
                <w:szCs w:val="18"/>
              </w:rPr>
              <w:t>Net income (loss) per share - basic</w:t>
            </w:r>
          </w:p>
        </w:tc>
        <w:tc>
          <w:tcPr>
            <w:tcW w:w="0" w:type="auto"/>
            <w:tcBorders>
              <w:top w:val="single" w:sz="8" w:space="0" w:color="000000"/>
            </w:tcBorders>
            <w:shd w:val="clear" w:color="auto" w:fill="E2E2E2"/>
            <w:tcMar>
              <w:top w:w="40" w:type="dxa"/>
              <w:left w:w="20" w:type="dxa"/>
              <w:bottom w:w="40" w:type="dxa"/>
              <w:right w:w="0" w:type="dxa"/>
            </w:tcMar>
            <w:vAlign w:val="bottom"/>
          </w:tcPr>
          <w:p w14:paraId="185FF4F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5FF4F3" w14:textId="77777777" w:rsidR="00A91885" w:rsidRDefault="009C4196">
            <w:pPr>
              <w:jc w:val="right"/>
              <w:textAlignment w:val="bottom"/>
            </w:pPr>
            <w:r>
              <w:rPr>
                <w:rFonts w:ascii="Arial" w:eastAsia="宋体" w:hAnsi="Arial" w:cs="Arial"/>
                <w:color w:val="000000"/>
                <w:sz w:val="18"/>
                <w:szCs w:val="18"/>
              </w:rPr>
              <w:t>(0.95)</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4F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F5"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5FF4F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5FF4F7" w14:textId="77777777" w:rsidR="00A91885" w:rsidRDefault="009C4196">
            <w:pPr>
              <w:jc w:val="right"/>
              <w:textAlignment w:val="bottom"/>
            </w:pPr>
            <w:r>
              <w:rPr>
                <w:rFonts w:ascii="Arial" w:eastAsia="宋体" w:hAnsi="Arial" w:cs="Arial"/>
                <w:color w:val="000000"/>
                <w:sz w:val="18"/>
                <w:szCs w:val="18"/>
              </w:rPr>
              <w:t>15.92 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4F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F9"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5FF4F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5FF4FB" w14:textId="77777777" w:rsidR="00A91885" w:rsidRDefault="009C4196">
            <w:pPr>
              <w:jc w:val="right"/>
              <w:textAlignment w:val="bottom"/>
            </w:pPr>
            <w:r>
              <w:rPr>
                <w:rFonts w:ascii="Arial" w:eastAsia="宋体" w:hAnsi="Arial" w:cs="Arial"/>
                <w:color w:val="000000"/>
                <w:sz w:val="18"/>
                <w:szCs w:val="18"/>
              </w:rPr>
              <w:t>(3.27)</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4F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4FD"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5FF4F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5FF4FF" w14:textId="77777777" w:rsidR="00A91885" w:rsidRDefault="009C4196">
            <w:pPr>
              <w:jc w:val="right"/>
              <w:textAlignment w:val="bottom"/>
            </w:pPr>
            <w:r>
              <w:rPr>
                <w:rFonts w:ascii="Arial" w:eastAsia="宋体" w:hAnsi="Arial" w:cs="Arial"/>
                <w:color w:val="000000"/>
                <w:sz w:val="18"/>
                <w:szCs w:val="18"/>
              </w:rPr>
              <w:t>16.79 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500" w14:textId="77777777" w:rsidR="00A91885" w:rsidRDefault="00A91885">
            <w:pPr>
              <w:jc w:val="right"/>
              <w:rPr>
                <w:rFonts w:ascii="宋体"/>
              </w:rPr>
            </w:pPr>
          </w:p>
        </w:tc>
      </w:tr>
      <w:tr w:rsidR="00A91885" w14:paraId="185FF50A" w14:textId="77777777">
        <w:trPr>
          <w:trHeight w:val="300"/>
          <w:jc w:val="center"/>
        </w:trPr>
        <w:tc>
          <w:tcPr>
            <w:tcW w:w="0" w:type="auto"/>
            <w:gridSpan w:val="3"/>
            <w:shd w:val="clear" w:color="auto" w:fill="FFFFFF"/>
            <w:tcMar>
              <w:top w:w="0" w:type="dxa"/>
              <w:left w:w="20" w:type="dxa"/>
              <w:bottom w:w="0" w:type="dxa"/>
              <w:right w:w="20" w:type="dxa"/>
            </w:tcMar>
            <w:vAlign w:val="bottom"/>
          </w:tcPr>
          <w:p w14:paraId="185FF502"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503"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504"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505"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506"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507"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508"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509" w14:textId="77777777" w:rsidR="00A91885" w:rsidRDefault="00A91885">
            <w:pPr>
              <w:rPr>
                <w:rFonts w:ascii="宋体"/>
              </w:rPr>
            </w:pPr>
          </w:p>
        </w:tc>
      </w:tr>
      <w:tr w:rsidR="00A91885" w14:paraId="185FF513" w14:textId="77777777">
        <w:trPr>
          <w:jc w:val="center"/>
        </w:trPr>
        <w:tc>
          <w:tcPr>
            <w:tcW w:w="0" w:type="auto"/>
            <w:gridSpan w:val="3"/>
            <w:shd w:val="clear" w:color="auto" w:fill="E2E2E2"/>
            <w:tcMar>
              <w:top w:w="40" w:type="dxa"/>
              <w:left w:w="20" w:type="dxa"/>
              <w:bottom w:w="40" w:type="dxa"/>
              <w:right w:w="20" w:type="dxa"/>
            </w:tcMar>
            <w:vAlign w:val="bottom"/>
          </w:tcPr>
          <w:p w14:paraId="185FF50B" w14:textId="77777777" w:rsidR="00A91885" w:rsidRDefault="009C4196">
            <w:pPr>
              <w:textAlignment w:val="bottom"/>
            </w:pPr>
            <w:r>
              <w:rPr>
                <w:rFonts w:ascii="Arial" w:eastAsia="宋体" w:hAnsi="Arial" w:cs="Arial"/>
                <w:color w:val="000000"/>
                <w:sz w:val="18"/>
                <w:szCs w:val="18"/>
              </w:rPr>
              <w:t xml:space="preserve">Income (loss) per </w:t>
            </w:r>
            <w:r>
              <w:rPr>
                <w:rFonts w:ascii="Arial" w:eastAsia="宋体" w:hAnsi="Arial" w:cs="Arial"/>
                <w:color w:val="000000"/>
                <w:sz w:val="18"/>
                <w:szCs w:val="18"/>
              </w:rPr>
              <w:t>share - diluted:</w:t>
            </w:r>
          </w:p>
        </w:tc>
        <w:tc>
          <w:tcPr>
            <w:tcW w:w="0" w:type="auto"/>
            <w:gridSpan w:val="3"/>
            <w:shd w:val="clear" w:color="auto" w:fill="E2E2E2"/>
            <w:tcMar>
              <w:top w:w="0" w:type="dxa"/>
              <w:left w:w="20" w:type="dxa"/>
              <w:bottom w:w="0" w:type="dxa"/>
              <w:right w:w="20" w:type="dxa"/>
            </w:tcMar>
            <w:vAlign w:val="bottom"/>
          </w:tcPr>
          <w:p w14:paraId="185FF50C"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50D"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50E"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50F"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510"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511"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512" w14:textId="77777777" w:rsidR="00A91885" w:rsidRDefault="00A91885">
            <w:pPr>
              <w:rPr>
                <w:rFonts w:ascii="宋体"/>
              </w:rPr>
            </w:pPr>
          </w:p>
        </w:tc>
      </w:tr>
      <w:tr w:rsidR="00A91885" w14:paraId="185FF524" w14:textId="77777777">
        <w:trPr>
          <w:jc w:val="center"/>
        </w:trPr>
        <w:tc>
          <w:tcPr>
            <w:tcW w:w="0" w:type="auto"/>
            <w:gridSpan w:val="3"/>
            <w:shd w:val="clear" w:color="auto" w:fill="FFFFFF"/>
            <w:tcMar>
              <w:top w:w="40" w:type="dxa"/>
              <w:left w:w="515" w:type="dxa"/>
              <w:bottom w:w="40" w:type="dxa"/>
              <w:right w:w="20" w:type="dxa"/>
            </w:tcMar>
            <w:vAlign w:val="bottom"/>
          </w:tcPr>
          <w:p w14:paraId="185FF514" w14:textId="77777777" w:rsidR="00A91885" w:rsidRDefault="009C4196">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185FF515"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516" w14:textId="77777777" w:rsidR="00A91885" w:rsidRDefault="009C4196">
            <w:pPr>
              <w:jc w:val="right"/>
              <w:textAlignment w:val="bottom"/>
            </w:pPr>
            <w:r>
              <w:rPr>
                <w:rFonts w:ascii="Arial" w:eastAsia="宋体" w:hAnsi="Arial" w:cs="Arial"/>
                <w:color w:val="000000"/>
                <w:sz w:val="18"/>
                <w:szCs w:val="18"/>
              </w:rPr>
              <w:t>(0.96)</w:t>
            </w:r>
          </w:p>
        </w:tc>
        <w:tc>
          <w:tcPr>
            <w:tcW w:w="0" w:type="auto"/>
            <w:shd w:val="clear" w:color="auto" w:fill="FFFFFF"/>
            <w:tcMar>
              <w:top w:w="40" w:type="dxa"/>
              <w:left w:w="0" w:type="dxa"/>
              <w:bottom w:w="40" w:type="dxa"/>
              <w:right w:w="20" w:type="dxa"/>
            </w:tcMar>
            <w:vAlign w:val="bottom"/>
          </w:tcPr>
          <w:p w14:paraId="185FF51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518"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519"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51A" w14:textId="77777777" w:rsidR="00A91885" w:rsidRDefault="009C4196">
            <w:pPr>
              <w:jc w:val="right"/>
              <w:textAlignment w:val="bottom"/>
            </w:pPr>
            <w:r>
              <w:rPr>
                <w:rFonts w:ascii="Arial" w:eastAsia="宋体" w:hAnsi="Arial" w:cs="Arial"/>
                <w:color w:val="000000"/>
                <w:sz w:val="18"/>
                <w:szCs w:val="18"/>
              </w:rPr>
              <w:t>0.43 </w:t>
            </w:r>
          </w:p>
        </w:tc>
        <w:tc>
          <w:tcPr>
            <w:tcW w:w="0" w:type="auto"/>
            <w:shd w:val="clear" w:color="auto" w:fill="FFFFFF"/>
            <w:tcMar>
              <w:top w:w="40" w:type="dxa"/>
              <w:left w:w="0" w:type="dxa"/>
              <w:bottom w:w="40" w:type="dxa"/>
              <w:right w:w="20" w:type="dxa"/>
            </w:tcMar>
            <w:vAlign w:val="bottom"/>
          </w:tcPr>
          <w:p w14:paraId="185FF51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51C"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51D"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51E" w14:textId="77777777" w:rsidR="00A91885" w:rsidRDefault="009C4196">
            <w:pPr>
              <w:jc w:val="right"/>
              <w:textAlignment w:val="bottom"/>
            </w:pPr>
            <w:r>
              <w:rPr>
                <w:rFonts w:ascii="Arial" w:eastAsia="宋体" w:hAnsi="Arial" w:cs="Arial"/>
                <w:color w:val="000000"/>
                <w:sz w:val="18"/>
                <w:szCs w:val="18"/>
              </w:rPr>
              <w:t>(3.28)</w:t>
            </w:r>
          </w:p>
        </w:tc>
        <w:tc>
          <w:tcPr>
            <w:tcW w:w="0" w:type="auto"/>
            <w:shd w:val="clear" w:color="auto" w:fill="FFFFFF"/>
            <w:tcMar>
              <w:top w:w="40" w:type="dxa"/>
              <w:left w:w="0" w:type="dxa"/>
              <w:bottom w:w="40" w:type="dxa"/>
              <w:right w:w="20" w:type="dxa"/>
            </w:tcMar>
            <w:vAlign w:val="bottom"/>
          </w:tcPr>
          <w:p w14:paraId="185FF51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520"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521"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522" w14:textId="77777777" w:rsidR="00A91885" w:rsidRDefault="009C4196">
            <w:pPr>
              <w:jc w:val="right"/>
              <w:textAlignment w:val="bottom"/>
            </w:pPr>
            <w:r>
              <w:rPr>
                <w:rFonts w:ascii="Arial" w:eastAsia="宋体" w:hAnsi="Arial" w:cs="Arial"/>
                <w:color w:val="000000"/>
                <w:sz w:val="18"/>
                <w:szCs w:val="18"/>
              </w:rPr>
              <w:t>1.25 </w:t>
            </w:r>
          </w:p>
        </w:tc>
        <w:tc>
          <w:tcPr>
            <w:tcW w:w="0" w:type="auto"/>
            <w:shd w:val="clear" w:color="auto" w:fill="FFFFFF"/>
            <w:tcMar>
              <w:top w:w="40" w:type="dxa"/>
              <w:left w:w="0" w:type="dxa"/>
              <w:bottom w:w="40" w:type="dxa"/>
              <w:right w:w="20" w:type="dxa"/>
            </w:tcMar>
            <w:vAlign w:val="bottom"/>
          </w:tcPr>
          <w:p w14:paraId="185FF523" w14:textId="77777777" w:rsidR="00A91885" w:rsidRDefault="00A91885">
            <w:pPr>
              <w:jc w:val="right"/>
              <w:rPr>
                <w:rFonts w:ascii="宋体"/>
              </w:rPr>
            </w:pPr>
          </w:p>
        </w:tc>
      </w:tr>
      <w:tr w:rsidR="00A91885" w14:paraId="185FF531" w14:textId="77777777">
        <w:trPr>
          <w:jc w:val="center"/>
        </w:trPr>
        <w:tc>
          <w:tcPr>
            <w:tcW w:w="0" w:type="auto"/>
            <w:gridSpan w:val="3"/>
            <w:shd w:val="clear" w:color="auto" w:fill="E2E2E2"/>
            <w:tcMar>
              <w:top w:w="40" w:type="dxa"/>
              <w:left w:w="515" w:type="dxa"/>
              <w:bottom w:w="40" w:type="dxa"/>
              <w:right w:w="20" w:type="dxa"/>
            </w:tcMar>
            <w:vAlign w:val="bottom"/>
          </w:tcPr>
          <w:p w14:paraId="185FF525" w14:textId="77777777" w:rsidR="00A91885" w:rsidRDefault="009C4196">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185FF526" w14:textId="77777777" w:rsidR="00A91885" w:rsidRDefault="009C4196">
            <w:pPr>
              <w:jc w:val="right"/>
              <w:textAlignment w:val="bottom"/>
            </w:pPr>
            <w:r>
              <w:rPr>
                <w:rFonts w:ascii="Arial" w:eastAsia="宋体" w:hAnsi="Arial" w:cs="Arial"/>
                <w:color w:val="000000"/>
                <w:sz w:val="18"/>
                <w:szCs w:val="18"/>
              </w:rPr>
              <w:t>0.01 </w:t>
            </w:r>
          </w:p>
        </w:tc>
        <w:tc>
          <w:tcPr>
            <w:tcW w:w="0" w:type="auto"/>
            <w:shd w:val="clear" w:color="auto" w:fill="E2E2E2"/>
            <w:tcMar>
              <w:top w:w="40" w:type="dxa"/>
              <w:left w:w="0" w:type="dxa"/>
              <w:bottom w:w="40" w:type="dxa"/>
              <w:right w:w="20" w:type="dxa"/>
            </w:tcMar>
            <w:vAlign w:val="bottom"/>
          </w:tcPr>
          <w:p w14:paraId="185FF52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2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529" w14:textId="77777777" w:rsidR="00A91885" w:rsidRDefault="009C4196">
            <w:pPr>
              <w:jc w:val="right"/>
              <w:textAlignment w:val="bottom"/>
            </w:pPr>
            <w:r>
              <w:rPr>
                <w:rFonts w:ascii="Arial" w:eastAsia="宋体" w:hAnsi="Arial" w:cs="Arial"/>
                <w:color w:val="000000"/>
                <w:sz w:val="18"/>
                <w:szCs w:val="18"/>
              </w:rPr>
              <w:t>15.25 </w:t>
            </w:r>
          </w:p>
        </w:tc>
        <w:tc>
          <w:tcPr>
            <w:tcW w:w="0" w:type="auto"/>
            <w:shd w:val="clear" w:color="auto" w:fill="E2E2E2"/>
            <w:tcMar>
              <w:top w:w="40" w:type="dxa"/>
              <w:left w:w="0" w:type="dxa"/>
              <w:bottom w:w="40" w:type="dxa"/>
              <w:right w:w="20" w:type="dxa"/>
            </w:tcMar>
            <w:vAlign w:val="bottom"/>
          </w:tcPr>
          <w:p w14:paraId="185FF52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2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52C" w14:textId="77777777" w:rsidR="00A91885" w:rsidRDefault="009C4196">
            <w:pPr>
              <w:jc w:val="right"/>
              <w:textAlignment w:val="bottom"/>
            </w:pPr>
            <w:r>
              <w:rPr>
                <w:rFonts w:ascii="Arial" w:eastAsia="宋体" w:hAnsi="Arial" w:cs="Arial"/>
                <w:color w:val="000000"/>
                <w:sz w:val="18"/>
                <w:szCs w:val="18"/>
              </w:rPr>
              <w:t>0.01 </w:t>
            </w:r>
          </w:p>
        </w:tc>
        <w:tc>
          <w:tcPr>
            <w:tcW w:w="0" w:type="auto"/>
            <w:shd w:val="clear" w:color="auto" w:fill="E2E2E2"/>
            <w:tcMar>
              <w:top w:w="40" w:type="dxa"/>
              <w:left w:w="0" w:type="dxa"/>
              <w:bottom w:w="40" w:type="dxa"/>
              <w:right w:w="20" w:type="dxa"/>
            </w:tcMar>
            <w:vAlign w:val="bottom"/>
          </w:tcPr>
          <w:p w14:paraId="185FF52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2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52F" w14:textId="77777777" w:rsidR="00A91885" w:rsidRDefault="009C4196">
            <w:pPr>
              <w:jc w:val="right"/>
              <w:textAlignment w:val="bottom"/>
            </w:pPr>
            <w:r>
              <w:rPr>
                <w:rFonts w:ascii="Arial" w:eastAsia="宋体" w:hAnsi="Arial" w:cs="Arial"/>
                <w:color w:val="000000"/>
                <w:sz w:val="18"/>
                <w:szCs w:val="18"/>
              </w:rPr>
              <w:t>15.27 </w:t>
            </w:r>
          </w:p>
        </w:tc>
        <w:tc>
          <w:tcPr>
            <w:tcW w:w="0" w:type="auto"/>
            <w:shd w:val="clear" w:color="auto" w:fill="E2E2E2"/>
            <w:tcMar>
              <w:top w:w="40" w:type="dxa"/>
              <w:left w:w="0" w:type="dxa"/>
              <w:bottom w:w="40" w:type="dxa"/>
              <w:right w:w="20" w:type="dxa"/>
            </w:tcMar>
            <w:vAlign w:val="bottom"/>
          </w:tcPr>
          <w:p w14:paraId="185FF530" w14:textId="77777777" w:rsidR="00A91885" w:rsidRDefault="00A91885">
            <w:pPr>
              <w:jc w:val="right"/>
              <w:rPr>
                <w:rFonts w:ascii="宋体"/>
              </w:rPr>
            </w:pPr>
          </w:p>
        </w:tc>
      </w:tr>
      <w:tr w:rsidR="00A91885" w14:paraId="185FF542" w14:textId="77777777">
        <w:trPr>
          <w:jc w:val="center"/>
        </w:trPr>
        <w:tc>
          <w:tcPr>
            <w:tcW w:w="0" w:type="auto"/>
            <w:gridSpan w:val="3"/>
            <w:shd w:val="clear" w:color="auto" w:fill="FFFFFF"/>
            <w:tcMar>
              <w:top w:w="40" w:type="dxa"/>
              <w:left w:w="20" w:type="dxa"/>
              <w:bottom w:w="40" w:type="dxa"/>
              <w:right w:w="20" w:type="dxa"/>
            </w:tcMar>
            <w:vAlign w:val="bottom"/>
          </w:tcPr>
          <w:p w14:paraId="185FF532" w14:textId="77777777" w:rsidR="00A91885" w:rsidRDefault="009C4196">
            <w:pPr>
              <w:textAlignment w:val="bottom"/>
            </w:pPr>
            <w:r>
              <w:rPr>
                <w:rFonts w:ascii="Arial" w:eastAsia="宋体" w:hAnsi="Arial" w:cs="Arial"/>
                <w:color w:val="000000"/>
                <w:sz w:val="18"/>
                <w:szCs w:val="18"/>
              </w:rPr>
              <w:t>Net income (loss) per share - diluted</w:t>
            </w:r>
          </w:p>
        </w:tc>
        <w:tc>
          <w:tcPr>
            <w:tcW w:w="0" w:type="auto"/>
            <w:tcBorders>
              <w:top w:val="single" w:sz="8" w:space="0" w:color="000000"/>
            </w:tcBorders>
            <w:shd w:val="clear" w:color="auto" w:fill="FFFFFF"/>
            <w:tcMar>
              <w:top w:w="40" w:type="dxa"/>
              <w:left w:w="20" w:type="dxa"/>
              <w:bottom w:w="40" w:type="dxa"/>
              <w:right w:w="0" w:type="dxa"/>
            </w:tcMar>
            <w:vAlign w:val="bottom"/>
          </w:tcPr>
          <w:p w14:paraId="185FF53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534" w14:textId="77777777" w:rsidR="00A91885" w:rsidRDefault="009C4196">
            <w:pPr>
              <w:jc w:val="right"/>
              <w:textAlignment w:val="bottom"/>
            </w:pPr>
            <w:r>
              <w:rPr>
                <w:rFonts w:ascii="Arial" w:eastAsia="宋体" w:hAnsi="Arial" w:cs="Arial"/>
                <w:color w:val="000000"/>
                <w:sz w:val="18"/>
                <w:szCs w:val="18"/>
              </w:rPr>
              <w:t>(0.95)</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53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536"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5FF537"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538" w14:textId="77777777" w:rsidR="00A91885" w:rsidRDefault="009C4196">
            <w:pPr>
              <w:jc w:val="right"/>
              <w:textAlignment w:val="bottom"/>
            </w:pPr>
            <w:r>
              <w:rPr>
                <w:rFonts w:ascii="Arial" w:eastAsia="宋体" w:hAnsi="Arial" w:cs="Arial"/>
                <w:color w:val="000000"/>
                <w:sz w:val="18"/>
                <w:szCs w:val="18"/>
              </w:rPr>
              <w:t>15.68 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53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53A"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5FF53B"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53C" w14:textId="77777777" w:rsidR="00A91885" w:rsidRDefault="009C4196">
            <w:pPr>
              <w:jc w:val="right"/>
              <w:textAlignment w:val="bottom"/>
            </w:pPr>
            <w:r>
              <w:rPr>
                <w:rFonts w:ascii="Arial" w:eastAsia="宋体" w:hAnsi="Arial" w:cs="Arial"/>
                <w:color w:val="000000"/>
                <w:sz w:val="18"/>
                <w:szCs w:val="18"/>
              </w:rPr>
              <w:t>(3.27)</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53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53E"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5FF53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540" w14:textId="77777777" w:rsidR="00A91885" w:rsidRDefault="009C4196">
            <w:pPr>
              <w:jc w:val="right"/>
              <w:textAlignment w:val="bottom"/>
            </w:pPr>
            <w:r>
              <w:rPr>
                <w:rFonts w:ascii="Arial" w:eastAsia="宋体" w:hAnsi="Arial" w:cs="Arial"/>
                <w:color w:val="000000"/>
                <w:sz w:val="18"/>
                <w:szCs w:val="18"/>
              </w:rPr>
              <w:t>16.52 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541" w14:textId="77777777" w:rsidR="00A91885" w:rsidRDefault="00A91885">
            <w:pPr>
              <w:jc w:val="right"/>
              <w:rPr>
                <w:rFonts w:ascii="宋体"/>
              </w:rPr>
            </w:pPr>
          </w:p>
        </w:tc>
      </w:tr>
      <w:tr w:rsidR="00A91885" w14:paraId="185FF54B" w14:textId="77777777">
        <w:trPr>
          <w:trHeight w:val="300"/>
          <w:jc w:val="center"/>
        </w:trPr>
        <w:tc>
          <w:tcPr>
            <w:tcW w:w="0" w:type="auto"/>
            <w:gridSpan w:val="3"/>
            <w:shd w:val="clear" w:color="auto" w:fill="E2E2E2"/>
            <w:tcMar>
              <w:top w:w="0" w:type="dxa"/>
              <w:left w:w="20" w:type="dxa"/>
              <w:bottom w:w="0" w:type="dxa"/>
              <w:right w:w="20" w:type="dxa"/>
            </w:tcMar>
            <w:vAlign w:val="bottom"/>
          </w:tcPr>
          <w:p w14:paraId="185FF543"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544"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545"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546"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547"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548"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549"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54A" w14:textId="77777777" w:rsidR="00A91885" w:rsidRDefault="00A91885">
            <w:pPr>
              <w:rPr>
                <w:rFonts w:ascii="宋体"/>
              </w:rPr>
            </w:pPr>
          </w:p>
        </w:tc>
      </w:tr>
      <w:tr w:rsidR="00A91885" w14:paraId="185FF554" w14:textId="77777777">
        <w:trPr>
          <w:jc w:val="center"/>
        </w:trPr>
        <w:tc>
          <w:tcPr>
            <w:tcW w:w="0" w:type="auto"/>
            <w:gridSpan w:val="3"/>
            <w:shd w:val="clear" w:color="auto" w:fill="FFFFFF"/>
            <w:tcMar>
              <w:top w:w="40" w:type="dxa"/>
              <w:left w:w="20" w:type="dxa"/>
              <w:bottom w:w="40" w:type="dxa"/>
              <w:right w:w="20" w:type="dxa"/>
            </w:tcMar>
            <w:vAlign w:val="bottom"/>
          </w:tcPr>
          <w:p w14:paraId="185FF54C" w14:textId="77777777" w:rsidR="00A91885" w:rsidRDefault="009C4196">
            <w:pPr>
              <w:textAlignment w:val="bottom"/>
            </w:pPr>
            <w:r>
              <w:rPr>
                <w:rFonts w:ascii="Arial" w:eastAsia="宋体" w:hAnsi="Arial" w:cs="Arial"/>
                <w:color w:val="000000"/>
                <w:sz w:val="18"/>
                <w:szCs w:val="18"/>
              </w:rPr>
              <w:t>Weighted-average shares:</w:t>
            </w:r>
          </w:p>
        </w:tc>
        <w:tc>
          <w:tcPr>
            <w:tcW w:w="0" w:type="auto"/>
            <w:gridSpan w:val="3"/>
            <w:shd w:val="clear" w:color="auto" w:fill="FFFFFF"/>
            <w:tcMar>
              <w:top w:w="0" w:type="dxa"/>
              <w:left w:w="20" w:type="dxa"/>
              <w:bottom w:w="0" w:type="dxa"/>
              <w:right w:w="20" w:type="dxa"/>
            </w:tcMar>
            <w:vAlign w:val="bottom"/>
          </w:tcPr>
          <w:p w14:paraId="185FF54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54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54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550"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5FF551"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185FF552"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5FF553" w14:textId="77777777" w:rsidR="00A91885" w:rsidRDefault="009C4196">
            <w:pPr>
              <w:textAlignment w:val="bottom"/>
            </w:pPr>
            <w:r>
              <w:rPr>
                <w:rFonts w:ascii="Arial" w:eastAsia="宋体" w:hAnsi="Arial" w:cs="Arial"/>
                <w:color w:val="000000"/>
                <w:sz w:val="18"/>
                <w:szCs w:val="18"/>
              </w:rPr>
              <w:t> </w:t>
            </w:r>
          </w:p>
        </w:tc>
      </w:tr>
      <w:tr w:rsidR="00A91885" w14:paraId="185FF561" w14:textId="77777777">
        <w:trPr>
          <w:jc w:val="center"/>
        </w:trPr>
        <w:tc>
          <w:tcPr>
            <w:tcW w:w="0" w:type="auto"/>
            <w:gridSpan w:val="3"/>
            <w:shd w:val="clear" w:color="auto" w:fill="E2E2E2"/>
            <w:tcMar>
              <w:top w:w="40" w:type="dxa"/>
              <w:left w:w="515" w:type="dxa"/>
              <w:bottom w:w="40" w:type="dxa"/>
              <w:right w:w="20" w:type="dxa"/>
            </w:tcMar>
            <w:vAlign w:val="bottom"/>
          </w:tcPr>
          <w:p w14:paraId="185FF555" w14:textId="77777777" w:rsidR="00A91885" w:rsidRDefault="009C4196">
            <w:pPr>
              <w:textAlignment w:val="bottom"/>
            </w:pPr>
            <w:r>
              <w:rPr>
                <w:rFonts w:ascii="Arial" w:eastAsia="宋体" w:hAnsi="Arial" w:cs="Arial"/>
                <w:color w:val="000000"/>
                <w:sz w:val="18"/>
                <w:szCs w:val="18"/>
              </w:rPr>
              <w:t>Basic</w:t>
            </w:r>
          </w:p>
        </w:tc>
        <w:tc>
          <w:tcPr>
            <w:tcW w:w="0" w:type="auto"/>
            <w:gridSpan w:val="2"/>
            <w:shd w:val="clear" w:color="auto" w:fill="E2E2E2"/>
            <w:tcMar>
              <w:top w:w="40" w:type="dxa"/>
              <w:left w:w="20" w:type="dxa"/>
              <w:bottom w:w="40" w:type="dxa"/>
              <w:right w:w="0" w:type="dxa"/>
            </w:tcMar>
            <w:vAlign w:val="bottom"/>
          </w:tcPr>
          <w:p w14:paraId="185FF556" w14:textId="77777777" w:rsidR="00A91885" w:rsidRDefault="009C4196">
            <w:pPr>
              <w:jc w:val="right"/>
              <w:textAlignment w:val="bottom"/>
            </w:pPr>
            <w:r>
              <w:rPr>
                <w:rFonts w:ascii="Arial" w:eastAsia="宋体" w:hAnsi="Arial" w:cs="Arial"/>
                <w:color w:val="000000"/>
                <w:sz w:val="18"/>
                <w:szCs w:val="18"/>
              </w:rPr>
              <w:t>556 </w:t>
            </w:r>
          </w:p>
        </w:tc>
        <w:tc>
          <w:tcPr>
            <w:tcW w:w="0" w:type="auto"/>
            <w:shd w:val="clear" w:color="auto" w:fill="E2E2E2"/>
            <w:tcMar>
              <w:top w:w="40" w:type="dxa"/>
              <w:left w:w="0" w:type="dxa"/>
              <w:bottom w:w="40" w:type="dxa"/>
              <w:right w:w="20" w:type="dxa"/>
            </w:tcMar>
            <w:vAlign w:val="bottom"/>
          </w:tcPr>
          <w:p w14:paraId="185FF55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5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559" w14:textId="77777777" w:rsidR="00A91885" w:rsidRDefault="009C4196">
            <w:pPr>
              <w:jc w:val="right"/>
              <w:textAlignment w:val="bottom"/>
            </w:pPr>
            <w:r>
              <w:rPr>
                <w:rFonts w:ascii="Arial" w:eastAsia="宋体" w:hAnsi="Arial" w:cs="Arial"/>
                <w:color w:val="000000"/>
                <w:sz w:val="18"/>
                <w:szCs w:val="18"/>
              </w:rPr>
              <w:t>674 </w:t>
            </w:r>
          </w:p>
        </w:tc>
        <w:tc>
          <w:tcPr>
            <w:tcW w:w="0" w:type="auto"/>
            <w:shd w:val="clear" w:color="auto" w:fill="E2E2E2"/>
            <w:tcMar>
              <w:top w:w="40" w:type="dxa"/>
              <w:left w:w="0" w:type="dxa"/>
              <w:bottom w:w="40" w:type="dxa"/>
              <w:right w:w="20" w:type="dxa"/>
            </w:tcMar>
            <w:vAlign w:val="bottom"/>
          </w:tcPr>
          <w:p w14:paraId="185FF55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5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55C" w14:textId="77777777" w:rsidR="00A91885" w:rsidRDefault="009C4196">
            <w:pPr>
              <w:jc w:val="right"/>
              <w:textAlignment w:val="bottom"/>
            </w:pPr>
            <w:r>
              <w:rPr>
                <w:rFonts w:ascii="Arial" w:eastAsia="宋体" w:hAnsi="Arial" w:cs="Arial"/>
                <w:color w:val="000000"/>
                <w:sz w:val="18"/>
                <w:szCs w:val="18"/>
              </w:rPr>
              <w:t>571 </w:t>
            </w:r>
          </w:p>
        </w:tc>
        <w:tc>
          <w:tcPr>
            <w:tcW w:w="0" w:type="auto"/>
            <w:shd w:val="clear" w:color="auto" w:fill="E2E2E2"/>
            <w:tcMar>
              <w:top w:w="40" w:type="dxa"/>
              <w:left w:w="0" w:type="dxa"/>
              <w:bottom w:w="40" w:type="dxa"/>
              <w:right w:w="20" w:type="dxa"/>
            </w:tcMar>
            <w:vAlign w:val="bottom"/>
          </w:tcPr>
          <w:p w14:paraId="185FF55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5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55F" w14:textId="77777777" w:rsidR="00A91885" w:rsidRDefault="009C4196">
            <w:pPr>
              <w:jc w:val="right"/>
              <w:textAlignment w:val="bottom"/>
            </w:pPr>
            <w:r>
              <w:rPr>
                <w:rFonts w:ascii="Arial" w:eastAsia="宋体" w:hAnsi="Arial" w:cs="Arial"/>
                <w:color w:val="000000"/>
                <w:sz w:val="18"/>
                <w:szCs w:val="18"/>
              </w:rPr>
              <w:t>678 </w:t>
            </w:r>
          </w:p>
        </w:tc>
        <w:tc>
          <w:tcPr>
            <w:tcW w:w="0" w:type="auto"/>
            <w:shd w:val="clear" w:color="auto" w:fill="E2E2E2"/>
            <w:tcMar>
              <w:top w:w="40" w:type="dxa"/>
              <w:left w:w="0" w:type="dxa"/>
              <w:bottom w:w="40" w:type="dxa"/>
              <w:right w:w="20" w:type="dxa"/>
            </w:tcMar>
            <w:vAlign w:val="bottom"/>
          </w:tcPr>
          <w:p w14:paraId="185FF560" w14:textId="77777777" w:rsidR="00A91885" w:rsidRDefault="00A91885">
            <w:pPr>
              <w:jc w:val="right"/>
              <w:rPr>
                <w:rFonts w:ascii="宋体"/>
              </w:rPr>
            </w:pPr>
          </w:p>
        </w:tc>
      </w:tr>
      <w:tr w:rsidR="00A91885" w14:paraId="185FF56E" w14:textId="77777777">
        <w:trPr>
          <w:jc w:val="center"/>
        </w:trPr>
        <w:tc>
          <w:tcPr>
            <w:tcW w:w="0" w:type="auto"/>
            <w:gridSpan w:val="3"/>
            <w:shd w:val="clear" w:color="auto" w:fill="FFFFFF"/>
            <w:tcMar>
              <w:top w:w="40" w:type="dxa"/>
              <w:left w:w="515" w:type="dxa"/>
              <w:bottom w:w="40" w:type="dxa"/>
              <w:right w:w="20" w:type="dxa"/>
            </w:tcMar>
            <w:vAlign w:val="bottom"/>
          </w:tcPr>
          <w:p w14:paraId="185FF562" w14:textId="77777777" w:rsidR="00A91885" w:rsidRDefault="009C4196">
            <w:pPr>
              <w:textAlignment w:val="bottom"/>
            </w:pPr>
            <w:r>
              <w:rPr>
                <w:rFonts w:ascii="Arial" w:eastAsia="宋体" w:hAnsi="Arial" w:cs="Arial"/>
                <w:color w:val="000000"/>
                <w:sz w:val="18"/>
                <w:szCs w:val="18"/>
              </w:rPr>
              <w:t>Diluted</w:t>
            </w: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85FF563" w14:textId="77777777" w:rsidR="00A91885" w:rsidRDefault="009C4196">
            <w:pPr>
              <w:jc w:val="right"/>
              <w:textAlignment w:val="bottom"/>
            </w:pPr>
            <w:r>
              <w:rPr>
                <w:rFonts w:ascii="Arial" w:eastAsia="宋体" w:hAnsi="Arial" w:cs="Arial"/>
                <w:color w:val="000000"/>
                <w:sz w:val="18"/>
                <w:szCs w:val="18"/>
              </w:rPr>
              <w:t>556 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85FF56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565" w14:textId="77777777" w:rsidR="00A91885" w:rsidRDefault="00A91885">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85FF566" w14:textId="77777777" w:rsidR="00A91885" w:rsidRDefault="009C4196">
            <w:pPr>
              <w:jc w:val="right"/>
              <w:textAlignment w:val="bottom"/>
            </w:pPr>
            <w:r>
              <w:rPr>
                <w:rFonts w:ascii="Arial" w:eastAsia="宋体" w:hAnsi="Arial" w:cs="Arial"/>
                <w:color w:val="000000"/>
                <w:sz w:val="18"/>
                <w:szCs w:val="18"/>
              </w:rPr>
              <w:t>685 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85FF56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568" w14:textId="77777777" w:rsidR="00A91885" w:rsidRDefault="00A91885">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85FF569" w14:textId="77777777" w:rsidR="00A91885" w:rsidRDefault="009C4196">
            <w:pPr>
              <w:jc w:val="right"/>
              <w:textAlignment w:val="bottom"/>
            </w:pPr>
            <w:r>
              <w:rPr>
                <w:rFonts w:ascii="Arial" w:eastAsia="宋体" w:hAnsi="Arial" w:cs="Arial"/>
                <w:color w:val="000000"/>
                <w:sz w:val="18"/>
                <w:szCs w:val="18"/>
              </w:rPr>
              <w:t>571 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85FF56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56B" w14:textId="77777777" w:rsidR="00A91885" w:rsidRDefault="00A91885">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85FF56C" w14:textId="77777777" w:rsidR="00A91885" w:rsidRDefault="009C4196">
            <w:pPr>
              <w:jc w:val="right"/>
              <w:textAlignment w:val="bottom"/>
            </w:pPr>
            <w:r>
              <w:rPr>
                <w:rFonts w:ascii="Arial" w:eastAsia="宋体" w:hAnsi="Arial" w:cs="Arial"/>
                <w:color w:val="000000"/>
                <w:sz w:val="18"/>
                <w:szCs w:val="18"/>
              </w:rPr>
              <w:t>689 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85FF56D" w14:textId="77777777" w:rsidR="00A91885" w:rsidRDefault="00A91885">
            <w:pPr>
              <w:jc w:val="right"/>
              <w:rPr>
                <w:rFonts w:ascii="宋体"/>
              </w:rPr>
            </w:pPr>
          </w:p>
        </w:tc>
      </w:tr>
    </w:tbl>
    <w:p w14:paraId="185FF56F" w14:textId="77777777" w:rsidR="00A91885" w:rsidRDefault="00A91885">
      <w:pPr>
        <w:jc w:val="center"/>
      </w:pPr>
    </w:p>
    <w:p w14:paraId="185FF570" w14:textId="77777777" w:rsidR="00A91885" w:rsidRDefault="009C4196">
      <w:pPr>
        <w:jc w:val="center"/>
      </w:pPr>
      <w:r>
        <w:rPr>
          <w:rFonts w:ascii="Arial" w:eastAsia="宋体" w:hAnsi="Arial" w:cs="Arial"/>
          <w:color w:val="000000"/>
          <w:sz w:val="18"/>
          <w:szCs w:val="18"/>
        </w:rPr>
        <w:t xml:space="preserve">The accompanying notes are an integral part of these condensed consolidated financial statements. </w:t>
      </w:r>
    </w:p>
    <w:p w14:paraId="185FF571" w14:textId="77777777" w:rsidR="00A91885" w:rsidRDefault="00A91885">
      <w:pPr>
        <w:jc w:val="center"/>
      </w:pPr>
    </w:p>
    <w:p w14:paraId="185FF572" w14:textId="77777777" w:rsidR="00A91885" w:rsidRDefault="00A91885">
      <w:pPr>
        <w:jc w:val="center"/>
      </w:pPr>
    </w:p>
    <w:p w14:paraId="185FF573" w14:textId="77777777" w:rsidR="00A91885" w:rsidRDefault="009C4196">
      <w:pPr>
        <w:jc w:val="center"/>
      </w:pPr>
      <w:r>
        <w:rPr>
          <w:rFonts w:ascii="Arial" w:eastAsia="宋体" w:hAnsi="Arial" w:cs="Arial"/>
          <w:color w:val="000000"/>
          <w:sz w:val="20"/>
          <w:szCs w:val="20"/>
        </w:rPr>
        <w:t>5</w:t>
      </w:r>
    </w:p>
    <w:p w14:paraId="185FF574" w14:textId="77777777" w:rsidR="00A91885" w:rsidRDefault="009C4196">
      <w:r>
        <w:pict w14:anchorId="18602188">
          <v:rect id="_x0000_i1029" style="width:415.3pt;height:1.5pt" o:hralign="center" o:hrstd="t" o:hr="t" fillcolor="#a0a0a0" stroked="f"/>
        </w:pict>
      </w:r>
    </w:p>
    <w:p w14:paraId="185FF575" w14:textId="77777777" w:rsidR="00A91885" w:rsidRDefault="009C4196">
      <w:hyperlink r:id="rId89" w:anchor="ieb971428a625452486c65ae24899afca_7" w:history="1">
        <w:r>
          <w:rPr>
            <w:rStyle w:val="a5"/>
            <w:rFonts w:ascii="Arial" w:eastAsia="宋体" w:hAnsi="Arial" w:cs="Arial"/>
            <w:sz w:val="18"/>
            <w:szCs w:val="18"/>
          </w:rPr>
          <w:t>Table of Contents</w:t>
        </w:r>
      </w:hyperlink>
    </w:p>
    <w:p w14:paraId="185FF576" w14:textId="77777777" w:rsidR="00A91885" w:rsidRDefault="009C4196">
      <w:pPr>
        <w:spacing w:before="120"/>
        <w:jc w:val="center"/>
      </w:pPr>
      <w:r>
        <w:rPr>
          <w:rFonts w:ascii="Arial" w:eastAsia="宋体" w:hAnsi="Arial" w:cs="Arial"/>
          <w:b/>
          <w:bCs/>
          <w:color w:val="000000"/>
          <w:sz w:val="20"/>
          <w:szCs w:val="20"/>
        </w:rPr>
        <w:t>eBay Inc.</w:t>
      </w:r>
    </w:p>
    <w:p w14:paraId="185FF577" w14:textId="77777777" w:rsidR="00A91885" w:rsidRDefault="009C4196">
      <w:pPr>
        <w:spacing w:before="80"/>
        <w:jc w:val="center"/>
      </w:pPr>
      <w:r>
        <w:rPr>
          <w:rFonts w:ascii="Arial" w:eastAsia="宋体" w:hAnsi="Arial" w:cs="Arial"/>
          <w:b/>
          <w:bCs/>
          <w:color w:val="000000"/>
          <w:sz w:val="20"/>
          <w:szCs w:val="20"/>
        </w:rPr>
        <w:t>CONDENSED CONSOLIDATED STATEMENT OF COMPREHENSIVE INCOME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747"/>
        <w:gridCol w:w="39"/>
        <w:gridCol w:w="121"/>
        <w:gridCol w:w="889"/>
        <w:gridCol w:w="36"/>
        <w:gridCol w:w="36"/>
        <w:gridCol w:w="36"/>
        <w:gridCol w:w="36"/>
        <w:gridCol w:w="121"/>
        <w:gridCol w:w="889"/>
        <w:gridCol w:w="36"/>
        <w:gridCol w:w="36"/>
        <w:gridCol w:w="36"/>
        <w:gridCol w:w="36"/>
        <w:gridCol w:w="121"/>
        <w:gridCol w:w="889"/>
        <w:gridCol w:w="36"/>
        <w:gridCol w:w="36"/>
        <w:gridCol w:w="36"/>
        <w:gridCol w:w="36"/>
        <w:gridCol w:w="121"/>
        <w:gridCol w:w="891"/>
        <w:gridCol w:w="36"/>
      </w:tblGrid>
      <w:tr w:rsidR="00A91885" w14:paraId="185FF590" w14:textId="77777777">
        <w:trPr>
          <w:jc w:val="center"/>
        </w:trPr>
        <w:tc>
          <w:tcPr>
            <w:tcW w:w="50" w:type="pct"/>
            <w:shd w:val="clear" w:color="auto" w:fill="auto"/>
            <w:vAlign w:val="bottom"/>
          </w:tcPr>
          <w:p w14:paraId="185FF578" w14:textId="77777777" w:rsidR="00A91885" w:rsidRDefault="00A91885">
            <w:pPr>
              <w:rPr>
                <w:rFonts w:ascii="宋体"/>
              </w:rPr>
            </w:pPr>
          </w:p>
        </w:tc>
        <w:tc>
          <w:tcPr>
            <w:tcW w:w="2313" w:type="pct"/>
            <w:shd w:val="clear" w:color="auto" w:fill="auto"/>
            <w:vAlign w:val="bottom"/>
          </w:tcPr>
          <w:p w14:paraId="185FF579" w14:textId="77777777" w:rsidR="00A91885" w:rsidRDefault="00A91885">
            <w:pPr>
              <w:rPr>
                <w:rFonts w:ascii="宋体"/>
              </w:rPr>
            </w:pPr>
          </w:p>
        </w:tc>
        <w:tc>
          <w:tcPr>
            <w:tcW w:w="5" w:type="pct"/>
            <w:shd w:val="clear" w:color="auto" w:fill="auto"/>
            <w:vAlign w:val="bottom"/>
          </w:tcPr>
          <w:p w14:paraId="185FF57A" w14:textId="77777777" w:rsidR="00A91885" w:rsidRDefault="00A91885">
            <w:pPr>
              <w:rPr>
                <w:rFonts w:ascii="宋体"/>
              </w:rPr>
            </w:pPr>
          </w:p>
        </w:tc>
        <w:tc>
          <w:tcPr>
            <w:tcW w:w="50" w:type="pct"/>
            <w:shd w:val="clear" w:color="auto" w:fill="auto"/>
            <w:vAlign w:val="bottom"/>
          </w:tcPr>
          <w:p w14:paraId="185FF57B" w14:textId="77777777" w:rsidR="00A91885" w:rsidRDefault="00A91885">
            <w:pPr>
              <w:rPr>
                <w:rFonts w:ascii="宋体"/>
              </w:rPr>
            </w:pPr>
          </w:p>
        </w:tc>
        <w:tc>
          <w:tcPr>
            <w:tcW w:w="580" w:type="pct"/>
            <w:shd w:val="clear" w:color="auto" w:fill="auto"/>
            <w:vAlign w:val="bottom"/>
          </w:tcPr>
          <w:p w14:paraId="185FF57C" w14:textId="77777777" w:rsidR="00A91885" w:rsidRDefault="00A91885">
            <w:pPr>
              <w:rPr>
                <w:rFonts w:ascii="宋体"/>
              </w:rPr>
            </w:pPr>
          </w:p>
        </w:tc>
        <w:tc>
          <w:tcPr>
            <w:tcW w:w="5" w:type="pct"/>
            <w:shd w:val="clear" w:color="auto" w:fill="auto"/>
            <w:vAlign w:val="bottom"/>
          </w:tcPr>
          <w:p w14:paraId="185FF57D" w14:textId="77777777" w:rsidR="00A91885" w:rsidRDefault="00A91885">
            <w:pPr>
              <w:rPr>
                <w:rFonts w:ascii="宋体"/>
              </w:rPr>
            </w:pPr>
          </w:p>
        </w:tc>
        <w:tc>
          <w:tcPr>
            <w:tcW w:w="5" w:type="pct"/>
            <w:shd w:val="clear" w:color="auto" w:fill="auto"/>
            <w:vAlign w:val="bottom"/>
          </w:tcPr>
          <w:p w14:paraId="185FF57E" w14:textId="77777777" w:rsidR="00A91885" w:rsidRDefault="00A91885">
            <w:pPr>
              <w:rPr>
                <w:rFonts w:ascii="宋体"/>
              </w:rPr>
            </w:pPr>
          </w:p>
        </w:tc>
        <w:tc>
          <w:tcPr>
            <w:tcW w:w="19" w:type="pct"/>
            <w:shd w:val="clear" w:color="auto" w:fill="auto"/>
            <w:vAlign w:val="bottom"/>
          </w:tcPr>
          <w:p w14:paraId="185FF57F" w14:textId="77777777" w:rsidR="00A91885" w:rsidRDefault="00A91885">
            <w:pPr>
              <w:rPr>
                <w:rFonts w:ascii="宋体"/>
              </w:rPr>
            </w:pPr>
          </w:p>
        </w:tc>
        <w:tc>
          <w:tcPr>
            <w:tcW w:w="5" w:type="pct"/>
            <w:shd w:val="clear" w:color="auto" w:fill="auto"/>
            <w:vAlign w:val="bottom"/>
          </w:tcPr>
          <w:p w14:paraId="185FF580" w14:textId="77777777" w:rsidR="00A91885" w:rsidRDefault="00A91885">
            <w:pPr>
              <w:rPr>
                <w:rFonts w:ascii="宋体"/>
              </w:rPr>
            </w:pPr>
          </w:p>
        </w:tc>
        <w:tc>
          <w:tcPr>
            <w:tcW w:w="50" w:type="pct"/>
            <w:shd w:val="clear" w:color="auto" w:fill="auto"/>
            <w:vAlign w:val="bottom"/>
          </w:tcPr>
          <w:p w14:paraId="185FF581" w14:textId="77777777" w:rsidR="00A91885" w:rsidRDefault="00A91885">
            <w:pPr>
              <w:rPr>
                <w:rFonts w:ascii="宋体"/>
              </w:rPr>
            </w:pPr>
          </w:p>
        </w:tc>
        <w:tc>
          <w:tcPr>
            <w:tcW w:w="580" w:type="pct"/>
            <w:shd w:val="clear" w:color="auto" w:fill="auto"/>
            <w:vAlign w:val="bottom"/>
          </w:tcPr>
          <w:p w14:paraId="185FF582" w14:textId="77777777" w:rsidR="00A91885" w:rsidRDefault="00A91885">
            <w:pPr>
              <w:rPr>
                <w:rFonts w:ascii="宋体"/>
              </w:rPr>
            </w:pPr>
          </w:p>
        </w:tc>
        <w:tc>
          <w:tcPr>
            <w:tcW w:w="5" w:type="pct"/>
            <w:shd w:val="clear" w:color="auto" w:fill="auto"/>
            <w:vAlign w:val="bottom"/>
          </w:tcPr>
          <w:p w14:paraId="185FF583" w14:textId="77777777" w:rsidR="00A91885" w:rsidRDefault="00A91885">
            <w:pPr>
              <w:rPr>
                <w:rFonts w:ascii="宋体"/>
              </w:rPr>
            </w:pPr>
          </w:p>
        </w:tc>
        <w:tc>
          <w:tcPr>
            <w:tcW w:w="5" w:type="pct"/>
            <w:shd w:val="clear" w:color="auto" w:fill="auto"/>
            <w:vAlign w:val="bottom"/>
          </w:tcPr>
          <w:p w14:paraId="185FF584" w14:textId="77777777" w:rsidR="00A91885" w:rsidRDefault="00A91885">
            <w:pPr>
              <w:rPr>
                <w:rFonts w:ascii="宋体"/>
              </w:rPr>
            </w:pPr>
          </w:p>
        </w:tc>
        <w:tc>
          <w:tcPr>
            <w:tcW w:w="19" w:type="pct"/>
            <w:shd w:val="clear" w:color="auto" w:fill="auto"/>
            <w:vAlign w:val="bottom"/>
          </w:tcPr>
          <w:p w14:paraId="185FF585" w14:textId="77777777" w:rsidR="00A91885" w:rsidRDefault="00A91885">
            <w:pPr>
              <w:rPr>
                <w:rFonts w:ascii="宋体"/>
              </w:rPr>
            </w:pPr>
          </w:p>
        </w:tc>
        <w:tc>
          <w:tcPr>
            <w:tcW w:w="5" w:type="pct"/>
            <w:shd w:val="clear" w:color="auto" w:fill="auto"/>
            <w:vAlign w:val="bottom"/>
          </w:tcPr>
          <w:p w14:paraId="185FF586" w14:textId="77777777" w:rsidR="00A91885" w:rsidRDefault="00A91885">
            <w:pPr>
              <w:rPr>
                <w:rFonts w:ascii="宋体"/>
              </w:rPr>
            </w:pPr>
          </w:p>
        </w:tc>
        <w:tc>
          <w:tcPr>
            <w:tcW w:w="50" w:type="pct"/>
            <w:shd w:val="clear" w:color="auto" w:fill="auto"/>
            <w:vAlign w:val="bottom"/>
          </w:tcPr>
          <w:p w14:paraId="185FF587" w14:textId="77777777" w:rsidR="00A91885" w:rsidRDefault="00A91885">
            <w:pPr>
              <w:rPr>
                <w:rFonts w:ascii="宋体"/>
              </w:rPr>
            </w:pPr>
          </w:p>
        </w:tc>
        <w:tc>
          <w:tcPr>
            <w:tcW w:w="580" w:type="pct"/>
            <w:shd w:val="clear" w:color="auto" w:fill="auto"/>
            <w:vAlign w:val="bottom"/>
          </w:tcPr>
          <w:p w14:paraId="185FF588" w14:textId="77777777" w:rsidR="00A91885" w:rsidRDefault="00A91885">
            <w:pPr>
              <w:rPr>
                <w:rFonts w:ascii="宋体"/>
              </w:rPr>
            </w:pPr>
          </w:p>
        </w:tc>
        <w:tc>
          <w:tcPr>
            <w:tcW w:w="5" w:type="pct"/>
            <w:shd w:val="clear" w:color="auto" w:fill="auto"/>
            <w:vAlign w:val="bottom"/>
          </w:tcPr>
          <w:p w14:paraId="185FF589" w14:textId="77777777" w:rsidR="00A91885" w:rsidRDefault="00A91885">
            <w:pPr>
              <w:rPr>
                <w:rFonts w:ascii="宋体"/>
              </w:rPr>
            </w:pPr>
          </w:p>
        </w:tc>
        <w:tc>
          <w:tcPr>
            <w:tcW w:w="5" w:type="pct"/>
            <w:shd w:val="clear" w:color="auto" w:fill="auto"/>
            <w:vAlign w:val="bottom"/>
          </w:tcPr>
          <w:p w14:paraId="185FF58A" w14:textId="77777777" w:rsidR="00A91885" w:rsidRDefault="00A91885">
            <w:pPr>
              <w:rPr>
                <w:rFonts w:ascii="宋体"/>
              </w:rPr>
            </w:pPr>
          </w:p>
        </w:tc>
        <w:tc>
          <w:tcPr>
            <w:tcW w:w="19" w:type="pct"/>
            <w:shd w:val="clear" w:color="auto" w:fill="auto"/>
            <w:vAlign w:val="bottom"/>
          </w:tcPr>
          <w:p w14:paraId="185FF58B" w14:textId="77777777" w:rsidR="00A91885" w:rsidRDefault="00A91885">
            <w:pPr>
              <w:rPr>
                <w:rFonts w:ascii="宋体"/>
              </w:rPr>
            </w:pPr>
          </w:p>
        </w:tc>
        <w:tc>
          <w:tcPr>
            <w:tcW w:w="5" w:type="pct"/>
            <w:shd w:val="clear" w:color="auto" w:fill="auto"/>
            <w:vAlign w:val="bottom"/>
          </w:tcPr>
          <w:p w14:paraId="185FF58C" w14:textId="77777777" w:rsidR="00A91885" w:rsidRDefault="00A91885">
            <w:pPr>
              <w:rPr>
                <w:rFonts w:ascii="宋体"/>
              </w:rPr>
            </w:pPr>
          </w:p>
        </w:tc>
        <w:tc>
          <w:tcPr>
            <w:tcW w:w="50" w:type="pct"/>
            <w:shd w:val="clear" w:color="auto" w:fill="auto"/>
            <w:vAlign w:val="bottom"/>
          </w:tcPr>
          <w:p w14:paraId="185FF58D" w14:textId="77777777" w:rsidR="00A91885" w:rsidRDefault="00A91885">
            <w:pPr>
              <w:rPr>
                <w:rFonts w:ascii="宋体"/>
              </w:rPr>
            </w:pPr>
          </w:p>
        </w:tc>
        <w:tc>
          <w:tcPr>
            <w:tcW w:w="581" w:type="pct"/>
            <w:shd w:val="clear" w:color="auto" w:fill="auto"/>
            <w:vAlign w:val="bottom"/>
          </w:tcPr>
          <w:p w14:paraId="185FF58E" w14:textId="77777777" w:rsidR="00A91885" w:rsidRDefault="00A91885">
            <w:pPr>
              <w:rPr>
                <w:rFonts w:ascii="宋体"/>
              </w:rPr>
            </w:pPr>
          </w:p>
        </w:tc>
        <w:tc>
          <w:tcPr>
            <w:tcW w:w="5" w:type="pct"/>
            <w:shd w:val="clear" w:color="auto" w:fill="auto"/>
            <w:vAlign w:val="bottom"/>
          </w:tcPr>
          <w:p w14:paraId="185FF58F" w14:textId="77777777" w:rsidR="00A91885" w:rsidRDefault="00A91885">
            <w:pPr>
              <w:rPr>
                <w:rFonts w:ascii="宋体"/>
              </w:rPr>
            </w:pPr>
          </w:p>
        </w:tc>
      </w:tr>
      <w:tr w:rsidR="00A91885" w14:paraId="185FF595" w14:textId="77777777">
        <w:trPr>
          <w:jc w:val="center"/>
        </w:trPr>
        <w:tc>
          <w:tcPr>
            <w:tcW w:w="0" w:type="auto"/>
            <w:gridSpan w:val="3"/>
            <w:shd w:val="clear" w:color="auto" w:fill="auto"/>
            <w:tcMar>
              <w:top w:w="0" w:type="dxa"/>
              <w:left w:w="20" w:type="dxa"/>
              <w:bottom w:w="0" w:type="dxa"/>
              <w:right w:w="20" w:type="dxa"/>
            </w:tcMar>
            <w:vAlign w:val="bottom"/>
          </w:tcPr>
          <w:p w14:paraId="185FF591"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5FF592"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5FF593"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5FF594"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5FF59E" w14:textId="77777777">
        <w:trPr>
          <w:jc w:val="center"/>
        </w:trPr>
        <w:tc>
          <w:tcPr>
            <w:tcW w:w="0" w:type="auto"/>
            <w:gridSpan w:val="3"/>
            <w:shd w:val="clear" w:color="auto" w:fill="auto"/>
            <w:tcMar>
              <w:top w:w="40" w:type="dxa"/>
              <w:left w:w="20" w:type="dxa"/>
              <w:bottom w:w="40" w:type="dxa"/>
              <w:right w:w="20" w:type="dxa"/>
            </w:tcMar>
            <w:vAlign w:val="bottom"/>
          </w:tcPr>
          <w:p w14:paraId="185FF596" w14:textId="77777777" w:rsidR="00A91885" w:rsidRDefault="009C4196">
            <w:pPr>
              <w:jc w:val="cente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597"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85FF598"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5FF599"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5FF59A"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5FF59B"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85FF59C"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5FF59D"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5FF5A1" w14:textId="77777777">
        <w:trPr>
          <w:jc w:val="center"/>
        </w:trPr>
        <w:tc>
          <w:tcPr>
            <w:tcW w:w="0" w:type="auto"/>
            <w:gridSpan w:val="3"/>
            <w:shd w:val="clear" w:color="auto" w:fill="auto"/>
            <w:tcMar>
              <w:top w:w="40" w:type="dxa"/>
              <w:left w:w="20" w:type="dxa"/>
              <w:bottom w:w="40" w:type="dxa"/>
              <w:right w:w="20" w:type="dxa"/>
            </w:tcMar>
            <w:vAlign w:val="bottom"/>
          </w:tcPr>
          <w:p w14:paraId="185FF59F" w14:textId="77777777" w:rsidR="00A91885" w:rsidRDefault="009C4196">
            <w:pPr>
              <w:jc w:val="center"/>
              <w:textAlignment w:val="bottom"/>
            </w:pPr>
            <w:r>
              <w:rPr>
                <w:rFonts w:ascii="Arial" w:eastAsia="宋体" w:hAnsi="Arial" w:cs="Arial"/>
                <w:b/>
                <w:bCs/>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185FF5A0" w14:textId="77777777" w:rsidR="00A91885" w:rsidRDefault="009C4196">
            <w:pPr>
              <w:jc w:val="center"/>
              <w:textAlignment w:val="bottom"/>
            </w:pPr>
            <w:r>
              <w:rPr>
                <w:rFonts w:ascii="Arial" w:eastAsia="宋体" w:hAnsi="Arial" w:cs="Arial"/>
                <w:b/>
                <w:bCs/>
                <w:color w:val="000000"/>
                <w:sz w:val="17"/>
                <w:szCs w:val="17"/>
              </w:rPr>
              <w:t>(In millions)</w:t>
            </w:r>
          </w:p>
        </w:tc>
      </w:tr>
      <w:tr w:rsidR="00A91885" w14:paraId="185FF5A4" w14:textId="77777777">
        <w:trPr>
          <w:jc w:val="center"/>
        </w:trPr>
        <w:tc>
          <w:tcPr>
            <w:tcW w:w="0" w:type="auto"/>
            <w:gridSpan w:val="3"/>
            <w:shd w:val="clear" w:color="auto" w:fill="auto"/>
            <w:tcMar>
              <w:top w:w="40" w:type="dxa"/>
              <w:left w:w="20" w:type="dxa"/>
              <w:bottom w:w="40" w:type="dxa"/>
              <w:right w:w="20" w:type="dxa"/>
            </w:tcMar>
            <w:vAlign w:val="bottom"/>
          </w:tcPr>
          <w:p w14:paraId="185FF5A2" w14:textId="77777777" w:rsidR="00A91885" w:rsidRDefault="009C4196">
            <w:pPr>
              <w:jc w:val="center"/>
              <w:textAlignment w:val="bottom"/>
            </w:pPr>
            <w:r>
              <w:rPr>
                <w:rFonts w:ascii="Arial" w:eastAsia="宋体" w:hAnsi="Arial" w:cs="Arial"/>
                <w:b/>
                <w:bCs/>
                <w:color w:val="000000"/>
                <w:sz w:val="16"/>
                <w:szCs w:val="16"/>
              </w:rPr>
              <w:t> </w:t>
            </w:r>
          </w:p>
        </w:tc>
        <w:tc>
          <w:tcPr>
            <w:tcW w:w="0" w:type="auto"/>
            <w:gridSpan w:val="21"/>
            <w:shd w:val="clear" w:color="auto" w:fill="auto"/>
            <w:tcMar>
              <w:top w:w="40" w:type="dxa"/>
              <w:left w:w="20" w:type="dxa"/>
              <w:bottom w:w="40" w:type="dxa"/>
              <w:right w:w="20" w:type="dxa"/>
            </w:tcMar>
            <w:vAlign w:val="bottom"/>
          </w:tcPr>
          <w:p w14:paraId="185FF5A3" w14:textId="77777777" w:rsidR="00A91885" w:rsidRDefault="009C4196">
            <w:pPr>
              <w:jc w:val="center"/>
              <w:textAlignment w:val="bottom"/>
            </w:pPr>
            <w:r>
              <w:rPr>
                <w:rFonts w:ascii="Arial" w:eastAsia="宋体" w:hAnsi="Arial" w:cs="Arial"/>
                <w:b/>
                <w:bCs/>
                <w:color w:val="000000"/>
                <w:sz w:val="17"/>
                <w:szCs w:val="17"/>
              </w:rPr>
              <w:t>(Unaudited)</w:t>
            </w:r>
          </w:p>
        </w:tc>
      </w:tr>
      <w:tr w:rsidR="00A91885" w14:paraId="185FF5B5" w14:textId="77777777">
        <w:trPr>
          <w:jc w:val="center"/>
        </w:trPr>
        <w:tc>
          <w:tcPr>
            <w:tcW w:w="0" w:type="auto"/>
            <w:gridSpan w:val="3"/>
            <w:shd w:val="clear" w:color="auto" w:fill="E2E2E2"/>
            <w:tcMar>
              <w:top w:w="40" w:type="dxa"/>
              <w:left w:w="20" w:type="dxa"/>
              <w:bottom w:w="40" w:type="dxa"/>
              <w:right w:w="20" w:type="dxa"/>
            </w:tcMar>
            <w:vAlign w:val="bottom"/>
          </w:tcPr>
          <w:p w14:paraId="185FF5A5" w14:textId="77777777" w:rsidR="00A91885" w:rsidRDefault="009C4196">
            <w:pPr>
              <w:textAlignment w:val="bottom"/>
            </w:pPr>
            <w:r>
              <w:rPr>
                <w:rFonts w:ascii="Arial" w:eastAsia="宋体" w:hAnsi="Arial" w:cs="Arial"/>
                <w:color w:val="000000"/>
                <w:sz w:val="18"/>
                <w:szCs w:val="18"/>
              </w:rPr>
              <w:t>Net income (loss)</w:t>
            </w:r>
          </w:p>
        </w:tc>
        <w:tc>
          <w:tcPr>
            <w:tcW w:w="0" w:type="auto"/>
            <w:shd w:val="clear" w:color="auto" w:fill="E2E2E2"/>
            <w:tcMar>
              <w:top w:w="40" w:type="dxa"/>
              <w:left w:w="20" w:type="dxa"/>
              <w:bottom w:w="40" w:type="dxa"/>
              <w:right w:w="0" w:type="dxa"/>
            </w:tcMar>
            <w:vAlign w:val="bottom"/>
          </w:tcPr>
          <w:p w14:paraId="185FF5A6"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5A7" w14:textId="77777777" w:rsidR="00A91885" w:rsidRDefault="009C4196">
            <w:pPr>
              <w:jc w:val="right"/>
              <w:textAlignment w:val="bottom"/>
            </w:pPr>
            <w:r>
              <w:rPr>
                <w:rFonts w:ascii="Arial" w:eastAsia="宋体" w:hAnsi="Arial" w:cs="Arial"/>
                <w:color w:val="000000"/>
                <w:sz w:val="18"/>
                <w:szCs w:val="18"/>
              </w:rPr>
              <w:t>(531)</w:t>
            </w:r>
          </w:p>
        </w:tc>
        <w:tc>
          <w:tcPr>
            <w:tcW w:w="0" w:type="auto"/>
            <w:shd w:val="clear" w:color="auto" w:fill="E2E2E2"/>
            <w:tcMar>
              <w:top w:w="40" w:type="dxa"/>
              <w:left w:w="0" w:type="dxa"/>
              <w:bottom w:w="40" w:type="dxa"/>
              <w:right w:w="20" w:type="dxa"/>
            </w:tcMar>
            <w:vAlign w:val="bottom"/>
          </w:tcPr>
          <w:p w14:paraId="185FF5A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A9"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5FF5AA"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5AB" w14:textId="77777777" w:rsidR="00A91885" w:rsidRDefault="009C4196">
            <w:pPr>
              <w:jc w:val="right"/>
              <w:textAlignment w:val="bottom"/>
            </w:pPr>
            <w:r>
              <w:rPr>
                <w:rFonts w:ascii="Arial" w:eastAsia="宋体" w:hAnsi="Arial" w:cs="Arial"/>
                <w:color w:val="000000"/>
                <w:sz w:val="18"/>
                <w:szCs w:val="18"/>
              </w:rPr>
              <w:t>10,734 </w:t>
            </w:r>
          </w:p>
        </w:tc>
        <w:tc>
          <w:tcPr>
            <w:tcW w:w="0" w:type="auto"/>
            <w:shd w:val="clear" w:color="auto" w:fill="E2E2E2"/>
            <w:tcMar>
              <w:top w:w="40" w:type="dxa"/>
              <w:left w:w="0" w:type="dxa"/>
              <w:bottom w:w="40" w:type="dxa"/>
              <w:right w:w="20" w:type="dxa"/>
            </w:tcMar>
            <w:vAlign w:val="bottom"/>
          </w:tcPr>
          <w:p w14:paraId="185FF5A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AD"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5FF5AE"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5AF" w14:textId="77777777" w:rsidR="00A91885" w:rsidRDefault="009C4196">
            <w:pPr>
              <w:jc w:val="right"/>
              <w:textAlignment w:val="bottom"/>
            </w:pPr>
            <w:r>
              <w:rPr>
                <w:rFonts w:ascii="Arial" w:eastAsia="宋体" w:hAnsi="Arial" w:cs="Arial"/>
                <w:color w:val="000000"/>
                <w:sz w:val="18"/>
                <w:szCs w:val="18"/>
              </w:rPr>
              <w:t>(1,872)</w:t>
            </w:r>
          </w:p>
        </w:tc>
        <w:tc>
          <w:tcPr>
            <w:tcW w:w="0" w:type="auto"/>
            <w:shd w:val="clear" w:color="auto" w:fill="E2E2E2"/>
            <w:tcMar>
              <w:top w:w="40" w:type="dxa"/>
              <w:left w:w="0" w:type="dxa"/>
              <w:bottom w:w="40" w:type="dxa"/>
              <w:right w:w="20" w:type="dxa"/>
            </w:tcMar>
            <w:vAlign w:val="bottom"/>
          </w:tcPr>
          <w:p w14:paraId="185FF5B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B1"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5FF5B2"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5B3" w14:textId="77777777" w:rsidR="00A91885" w:rsidRDefault="009C4196">
            <w:pPr>
              <w:jc w:val="right"/>
              <w:textAlignment w:val="bottom"/>
            </w:pPr>
            <w:r>
              <w:rPr>
                <w:rFonts w:ascii="Arial" w:eastAsia="宋体" w:hAnsi="Arial" w:cs="Arial"/>
                <w:color w:val="000000"/>
                <w:sz w:val="18"/>
                <w:szCs w:val="18"/>
              </w:rPr>
              <w:t>11,375 </w:t>
            </w:r>
          </w:p>
        </w:tc>
        <w:tc>
          <w:tcPr>
            <w:tcW w:w="0" w:type="auto"/>
            <w:shd w:val="clear" w:color="auto" w:fill="E2E2E2"/>
            <w:tcMar>
              <w:top w:w="40" w:type="dxa"/>
              <w:left w:w="0" w:type="dxa"/>
              <w:bottom w:w="40" w:type="dxa"/>
              <w:right w:w="20" w:type="dxa"/>
            </w:tcMar>
            <w:vAlign w:val="bottom"/>
          </w:tcPr>
          <w:p w14:paraId="185FF5B4" w14:textId="77777777" w:rsidR="00A91885" w:rsidRDefault="00A91885">
            <w:pPr>
              <w:jc w:val="right"/>
              <w:rPr>
                <w:rFonts w:ascii="宋体"/>
              </w:rPr>
            </w:pPr>
          </w:p>
        </w:tc>
      </w:tr>
      <w:tr w:rsidR="00A91885" w14:paraId="185FF5BE" w14:textId="77777777">
        <w:trPr>
          <w:jc w:val="center"/>
        </w:trPr>
        <w:tc>
          <w:tcPr>
            <w:tcW w:w="0" w:type="auto"/>
            <w:gridSpan w:val="3"/>
            <w:shd w:val="clear" w:color="auto" w:fill="FFFFFF"/>
            <w:tcMar>
              <w:top w:w="40" w:type="dxa"/>
              <w:left w:w="20" w:type="dxa"/>
              <w:bottom w:w="40" w:type="dxa"/>
              <w:right w:w="20" w:type="dxa"/>
            </w:tcMar>
            <w:vAlign w:val="bottom"/>
          </w:tcPr>
          <w:p w14:paraId="185FF5B6" w14:textId="77777777" w:rsidR="00A91885" w:rsidRDefault="009C4196">
            <w:pPr>
              <w:textAlignment w:val="bottom"/>
            </w:pPr>
            <w:r>
              <w:rPr>
                <w:rFonts w:ascii="Arial" w:eastAsia="宋体" w:hAnsi="Arial" w:cs="Arial"/>
                <w:color w:val="000000"/>
                <w:sz w:val="18"/>
                <w:szCs w:val="18"/>
              </w:rPr>
              <w:t>Other comprehensive income (loss), net of reclassification adjustments: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5B7"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5B8"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5B9"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5BA"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5B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5BC"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5BD" w14:textId="77777777" w:rsidR="00A91885" w:rsidRDefault="00A91885">
            <w:pPr>
              <w:rPr>
                <w:rFonts w:ascii="宋体"/>
              </w:rPr>
            </w:pPr>
          </w:p>
        </w:tc>
      </w:tr>
      <w:tr w:rsidR="00A91885" w14:paraId="185FF5CB" w14:textId="77777777">
        <w:trPr>
          <w:jc w:val="center"/>
        </w:trPr>
        <w:tc>
          <w:tcPr>
            <w:tcW w:w="0" w:type="auto"/>
            <w:gridSpan w:val="3"/>
            <w:shd w:val="clear" w:color="auto" w:fill="E2E2E2"/>
            <w:tcMar>
              <w:top w:w="40" w:type="dxa"/>
              <w:left w:w="515" w:type="dxa"/>
              <w:bottom w:w="40" w:type="dxa"/>
              <w:right w:w="20" w:type="dxa"/>
            </w:tcMar>
            <w:vAlign w:val="bottom"/>
          </w:tcPr>
          <w:p w14:paraId="185FF5BF" w14:textId="77777777" w:rsidR="00A91885" w:rsidRDefault="009C4196">
            <w:pPr>
              <w:textAlignment w:val="bottom"/>
            </w:pPr>
            <w:r>
              <w:rPr>
                <w:rFonts w:ascii="Arial" w:eastAsia="宋体" w:hAnsi="Arial" w:cs="Arial"/>
                <w:color w:val="000000"/>
                <w:sz w:val="18"/>
                <w:szCs w:val="18"/>
              </w:rPr>
              <w:t>Foreign currency translation gains (losses)</w:t>
            </w:r>
          </w:p>
        </w:tc>
        <w:tc>
          <w:tcPr>
            <w:tcW w:w="0" w:type="auto"/>
            <w:gridSpan w:val="2"/>
            <w:shd w:val="clear" w:color="auto" w:fill="E2E2E2"/>
            <w:tcMar>
              <w:top w:w="40" w:type="dxa"/>
              <w:left w:w="20" w:type="dxa"/>
              <w:bottom w:w="40" w:type="dxa"/>
              <w:right w:w="0" w:type="dxa"/>
            </w:tcMar>
            <w:vAlign w:val="bottom"/>
          </w:tcPr>
          <w:p w14:paraId="185FF5C0" w14:textId="77777777" w:rsidR="00A91885" w:rsidRDefault="009C4196">
            <w:pPr>
              <w:jc w:val="right"/>
              <w:textAlignment w:val="bottom"/>
            </w:pPr>
            <w:r>
              <w:rPr>
                <w:rFonts w:ascii="Arial" w:eastAsia="宋体" w:hAnsi="Arial" w:cs="Arial"/>
                <w:color w:val="000000"/>
                <w:sz w:val="18"/>
                <w:szCs w:val="18"/>
              </w:rPr>
              <w:t>(85)</w:t>
            </w:r>
          </w:p>
        </w:tc>
        <w:tc>
          <w:tcPr>
            <w:tcW w:w="0" w:type="auto"/>
            <w:shd w:val="clear" w:color="auto" w:fill="E2E2E2"/>
            <w:tcMar>
              <w:top w:w="40" w:type="dxa"/>
              <w:left w:w="0" w:type="dxa"/>
              <w:bottom w:w="40" w:type="dxa"/>
              <w:right w:w="20" w:type="dxa"/>
            </w:tcMar>
            <w:vAlign w:val="bottom"/>
          </w:tcPr>
          <w:p w14:paraId="185FF5C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C2"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5C3" w14:textId="77777777" w:rsidR="00A91885" w:rsidRDefault="009C4196">
            <w:pPr>
              <w:jc w:val="right"/>
              <w:textAlignment w:val="bottom"/>
            </w:pPr>
            <w:r>
              <w:rPr>
                <w:rFonts w:ascii="Arial" w:eastAsia="宋体" w:hAnsi="Arial" w:cs="Arial"/>
                <w:color w:val="000000"/>
                <w:sz w:val="18"/>
                <w:szCs w:val="18"/>
              </w:rPr>
              <w:t>10 </w:t>
            </w:r>
          </w:p>
        </w:tc>
        <w:tc>
          <w:tcPr>
            <w:tcW w:w="0" w:type="auto"/>
            <w:shd w:val="clear" w:color="auto" w:fill="E2E2E2"/>
            <w:tcMar>
              <w:top w:w="40" w:type="dxa"/>
              <w:left w:w="0" w:type="dxa"/>
              <w:bottom w:w="40" w:type="dxa"/>
              <w:right w:w="20" w:type="dxa"/>
            </w:tcMar>
            <w:vAlign w:val="bottom"/>
          </w:tcPr>
          <w:p w14:paraId="185FF5C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C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5C6" w14:textId="77777777" w:rsidR="00A91885" w:rsidRDefault="009C4196">
            <w:pPr>
              <w:jc w:val="right"/>
              <w:textAlignment w:val="bottom"/>
            </w:pPr>
            <w:r>
              <w:rPr>
                <w:rFonts w:ascii="Arial" w:eastAsia="宋体" w:hAnsi="Arial" w:cs="Arial"/>
                <w:color w:val="000000"/>
                <w:sz w:val="18"/>
                <w:szCs w:val="18"/>
              </w:rPr>
              <w:t>(119)</w:t>
            </w:r>
          </w:p>
        </w:tc>
        <w:tc>
          <w:tcPr>
            <w:tcW w:w="0" w:type="auto"/>
            <w:shd w:val="clear" w:color="auto" w:fill="E2E2E2"/>
            <w:tcMar>
              <w:top w:w="40" w:type="dxa"/>
              <w:left w:w="0" w:type="dxa"/>
              <w:bottom w:w="40" w:type="dxa"/>
              <w:right w:w="20" w:type="dxa"/>
            </w:tcMar>
            <w:vAlign w:val="bottom"/>
          </w:tcPr>
          <w:p w14:paraId="185FF5C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C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5C9" w14:textId="77777777" w:rsidR="00A91885" w:rsidRDefault="009C4196">
            <w:pPr>
              <w:jc w:val="right"/>
              <w:textAlignment w:val="bottom"/>
            </w:pPr>
            <w:r>
              <w:rPr>
                <w:rFonts w:ascii="Arial" w:eastAsia="宋体" w:hAnsi="Arial" w:cs="Arial"/>
                <w:color w:val="000000"/>
                <w:sz w:val="18"/>
                <w:szCs w:val="18"/>
              </w:rPr>
              <w:t>(107)</w:t>
            </w:r>
          </w:p>
        </w:tc>
        <w:tc>
          <w:tcPr>
            <w:tcW w:w="0" w:type="auto"/>
            <w:shd w:val="clear" w:color="auto" w:fill="E2E2E2"/>
            <w:tcMar>
              <w:top w:w="40" w:type="dxa"/>
              <w:left w:w="0" w:type="dxa"/>
              <w:bottom w:w="40" w:type="dxa"/>
              <w:right w:w="20" w:type="dxa"/>
            </w:tcMar>
            <w:vAlign w:val="bottom"/>
          </w:tcPr>
          <w:p w14:paraId="185FF5CA" w14:textId="77777777" w:rsidR="00A91885" w:rsidRDefault="00A91885">
            <w:pPr>
              <w:jc w:val="right"/>
              <w:rPr>
                <w:rFonts w:ascii="宋体"/>
              </w:rPr>
            </w:pPr>
          </w:p>
        </w:tc>
      </w:tr>
      <w:tr w:rsidR="00A91885" w14:paraId="185FF5D8" w14:textId="77777777">
        <w:trPr>
          <w:jc w:val="center"/>
        </w:trPr>
        <w:tc>
          <w:tcPr>
            <w:tcW w:w="0" w:type="auto"/>
            <w:gridSpan w:val="3"/>
            <w:shd w:val="clear" w:color="auto" w:fill="FFFFFF"/>
            <w:tcMar>
              <w:top w:w="40" w:type="dxa"/>
              <w:left w:w="515" w:type="dxa"/>
              <w:bottom w:w="40" w:type="dxa"/>
              <w:right w:w="20" w:type="dxa"/>
            </w:tcMar>
            <w:vAlign w:val="bottom"/>
          </w:tcPr>
          <w:p w14:paraId="185FF5CC" w14:textId="77777777" w:rsidR="00A91885" w:rsidRDefault="009C4196">
            <w:pPr>
              <w:textAlignment w:val="bottom"/>
            </w:pPr>
            <w:r>
              <w:rPr>
                <w:rFonts w:ascii="Arial" w:eastAsia="宋体" w:hAnsi="Arial" w:cs="Arial"/>
                <w:color w:val="000000"/>
                <w:sz w:val="18"/>
                <w:szCs w:val="18"/>
              </w:rPr>
              <w:t>Unrealized gains (losses) on investments, net</w:t>
            </w:r>
          </w:p>
        </w:tc>
        <w:tc>
          <w:tcPr>
            <w:tcW w:w="0" w:type="auto"/>
            <w:gridSpan w:val="2"/>
            <w:shd w:val="clear" w:color="auto" w:fill="FFFFFF"/>
            <w:tcMar>
              <w:top w:w="40" w:type="dxa"/>
              <w:left w:w="20" w:type="dxa"/>
              <w:bottom w:w="40" w:type="dxa"/>
              <w:right w:w="0" w:type="dxa"/>
            </w:tcMar>
            <w:vAlign w:val="bottom"/>
          </w:tcPr>
          <w:p w14:paraId="185FF5CD" w14:textId="77777777" w:rsidR="00A91885" w:rsidRDefault="009C4196">
            <w:pPr>
              <w:jc w:val="right"/>
              <w:textAlignment w:val="bottom"/>
            </w:pPr>
            <w:r>
              <w:rPr>
                <w:rFonts w:ascii="Arial" w:eastAsia="宋体" w:hAnsi="Arial" w:cs="Arial"/>
                <w:color w:val="000000"/>
                <w:sz w:val="18"/>
                <w:szCs w:val="18"/>
              </w:rPr>
              <w:t>(17)</w:t>
            </w:r>
          </w:p>
        </w:tc>
        <w:tc>
          <w:tcPr>
            <w:tcW w:w="0" w:type="auto"/>
            <w:shd w:val="clear" w:color="auto" w:fill="FFFFFF"/>
            <w:tcMar>
              <w:top w:w="40" w:type="dxa"/>
              <w:left w:w="0" w:type="dxa"/>
              <w:bottom w:w="40" w:type="dxa"/>
              <w:right w:w="20" w:type="dxa"/>
            </w:tcMar>
            <w:vAlign w:val="bottom"/>
          </w:tcPr>
          <w:p w14:paraId="185FF5C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5C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5D0" w14:textId="77777777" w:rsidR="00A91885" w:rsidRDefault="009C4196">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185FF5D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5D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5D3" w14:textId="77777777" w:rsidR="00A91885" w:rsidRDefault="009C4196">
            <w:pPr>
              <w:jc w:val="right"/>
              <w:textAlignment w:val="bottom"/>
            </w:pPr>
            <w:r>
              <w:rPr>
                <w:rFonts w:ascii="Arial" w:eastAsia="宋体" w:hAnsi="Arial" w:cs="Arial"/>
                <w:color w:val="000000"/>
                <w:sz w:val="18"/>
                <w:szCs w:val="18"/>
              </w:rPr>
              <w:t>(68)</w:t>
            </w:r>
          </w:p>
        </w:tc>
        <w:tc>
          <w:tcPr>
            <w:tcW w:w="0" w:type="auto"/>
            <w:shd w:val="clear" w:color="auto" w:fill="FFFFFF"/>
            <w:tcMar>
              <w:top w:w="40" w:type="dxa"/>
              <w:left w:w="0" w:type="dxa"/>
              <w:bottom w:w="40" w:type="dxa"/>
              <w:right w:w="20" w:type="dxa"/>
            </w:tcMar>
            <w:vAlign w:val="bottom"/>
          </w:tcPr>
          <w:p w14:paraId="185FF5D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5D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5D6" w14:textId="77777777" w:rsidR="00A91885" w:rsidRDefault="009C4196">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185FF5D7" w14:textId="77777777" w:rsidR="00A91885" w:rsidRDefault="00A91885">
            <w:pPr>
              <w:jc w:val="right"/>
              <w:rPr>
                <w:rFonts w:ascii="宋体"/>
              </w:rPr>
            </w:pPr>
          </w:p>
        </w:tc>
      </w:tr>
      <w:tr w:rsidR="00A91885" w14:paraId="185FF5E5" w14:textId="77777777">
        <w:trPr>
          <w:jc w:val="center"/>
        </w:trPr>
        <w:tc>
          <w:tcPr>
            <w:tcW w:w="0" w:type="auto"/>
            <w:gridSpan w:val="3"/>
            <w:shd w:val="clear" w:color="auto" w:fill="E2E2E2"/>
            <w:tcMar>
              <w:top w:w="40" w:type="dxa"/>
              <w:left w:w="515" w:type="dxa"/>
              <w:bottom w:w="40" w:type="dxa"/>
              <w:right w:w="20" w:type="dxa"/>
            </w:tcMar>
            <w:vAlign w:val="bottom"/>
          </w:tcPr>
          <w:p w14:paraId="185FF5D9" w14:textId="77777777" w:rsidR="00A91885" w:rsidRDefault="009C4196">
            <w:pPr>
              <w:textAlignment w:val="bottom"/>
            </w:pPr>
            <w:r>
              <w:rPr>
                <w:rFonts w:ascii="Arial" w:eastAsia="宋体" w:hAnsi="Arial" w:cs="Arial"/>
                <w:color w:val="000000"/>
                <w:sz w:val="18"/>
                <w:szCs w:val="18"/>
              </w:rPr>
              <w:t>Tax benefit (expense) on unrealized gains (losses) on investments, net</w:t>
            </w:r>
          </w:p>
        </w:tc>
        <w:tc>
          <w:tcPr>
            <w:tcW w:w="0" w:type="auto"/>
            <w:gridSpan w:val="2"/>
            <w:shd w:val="clear" w:color="auto" w:fill="E2E2E2"/>
            <w:tcMar>
              <w:top w:w="40" w:type="dxa"/>
              <w:left w:w="20" w:type="dxa"/>
              <w:bottom w:w="40" w:type="dxa"/>
              <w:right w:w="0" w:type="dxa"/>
            </w:tcMar>
            <w:vAlign w:val="bottom"/>
          </w:tcPr>
          <w:p w14:paraId="185FF5DA"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185FF5D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DC"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5DD"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185FF5D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DF"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5E0" w14:textId="77777777" w:rsidR="00A91885" w:rsidRDefault="009C4196">
            <w:pPr>
              <w:jc w:val="right"/>
              <w:textAlignment w:val="bottom"/>
            </w:pPr>
            <w:r>
              <w:rPr>
                <w:rFonts w:ascii="Arial" w:eastAsia="宋体" w:hAnsi="Arial" w:cs="Arial"/>
                <w:color w:val="000000"/>
                <w:sz w:val="18"/>
                <w:szCs w:val="18"/>
              </w:rPr>
              <w:t>15 </w:t>
            </w:r>
          </w:p>
        </w:tc>
        <w:tc>
          <w:tcPr>
            <w:tcW w:w="0" w:type="auto"/>
            <w:shd w:val="clear" w:color="auto" w:fill="E2E2E2"/>
            <w:tcMar>
              <w:top w:w="40" w:type="dxa"/>
              <w:left w:w="0" w:type="dxa"/>
              <w:bottom w:w="40" w:type="dxa"/>
              <w:right w:w="20" w:type="dxa"/>
            </w:tcMar>
            <w:vAlign w:val="bottom"/>
          </w:tcPr>
          <w:p w14:paraId="185FF5E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E2"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5E3"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185FF5E4" w14:textId="77777777" w:rsidR="00A91885" w:rsidRDefault="00A91885">
            <w:pPr>
              <w:jc w:val="right"/>
              <w:rPr>
                <w:rFonts w:ascii="宋体"/>
              </w:rPr>
            </w:pPr>
          </w:p>
        </w:tc>
      </w:tr>
      <w:tr w:rsidR="00A91885" w14:paraId="185FF5F2" w14:textId="77777777">
        <w:trPr>
          <w:jc w:val="center"/>
        </w:trPr>
        <w:tc>
          <w:tcPr>
            <w:tcW w:w="0" w:type="auto"/>
            <w:gridSpan w:val="3"/>
            <w:shd w:val="clear" w:color="auto" w:fill="FFFFFF"/>
            <w:tcMar>
              <w:top w:w="40" w:type="dxa"/>
              <w:left w:w="515" w:type="dxa"/>
              <w:bottom w:w="40" w:type="dxa"/>
              <w:right w:w="20" w:type="dxa"/>
            </w:tcMar>
            <w:vAlign w:val="bottom"/>
          </w:tcPr>
          <w:p w14:paraId="185FF5E6" w14:textId="77777777" w:rsidR="00A91885" w:rsidRDefault="009C4196">
            <w:pPr>
              <w:textAlignment w:val="bottom"/>
            </w:pPr>
            <w:r>
              <w:rPr>
                <w:rFonts w:ascii="Arial" w:eastAsia="宋体" w:hAnsi="Arial" w:cs="Arial"/>
                <w:color w:val="000000"/>
                <w:sz w:val="18"/>
                <w:szCs w:val="18"/>
              </w:rPr>
              <w:t>Unrealized gains (losses) on hedging activities, net</w:t>
            </w:r>
          </w:p>
        </w:tc>
        <w:tc>
          <w:tcPr>
            <w:tcW w:w="0" w:type="auto"/>
            <w:gridSpan w:val="2"/>
            <w:shd w:val="clear" w:color="auto" w:fill="FFFFFF"/>
            <w:tcMar>
              <w:top w:w="40" w:type="dxa"/>
              <w:left w:w="20" w:type="dxa"/>
              <w:bottom w:w="40" w:type="dxa"/>
              <w:right w:w="0" w:type="dxa"/>
            </w:tcMar>
            <w:vAlign w:val="bottom"/>
          </w:tcPr>
          <w:p w14:paraId="185FF5E7" w14:textId="77777777" w:rsidR="00A91885" w:rsidRDefault="009C4196">
            <w:pPr>
              <w:jc w:val="right"/>
              <w:textAlignment w:val="bottom"/>
            </w:pPr>
            <w:r>
              <w:rPr>
                <w:rFonts w:ascii="Arial" w:eastAsia="宋体" w:hAnsi="Arial" w:cs="Arial"/>
                <w:color w:val="000000"/>
                <w:sz w:val="18"/>
                <w:szCs w:val="18"/>
              </w:rPr>
              <w:t>105 </w:t>
            </w:r>
          </w:p>
        </w:tc>
        <w:tc>
          <w:tcPr>
            <w:tcW w:w="0" w:type="auto"/>
            <w:shd w:val="clear" w:color="auto" w:fill="FFFFFF"/>
            <w:tcMar>
              <w:top w:w="40" w:type="dxa"/>
              <w:left w:w="0" w:type="dxa"/>
              <w:bottom w:w="40" w:type="dxa"/>
              <w:right w:w="20" w:type="dxa"/>
            </w:tcMar>
            <w:vAlign w:val="bottom"/>
          </w:tcPr>
          <w:p w14:paraId="185FF5E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5E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5EA" w14:textId="77777777" w:rsidR="00A91885" w:rsidRDefault="009C4196">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185FF5E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5E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5ED" w14:textId="77777777" w:rsidR="00A91885" w:rsidRDefault="009C4196">
            <w:pPr>
              <w:jc w:val="right"/>
              <w:textAlignment w:val="bottom"/>
            </w:pPr>
            <w:r>
              <w:rPr>
                <w:rFonts w:ascii="Arial" w:eastAsia="宋体" w:hAnsi="Arial" w:cs="Arial"/>
                <w:color w:val="000000"/>
                <w:sz w:val="18"/>
                <w:szCs w:val="18"/>
              </w:rPr>
              <w:t>125 </w:t>
            </w:r>
          </w:p>
        </w:tc>
        <w:tc>
          <w:tcPr>
            <w:tcW w:w="0" w:type="auto"/>
            <w:shd w:val="clear" w:color="auto" w:fill="FFFFFF"/>
            <w:tcMar>
              <w:top w:w="40" w:type="dxa"/>
              <w:left w:w="0" w:type="dxa"/>
              <w:bottom w:w="40" w:type="dxa"/>
              <w:right w:w="20" w:type="dxa"/>
            </w:tcMar>
            <w:vAlign w:val="bottom"/>
          </w:tcPr>
          <w:p w14:paraId="185FF5E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5E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5F0" w14:textId="77777777" w:rsidR="00A91885" w:rsidRDefault="009C4196">
            <w:pPr>
              <w:jc w:val="right"/>
              <w:textAlignment w:val="bottom"/>
            </w:pPr>
            <w:r>
              <w:rPr>
                <w:rFonts w:ascii="Arial" w:eastAsia="宋体" w:hAnsi="Arial" w:cs="Arial"/>
                <w:color w:val="000000"/>
                <w:sz w:val="18"/>
                <w:szCs w:val="18"/>
              </w:rPr>
              <w:t>70 </w:t>
            </w:r>
          </w:p>
        </w:tc>
        <w:tc>
          <w:tcPr>
            <w:tcW w:w="0" w:type="auto"/>
            <w:shd w:val="clear" w:color="auto" w:fill="FFFFFF"/>
            <w:tcMar>
              <w:top w:w="40" w:type="dxa"/>
              <w:left w:w="0" w:type="dxa"/>
              <w:bottom w:w="40" w:type="dxa"/>
              <w:right w:w="20" w:type="dxa"/>
            </w:tcMar>
            <w:vAlign w:val="bottom"/>
          </w:tcPr>
          <w:p w14:paraId="185FF5F1" w14:textId="77777777" w:rsidR="00A91885" w:rsidRDefault="00A91885">
            <w:pPr>
              <w:jc w:val="right"/>
              <w:rPr>
                <w:rFonts w:ascii="宋体"/>
              </w:rPr>
            </w:pPr>
          </w:p>
        </w:tc>
      </w:tr>
      <w:tr w:rsidR="00A91885" w14:paraId="185FF5FF" w14:textId="77777777">
        <w:trPr>
          <w:jc w:val="center"/>
        </w:trPr>
        <w:tc>
          <w:tcPr>
            <w:tcW w:w="0" w:type="auto"/>
            <w:gridSpan w:val="3"/>
            <w:shd w:val="clear" w:color="auto" w:fill="E2E2E2"/>
            <w:tcMar>
              <w:top w:w="40" w:type="dxa"/>
              <w:left w:w="515" w:type="dxa"/>
              <w:bottom w:w="40" w:type="dxa"/>
              <w:right w:w="20" w:type="dxa"/>
            </w:tcMar>
            <w:vAlign w:val="bottom"/>
          </w:tcPr>
          <w:p w14:paraId="185FF5F3" w14:textId="77777777" w:rsidR="00A91885" w:rsidRDefault="009C4196">
            <w:pPr>
              <w:textAlignment w:val="bottom"/>
            </w:pPr>
            <w:r>
              <w:rPr>
                <w:rFonts w:ascii="Arial" w:eastAsia="宋体" w:hAnsi="Arial" w:cs="Arial"/>
                <w:color w:val="000000"/>
                <w:sz w:val="18"/>
                <w:szCs w:val="18"/>
              </w:rPr>
              <w:t>Tax benefit (expense) on unrealized gains (losses) on hedging activities, net</w:t>
            </w:r>
          </w:p>
        </w:tc>
        <w:tc>
          <w:tcPr>
            <w:tcW w:w="0" w:type="auto"/>
            <w:gridSpan w:val="2"/>
            <w:shd w:val="clear" w:color="auto" w:fill="E2E2E2"/>
            <w:tcMar>
              <w:top w:w="40" w:type="dxa"/>
              <w:left w:w="20" w:type="dxa"/>
              <w:bottom w:w="40" w:type="dxa"/>
              <w:right w:w="0" w:type="dxa"/>
            </w:tcMar>
            <w:vAlign w:val="bottom"/>
          </w:tcPr>
          <w:p w14:paraId="185FF5F4" w14:textId="77777777" w:rsidR="00A91885" w:rsidRDefault="009C4196">
            <w:pPr>
              <w:jc w:val="right"/>
              <w:textAlignment w:val="bottom"/>
            </w:pPr>
            <w:r>
              <w:rPr>
                <w:rFonts w:ascii="Arial" w:eastAsia="宋体" w:hAnsi="Arial" w:cs="Arial"/>
                <w:color w:val="000000"/>
                <w:sz w:val="18"/>
                <w:szCs w:val="18"/>
              </w:rPr>
              <w:t>(24)</w:t>
            </w:r>
          </w:p>
        </w:tc>
        <w:tc>
          <w:tcPr>
            <w:tcW w:w="0" w:type="auto"/>
            <w:shd w:val="clear" w:color="auto" w:fill="E2E2E2"/>
            <w:tcMar>
              <w:top w:w="40" w:type="dxa"/>
              <w:left w:w="0" w:type="dxa"/>
              <w:bottom w:w="40" w:type="dxa"/>
              <w:right w:w="20" w:type="dxa"/>
            </w:tcMar>
            <w:vAlign w:val="bottom"/>
          </w:tcPr>
          <w:p w14:paraId="185FF5F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F6"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5F7"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185FF5F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F9"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5FA" w14:textId="77777777" w:rsidR="00A91885" w:rsidRDefault="009C4196">
            <w:pPr>
              <w:jc w:val="right"/>
              <w:textAlignment w:val="bottom"/>
            </w:pPr>
            <w:r>
              <w:rPr>
                <w:rFonts w:ascii="Arial" w:eastAsia="宋体" w:hAnsi="Arial" w:cs="Arial"/>
                <w:color w:val="000000"/>
                <w:sz w:val="18"/>
                <w:szCs w:val="18"/>
              </w:rPr>
              <w:t>(28)</w:t>
            </w:r>
          </w:p>
        </w:tc>
        <w:tc>
          <w:tcPr>
            <w:tcW w:w="0" w:type="auto"/>
            <w:shd w:val="clear" w:color="auto" w:fill="E2E2E2"/>
            <w:tcMar>
              <w:top w:w="40" w:type="dxa"/>
              <w:left w:w="0" w:type="dxa"/>
              <w:bottom w:w="40" w:type="dxa"/>
              <w:right w:w="20" w:type="dxa"/>
            </w:tcMar>
            <w:vAlign w:val="bottom"/>
          </w:tcPr>
          <w:p w14:paraId="185FF5F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5FC"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5FD" w14:textId="77777777" w:rsidR="00A91885" w:rsidRDefault="009C4196">
            <w:pPr>
              <w:jc w:val="right"/>
              <w:textAlignment w:val="bottom"/>
            </w:pPr>
            <w:r>
              <w:rPr>
                <w:rFonts w:ascii="Arial" w:eastAsia="宋体" w:hAnsi="Arial" w:cs="Arial"/>
                <w:color w:val="000000"/>
                <w:sz w:val="18"/>
                <w:szCs w:val="18"/>
              </w:rPr>
              <w:t>(16)</w:t>
            </w:r>
          </w:p>
        </w:tc>
        <w:tc>
          <w:tcPr>
            <w:tcW w:w="0" w:type="auto"/>
            <w:shd w:val="clear" w:color="auto" w:fill="E2E2E2"/>
            <w:tcMar>
              <w:top w:w="40" w:type="dxa"/>
              <w:left w:w="0" w:type="dxa"/>
              <w:bottom w:w="40" w:type="dxa"/>
              <w:right w:w="20" w:type="dxa"/>
            </w:tcMar>
            <w:vAlign w:val="bottom"/>
          </w:tcPr>
          <w:p w14:paraId="185FF5FE" w14:textId="77777777" w:rsidR="00A91885" w:rsidRDefault="00A91885">
            <w:pPr>
              <w:jc w:val="right"/>
              <w:rPr>
                <w:rFonts w:ascii="宋体"/>
              </w:rPr>
            </w:pPr>
          </w:p>
        </w:tc>
      </w:tr>
      <w:tr w:rsidR="00A91885" w14:paraId="185FF60C" w14:textId="77777777">
        <w:trPr>
          <w:jc w:val="center"/>
        </w:trPr>
        <w:tc>
          <w:tcPr>
            <w:tcW w:w="0" w:type="auto"/>
            <w:gridSpan w:val="3"/>
            <w:shd w:val="clear" w:color="auto" w:fill="FFFFFF"/>
            <w:tcMar>
              <w:top w:w="40" w:type="dxa"/>
              <w:left w:w="20" w:type="dxa"/>
              <w:bottom w:w="40" w:type="dxa"/>
              <w:right w:w="20" w:type="dxa"/>
            </w:tcMar>
            <w:vAlign w:val="bottom"/>
          </w:tcPr>
          <w:p w14:paraId="185FF600" w14:textId="77777777" w:rsidR="00A91885" w:rsidRDefault="009C4196">
            <w:pPr>
              <w:textAlignment w:val="bottom"/>
            </w:pPr>
            <w:r>
              <w:rPr>
                <w:rFonts w:ascii="Arial" w:eastAsia="宋体" w:hAnsi="Arial" w:cs="Arial"/>
                <w:color w:val="000000"/>
                <w:sz w:val="18"/>
                <w:szCs w:val="18"/>
              </w:rPr>
              <w:t>Other comprehensive income (loss), net of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601" w14:textId="77777777" w:rsidR="00A91885" w:rsidRDefault="009C4196">
            <w:pPr>
              <w:jc w:val="right"/>
              <w:textAlignment w:val="bottom"/>
            </w:pPr>
            <w:r>
              <w:rPr>
                <w:rFonts w:ascii="Arial" w:eastAsia="宋体" w:hAnsi="Arial" w:cs="Arial"/>
                <w:color w:val="000000"/>
                <w:sz w:val="18"/>
                <w:szCs w:val="18"/>
              </w:rPr>
              <w:t>(19)</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60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03"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604" w14:textId="77777777" w:rsidR="00A91885" w:rsidRDefault="009C4196">
            <w:pPr>
              <w:jc w:val="right"/>
              <w:textAlignment w:val="bottom"/>
            </w:pPr>
            <w:r>
              <w:rPr>
                <w:rFonts w:ascii="Arial" w:eastAsia="宋体" w:hAnsi="Arial" w:cs="Arial"/>
                <w:color w:val="000000"/>
                <w:sz w:val="18"/>
                <w:szCs w:val="18"/>
              </w:rPr>
              <w:t>7 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60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06"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607" w14:textId="77777777" w:rsidR="00A91885" w:rsidRDefault="009C4196">
            <w:pPr>
              <w:jc w:val="right"/>
              <w:textAlignment w:val="bottom"/>
            </w:pPr>
            <w:r>
              <w:rPr>
                <w:rFonts w:ascii="Arial" w:eastAsia="宋体" w:hAnsi="Arial" w:cs="Arial"/>
                <w:color w:val="000000"/>
                <w:sz w:val="18"/>
                <w:szCs w:val="18"/>
              </w:rPr>
              <w:t>(75)</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60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09"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60A" w14:textId="77777777" w:rsidR="00A91885" w:rsidRDefault="009C4196">
            <w:pPr>
              <w:jc w:val="right"/>
              <w:textAlignment w:val="bottom"/>
            </w:pPr>
            <w:r>
              <w:rPr>
                <w:rFonts w:ascii="Arial" w:eastAsia="宋体" w:hAnsi="Arial" w:cs="Arial"/>
                <w:color w:val="000000"/>
                <w:sz w:val="18"/>
                <w:szCs w:val="18"/>
              </w:rPr>
              <w:t>(56)</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60B" w14:textId="77777777" w:rsidR="00A91885" w:rsidRDefault="00A91885">
            <w:pPr>
              <w:jc w:val="right"/>
              <w:rPr>
                <w:rFonts w:ascii="宋体"/>
              </w:rPr>
            </w:pPr>
          </w:p>
        </w:tc>
      </w:tr>
      <w:tr w:rsidR="00A91885" w14:paraId="185FF61D" w14:textId="77777777">
        <w:trPr>
          <w:jc w:val="center"/>
        </w:trPr>
        <w:tc>
          <w:tcPr>
            <w:tcW w:w="0" w:type="auto"/>
            <w:gridSpan w:val="3"/>
            <w:shd w:val="clear" w:color="auto" w:fill="E2E2E2"/>
            <w:tcMar>
              <w:top w:w="40" w:type="dxa"/>
              <w:left w:w="20" w:type="dxa"/>
              <w:bottom w:w="40" w:type="dxa"/>
              <w:right w:w="20" w:type="dxa"/>
            </w:tcMar>
            <w:vAlign w:val="bottom"/>
          </w:tcPr>
          <w:p w14:paraId="185FF60D" w14:textId="77777777" w:rsidR="00A91885" w:rsidRDefault="009C4196">
            <w:pPr>
              <w:textAlignment w:val="bottom"/>
            </w:pPr>
            <w:r>
              <w:rPr>
                <w:rFonts w:ascii="Arial" w:eastAsia="宋体" w:hAnsi="Arial" w:cs="Arial"/>
                <w:color w:val="000000"/>
                <w:sz w:val="18"/>
                <w:szCs w:val="18"/>
              </w:rPr>
              <w:t>Comprehensive income (loss)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5FF60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5FF60F" w14:textId="77777777" w:rsidR="00A91885" w:rsidRDefault="009C4196">
            <w:pPr>
              <w:jc w:val="right"/>
              <w:textAlignment w:val="bottom"/>
            </w:pPr>
            <w:r>
              <w:rPr>
                <w:rFonts w:ascii="Arial" w:eastAsia="宋体" w:hAnsi="Arial" w:cs="Arial"/>
                <w:color w:val="000000"/>
                <w:sz w:val="18"/>
                <w:szCs w:val="18"/>
              </w:rPr>
              <w:t>(550)</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5FF61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11"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5FF61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5FF613" w14:textId="77777777" w:rsidR="00A91885" w:rsidRDefault="009C4196">
            <w:pPr>
              <w:jc w:val="right"/>
              <w:textAlignment w:val="bottom"/>
            </w:pPr>
            <w:r>
              <w:rPr>
                <w:rFonts w:ascii="Arial" w:eastAsia="宋体" w:hAnsi="Arial" w:cs="Arial"/>
                <w:color w:val="000000"/>
                <w:sz w:val="18"/>
                <w:szCs w:val="18"/>
              </w:rPr>
              <w:t>10,741 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5FF61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15"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5FF61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5FF617" w14:textId="77777777" w:rsidR="00A91885" w:rsidRDefault="009C4196">
            <w:pPr>
              <w:jc w:val="right"/>
              <w:textAlignment w:val="bottom"/>
            </w:pPr>
            <w:r>
              <w:rPr>
                <w:rFonts w:ascii="Arial" w:eastAsia="宋体" w:hAnsi="Arial" w:cs="Arial"/>
                <w:color w:val="000000"/>
                <w:sz w:val="18"/>
                <w:szCs w:val="18"/>
              </w:rPr>
              <w:t>(1,947)</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5FF61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19"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5FF61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5FF61B" w14:textId="77777777" w:rsidR="00A91885" w:rsidRDefault="009C4196">
            <w:pPr>
              <w:jc w:val="right"/>
              <w:textAlignment w:val="bottom"/>
            </w:pPr>
            <w:r>
              <w:rPr>
                <w:rFonts w:ascii="Arial" w:eastAsia="宋体" w:hAnsi="Arial" w:cs="Arial"/>
                <w:color w:val="000000"/>
                <w:sz w:val="18"/>
                <w:szCs w:val="18"/>
              </w:rPr>
              <w:t>11,319 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5FF61C" w14:textId="77777777" w:rsidR="00A91885" w:rsidRDefault="00A91885">
            <w:pPr>
              <w:jc w:val="right"/>
              <w:rPr>
                <w:rFonts w:ascii="宋体"/>
              </w:rPr>
            </w:pPr>
          </w:p>
        </w:tc>
      </w:tr>
    </w:tbl>
    <w:p w14:paraId="185FF61E" w14:textId="77777777" w:rsidR="00A91885" w:rsidRDefault="00A91885">
      <w:pPr>
        <w:jc w:val="center"/>
      </w:pPr>
    </w:p>
    <w:p w14:paraId="185FF61F" w14:textId="77777777" w:rsidR="00A91885" w:rsidRDefault="009C4196">
      <w:pPr>
        <w:jc w:val="center"/>
      </w:pPr>
      <w:r>
        <w:rPr>
          <w:rFonts w:ascii="Arial" w:eastAsia="宋体" w:hAnsi="Arial" w:cs="Arial"/>
          <w:color w:val="000000"/>
          <w:sz w:val="18"/>
          <w:szCs w:val="18"/>
        </w:rPr>
        <w:t xml:space="preserve">The accompanying notes are an integral part of these condensed consolidated financial statements. </w:t>
      </w:r>
    </w:p>
    <w:p w14:paraId="185FF620" w14:textId="77777777" w:rsidR="00A91885" w:rsidRDefault="00A91885">
      <w:pPr>
        <w:jc w:val="center"/>
      </w:pPr>
    </w:p>
    <w:p w14:paraId="185FF621" w14:textId="77777777" w:rsidR="00A91885" w:rsidRDefault="00A91885">
      <w:pPr>
        <w:jc w:val="center"/>
      </w:pPr>
    </w:p>
    <w:p w14:paraId="185FF622" w14:textId="77777777" w:rsidR="00A91885" w:rsidRDefault="009C4196">
      <w:pPr>
        <w:jc w:val="center"/>
      </w:pPr>
      <w:r>
        <w:rPr>
          <w:rFonts w:ascii="Arial" w:eastAsia="宋体" w:hAnsi="Arial" w:cs="Arial"/>
          <w:color w:val="000000"/>
          <w:sz w:val="20"/>
          <w:szCs w:val="20"/>
        </w:rPr>
        <w:t>6</w:t>
      </w:r>
    </w:p>
    <w:p w14:paraId="185FF623" w14:textId="77777777" w:rsidR="00A91885" w:rsidRDefault="009C4196">
      <w:r>
        <w:pict w14:anchorId="18602189">
          <v:rect id="_x0000_i1030" style="width:415.3pt;height:1.5pt" o:hralign="center" o:hrstd="t" o:hr="t" fillcolor="#a0a0a0" stroked="f"/>
        </w:pict>
      </w:r>
    </w:p>
    <w:p w14:paraId="185FF624" w14:textId="77777777" w:rsidR="00A91885" w:rsidRDefault="009C4196">
      <w:hyperlink r:id="rId90" w:anchor="ieb971428a625452486c65ae24899afca_7" w:history="1">
        <w:r>
          <w:rPr>
            <w:rStyle w:val="a5"/>
            <w:rFonts w:ascii="Arial" w:eastAsia="宋体" w:hAnsi="Arial" w:cs="Arial"/>
            <w:sz w:val="18"/>
            <w:szCs w:val="18"/>
          </w:rPr>
          <w:t>Table of Contents</w:t>
        </w:r>
      </w:hyperlink>
    </w:p>
    <w:p w14:paraId="185FF625" w14:textId="77777777" w:rsidR="00A91885" w:rsidRDefault="009C4196">
      <w:pPr>
        <w:spacing w:before="120"/>
        <w:jc w:val="center"/>
      </w:pPr>
      <w:r>
        <w:rPr>
          <w:rFonts w:ascii="Arial" w:eastAsia="宋体" w:hAnsi="Arial" w:cs="Arial"/>
          <w:b/>
          <w:bCs/>
          <w:color w:val="000000"/>
          <w:sz w:val="20"/>
          <w:szCs w:val="20"/>
        </w:rPr>
        <w:t xml:space="preserve">eBay Inc. </w:t>
      </w:r>
    </w:p>
    <w:p w14:paraId="185FF626" w14:textId="77777777" w:rsidR="00A91885" w:rsidRDefault="009C4196">
      <w:pPr>
        <w:spacing w:before="80"/>
        <w:jc w:val="center"/>
      </w:pPr>
      <w:r>
        <w:rPr>
          <w:rFonts w:ascii="Arial" w:eastAsia="宋体" w:hAnsi="Arial" w:cs="Arial"/>
          <w:b/>
          <w:bCs/>
          <w:color w:val="000000"/>
          <w:sz w:val="20"/>
          <w:szCs w:val="20"/>
        </w:rPr>
        <w:t>CONDENSED CONSOLIDATED STATEMENT OF STOCKHOLDERS’ EQUITY</w:t>
      </w:r>
    </w:p>
    <w:tbl>
      <w:tblPr>
        <w:tblW w:w="5000" w:type="pct"/>
        <w:tblCellMar>
          <w:top w:w="15" w:type="dxa"/>
          <w:left w:w="15" w:type="dxa"/>
          <w:bottom w:w="15" w:type="dxa"/>
          <w:right w:w="15" w:type="dxa"/>
        </w:tblCellMar>
        <w:tblLook w:val="04A0" w:firstRow="1" w:lastRow="0" w:firstColumn="1" w:lastColumn="0" w:noHBand="0" w:noVBand="1"/>
      </w:tblPr>
      <w:tblGrid>
        <w:gridCol w:w="40"/>
        <w:gridCol w:w="3745"/>
        <w:gridCol w:w="39"/>
        <w:gridCol w:w="122"/>
        <w:gridCol w:w="889"/>
        <w:gridCol w:w="36"/>
        <w:gridCol w:w="36"/>
        <w:gridCol w:w="36"/>
        <w:gridCol w:w="36"/>
        <w:gridCol w:w="121"/>
        <w:gridCol w:w="889"/>
        <w:gridCol w:w="36"/>
        <w:gridCol w:w="36"/>
        <w:gridCol w:w="36"/>
        <w:gridCol w:w="36"/>
        <w:gridCol w:w="122"/>
        <w:gridCol w:w="889"/>
        <w:gridCol w:w="36"/>
        <w:gridCol w:w="36"/>
        <w:gridCol w:w="36"/>
        <w:gridCol w:w="36"/>
        <w:gridCol w:w="121"/>
        <w:gridCol w:w="891"/>
        <w:gridCol w:w="36"/>
      </w:tblGrid>
      <w:tr w:rsidR="00A91885" w14:paraId="185FF63F" w14:textId="77777777">
        <w:tc>
          <w:tcPr>
            <w:tcW w:w="50" w:type="pct"/>
            <w:shd w:val="clear" w:color="auto" w:fill="auto"/>
            <w:vAlign w:val="bottom"/>
          </w:tcPr>
          <w:p w14:paraId="185FF627" w14:textId="77777777" w:rsidR="00A91885" w:rsidRDefault="00A91885">
            <w:pPr>
              <w:rPr>
                <w:rFonts w:ascii="宋体"/>
              </w:rPr>
            </w:pPr>
          </w:p>
        </w:tc>
        <w:tc>
          <w:tcPr>
            <w:tcW w:w="2313" w:type="pct"/>
            <w:shd w:val="clear" w:color="auto" w:fill="auto"/>
            <w:vAlign w:val="bottom"/>
          </w:tcPr>
          <w:p w14:paraId="185FF628" w14:textId="77777777" w:rsidR="00A91885" w:rsidRDefault="00A91885">
            <w:pPr>
              <w:rPr>
                <w:rFonts w:ascii="宋体"/>
              </w:rPr>
            </w:pPr>
          </w:p>
        </w:tc>
        <w:tc>
          <w:tcPr>
            <w:tcW w:w="5" w:type="pct"/>
            <w:shd w:val="clear" w:color="auto" w:fill="auto"/>
            <w:vAlign w:val="bottom"/>
          </w:tcPr>
          <w:p w14:paraId="185FF629" w14:textId="77777777" w:rsidR="00A91885" w:rsidRDefault="00A91885">
            <w:pPr>
              <w:rPr>
                <w:rFonts w:ascii="宋体"/>
              </w:rPr>
            </w:pPr>
          </w:p>
        </w:tc>
        <w:tc>
          <w:tcPr>
            <w:tcW w:w="50" w:type="pct"/>
            <w:shd w:val="clear" w:color="auto" w:fill="auto"/>
            <w:vAlign w:val="bottom"/>
          </w:tcPr>
          <w:p w14:paraId="185FF62A" w14:textId="77777777" w:rsidR="00A91885" w:rsidRDefault="00A91885">
            <w:pPr>
              <w:rPr>
                <w:rFonts w:ascii="宋体"/>
              </w:rPr>
            </w:pPr>
          </w:p>
        </w:tc>
        <w:tc>
          <w:tcPr>
            <w:tcW w:w="580" w:type="pct"/>
            <w:shd w:val="clear" w:color="auto" w:fill="auto"/>
            <w:vAlign w:val="bottom"/>
          </w:tcPr>
          <w:p w14:paraId="185FF62B" w14:textId="77777777" w:rsidR="00A91885" w:rsidRDefault="00A91885">
            <w:pPr>
              <w:rPr>
                <w:rFonts w:ascii="宋体"/>
              </w:rPr>
            </w:pPr>
          </w:p>
        </w:tc>
        <w:tc>
          <w:tcPr>
            <w:tcW w:w="5" w:type="pct"/>
            <w:shd w:val="clear" w:color="auto" w:fill="auto"/>
            <w:vAlign w:val="bottom"/>
          </w:tcPr>
          <w:p w14:paraId="185FF62C" w14:textId="77777777" w:rsidR="00A91885" w:rsidRDefault="00A91885">
            <w:pPr>
              <w:rPr>
                <w:rFonts w:ascii="宋体"/>
              </w:rPr>
            </w:pPr>
          </w:p>
        </w:tc>
        <w:tc>
          <w:tcPr>
            <w:tcW w:w="5" w:type="pct"/>
            <w:shd w:val="clear" w:color="auto" w:fill="auto"/>
            <w:vAlign w:val="bottom"/>
          </w:tcPr>
          <w:p w14:paraId="185FF62D" w14:textId="77777777" w:rsidR="00A91885" w:rsidRDefault="00A91885">
            <w:pPr>
              <w:rPr>
                <w:rFonts w:ascii="宋体"/>
              </w:rPr>
            </w:pPr>
          </w:p>
        </w:tc>
        <w:tc>
          <w:tcPr>
            <w:tcW w:w="19" w:type="pct"/>
            <w:shd w:val="clear" w:color="auto" w:fill="auto"/>
            <w:vAlign w:val="bottom"/>
          </w:tcPr>
          <w:p w14:paraId="185FF62E" w14:textId="77777777" w:rsidR="00A91885" w:rsidRDefault="00A91885">
            <w:pPr>
              <w:rPr>
                <w:rFonts w:ascii="宋体"/>
              </w:rPr>
            </w:pPr>
          </w:p>
        </w:tc>
        <w:tc>
          <w:tcPr>
            <w:tcW w:w="5" w:type="pct"/>
            <w:shd w:val="clear" w:color="auto" w:fill="auto"/>
            <w:vAlign w:val="bottom"/>
          </w:tcPr>
          <w:p w14:paraId="185FF62F" w14:textId="77777777" w:rsidR="00A91885" w:rsidRDefault="00A91885">
            <w:pPr>
              <w:rPr>
                <w:rFonts w:ascii="宋体"/>
              </w:rPr>
            </w:pPr>
          </w:p>
        </w:tc>
        <w:tc>
          <w:tcPr>
            <w:tcW w:w="50" w:type="pct"/>
            <w:shd w:val="clear" w:color="auto" w:fill="auto"/>
            <w:vAlign w:val="bottom"/>
          </w:tcPr>
          <w:p w14:paraId="185FF630" w14:textId="77777777" w:rsidR="00A91885" w:rsidRDefault="00A91885">
            <w:pPr>
              <w:rPr>
                <w:rFonts w:ascii="宋体"/>
              </w:rPr>
            </w:pPr>
          </w:p>
        </w:tc>
        <w:tc>
          <w:tcPr>
            <w:tcW w:w="580" w:type="pct"/>
            <w:shd w:val="clear" w:color="auto" w:fill="auto"/>
            <w:vAlign w:val="bottom"/>
          </w:tcPr>
          <w:p w14:paraId="185FF631" w14:textId="77777777" w:rsidR="00A91885" w:rsidRDefault="00A91885">
            <w:pPr>
              <w:rPr>
                <w:rFonts w:ascii="宋体"/>
              </w:rPr>
            </w:pPr>
          </w:p>
        </w:tc>
        <w:tc>
          <w:tcPr>
            <w:tcW w:w="5" w:type="pct"/>
            <w:shd w:val="clear" w:color="auto" w:fill="auto"/>
            <w:vAlign w:val="bottom"/>
          </w:tcPr>
          <w:p w14:paraId="185FF632" w14:textId="77777777" w:rsidR="00A91885" w:rsidRDefault="00A91885">
            <w:pPr>
              <w:rPr>
                <w:rFonts w:ascii="宋体"/>
              </w:rPr>
            </w:pPr>
          </w:p>
        </w:tc>
        <w:tc>
          <w:tcPr>
            <w:tcW w:w="5" w:type="pct"/>
            <w:shd w:val="clear" w:color="auto" w:fill="auto"/>
            <w:vAlign w:val="bottom"/>
          </w:tcPr>
          <w:p w14:paraId="185FF633" w14:textId="77777777" w:rsidR="00A91885" w:rsidRDefault="00A91885">
            <w:pPr>
              <w:rPr>
                <w:rFonts w:ascii="宋体"/>
              </w:rPr>
            </w:pPr>
          </w:p>
        </w:tc>
        <w:tc>
          <w:tcPr>
            <w:tcW w:w="19" w:type="pct"/>
            <w:shd w:val="clear" w:color="auto" w:fill="auto"/>
            <w:vAlign w:val="bottom"/>
          </w:tcPr>
          <w:p w14:paraId="185FF634" w14:textId="77777777" w:rsidR="00A91885" w:rsidRDefault="00A91885">
            <w:pPr>
              <w:rPr>
                <w:rFonts w:ascii="宋体"/>
              </w:rPr>
            </w:pPr>
          </w:p>
        </w:tc>
        <w:tc>
          <w:tcPr>
            <w:tcW w:w="5" w:type="pct"/>
            <w:shd w:val="clear" w:color="auto" w:fill="auto"/>
            <w:vAlign w:val="bottom"/>
          </w:tcPr>
          <w:p w14:paraId="185FF635" w14:textId="77777777" w:rsidR="00A91885" w:rsidRDefault="00A91885">
            <w:pPr>
              <w:rPr>
                <w:rFonts w:ascii="宋体"/>
              </w:rPr>
            </w:pPr>
          </w:p>
        </w:tc>
        <w:tc>
          <w:tcPr>
            <w:tcW w:w="50" w:type="pct"/>
            <w:shd w:val="clear" w:color="auto" w:fill="auto"/>
            <w:vAlign w:val="bottom"/>
          </w:tcPr>
          <w:p w14:paraId="185FF636" w14:textId="77777777" w:rsidR="00A91885" w:rsidRDefault="00A91885">
            <w:pPr>
              <w:rPr>
                <w:rFonts w:ascii="宋体"/>
              </w:rPr>
            </w:pPr>
          </w:p>
        </w:tc>
        <w:tc>
          <w:tcPr>
            <w:tcW w:w="580" w:type="pct"/>
            <w:shd w:val="clear" w:color="auto" w:fill="auto"/>
            <w:vAlign w:val="bottom"/>
          </w:tcPr>
          <w:p w14:paraId="185FF637" w14:textId="77777777" w:rsidR="00A91885" w:rsidRDefault="00A91885">
            <w:pPr>
              <w:rPr>
                <w:rFonts w:ascii="宋体"/>
              </w:rPr>
            </w:pPr>
          </w:p>
        </w:tc>
        <w:tc>
          <w:tcPr>
            <w:tcW w:w="5" w:type="pct"/>
            <w:shd w:val="clear" w:color="auto" w:fill="auto"/>
            <w:vAlign w:val="bottom"/>
          </w:tcPr>
          <w:p w14:paraId="185FF638" w14:textId="77777777" w:rsidR="00A91885" w:rsidRDefault="00A91885">
            <w:pPr>
              <w:rPr>
                <w:rFonts w:ascii="宋体"/>
              </w:rPr>
            </w:pPr>
          </w:p>
        </w:tc>
        <w:tc>
          <w:tcPr>
            <w:tcW w:w="5" w:type="pct"/>
            <w:shd w:val="clear" w:color="auto" w:fill="auto"/>
            <w:vAlign w:val="bottom"/>
          </w:tcPr>
          <w:p w14:paraId="185FF639" w14:textId="77777777" w:rsidR="00A91885" w:rsidRDefault="00A91885">
            <w:pPr>
              <w:rPr>
                <w:rFonts w:ascii="宋体"/>
              </w:rPr>
            </w:pPr>
          </w:p>
        </w:tc>
        <w:tc>
          <w:tcPr>
            <w:tcW w:w="19" w:type="pct"/>
            <w:shd w:val="clear" w:color="auto" w:fill="auto"/>
            <w:vAlign w:val="bottom"/>
          </w:tcPr>
          <w:p w14:paraId="185FF63A" w14:textId="77777777" w:rsidR="00A91885" w:rsidRDefault="00A91885">
            <w:pPr>
              <w:rPr>
                <w:rFonts w:ascii="宋体"/>
              </w:rPr>
            </w:pPr>
          </w:p>
        </w:tc>
        <w:tc>
          <w:tcPr>
            <w:tcW w:w="5" w:type="pct"/>
            <w:shd w:val="clear" w:color="auto" w:fill="auto"/>
            <w:vAlign w:val="bottom"/>
          </w:tcPr>
          <w:p w14:paraId="185FF63B" w14:textId="77777777" w:rsidR="00A91885" w:rsidRDefault="00A91885">
            <w:pPr>
              <w:rPr>
                <w:rFonts w:ascii="宋体"/>
              </w:rPr>
            </w:pPr>
          </w:p>
        </w:tc>
        <w:tc>
          <w:tcPr>
            <w:tcW w:w="50" w:type="pct"/>
            <w:shd w:val="clear" w:color="auto" w:fill="auto"/>
            <w:vAlign w:val="bottom"/>
          </w:tcPr>
          <w:p w14:paraId="185FF63C" w14:textId="77777777" w:rsidR="00A91885" w:rsidRDefault="00A91885">
            <w:pPr>
              <w:rPr>
                <w:rFonts w:ascii="宋体"/>
              </w:rPr>
            </w:pPr>
          </w:p>
        </w:tc>
        <w:tc>
          <w:tcPr>
            <w:tcW w:w="581" w:type="pct"/>
            <w:shd w:val="clear" w:color="auto" w:fill="auto"/>
            <w:vAlign w:val="bottom"/>
          </w:tcPr>
          <w:p w14:paraId="185FF63D" w14:textId="77777777" w:rsidR="00A91885" w:rsidRDefault="00A91885">
            <w:pPr>
              <w:rPr>
                <w:rFonts w:ascii="宋体"/>
              </w:rPr>
            </w:pPr>
          </w:p>
        </w:tc>
        <w:tc>
          <w:tcPr>
            <w:tcW w:w="5" w:type="pct"/>
            <w:shd w:val="clear" w:color="auto" w:fill="auto"/>
            <w:vAlign w:val="bottom"/>
          </w:tcPr>
          <w:p w14:paraId="185FF63E" w14:textId="77777777" w:rsidR="00A91885" w:rsidRDefault="00A91885">
            <w:pPr>
              <w:rPr>
                <w:rFonts w:ascii="宋体"/>
              </w:rPr>
            </w:pPr>
          </w:p>
        </w:tc>
      </w:tr>
      <w:tr w:rsidR="00A91885" w14:paraId="185FF644" w14:textId="77777777">
        <w:tc>
          <w:tcPr>
            <w:tcW w:w="0" w:type="auto"/>
            <w:gridSpan w:val="3"/>
            <w:shd w:val="clear" w:color="auto" w:fill="auto"/>
            <w:tcMar>
              <w:top w:w="40" w:type="dxa"/>
              <w:left w:w="20" w:type="dxa"/>
              <w:bottom w:w="40" w:type="dxa"/>
              <w:right w:w="20" w:type="dxa"/>
            </w:tcMar>
            <w:vAlign w:val="bottom"/>
          </w:tcPr>
          <w:p w14:paraId="185FF640" w14:textId="77777777" w:rsidR="00A91885" w:rsidRDefault="009C4196">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185FF641"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5FF642"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5FF643"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5FF64D" w14:textId="77777777">
        <w:tc>
          <w:tcPr>
            <w:tcW w:w="0" w:type="auto"/>
            <w:gridSpan w:val="3"/>
            <w:shd w:val="clear" w:color="auto" w:fill="auto"/>
            <w:tcMar>
              <w:top w:w="40" w:type="dxa"/>
              <w:left w:w="20" w:type="dxa"/>
              <w:bottom w:w="40" w:type="dxa"/>
              <w:right w:w="20" w:type="dxa"/>
            </w:tcMar>
            <w:vAlign w:val="bottom"/>
          </w:tcPr>
          <w:p w14:paraId="185FF645" w14:textId="77777777" w:rsidR="00A91885" w:rsidRDefault="009C4196">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646"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85FF647"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5FF648"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5FF649"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5FF64A"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185FF64B"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5FF64C"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5FF650" w14:textId="77777777">
        <w:tc>
          <w:tcPr>
            <w:tcW w:w="0" w:type="auto"/>
            <w:gridSpan w:val="3"/>
            <w:shd w:val="clear" w:color="auto" w:fill="auto"/>
            <w:tcMar>
              <w:top w:w="40" w:type="dxa"/>
              <w:left w:w="20" w:type="dxa"/>
              <w:bottom w:w="40" w:type="dxa"/>
              <w:right w:w="20" w:type="dxa"/>
            </w:tcMar>
            <w:vAlign w:val="bottom"/>
          </w:tcPr>
          <w:p w14:paraId="185FF64E" w14:textId="77777777" w:rsidR="00A91885" w:rsidRDefault="009C4196">
            <w:pPr>
              <w:textAlignment w:val="bottom"/>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185FF64F" w14:textId="77777777" w:rsidR="00A91885" w:rsidRDefault="009C4196">
            <w:pPr>
              <w:jc w:val="center"/>
              <w:textAlignment w:val="bottom"/>
            </w:pPr>
            <w:r>
              <w:rPr>
                <w:rFonts w:ascii="Arial" w:eastAsia="宋体" w:hAnsi="Arial" w:cs="Arial"/>
                <w:b/>
                <w:bCs/>
                <w:color w:val="000000"/>
                <w:sz w:val="17"/>
                <w:szCs w:val="17"/>
              </w:rPr>
              <w:t>(In millions, except per share amounts)</w:t>
            </w:r>
          </w:p>
        </w:tc>
      </w:tr>
      <w:tr w:rsidR="00A91885" w14:paraId="185FF653" w14:textId="77777777">
        <w:tc>
          <w:tcPr>
            <w:tcW w:w="0" w:type="auto"/>
            <w:gridSpan w:val="3"/>
            <w:shd w:val="clear" w:color="auto" w:fill="auto"/>
            <w:tcMar>
              <w:top w:w="0" w:type="dxa"/>
              <w:left w:w="20" w:type="dxa"/>
              <w:bottom w:w="0" w:type="dxa"/>
              <w:right w:w="20" w:type="dxa"/>
            </w:tcMar>
            <w:vAlign w:val="bottom"/>
          </w:tcPr>
          <w:p w14:paraId="185FF651" w14:textId="77777777" w:rsidR="00A91885" w:rsidRDefault="00A91885">
            <w:pPr>
              <w:rPr>
                <w:rFonts w:ascii="宋体"/>
              </w:rPr>
            </w:pPr>
          </w:p>
        </w:tc>
        <w:tc>
          <w:tcPr>
            <w:tcW w:w="0" w:type="auto"/>
            <w:gridSpan w:val="21"/>
            <w:shd w:val="clear" w:color="auto" w:fill="auto"/>
            <w:tcMar>
              <w:top w:w="40" w:type="dxa"/>
              <w:left w:w="20" w:type="dxa"/>
              <w:bottom w:w="40" w:type="dxa"/>
              <w:right w:w="20" w:type="dxa"/>
            </w:tcMar>
            <w:vAlign w:val="bottom"/>
          </w:tcPr>
          <w:p w14:paraId="185FF652" w14:textId="77777777" w:rsidR="00A91885" w:rsidRDefault="009C4196">
            <w:pPr>
              <w:jc w:val="center"/>
              <w:textAlignment w:val="bottom"/>
            </w:pPr>
            <w:r>
              <w:rPr>
                <w:rFonts w:ascii="Arial" w:eastAsia="宋体" w:hAnsi="Arial" w:cs="Arial"/>
                <w:b/>
                <w:bCs/>
                <w:color w:val="000000"/>
                <w:sz w:val="17"/>
                <w:szCs w:val="17"/>
              </w:rPr>
              <w:t>(Unaudited)</w:t>
            </w:r>
          </w:p>
        </w:tc>
      </w:tr>
      <w:tr w:rsidR="00A91885" w14:paraId="185FF65C" w14:textId="77777777">
        <w:tc>
          <w:tcPr>
            <w:tcW w:w="0" w:type="auto"/>
            <w:gridSpan w:val="3"/>
            <w:shd w:val="clear" w:color="auto" w:fill="E2E2E2"/>
            <w:tcMar>
              <w:top w:w="40" w:type="dxa"/>
              <w:left w:w="20" w:type="dxa"/>
              <w:bottom w:w="40" w:type="dxa"/>
              <w:right w:w="20" w:type="dxa"/>
            </w:tcMar>
            <w:vAlign w:val="bottom"/>
          </w:tcPr>
          <w:p w14:paraId="185FF654" w14:textId="77777777" w:rsidR="00A91885" w:rsidRDefault="009C4196">
            <w:pPr>
              <w:textAlignment w:val="bottom"/>
            </w:pPr>
            <w:r>
              <w:rPr>
                <w:rFonts w:ascii="Arial" w:eastAsia="宋体" w:hAnsi="Arial" w:cs="Arial"/>
                <w:color w:val="000000"/>
                <w:sz w:val="18"/>
                <w:szCs w:val="18"/>
              </w:rPr>
              <w:t>Common stock:</w:t>
            </w:r>
          </w:p>
        </w:tc>
        <w:tc>
          <w:tcPr>
            <w:tcW w:w="0" w:type="auto"/>
            <w:gridSpan w:val="3"/>
            <w:shd w:val="clear" w:color="auto" w:fill="E2E2E2"/>
            <w:tcMar>
              <w:top w:w="0" w:type="dxa"/>
              <w:left w:w="20" w:type="dxa"/>
              <w:bottom w:w="0" w:type="dxa"/>
              <w:right w:w="20" w:type="dxa"/>
            </w:tcMar>
            <w:vAlign w:val="bottom"/>
          </w:tcPr>
          <w:p w14:paraId="185FF655"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656"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657"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658"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659"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65A"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65B" w14:textId="77777777" w:rsidR="00A91885" w:rsidRDefault="00A91885">
            <w:pPr>
              <w:rPr>
                <w:rFonts w:ascii="宋体"/>
              </w:rPr>
            </w:pPr>
          </w:p>
        </w:tc>
      </w:tr>
      <w:tr w:rsidR="00A91885" w14:paraId="185FF66D" w14:textId="77777777">
        <w:tc>
          <w:tcPr>
            <w:tcW w:w="0" w:type="auto"/>
            <w:gridSpan w:val="3"/>
            <w:shd w:val="clear" w:color="auto" w:fill="FFFFFF"/>
            <w:tcMar>
              <w:top w:w="40" w:type="dxa"/>
              <w:left w:w="245" w:type="dxa"/>
              <w:bottom w:w="40" w:type="dxa"/>
              <w:right w:w="20" w:type="dxa"/>
            </w:tcMar>
            <w:vAlign w:val="bottom"/>
          </w:tcPr>
          <w:p w14:paraId="185FF65D" w14:textId="77777777" w:rsidR="00A91885" w:rsidRDefault="009C4196">
            <w:pPr>
              <w:textAlignment w:val="bottom"/>
            </w:pPr>
            <w:r>
              <w:rPr>
                <w:rFonts w:ascii="Arial" w:eastAsia="宋体" w:hAnsi="Arial" w:cs="Arial"/>
                <w:color w:val="000000"/>
                <w:sz w:val="18"/>
                <w:szCs w:val="18"/>
              </w:rPr>
              <w:t>Balance, beginning of period</w:t>
            </w:r>
          </w:p>
        </w:tc>
        <w:tc>
          <w:tcPr>
            <w:tcW w:w="0" w:type="auto"/>
            <w:shd w:val="clear" w:color="auto" w:fill="FFFFFF"/>
            <w:tcMar>
              <w:top w:w="40" w:type="dxa"/>
              <w:left w:w="20" w:type="dxa"/>
              <w:bottom w:w="40" w:type="dxa"/>
              <w:right w:w="0" w:type="dxa"/>
            </w:tcMar>
            <w:vAlign w:val="bottom"/>
          </w:tcPr>
          <w:p w14:paraId="185FF65E"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65F"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85FF66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61"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662"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663"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85FF66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65"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666"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667"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85FF66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69"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66A"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66B"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85FF66C" w14:textId="77777777" w:rsidR="00A91885" w:rsidRDefault="00A91885">
            <w:pPr>
              <w:jc w:val="right"/>
              <w:rPr>
                <w:rFonts w:ascii="宋体"/>
              </w:rPr>
            </w:pPr>
          </w:p>
        </w:tc>
      </w:tr>
      <w:tr w:rsidR="00A91885" w14:paraId="185FF67A" w14:textId="77777777">
        <w:tc>
          <w:tcPr>
            <w:tcW w:w="0" w:type="auto"/>
            <w:gridSpan w:val="3"/>
            <w:shd w:val="clear" w:color="auto" w:fill="E2E2E2"/>
            <w:tcMar>
              <w:top w:w="40" w:type="dxa"/>
              <w:left w:w="245" w:type="dxa"/>
              <w:bottom w:w="40" w:type="dxa"/>
              <w:right w:w="20" w:type="dxa"/>
            </w:tcMar>
            <w:vAlign w:val="bottom"/>
          </w:tcPr>
          <w:p w14:paraId="185FF66E" w14:textId="77777777" w:rsidR="00A91885" w:rsidRDefault="009C4196">
            <w:pPr>
              <w:textAlignment w:val="bottom"/>
            </w:pPr>
            <w:r>
              <w:rPr>
                <w:rFonts w:ascii="Arial" w:eastAsia="宋体" w:hAnsi="Arial" w:cs="Arial"/>
                <w:color w:val="000000"/>
                <w:sz w:val="18"/>
                <w:szCs w:val="18"/>
              </w:rPr>
              <w:t>Common stock issued</w:t>
            </w:r>
          </w:p>
        </w:tc>
        <w:tc>
          <w:tcPr>
            <w:tcW w:w="0" w:type="auto"/>
            <w:gridSpan w:val="2"/>
            <w:shd w:val="clear" w:color="auto" w:fill="E2E2E2"/>
            <w:tcMar>
              <w:top w:w="40" w:type="dxa"/>
              <w:left w:w="20" w:type="dxa"/>
              <w:bottom w:w="40" w:type="dxa"/>
              <w:right w:w="0" w:type="dxa"/>
            </w:tcMar>
            <w:vAlign w:val="bottom"/>
          </w:tcPr>
          <w:p w14:paraId="185FF66F"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5FF67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7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672"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5FF67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74"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675"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5FF67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77"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678"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5FF679" w14:textId="77777777" w:rsidR="00A91885" w:rsidRDefault="00A91885">
            <w:pPr>
              <w:jc w:val="right"/>
              <w:rPr>
                <w:rFonts w:ascii="宋体"/>
              </w:rPr>
            </w:pPr>
          </w:p>
        </w:tc>
      </w:tr>
      <w:tr w:rsidR="00A91885" w14:paraId="185FF687" w14:textId="77777777">
        <w:tc>
          <w:tcPr>
            <w:tcW w:w="0" w:type="auto"/>
            <w:gridSpan w:val="3"/>
            <w:shd w:val="clear" w:color="auto" w:fill="FFFFFF"/>
            <w:tcMar>
              <w:top w:w="40" w:type="dxa"/>
              <w:left w:w="245" w:type="dxa"/>
              <w:bottom w:w="40" w:type="dxa"/>
              <w:right w:w="20" w:type="dxa"/>
            </w:tcMar>
            <w:vAlign w:val="bottom"/>
          </w:tcPr>
          <w:p w14:paraId="185FF67B" w14:textId="77777777" w:rsidR="00A91885" w:rsidRDefault="009C4196">
            <w:pPr>
              <w:textAlignment w:val="bottom"/>
            </w:pPr>
            <w:r>
              <w:rPr>
                <w:rFonts w:ascii="Arial" w:eastAsia="宋体" w:hAnsi="Arial" w:cs="Arial"/>
                <w:color w:val="000000"/>
                <w:sz w:val="18"/>
                <w:szCs w:val="18"/>
              </w:rPr>
              <w:t>Common stock repurchased</w:t>
            </w:r>
          </w:p>
        </w:tc>
        <w:tc>
          <w:tcPr>
            <w:tcW w:w="0" w:type="auto"/>
            <w:gridSpan w:val="2"/>
            <w:shd w:val="clear" w:color="auto" w:fill="FFFFFF"/>
            <w:tcMar>
              <w:top w:w="40" w:type="dxa"/>
              <w:left w:w="20" w:type="dxa"/>
              <w:bottom w:w="40" w:type="dxa"/>
              <w:right w:w="0" w:type="dxa"/>
            </w:tcMar>
            <w:vAlign w:val="bottom"/>
          </w:tcPr>
          <w:p w14:paraId="185FF67C"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67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7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67F"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68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8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682"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68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8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685"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686" w14:textId="77777777" w:rsidR="00A91885" w:rsidRDefault="00A91885">
            <w:pPr>
              <w:jc w:val="right"/>
              <w:rPr>
                <w:rFonts w:ascii="宋体"/>
              </w:rPr>
            </w:pPr>
          </w:p>
        </w:tc>
      </w:tr>
      <w:tr w:rsidR="00A91885" w14:paraId="185FF694" w14:textId="77777777">
        <w:tc>
          <w:tcPr>
            <w:tcW w:w="0" w:type="auto"/>
            <w:gridSpan w:val="3"/>
            <w:shd w:val="clear" w:color="auto" w:fill="E2E2E2"/>
            <w:tcMar>
              <w:top w:w="40" w:type="dxa"/>
              <w:left w:w="740" w:type="dxa"/>
              <w:bottom w:w="40" w:type="dxa"/>
              <w:right w:w="20" w:type="dxa"/>
            </w:tcMar>
            <w:vAlign w:val="bottom"/>
          </w:tcPr>
          <w:p w14:paraId="185FF688" w14:textId="77777777" w:rsidR="00A91885" w:rsidRDefault="009C4196">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689" w14:textId="77777777" w:rsidR="00A91885" w:rsidRDefault="009C4196">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68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8B"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68C" w14:textId="77777777" w:rsidR="00A91885" w:rsidRDefault="009C4196">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68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8E"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68F" w14:textId="77777777" w:rsidR="00A91885" w:rsidRDefault="009C4196">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69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91"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692" w14:textId="77777777" w:rsidR="00A91885" w:rsidRDefault="009C4196">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693" w14:textId="77777777" w:rsidR="00A91885" w:rsidRDefault="00A91885">
            <w:pPr>
              <w:jc w:val="right"/>
              <w:rPr>
                <w:rFonts w:ascii="宋体"/>
              </w:rPr>
            </w:pPr>
          </w:p>
        </w:tc>
      </w:tr>
      <w:tr w:rsidR="00A91885" w14:paraId="185FF69D" w14:textId="77777777">
        <w:tc>
          <w:tcPr>
            <w:tcW w:w="0" w:type="auto"/>
            <w:gridSpan w:val="3"/>
            <w:shd w:val="clear" w:color="auto" w:fill="FFFFFF"/>
            <w:tcMar>
              <w:top w:w="40" w:type="dxa"/>
              <w:left w:w="20" w:type="dxa"/>
              <w:bottom w:w="40" w:type="dxa"/>
              <w:right w:w="20" w:type="dxa"/>
            </w:tcMar>
            <w:vAlign w:val="bottom"/>
          </w:tcPr>
          <w:p w14:paraId="185FF695" w14:textId="77777777" w:rsidR="00A91885" w:rsidRDefault="009C4196">
            <w:pPr>
              <w:textAlignment w:val="bottom"/>
            </w:pPr>
            <w:r>
              <w:rPr>
                <w:rFonts w:ascii="Arial" w:eastAsia="宋体" w:hAnsi="Arial" w:cs="Arial"/>
                <w:color w:val="000000"/>
                <w:sz w:val="18"/>
                <w:szCs w:val="18"/>
              </w:rPr>
              <w:t>Additional paid-in-capital: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696"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697"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698"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699"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69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69B"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69C" w14:textId="77777777" w:rsidR="00A91885" w:rsidRDefault="00A91885">
            <w:pPr>
              <w:rPr>
                <w:rFonts w:ascii="宋体"/>
              </w:rPr>
            </w:pPr>
          </w:p>
        </w:tc>
      </w:tr>
      <w:tr w:rsidR="00A91885" w14:paraId="185FF6AA" w14:textId="77777777">
        <w:tc>
          <w:tcPr>
            <w:tcW w:w="0" w:type="auto"/>
            <w:gridSpan w:val="3"/>
            <w:shd w:val="clear" w:color="auto" w:fill="E2E2E2"/>
            <w:tcMar>
              <w:top w:w="40" w:type="dxa"/>
              <w:left w:w="245" w:type="dxa"/>
              <w:bottom w:w="40" w:type="dxa"/>
              <w:right w:w="20" w:type="dxa"/>
            </w:tcMar>
            <w:vAlign w:val="bottom"/>
          </w:tcPr>
          <w:p w14:paraId="185FF69E" w14:textId="77777777" w:rsidR="00A91885" w:rsidRDefault="009C4196">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185FF69F" w14:textId="77777777" w:rsidR="00A91885" w:rsidRDefault="009C4196">
            <w:pPr>
              <w:jc w:val="right"/>
              <w:textAlignment w:val="bottom"/>
            </w:pPr>
            <w:r>
              <w:rPr>
                <w:rFonts w:ascii="Arial" w:eastAsia="宋体" w:hAnsi="Arial" w:cs="Arial"/>
                <w:color w:val="000000"/>
                <w:sz w:val="18"/>
                <w:szCs w:val="18"/>
              </w:rPr>
              <w:t>16,904 </w:t>
            </w:r>
          </w:p>
        </w:tc>
        <w:tc>
          <w:tcPr>
            <w:tcW w:w="0" w:type="auto"/>
            <w:shd w:val="clear" w:color="auto" w:fill="E2E2E2"/>
            <w:tcMar>
              <w:top w:w="40" w:type="dxa"/>
              <w:left w:w="0" w:type="dxa"/>
              <w:bottom w:w="40" w:type="dxa"/>
              <w:right w:w="20" w:type="dxa"/>
            </w:tcMar>
            <w:vAlign w:val="bottom"/>
          </w:tcPr>
          <w:p w14:paraId="185FF6A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A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6A2" w14:textId="77777777" w:rsidR="00A91885" w:rsidRDefault="009C4196">
            <w:pPr>
              <w:jc w:val="right"/>
              <w:textAlignment w:val="bottom"/>
            </w:pPr>
            <w:r>
              <w:rPr>
                <w:rFonts w:ascii="Arial" w:eastAsia="宋体" w:hAnsi="Arial" w:cs="Arial"/>
                <w:color w:val="000000"/>
                <w:sz w:val="18"/>
                <w:szCs w:val="18"/>
              </w:rPr>
              <w:t>16,546 </w:t>
            </w:r>
          </w:p>
        </w:tc>
        <w:tc>
          <w:tcPr>
            <w:tcW w:w="0" w:type="auto"/>
            <w:shd w:val="clear" w:color="auto" w:fill="E2E2E2"/>
            <w:tcMar>
              <w:top w:w="40" w:type="dxa"/>
              <w:left w:w="0" w:type="dxa"/>
              <w:bottom w:w="40" w:type="dxa"/>
              <w:right w:w="20" w:type="dxa"/>
            </w:tcMar>
            <w:vAlign w:val="bottom"/>
          </w:tcPr>
          <w:p w14:paraId="185FF6A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A4"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6A5" w14:textId="77777777" w:rsidR="00A91885" w:rsidRDefault="009C4196">
            <w:pPr>
              <w:jc w:val="right"/>
              <w:textAlignment w:val="bottom"/>
            </w:pPr>
            <w:r>
              <w:rPr>
                <w:rFonts w:ascii="Arial" w:eastAsia="宋体" w:hAnsi="Arial" w:cs="Arial"/>
                <w:color w:val="000000"/>
                <w:sz w:val="18"/>
                <w:szCs w:val="18"/>
              </w:rPr>
              <w:t>16,659 </w:t>
            </w:r>
          </w:p>
        </w:tc>
        <w:tc>
          <w:tcPr>
            <w:tcW w:w="0" w:type="auto"/>
            <w:shd w:val="clear" w:color="auto" w:fill="E2E2E2"/>
            <w:tcMar>
              <w:top w:w="40" w:type="dxa"/>
              <w:left w:w="0" w:type="dxa"/>
              <w:bottom w:w="40" w:type="dxa"/>
              <w:right w:w="20" w:type="dxa"/>
            </w:tcMar>
            <w:vAlign w:val="bottom"/>
          </w:tcPr>
          <w:p w14:paraId="185FF6A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A7"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6A8" w14:textId="77777777" w:rsidR="00A91885" w:rsidRDefault="009C4196">
            <w:pPr>
              <w:jc w:val="right"/>
              <w:textAlignment w:val="bottom"/>
            </w:pPr>
            <w:r>
              <w:rPr>
                <w:rFonts w:ascii="Arial" w:eastAsia="宋体" w:hAnsi="Arial" w:cs="Arial"/>
                <w:color w:val="000000"/>
                <w:sz w:val="18"/>
                <w:szCs w:val="18"/>
              </w:rPr>
              <w:t>16,497 </w:t>
            </w:r>
          </w:p>
        </w:tc>
        <w:tc>
          <w:tcPr>
            <w:tcW w:w="0" w:type="auto"/>
            <w:shd w:val="clear" w:color="auto" w:fill="E2E2E2"/>
            <w:tcMar>
              <w:top w:w="40" w:type="dxa"/>
              <w:left w:w="0" w:type="dxa"/>
              <w:bottom w:w="40" w:type="dxa"/>
              <w:right w:w="20" w:type="dxa"/>
            </w:tcMar>
            <w:vAlign w:val="bottom"/>
          </w:tcPr>
          <w:p w14:paraId="185FF6A9" w14:textId="77777777" w:rsidR="00A91885" w:rsidRDefault="00A91885">
            <w:pPr>
              <w:jc w:val="right"/>
              <w:rPr>
                <w:rFonts w:ascii="宋体"/>
              </w:rPr>
            </w:pPr>
          </w:p>
        </w:tc>
      </w:tr>
      <w:tr w:rsidR="00A91885" w14:paraId="185FF6B7" w14:textId="77777777">
        <w:tc>
          <w:tcPr>
            <w:tcW w:w="0" w:type="auto"/>
            <w:gridSpan w:val="3"/>
            <w:shd w:val="clear" w:color="auto" w:fill="FFFFFF"/>
            <w:tcMar>
              <w:top w:w="40" w:type="dxa"/>
              <w:left w:w="245" w:type="dxa"/>
              <w:bottom w:w="40" w:type="dxa"/>
              <w:right w:w="20" w:type="dxa"/>
            </w:tcMar>
            <w:vAlign w:val="bottom"/>
          </w:tcPr>
          <w:p w14:paraId="185FF6AB" w14:textId="77777777" w:rsidR="00A91885" w:rsidRDefault="009C4196">
            <w:pPr>
              <w:textAlignment w:val="bottom"/>
            </w:pPr>
            <w:r>
              <w:rPr>
                <w:rFonts w:ascii="Arial" w:eastAsia="宋体" w:hAnsi="Arial" w:cs="Arial"/>
                <w:color w:val="000000"/>
                <w:sz w:val="18"/>
                <w:szCs w:val="18"/>
              </w:rPr>
              <w:t>Common stock and stock-based awards issued</w:t>
            </w:r>
          </w:p>
        </w:tc>
        <w:tc>
          <w:tcPr>
            <w:tcW w:w="0" w:type="auto"/>
            <w:gridSpan w:val="2"/>
            <w:shd w:val="clear" w:color="auto" w:fill="FFFFFF"/>
            <w:tcMar>
              <w:top w:w="40" w:type="dxa"/>
              <w:left w:w="20" w:type="dxa"/>
              <w:bottom w:w="40" w:type="dxa"/>
              <w:right w:w="0" w:type="dxa"/>
            </w:tcMar>
            <w:vAlign w:val="bottom"/>
          </w:tcPr>
          <w:p w14:paraId="185FF6AC" w14:textId="77777777" w:rsidR="00A91885" w:rsidRDefault="009C4196">
            <w:pPr>
              <w:jc w:val="right"/>
              <w:textAlignment w:val="bottom"/>
            </w:pPr>
            <w:r>
              <w:rPr>
                <w:rFonts w:ascii="Arial" w:eastAsia="宋体" w:hAnsi="Arial" w:cs="Arial"/>
                <w:color w:val="000000"/>
                <w:sz w:val="18"/>
                <w:szCs w:val="18"/>
              </w:rPr>
              <w:t>54 </w:t>
            </w:r>
          </w:p>
        </w:tc>
        <w:tc>
          <w:tcPr>
            <w:tcW w:w="0" w:type="auto"/>
            <w:shd w:val="clear" w:color="auto" w:fill="FFFFFF"/>
            <w:tcMar>
              <w:top w:w="40" w:type="dxa"/>
              <w:left w:w="0" w:type="dxa"/>
              <w:bottom w:w="40" w:type="dxa"/>
              <w:right w:w="20" w:type="dxa"/>
            </w:tcMar>
            <w:vAlign w:val="bottom"/>
          </w:tcPr>
          <w:p w14:paraId="185FF6A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A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6AF" w14:textId="77777777" w:rsidR="00A91885" w:rsidRDefault="009C4196">
            <w:pPr>
              <w:jc w:val="right"/>
              <w:textAlignment w:val="bottom"/>
            </w:pPr>
            <w:r>
              <w:rPr>
                <w:rFonts w:ascii="Arial" w:eastAsia="宋体" w:hAnsi="Arial" w:cs="Arial"/>
                <w:color w:val="000000"/>
                <w:sz w:val="18"/>
                <w:szCs w:val="18"/>
              </w:rPr>
              <w:t>57 </w:t>
            </w:r>
          </w:p>
        </w:tc>
        <w:tc>
          <w:tcPr>
            <w:tcW w:w="0" w:type="auto"/>
            <w:shd w:val="clear" w:color="auto" w:fill="FFFFFF"/>
            <w:tcMar>
              <w:top w:w="40" w:type="dxa"/>
              <w:left w:w="0" w:type="dxa"/>
              <w:bottom w:w="40" w:type="dxa"/>
              <w:right w:w="20" w:type="dxa"/>
            </w:tcMar>
            <w:vAlign w:val="bottom"/>
          </w:tcPr>
          <w:p w14:paraId="185FF6B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B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6B2" w14:textId="77777777" w:rsidR="00A91885" w:rsidRDefault="009C4196">
            <w:pPr>
              <w:jc w:val="right"/>
              <w:textAlignment w:val="bottom"/>
            </w:pPr>
            <w:r>
              <w:rPr>
                <w:rFonts w:ascii="Arial" w:eastAsia="宋体" w:hAnsi="Arial" w:cs="Arial"/>
                <w:color w:val="000000"/>
                <w:sz w:val="18"/>
                <w:szCs w:val="18"/>
              </w:rPr>
              <w:t>55 </w:t>
            </w:r>
          </w:p>
        </w:tc>
        <w:tc>
          <w:tcPr>
            <w:tcW w:w="0" w:type="auto"/>
            <w:shd w:val="clear" w:color="auto" w:fill="FFFFFF"/>
            <w:tcMar>
              <w:top w:w="40" w:type="dxa"/>
              <w:left w:w="0" w:type="dxa"/>
              <w:bottom w:w="40" w:type="dxa"/>
              <w:right w:w="20" w:type="dxa"/>
            </w:tcMar>
            <w:vAlign w:val="bottom"/>
          </w:tcPr>
          <w:p w14:paraId="185FF6B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B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6B5" w14:textId="77777777" w:rsidR="00A91885" w:rsidRDefault="009C4196">
            <w:pPr>
              <w:jc w:val="right"/>
              <w:textAlignment w:val="bottom"/>
            </w:pPr>
            <w:r>
              <w:rPr>
                <w:rFonts w:ascii="Arial" w:eastAsia="宋体" w:hAnsi="Arial" w:cs="Arial"/>
                <w:color w:val="000000"/>
                <w:sz w:val="18"/>
                <w:szCs w:val="18"/>
              </w:rPr>
              <w:t>58 </w:t>
            </w:r>
          </w:p>
        </w:tc>
        <w:tc>
          <w:tcPr>
            <w:tcW w:w="0" w:type="auto"/>
            <w:shd w:val="clear" w:color="auto" w:fill="FFFFFF"/>
            <w:tcMar>
              <w:top w:w="40" w:type="dxa"/>
              <w:left w:w="0" w:type="dxa"/>
              <w:bottom w:w="40" w:type="dxa"/>
              <w:right w:w="20" w:type="dxa"/>
            </w:tcMar>
            <w:vAlign w:val="bottom"/>
          </w:tcPr>
          <w:p w14:paraId="185FF6B6" w14:textId="77777777" w:rsidR="00A91885" w:rsidRDefault="00A91885">
            <w:pPr>
              <w:jc w:val="right"/>
              <w:rPr>
                <w:rFonts w:ascii="宋体"/>
              </w:rPr>
            </w:pPr>
          </w:p>
        </w:tc>
      </w:tr>
      <w:tr w:rsidR="00A91885" w14:paraId="185FF6C4" w14:textId="77777777">
        <w:tc>
          <w:tcPr>
            <w:tcW w:w="0" w:type="auto"/>
            <w:gridSpan w:val="3"/>
            <w:shd w:val="clear" w:color="auto" w:fill="E2E2E2"/>
            <w:tcMar>
              <w:top w:w="40" w:type="dxa"/>
              <w:left w:w="245" w:type="dxa"/>
              <w:bottom w:w="40" w:type="dxa"/>
              <w:right w:w="20" w:type="dxa"/>
            </w:tcMar>
            <w:vAlign w:val="bottom"/>
          </w:tcPr>
          <w:p w14:paraId="185FF6B8" w14:textId="77777777" w:rsidR="00A91885" w:rsidRDefault="009C4196">
            <w:pPr>
              <w:textAlignment w:val="bottom"/>
            </w:pPr>
            <w:r>
              <w:rPr>
                <w:rFonts w:ascii="Arial" w:eastAsia="宋体" w:hAnsi="Arial" w:cs="Arial"/>
                <w:color w:val="000000"/>
                <w:sz w:val="18"/>
                <w:szCs w:val="18"/>
              </w:rPr>
              <w:t>Tax withholdings related to net share settlements of restricted stock units and awards</w:t>
            </w:r>
          </w:p>
        </w:tc>
        <w:tc>
          <w:tcPr>
            <w:tcW w:w="0" w:type="auto"/>
            <w:gridSpan w:val="2"/>
            <w:shd w:val="clear" w:color="auto" w:fill="E2E2E2"/>
            <w:tcMar>
              <w:top w:w="40" w:type="dxa"/>
              <w:left w:w="20" w:type="dxa"/>
              <w:bottom w:w="40" w:type="dxa"/>
              <w:right w:w="0" w:type="dxa"/>
            </w:tcMar>
            <w:vAlign w:val="bottom"/>
          </w:tcPr>
          <w:p w14:paraId="185FF6B9" w14:textId="77777777" w:rsidR="00A91885" w:rsidRDefault="009C4196">
            <w:pPr>
              <w:jc w:val="right"/>
              <w:textAlignment w:val="bottom"/>
            </w:pPr>
            <w:r>
              <w:rPr>
                <w:rFonts w:ascii="Arial" w:eastAsia="宋体" w:hAnsi="Arial" w:cs="Arial"/>
                <w:color w:val="000000"/>
                <w:sz w:val="18"/>
                <w:szCs w:val="18"/>
              </w:rPr>
              <w:t>(37)</w:t>
            </w:r>
          </w:p>
        </w:tc>
        <w:tc>
          <w:tcPr>
            <w:tcW w:w="0" w:type="auto"/>
            <w:shd w:val="clear" w:color="auto" w:fill="E2E2E2"/>
            <w:tcMar>
              <w:top w:w="40" w:type="dxa"/>
              <w:left w:w="0" w:type="dxa"/>
              <w:bottom w:w="40" w:type="dxa"/>
              <w:right w:w="20" w:type="dxa"/>
            </w:tcMar>
            <w:vAlign w:val="bottom"/>
          </w:tcPr>
          <w:p w14:paraId="185FF6B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B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6BC" w14:textId="77777777" w:rsidR="00A91885" w:rsidRDefault="009C4196">
            <w:pPr>
              <w:jc w:val="right"/>
              <w:textAlignment w:val="bottom"/>
            </w:pPr>
            <w:r>
              <w:rPr>
                <w:rFonts w:ascii="Arial" w:eastAsia="宋体" w:hAnsi="Arial" w:cs="Arial"/>
                <w:color w:val="000000"/>
                <w:sz w:val="18"/>
                <w:szCs w:val="18"/>
              </w:rPr>
              <w:t>(59)</w:t>
            </w:r>
          </w:p>
        </w:tc>
        <w:tc>
          <w:tcPr>
            <w:tcW w:w="0" w:type="auto"/>
            <w:shd w:val="clear" w:color="auto" w:fill="E2E2E2"/>
            <w:tcMar>
              <w:top w:w="40" w:type="dxa"/>
              <w:left w:w="0" w:type="dxa"/>
              <w:bottom w:w="40" w:type="dxa"/>
              <w:right w:w="20" w:type="dxa"/>
            </w:tcMar>
            <w:vAlign w:val="bottom"/>
          </w:tcPr>
          <w:p w14:paraId="185FF6B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B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6BF" w14:textId="77777777" w:rsidR="00A91885" w:rsidRDefault="009C4196">
            <w:pPr>
              <w:jc w:val="right"/>
              <w:textAlignment w:val="bottom"/>
            </w:pPr>
            <w:r>
              <w:rPr>
                <w:rFonts w:ascii="Arial" w:eastAsia="宋体" w:hAnsi="Arial" w:cs="Arial"/>
                <w:color w:val="000000"/>
                <w:sz w:val="18"/>
                <w:szCs w:val="18"/>
              </w:rPr>
              <w:t>(98)</w:t>
            </w:r>
          </w:p>
        </w:tc>
        <w:tc>
          <w:tcPr>
            <w:tcW w:w="0" w:type="auto"/>
            <w:shd w:val="clear" w:color="auto" w:fill="E2E2E2"/>
            <w:tcMar>
              <w:top w:w="40" w:type="dxa"/>
              <w:left w:w="0" w:type="dxa"/>
              <w:bottom w:w="40" w:type="dxa"/>
              <w:right w:w="20" w:type="dxa"/>
            </w:tcMar>
            <w:vAlign w:val="bottom"/>
          </w:tcPr>
          <w:p w14:paraId="185FF6C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C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6C2" w14:textId="77777777" w:rsidR="00A91885" w:rsidRDefault="009C4196">
            <w:pPr>
              <w:jc w:val="right"/>
              <w:textAlignment w:val="bottom"/>
            </w:pPr>
            <w:r>
              <w:rPr>
                <w:rFonts w:ascii="Arial" w:eastAsia="宋体" w:hAnsi="Arial" w:cs="Arial"/>
                <w:color w:val="000000"/>
                <w:sz w:val="18"/>
                <w:szCs w:val="18"/>
              </w:rPr>
              <w:t>(128)</w:t>
            </w:r>
          </w:p>
        </w:tc>
        <w:tc>
          <w:tcPr>
            <w:tcW w:w="0" w:type="auto"/>
            <w:shd w:val="clear" w:color="auto" w:fill="E2E2E2"/>
            <w:tcMar>
              <w:top w:w="40" w:type="dxa"/>
              <w:left w:w="0" w:type="dxa"/>
              <w:bottom w:w="40" w:type="dxa"/>
              <w:right w:w="20" w:type="dxa"/>
            </w:tcMar>
            <w:vAlign w:val="bottom"/>
          </w:tcPr>
          <w:p w14:paraId="185FF6C3" w14:textId="77777777" w:rsidR="00A91885" w:rsidRDefault="00A91885">
            <w:pPr>
              <w:jc w:val="right"/>
              <w:rPr>
                <w:rFonts w:ascii="宋体"/>
              </w:rPr>
            </w:pPr>
          </w:p>
        </w:tc>
      </w:tr>
      <w:tr w:rsidR="00A91885" w14:paraId="185FF6D1" w14:textId="77777777">
        <w:tc>
          <w:tcPr>
            <w:tcW w:w="0" w:type="auto"/>
            <w:gridSpan w:val="3"/>
            <w:shd w:val="clear" w:color="auto" w:fill="FFFFFF"/>
            <w:tcMar>
              <w:top w:w="40" w:type="dxa"/>
              <w:left w:w="245" w:type="dxa"/>
              <w:bottom w:w="40" w:type="dxa"/>
              <w:right w:w="20" w:type="dxa"/>
            </w:tcMar>
            <w:vAlign w:val="bottom"/>
          </w:tcPr>
          <w:p w14:paraId="185FF6C5" w14:textId="77777777" w:rsidR="00A91885" w:rsidRDefault="009C4196">
            <w:pPr>
              <w:textAlignment w:val="bottom"/>
            </w:pPr>
            <w:r>
              <w:rPr>
                <w:rFonts w:ascii="Arial" w:eastAsia="宋体" w:hAnsi="Arial" w:cs="Arial"/>
                <w:color w:val="000000"/>
                <w:sz w:val="18"/>
                <w:szCs w:val="18"/>
              </w:rPr>
              <w:t>Stock-based compensation</w:t>
            </w:r>
          </w:p>
        </w:tc>
        <w:tc>
          <w:tcPr>
            <w:tcW w:w="0" w:type="auto"/>
            <w:gridSpan w:val="2"/>
            <w:shd w:val="clear" w:color="auto" w:fill="FFFFFF"/>
            <w:tcMar>
              <w:top w:w="40" w:type="dxa"/>
              <w:left w:w="20" w:type="dxa"/>
              <w:bottom w:w="40" w:type="dxa"/>
              <w:right w:w="0" w:type="dxa"/>
            </w:tcMar>
            <w:vAlign w:val="bottom"/>
          </w:tcPr>
          <w:p w14:paraId="185FF6C6" w14:textId="77777777" w:rsidR="00A91885" w:rsidRDefault="009C4196">
            <w:pPr>
              <w:jc w:val="right"/>
              <w:textAlignment w:val="bottom"/>
            </w:pPr>
            <w:r>
              <w:rPr>
                <w:rFonts w:ascii="Arial" w:eastAsia="宋体" w:hAnsi="Arial" w:cs="Arial"/>
                <w:color w:val="000000"/>
                <w:sz w:val="18"/>
                <w:szCs w:val="18"/>
              </w:rPr>
              <w:t>137 </w:t>
            </w:r>
          </w:p>
        </w:tc>
        <w:tc>
          <w:tcPr>
            <w:tcW w:w="0" w:type="auto"/>
            <w:shd w:val="clear" w:color="auto" w:fill="FFFFFF"/>
            <w:tcMar>
              <w:top w:w="40" w:type="dxa"/>
              <w:left w:w="0" w:type="dxa"/>
              <w:bottom w:w="40" w:type="dxa"/>
              <w:right w:w="20" w:type="dxa"/>
            </w:tcMar>
            <w:vAlign w:val="bottom"/>
          </w:tcPr>
          <w:p w14:paraId="185FF6C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C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6C9" w14:textId="77777777" w:rsidR="00A91885" w:rsidRDefault="009C4196">
            <w:pPr>
              <w:jc w:val="right"/>
              <w:textAlignment w:val="bottom"/>
            </w:pPr>
            <w:r>
              <w:rPr>
                <w:rFonts w:ascii="Arial" w:eastAsia="宋体" w:hAnsi="Arial" w:cs="Arial"/>
                <w:color w:val="000000"/>
                <w:sz w:val="18"/>
                <w:szCs w:val="18"/>
              </w:rPr>
              <w:t>140 </w:t>
            </w:r>
          </w:p>
        </w:tc>
        <w:tc>
          <w:tcPr>
            <w:tcW w:w="0" w:type="auto"/>
            <w:shd w:val="clear" w:color="auto" w:fill="FFFFFF"/>
            <w:tcMar>
              <w:top w:w="40" w:type="dxa"/>
              <w:left w:w="0" w:type="dxa"/>
              <w:bottom w:w="40" w:type="dxa"/>
              <w:right w:w="20" w:type="dxa"/>
            </w:tcMar>
            <w:vAlign w:val="bottom"/>
          </w:tcPr>
          <w:p w14:paraId="185FF6C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C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6CC" w14:textId="77777777" w:rsidR="00A91885" w:rsidRDefault="009C4196">
            <w:pPr>
              <w:jc w:val="right"/>
              <w:textAlignment w:val="bottom"/>
            </w:pPr>
            <w:r>
              <w:rPr>
                <w:rFonts w:ascii="Arial" w:eastAsia="宋体" w:hAnsi="Arial" w:cs="Arial"/>
                <w:color w:val="000000"/>
                <w:sz w:val="18"/>
                <w:szCs w:val="18"/>
              </w:rPr>
              <w:t>248 </w:t>
            </w:r>
          </w:p>
        </w:tc>
        <w:tc>
          <w:tcPr>
            <w:tcW w:w="0" w:type="auto"/>
            <w:shd w:val="clear" w:color="auto" w:fill="FFFFFF"/>
            <w:tcMar>
              <w:top w:w="40" w:type="dxa"/>
              <w:left w:w="0" w:type="dxa"/>
              <w:bottom w:w="40" w:type="dxa"/>
              <w:right w:w="20" w:type="dxa"/>
            </w:tcMar>
            <w:vAlign w:val="bottom"/>
          </w:tcPr>
          <w:p w14:paraId="185FF6C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C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6CF" w14:textId="77777777" w:rsidR="00A91885" w:rsidRDefault="009C4196">
            <w:pPr>
              <w:jc w:val="right"/>
              <w:textAlignment w:val="bottom"/>
            </w:pPr>
            <w:r>
              <w:rPr>
                <w:rFonts w:ascii="Arial" w:eastAsia="宋体" w:hAnsi="Arial" w:cs="Arial"/>
                <w:color w:val="000000"/>
                <w:sz w:val="18"/>
                <w:szCs w:val="18"/>
              </w:rPr>
              <w:t>256 </w:t>
            </w:r>
          </w:p>
        </w:tc>
        <w:tc>
          <w:tcPr>
            <w:tcW w:w="0" w:type="auto"/>
            <w:shd w:val="clear" w:color="auto" w:fill="FFFFFF"/>
            <w:tcMar>
              <w:top w:w="40" w:type="dxa"/>
              <w:left w:w="0" w:type="dxa"/>
              <w:bottom w:w="40" w:type="dxa"/>
              <w:right w:w="20" w:type="dxa"/>
            </w:tcMar>
            <w:vAlign w:val="bottom"/>
          </w:tcPr>
          <w:p w14:paraId="185FF6D0" w14:textId="77777777" w:rsidR="00A91885" w:rsidRDefault="00A91885">
            <w:pPr>
              <w:jc w:val="right"/>
              <w:rPr>
                <w:rFonts w:ascii="宋体"/>
              </w:rPr>
            </w:pPr>
          </w:p>
        </w:tc>
      </w:tr>
      <w:tr w:rsidR="00A91885" w14:paraId="185FF6DA" w14:textId="77777777">
        <w:trPr>
          <w:hidden/>
        </w:trPr>
        <w:tc>
          <w:tcPr>
            <w:tcW w:w="0" w:type="auto"/>
            <w:gridSpan w:val="3"/>
            <w:shd w:val="clear" w:color="auto" w:fill="auto"/>
            <w:vAlign w:val="bottom"/>
          </w:tcPr>
          <w:p w14:paraId="185FF6D2" w14:textId="77777777" w:rsidR="00A91885" w:rsidRDefault="00A91885">
            <w:pPr>
              <w:rPr>
                <w:rFonts w:ascii="宋体"/>
                <w:vanish/>
              </w:rPr>
            </w:pPr>
          </w:p>
        </w:tc>
        <w:tc>
          <w:tcPr>
            <w:tcW w:w="0" w:type="auto"/>
            <w:gridSpan w:val="3"/>
            <w:shd w:val="clear" w:color="auto" w:fill="auto"/>
            <w:vAlign w:val="bottom"/>
          </w:tcPr>
          <w:p w14:paraId="185FF6D3" w14:textId="77777777" w:rsidR="00A91885" w:rsidRDefault="00A91885">
            <w:pPr>
              <w:rPr>
                <w:rFonts w:ascii="宋体"/>
                <w:vanish/>
              </w:rPr>
            </w:pPr>
          </w:p>
        </w:tc>
        <w:tc>
          <w:tcPr>
            <w:tcW w:w="0" w:type="auto"/>
            <w:gridSpan w:val="3"/>
            <w:shd w:val="clear" w:color="auto" w:fill="auto"/>
            <w:vAlign w:val="bottom"/>
          </w:tcPr>
          <w:p w14:paraId="185FF6D4" w14:textId="77777777" w:rsidR="00A91885" w:rsidRDefault="00A91885">
            <w:pPr>
              <w:rPr>
                <w:rFonts w:ascii="宋体"/>
                <w:vanish/>
              </w:rPr>
            </w:pPr>
          </w:p>
        </w:tc>
        <w:tc>
          <w:tcPr>
            <w:tcW w:w="0" w:type="auto"/>
            <w:gridSpan w:val="3"/>
            <w:shd w:val="clear" w:color="auto" w:fill="auto"/>
            <w:vAlign w:val="bottom"/>
          </w:tcPr>
          <w:p w14:paraId="185FF6D5" w14:textId="77777777" w:rsidR="00A91885" w:rsidRDefault="00A91885">
            <w:pPr>
              <w:rPr>
                <w:rFonts w:ascii="宋体"/>
                <w:vanish/>
              </w:rPr>
            </w:pPr>
          </w:p>
        </w:tc>
        <w:tc>
          <w:tcPr>
            <w:tcW w:w="0" w:type="auto"/>
            <w:gridSpan w:val="3"/>
            <w:shd w:val="clear" w:color="auto" w:fill="auto"/>
            <w:vAlign w:val="bottom"/>
          </w:tcPr>
          <w:p w14:paraId="185FF6D6" w14:textId="77777777" w:rsidR="00A91885" w:rsidRDefault="00A91885">
            <w:pPr>
              <w:rPr>
                <w:rFonts w:ascii="宋体"/>
                <w:vanish/>
              </w:rPr>
            </w:pPr>
          </w:p>
        </w:tc>
        <w:tc>
          <w:tcPr>
            <w:tcW w:w="0" w:type="auto"/>
            <w:gridSpan w:val="3"/>
            <w:shd w:val="clear" w:color="auto" w:fill="auto"/>
            <w:vAlign w:val="bottom"/>
          </w:tcPr>
          <w:p w14:paraId="185FF6D7" w14:textId="77777777" w:rsidR="00A91885" w:rsidRDefault="00A91885">
            <w:pPr>
              <w:rPr>
                <w:rFonts w:ascii="宋体"/>
                <w:vanish/>
              </w:rPr>
            </w:pPr>
          </w:p>
        </w:tc>
        <w:tc>
          <w:tcPr>
            <w:tcW w:w="0" w:type="auto"/>
            <w:gridSpan w:val="3"/>
            <w:shd w:val="clear" w:color="auto" w:fill="auto"/>
            <w:vAlign w:val="bottom"/>
          </w:tcPr>
          <w:p w14:paraId="185FF6D8" w14:textId="77777777" w:rsidR="00A91885" w:rsidRDefault="00A91885">
            <w:pPr>
              <w:rPr>
                <w:rFonts w:ascii="宋体"/>
                <w:vanish/>
              </w:rPr>
            </w:pPr>
          </w:p>
        </w:tc>
        <w:tc>
          <w:tcPr>
            <w:tcW w:w="0" w:type="auto"/>
            <w:gridSpan w:val="3"/>
            <w:shd w:val="clear" w:color="auto" w:fill="auto"/>
            <w:vAlign w:val="bottom"/>
          </w:tcPr>
          <w:p w14:paraId="185FF6D9" w14:textId="77777777" w:rsidR="00A91885" w:rsidRDefault="00A91885">
            <w:pPr>
              <w:rPr>
                <w:rFonts w:ascii="宋体"/>
                <w:vanish/>
              </w:rPr>
            </w:pPr>
          </w:p>
        </w:tc>
      </w:tr>
      <w:tr w:rsidR="00A91885" w14:paraId="185FF6E7" w14:textId="77777777">
        <w:tc>
          <w:tcPr>
            <w:tcW w:w="0" w:type="auto"/>
            <w:gridSpan w:val="3"/>
            <w:shd w:val="clear" w:color="auto" w:fill="E2E2E2"/>
            <w:tcMar>
              <w:top w:w="40" w:type="dxa"/>
              <w:left w:w="245" w:type="dxa"/>
              <w:bottom w:w="40" w:type="dxa"/>
              <w:right w:w="20" w:type="dxa"/>
            </w:tcMar>
            <w:vAlign w:val="bottom"/>
          </w:tcPr>
          <w:p w14:paraId="185FF6DB" w14:textId="77777777" w:rsidR="00A91885" w:rsidRDefault="009C4196">
            <w:pPr>
              <w:textAlignment w:val="bottom"/>
            </w:pPr>
            <w:r>
              <w:rPr>
                <w:rFonts w:ascii="Arial" w:eastAsia="宋体" w:hAnsi="Arial" w:cs="Arial"/>
                <w:color w:val="000000"/>
                <w:sz w:val="18"/>
                <w:szCs w:val="18"/>
              </w:rPr>
              <w:t>Forward contract for share repurchases</w:t>
            </w:r>
          </w:p>
        </w:tc>
        <w:tc>
          <w:tcPr>
            <w:tcW w:w="0" w:type="auto"/>
            <w:gridSpan w:val="2"/>
            <w:shd w:val="clear" w:color="auto" w:fill="E2E2E2"/>
            <w:tcMar>
              <w:top w:w="40" w:type="dxa"/>
              <w:left w:w="20" w:type="dxa"/>
              <w:bottom w:w="40" w:type="dxa"/>
              <w:right w:w="0" w:type="dxa"/>
            </w:tcMar>
            <w:vAlign w:val="bottom"/>
          </w:tcPr>
          <w:p w14:paraId="185FF6DC"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5FF6D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D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6DF"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5FF6E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E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6E2" w14:textId="77777777" w:rsidR="00A91885" w:rsidRDefault="009C4196">
            <w:pPr>
              <w:jc w:val="right"/>
              <w:textAlignment w:val="bottom"/>
            </w:pPr>
            <w:r>
              <w:rPr>
                <w:rFonts w:ascii="Arial" w:eastAsia="宋体" w:hAnsi="Arial" w:cs="Arial"/>
                <w:color w:val="000000"/>
                <w:sz w:val="18"/>
                <w:szCs w:val="18"/>
              </w:rPr>
              <w:t>188 </w:t>
            </w:r>
          </w:p>
        </w:tc>
        <w:tc>
          <w:tcPr>
            <w:tcW w:w="0" w:type="auto"/>
            <w:shd w:val="clear" w:color="auto" w:fill="E2E2E2"/>
            <w:tcMar>
              <w:top w:w="40" w:type="dxa"/>
              <w:left w:w="0" w:type="dxa"/>
              <w:bottom w:w="40" w:type="dxa"/>
              <w:right w:w="20" w:type="dxa"/>
            </w:tcMar>
            <w:vAlign w:val="bottom"/>
          </w:tcPr>
          <w:p w14:paraId="185FF6E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E4"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6E5"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5FF6E6" w14:textId="77777777" w:rsidR="00A91885" w:rsidRDefault="00A91885">
            <w:pPr>
              <w:jc w:val="right"/>
              <w:rPr>
                <w:rFonts w:ascii="宋体"/>
              </w:rPr>
            </w:pPr>
          </w:p>
        </w:tc>
      </w:tr>
      <w:tr w:rsidR="00A91885" w14:paraId="185FF6F4" w14:textId="77777777">
        <w:tc>
          <w:tcPr>
            <w:tcW w:w="0" w:type="auto"/>
            <w:gridSpan w:val="3"/>
            <w:shd w:val="clear" w:color="auto" w:fill="FFFFFF"/>
            <w:tcMar>
              <w:top w:w="40" w:type="dxa"/>
              <w:left w:w="245" w:type="dxa"/>
              <w:bottom w:w="40" w:type="dxa"/>
              <w:right w:w="20" w:type="dxa"/>
            </w:tcMar>
            <w:vAlign w:val="bottom"/>
          </w:tcPr>
          <w:p w14:paraId="185FF6E8" w14:textId="77777777" w:rsidR="00A91885" w:rsidRDefault="009C4196">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185FF6E9"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85FF6E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E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6EC" w14:textId="77777777" w:rsidR="00A91885" w:rsidRDefault="009C4196">
            <w:pPr>
              <w:jc w:val="right"/>
              <w:textAlignment w:val="bottom"/>
            </w:pPr>
            <w:r>
              <w:rPr>
                <w:rFonts w:ascii="Arial" w:eastAsia="宋体" w:hAnsi="Arial" w:cs="Arial"/>
                <w:color w:val="000000"/>
                <w:sz w:val="18"/>
                <w:szCs w:val="18"/>
              </w:rPr>
              <w:t>(8)</w:t>
            </w:r>
          </w:p>
        </w:tc>
        <w:tc>
          <w:tcPr>
            <w:tcW w:w="0" w:type="auto"/>
            <w:shd w:val="clear" w:color="auto" w:fill="FFFFFF"/>
            <w:tcMar>
              <w:top w:w="40" w:type="dxa"/>
              <w:left w:w="0" w:type="dxa"/>
              <w:bottom w:w="40" w:type="dxa"/>
              <w:right w:w="20" w:type="dxa"/>
            </w:tcMar>
            <w:vAlign w:val="bottom"/>
          </w:tcPr>
          <w:p w14:paraId="185FF6E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E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6EF" w14:textId="77777777" w:rsidR="00A91885" w:rsidRDefault="009C4196">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185FF6F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6F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6F2" w14:textId="77777777" w:rsidR="00A91885" w:rsidRDefault="009C4196">
            <w:pPr>
              <w:jc w:val="right"/>
              <w:textAlignment w:val="bottom"/>
            </w:pPr>
            <w:r>
              <w:rPr>
                <w:rFonts w:ascii="Arial" w:eastAsia="宋体" w:hAnsi="Arial" w:cs="Arial"/>
                <w:color w:val="000000"/>
                <w:sz w:val="18"/>
                <w:szCs w:val="18"/>
              </w:rPr>
              <w:t>(7)</w:t>
            </w:r>
          </w:p>
        </w:tc>
        <w:tc>
          <w:tcPr>
            <w:tcW w:w="0" w:type="auto"/>
            <w:shd w:val="clear" w:color="auto" w:fill="FFFFFF"/>
            <w:tcMar>
              <w:top w:w="40" w:type="dxa"/>
              <w:left w:w="0" w:type="dxa"/>
              <w:bottom w:w="40" w:type="dxa"/>
              <w:right w:w="20" w:type="dxa"/>
            </w:tcMar>
            <w:vAlign w:val="bottom"/>
          </w:tcPr>
          <w:p w14:paraId="185FF6F3" w14:textId="77777777" w:rsidR="00A91885" w:rsidRDefault="00A91885">
            <w:pPr>
              <w:jc w:val="right"/>
              <w:rPr>
                <w:rFonts w:ascii="宋体"/>
              </w:rPr>
            </w:pPr>
          </w:p>
        </w:tc>
      </w:tr>
      <w:tr w:rsidR="00A91885" w14:paraId="185FF701" w14:textId="77777777">
        <w:tc>
          <w:tcPr>
            <w:tcW w:w="0" w:type="auto"/>
            <w:gridSpan w:val="3"/>
            <w:shd w:val="clear" w:color="auto" w:fill="E2E2E2"/>
            <w:tcMar>
              <w:top w:w="40" w:type="dxa"/>
              <w:left w:w="740" w:type="dxa"/>
              <w:bottom w:w="40" w:type="dxa"/>
              <w:right w:w="20" w:type="dxa"/>
            </w:tcMar>
            <w:vAlign w:val="bottom"/>
          </w:tcPr>
          <w:p w14:paraId="185FF6F5" w14:textId="77777777" w:rsidR="00A91885" w:rsidRDefault="009C4196">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6F6" w14:textId="77777777" w:rsidR="00A91885" w:rsidRDefault="009C4196">
            <w:pPr>
              <w:jc w:val="right"/>
              <w:textAlignment w:val="bottom"/>
            </w:pPr>
            <w:r>
              <w:rPr>
                <w:rFonts w:ascii="Arial" w:eastAsia="宋体" w:hAnsi="Arial" w:cs="Arial"/>
                <w:color w:val="000000"/>
                <w:sz w:val="18"/>
                <w:szCs w:val="18"/>
              </w:rPr>
              <w:t>17,059 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6F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F8"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6F9" w14:textId="77777777" w:rsidR="00A91885" w:rsidRDefault="009C4196">
            <w:pPr>
              <w:jc w:val="right"/>
              <w:textAlignment w:val="bottom"/>
            </w:pPr>
            <w:r>
              <w:rPr>
                <w:rFonts w:ascii="Arial" w:eastAsia="宋体" w:hAnsi="Arial" w:cs="Arial"/>
                <w:color w:val="000000"/>
                <w:sz w:val="18"/>
                <w:szCs w:val="18"/>
              </w:rPr>
              <w:t>16,676 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6F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FB"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6FC" w14:textId="77777777" w:rsidR="00A91885" w:rsidRDefault="009C4196">
            <w:pPr>
              <w:jc w:val="right"/>
              <w:textAlignment w:val="bottom"/>
            </w:pPr>
            <w:r>
              <w:rPr>
                <w:rFonts w:ascii="Arial" w:eastAsia="宋体" w:hAnsi="Arial" w:cs="Arial"/>
                <w:color w:val="000000"/>
                <w:sz w:val="18"/>
                <w:szCs w:val="18"/>
              </w:rPr>
              <w:t>17,059 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6F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6FE"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6FF" w14:textId="77777777" w:rsidR="00A91885" w:rsidRDefault="009C4196">
            <w:pPr>
              <w:jc w:val="right"/>
              <w:textAlignment w:val="bottom"/>
            </w:pPr>
            <w:r>
              <w:rPr>
                <w:rFonts w:ascii="Arial" w:eastAsia="宋体" w:hAnsi="Arial" w:cs="Arial"/>
                <w:color w:val="000000"/>
                <w:sz w:val="18"/>
                <w:szCs w:val="18"/>
              </w:rPr>
              <w:t>16,676 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700" w14:textId="77777777" w:rsidR="00A91885" w:rsidRDefault="00A91885">
            <w:pPr>
              <w:jc w:val="right"/>
              <w:rPr>
                <w:rFonts w:ascii="宋体"/>
              </w:rPr>
            </w:pPr>
          </w:p>
        </w:tc>
      </w:tr>
      <w:tr w:rsidR="00A91885" w14:paraId="185FF70A" w14:textId="77777777">
        <w:tc>
          <w:tcPr>
            <w:tcW w:w="0" w:type="auto"/>
            <w:gridSpan w:val="3"/>
            <w:shd w:val="clear" w:color="auto" w:fill="FFFFFF"/>
            <w:tcMar>
              <w:top w:w="40" w:type="dxa"/>
              <w:left w:w="20" w:type="dxa"/>
              <w:bottom w:w="40" w:type="dxa"/>
              <w:right w:w="20" w:type="dxa"/>
            </w:tcMar>
            <w:vAlign w:val="bottom"/>
          </w:tcPr>
          <w:p w14:paraId="185FF702" w14:textId="77777777" w:rsidR="00A91885" w:rsidRDefault="009C4196">
            <w:pPr>
              <w:textAlignment w:val="bottom"/>
            </w:pPr>
            <w:r>
              <w:rPr>
                <w:rFonts w:ascii="Arial" w:eastAsia="宋体" w:hAnsi="Arial" w:cs="Arial"/>
                <w:color w:val="000000"/>
                <w:sz w:val="18"/>
                <w:szCs w:val="18"/>
              </w:rPr>
              <w:t>Treasury stock at cost:</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703"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704"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705"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706"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707"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708"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709" w14:textId="77777777" w:rsidR="00A91885" w:rsidRDefault="00A91885">
            <w:pPr>
              <w:rPr>
                <w:rFonts w:ascii="宋体"/>
              </w:rPr>
            </w:pPr>
          </w:p>
        </w:tc>
      </w:tr>
      <w:tr w:rsidR="00A91885" w14:paraId="185FF717" w14:textId="77777777">
        <w:tc>
          <w:tcPr>
            <w:tcW w:w="0" w:type="auto"/>
            <w:gridSpan w:val="3"/>
            <w:shd w:val="clear" w:color="auto" w:fill="E2E2E2"/>
            <w:tcMar>
              <w:top w:w="40" w:type="dxa"/>
              <w:left w:w="245" w:type="dxa"/>
              <w:bottom w:w="40" w:type="dxa"/>
              <w:right w:w="20" w:type="dxa"/>
            </w:tcMar>
            <w:vAlign w:val="bottom"/>
          </w:tcPr>
          <w:p w14:paraId="185FF70B" w14:textId="77777777" w:rsidR="00A91885" w:rsidRDefault="009C4196">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185FF70C" w14:textId="77777777" w:rsidR="00A91885" w:rsidRDefault="009C4196">
            <w:pPr>
              <w:jc w:val="right"/>
              <w:textAlignment w:val="bottom"/>
            </w:pPr>
            <w:r>
              <w:rPr>
                <w:rFonts w:ascii="Arial" w:eastAsia="宋体" w:hAnsi="Arial" w:cs="Arial"/>
                <w:color w:val="000000"/>
                <w:sz w:val="18"/>
                <w:szCs w:val="18"/>
              </w:rPr>
              <w:t>(44,809)</w:t>
            </w:r>
          </w:p>
        </w:tc>
        <w:tc>
          <w:tcPr>
            <w:tcW w:w="0" w:type="auto"/>
            <w:shd w:val="clear" w:color="auto" w:fill="E2E2E2"/>
            <w:tcMar>
              <w:top w:w="40" w:type="dxa"/>
              <w:left w:w="0" w:type="dxa"/>
              <w:bottom w:w="40" w:type="dxa"/>
              <w:right w:w="20" w:type="dxa"/>
            </w:tcMar>
            <w:vAlign w:val="bottom"/>
          </w:tcPr>
          <w:p w14:paraId="185FF70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0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70F" w14:textId="77777777" w:rsidR="00A91885" w:rsidRDefault="009C4196">
            <w:pPr>
              <w:jc w:val="right"/>
              <w:textAlignment w:val="bottom"/>
            </w:pPr>
            <w:r>
              <w:rPr>
                <w:rFonts w:ascii="Arial" w:eastAsia="宋体" w:hAnsi="Arial" w:cs="Arial"/>
                <w:color w:val="000000"/>
                <w:sz w:val="18"/>
                <w:szCs w:val="18"/>
              </w:rPr>
              <w:t>(36,807)</w:t>
            </w:r>
          </w:p>
        </w:tc>
        <w:tc>
          <w:tcPr>
            <w:tcW w:w="0" w:type="auto"/>
            <w:shd w:val="clear" w:color="auto" w:fill="E2E2E2"/>
            <w:tcMar>
              <w:top w:w="40" w:type="dxa"/>
              <w:left w:w="0" w:type="dxa"/>
              <w:bottom w:w="40" w:type="dxa"/>
              <w:right w:w="20" w:type="dxa"/>
            </w:tcMar>
            <w:vAlign w:val="bottom"/>
          </w:tcPr>
          <w:p w14:paraId="185FF71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1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712" w14:textId="77777777" w:rsidR="00A91885" w:rsidRDefault="009C4196">
            <w:pPr>
              <w:jc w:val="right"/>
              <w:textAlignment w:val="bottom"/>
            </w:pPr>
            <w:r>
              <w:rPr>
                <w:rFonts w:ascii="Arial" w:eastAsia="宋体" w:hAnsi="Arial" w:cs="Arial"/>
                <w:color w:val="000000"/>
                <w:sz w:val="18"/>
                <w:szCs w:val="18"/>
              </w:rPr>
              <w:t>(43,371)</w:t>
            </w:r>
          </w:p>
        </w:tc>
        <w:tc>
          <w:tcPr>
            <w:tcW w:w="0" w:type="auto"/>
            <w:shd w:val="clear" w:color="auto" w:fill="E2E2E2"/>
            <w:tcMar>
              <w:top w:w="40" w:type="dxa"/>
              <w:left w:w="0" w:type="dxa"/>
              <w:bottom w:w="40" w:type="dxa"/>
              <w:right w:w="20" w:type="dxa"/>
            </w:tcMar>
            <w:vAlign w:val="bottom"/>
          </w:tcPr>
          <w:p w14:paraId="185FF71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14"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715" w14:textId="77777777" w:rsidR="00A91885" w:rsidRDefault="009C4196">
            <w:pPr>
              <w:jc w:val="right"/>
              <w:textAlignment w:val="bottom"/>
            </w:pPr>
            <w:r>
              <w:rPr>
                <w:rFonts w:ascii="Arial" w:eastAsia="宋体" w:hAnsi="Arial" w:cs="Arial"/>
                <w:color w:val="000000"/>
                <w:sz w:val="18"/>
                <w:szCs w:val="18"/>
              </w:rPr>
              <w:t>(36,515)</w:t>
            </w:r>
          </w:p>
        </w:tc>
        <w:tc>
          <w:tcPr>
            <w:tcW w:w="0" w:type="auto"/>
            <w:shd w:val="clear" w:color="auto" w:fill="E2E2E2"/>
            <w:tcMar>
              <w:top w:w="40" w:type="dxa"/>
              <w:left w:w="0" w:type="dxa"/>
              <w:bottom w:w="40" w:type="dxa"/>
              <w:right w:w="20" w:type="dxa"/>
            </w:tcMar>
            <w:vAlign w:val="bottom"/>
          </w:tcPr>
          <w:p w14:paraId="185FF716" w14:textId="77777777" w:rsidR="00A91885" w:rsidRDefault="00A91885">
            <w:pPr>
              <w:jc w:val="right"/>
              <w:rPr>
                <w:rFonts w:ascii="宋体"/>
              </w:rPr>
            </w:pPr>
          </w:p>
        </w:tc>
      </w:tr>
      <w:tr w:rsidR="00A91885" w14:paraId="185FF724" w14:textId="77777777">
        <w:tc>
          <w:tcPr>
            <w:tcW w:w="0" w:type="auto"/>
            <w:gridSpan w:val="3"/>
            <w:shd w:val="clear" w:color="auto" w:fill="FFFFFF"/>
            <w:tcMar>
              <w:top w:w="40" w:type="dxa"/>
              <w:left w:w="245" w:type="dxa"/>
              <w:bottom w:w="40" w:type="dxa"/>
              <w:right w:w="20" w:type="dxa"/>
            </w:tcMar>
            <w:vAlign w:val="bottom"/>
          </w:tcPr>
          <w:p w14:paraId="185FF718" w14:textId="77777777" w:rsidR="00A91885" w:rsidRDefault="009C4196">
            <w:pPr>
              <w:textAlignment w:val="bottom"/>
            </w:pPr>
            <w:r>
              <w:rPr>
                <w:rFonts w:ascii="Arial" w:eastAsia="宋体" w:hAnsi="Arial" w:cs="Arial"/>
                <w:color w:val="000000"/>
                <w:sz w:val="18"/>
                <w:szCs w:val="18"/>
              </w:rPr>
              <w:t>Common stock repurchased</w:t>
            </w:r>
          </w:p>
        </w:tc>
        <w:tc>
          <w:tcPr>
            <w:tcW w:w="0" w:type="auto"/>
            <w:gridSpan w:val="2"/>
            <w:shd w:val="clear" w:color="auto" w:fill="FFFFFF"/>
            <w:tcMar>
              <w:top w:w="40" w:type="dxa"/>
              <w:left w:w="20" w:type="dxa"/>
              <w:bottom w:w="40" w:type="dxa"/>
              <w:right w:w="0" w:type="dxa"/>
            </w:tcMar>
            <w:vAlign w:val="bottom"/>
          </w:tcPr>
          <w:p w14:paraId="185FF719" w14:textId="77777777" w:rsidR="00A91885" w:rsidRDefault="009C4196">
            <w:pPr>
              <w:jc w:val="right"/>
              <w:textAlignment w:val="bottom"/>
            </w:pPr>
            <w:r>
              <w:rPr>
                <w:rFonts w:ascii="Arial" w:eastAsia="宋体" w:hAnsi="Arial" w:cs="Arial"/>
                <w:color w:val="000000"/>
                <w:sz w:val="18"/>
                <w:szCs w:val="18"/>
              </w:rPr>
              <w:t>(1,292)</w:t>
            </w:r>
          </w:p>
        </w:tc>
        <w:tc>
          <w:tcPr>
            <w:tcW w:w="0" w:type="auto"/>
            <w:shd w:val="clear" w:color="auto" w:fill="FFFFFF"/>
            <w:tcMar>
              <w:top w:w="40" w:type="dxa"/>
              <w:left w:w="0" w:type="dxa"/>
              <w:bottom w:w="40" w:type="dxa"/>
              <w:right w:w="20" w:type="dxa"/>
            </w:tcMar>
            <w:vAlign w:val="bottom"/>
          </w:tcPr>
          <w:p w14:paraId="185FF71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1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71C" w14:textId="77777777" w:rsidR="00A91885" w:rsidRDefault="009C4196">
            <w:pPr>
              <w:jc w:val="right"/>
              <w:textAlignment w:val="bottom"/>
            </w:pPr>
            <w:r>
              <w:rPr>
                <w:rFonts w:ascii="Arial" w:eastAsia="宋体" w:hAnsi="Arial" w:cs="Arial"/>
                <w:color w:val="000000"/>
                <w:sz w:val="18"/>
                <w:szCs w:val="18"/>
              </w:rPr>
              <w:t>(1,501)</w:t>
            </w:r>
          </w:p>
        </w:tc>
        <w:tc>
          <w:tcPr>
            <w:tcW w:w="0" w:type="auto"/>
            <w:shd w:val="clear" w:color="auto" w:fill="FFFFFF"/>
            <w:tcMar>
              <w:top w:w="40" w:type="dxa"/>
              <w:left w:w="0" w:type="dxa"/>
              <w:bottom w:w="40" w:type="dxa"/>
              <w:right w:w="20" w:type="dxa"/>
            </w:tcMar>
            <w:vAlign w:val="bottom"/>
          </w:tcPr>
          <w:p w14:paraId="185FF71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1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71F" w14:textId="77777777" w:rsidR="00A91885" w:rsidRDefault="009C4196">
            <w:pPr>
              <w:jc w:val="right"/>
              <w:textAlignment w:val="bottom"/>
            </w:pPr>
            <w:r>
              <w:rPr>
                <w:rFonts w:ascii="Arial" w:eastAsia="宋体" w:hAnsi="Arial" w:cs="Arial"/>
                <w:color w:val="000000"/>
                <w:sz w:val="18"/>
                <w:szCs w:val="18"/>
              </w:rPr>
              <w:t>(2,730)</w:t>
            </w:r>
          </w:p>
        </w:tc>
        <w:tc>
          <w:tcPr>
            <w:tcW w:w="0" w:type="auto"/>
            <w:shd w:val="clear" w:color="auto" w:fill="FFFFFF"/>
            <w:tcMar>
              <w:top w:w="40" w:type="dxa"/>
              <w:left w:w="0" w:type="dxa"/>
              <w:bottom w:w="40" w:type="dxa"/>
              <w:right w:w="20" w:type="dxa"/>
            </w:tcMar>
            <w:vAlign w:val="bottom"/>
          </w:tcPr>
          <w:p w14:paraId="185FF72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2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722" w14:textId="77777777" w:rsidR="00A91885" w:rsidRDefault="009C4196">
            <w:pPr>
              <w:jc w:val="right"/>
              <w:textAlignment w:val="bottom"/>
            </w:pPr>
            <w:r>
              <w:rPr>
                <w:rFonts w:ascii="Arial" w:eastAsia="宋体" w:hAnsi="Arial" w:cs="Arial"/>
                <w:color w:val="000000"/>
                <w:sz w:val="18"/>
                <w:szCs w:val="18"/>
              </w:rPr>
              <w:t>(1,793)</w:t>
            </w:r>
          </w:p>
        </w:tc>
        <w:tc>
          <w:tcPr>
            <w:tcW w:w="0" w:type="auto"/>
            <w:shd w:val="clear" w:color="auto" w:fill="FFFFFF"/>
            <w:tcMar>
              <w:top w:w="40" w:type="dxa"/>
              <w:left w:w="0" w:type="dxa"/>
              <w:bottom w:w="40" w:type="dxa"/>
              <w:right w:w="20" w:type="dxa"/>
            </w:tcMar>
            <w:vAlign w:val="bottom"/>
          </w:tcPr>
          <w:p w14:paraId="185FF723" w14:textId="77777777" w:rsidR="00A91885" w:rsidRDefault="00A91885">
            <w:pPr>
              <w:jc w:val="right"/>
              <w:rPr>
                <w:rFonts w:ascii="宋体"/>
              </w:rPr>
            </w:pPr>
          </w:p>
        </w:tc>
      </w:tr>
      <w:tr w:rsidR="00A91885" w14:paraId="185FF731" w14:textId="77777777">
        <w:tc>
          <w:tcPr>
            <w:tcW w:w="0" w:type="auto"/>
            <w:gridSpan w:val="3"/>
            <w:shd w:val="clear" w:color="auto" w:fill="E2E2E2"/>
            <w:tcMar>
              <w:top w:w="40" w:type="dxa"/>
              <w:left w:w="740" w:type="dxa"/>
              <w:bottom w:w="40" w:type="dxa"/>
              <w:right w:w="20" w:type="dxa"/>
            </w:tcMar>
            <w:vAlign w:val="bottom"/>
          </w:tcPr>
          <w:p w14:paraId="185FF725" w14:textId="77777777" w:rsidR="00A91885" w:rsidRDefault="009C4196">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726" w14:textId="77777777" w:rsidR="00A91885" w:rsidRDefault="009C4196">
            <w:pPr>
              <w:jc w:val="right"/>
              <w:textAlignment w:val="bottom"/>
            </w:pPr>
            <w:r>
              <w:rPr>
                <w:rFonts w:ascii="Arial" w:eastAsia="宋体" w:hAnsi="Arial" w:cs="Arial"/>
                <w:color w:val="000000"/>
                <w:sz w:val="18"/>
                <w:szCs w:val="18"/>
              </w:rPr>
              <w:t>(46,101)</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72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28"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729" w14:textId="77777777" w:rsidR="00A91885" w:rsidRDefault="009C4196">
            <w:pPr>
              <w:jc w:val="right"/>
              <w:textAlignment w:val="bottom"/>
            </w:pPr>
            <w:r>
              <w:rPr>
                <w:rFonts w:ascii="Arial" w:eastAsia="宋体" w:hAnsi="Arial" w:cs="Arial"/>
                <w:color w:val="000000"/>
                <w:sz w:val="18"/>
                <w:szCs w:val="18"/>
              </w:rPr>
              <w:t>(38,308)</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72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2B"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72C" w14:textId="77777777" w:rsidR="00A91885" w:rsidRDefault="009C4196">
            <w:pPr>
              <w:jc w:val="right"/>
              <w:textAlignment w:val="bottom"/>
            </w:pPr>
            <w:r>
              <w:rPr>
                <w:rFonts w:ascii="Arial" w:eastAsia="宋体" w:hAnsi="Arial" w:cs="Arial"/>
                <w:color w:val="000000"/>
                <w:sz w:val="18"/>
                <w:szCs w:val="18"/>
              </w:rPr>
              <w:t>(46,101)</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72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2E"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72F" w14:textId="77777777" w:rsidR="00A91885" w:rsidRDefault="009C4196">
            <w:pPr>
              <w:jc w:val="right"/>
              <w:textAlignment w:val="bottom"/>
            </w:pPr>
            <w:r>
              <w:rPr>
                <w:rFonts w:ascii="Arial" w:eastAsia="宋体" w:hAnsi="Arial" w:cs="Arial"/>
                <w:color w:val="000000"/>
                <w:sz w:val="18"/>
                <w:szCs w:val="18"/>
              </w:rPr>
              <w:t>(38,308)</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730" w14:textId="77777777" w:rsidR="00A91885" w:rsidRDefault="00A91885">
            <w:pPr>
              <w:jc w:val="right"/>
              <w:rPr>
                <w:rFonts w:ascii="宋体"/>
              </w:rPr>
            </w:pPr>
          </w:p>
        </w:tc>
      </w:tr>
      <w:tr w:rsidR="00A91885" w14:paraId="185FF73A" w14:textId="77777777">
        <w:tc>
          <w:tcPr>
            <w:tcW w:w="0" w:type="auto"/>
            <w:gridSpan w:val="3"/>
            <w:shd w:val="clear" w:color="auto" w:fill="FFFFFF"/>
            <w:tcMar>
              <w:top w:w="40" w:type="dxa"/>
              <w:left w:w="20" w:type="dxa"/>
              <w:bottom w:w="40" w:type="dxa"/>
              <w:right w:w="20" w:type="dxa"/>
            </w:tcMar>
            <w:vAlign w:val="bottom"/>
          </w:tcPr>
          <w:p w14:paraId="185FF732" w14:textId="77777777" w:rsidR="00A91885" w:rsidRDefault="009C4196">
            <w:pPr>
              <w:textAlignment w:val="bottom"/>
            </w:pPr>
            <w:r>
              <w:rPr>
                <w:rFonts w:ascii="Arial" w:eastAsia="宋体" w:hAnsi="Arial" w:cs="Arial"/>
                <w:color w:val="000000"/>
                <w:sz w:val="18"/>
                <w:szCs w:val="18"/>
              </w:rPr>
              <w:t>Retained earnings: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733"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734"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735"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736"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737"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738"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739" w14:textId="77777777" w:rsidR="00A91885" w:rsidRDefault="00A91885">
            <w:pPr>
              <w:rPr>
                <w:rFonts w:ascii="宋体"/>
              </w:rPr>
            </w:pPr>
          </w:p>
        </w:tc>
      </w:tr>
      <w:tr w:rsidR="00A91885" w14:paraId="185FF747" w14:textId="77777777">
        <w:tc>
          <w:tcPr>
            <w:tcW w:w="0" w:type="auto"/>
            <w:gridSpan w:val="3"/>
            <w:shd w:val="clear" w:color="auto" w:fill="E2E2E2"/>
            <w:tcMar>
              <w:top w:w="40" w:type="dxa"/>
              <w:left w:w="245" w:type="dxa"/>
              <w:bottom w:w="40" w:type="dxa"/>
              <w:right w:w="20" w:type="dxa"/>
            </w:tcMar>
            <w:vAlign w:val="bottom"/>
          </w:tcPr>
          <w:p w14:paraId="185FF73B" w14:textId="77777777" w:rsidR="00A91885" w:rsidRDefault="009C4196">
            <w:pPr>
              <w:textAlignment w:val="bottom"/>
            </w:pPr>
            <w:r>
              <w:rPr>
                <w:rFonts w:ascii="Arial" w:eastAsia="宋体" w:hAnsi="Arial" w:cs="Arial"/>
                <w:color w:val="000000"/>
                <w:sz w:val="18"/>
                <w:szCs w:val="18"/>
              </w:rPr>
              <w:t>Balance, beginning of period</w:t>
            </w:r>
          </w:p>
        </w:tc>
        <w:tc>
          <w:tcPr>
            <w:tcW w:w="0" w:type="auto"/>
            <w:gridSpan w:val="2"/>
            <w:shd w:val="clear" w:color="auto" w:fill="E2E2E2"/>
            <w:tcMar>
              <w:top w:w="40" w:type="dxa"/>
              <w:left w:w="20" w:type="dxa"/>
              <w:bottom w:w="40" w:type="dxa"/>
              <w:right w:w="0" w:type="dxa"/>
            </w:tcMar>
            <w:vAlign w:val="bottom"/>
          </w:tcPr>
          <w:p w14:paraId="185FF73C" w14:textId="77777777" w:rsidR="00A91885" w:rsidRDefault="009C4196">
            <w:pPr>
              <w:jc w:val="right"/>
              <w:textAlignment w:val="bottom"/>
            </w:pPr>
            <w:r>
              <w:rPr>
                <w:rFonts w:ascii="Arial" w:eastAsia="宋体" w:hAnsi="Arial" w:cs="Arial"/>
                <w:color w:val="000000"/>
                <w:sz w:val="18"/>
                <w:szCs w:val="18"/>
              </w:rPr>
              <w:t>34,615 </w:t>
            </w:r>
          </w:p>
        </w:tc>
        <w:tc>
          <w:tcPr>
            <w:tcW w:w="0" w:type="auto"/>
            <w:shd w:val="clear" w:color="auto" w:fill="E2E2E2"/>
            <w:tcMar>
              <w:top w:w="40" w:type="dxa"/>
              <w:left w:w="0" w:type="dxa"/>
              <w:bottom w:w="40" w:type="dxa"/>
              <w:right w:w="20" w:type="dxa"/>
            </w:tcMar>
            <w:vAlign w:val="bottom"/>
          </w:tcPr>
          <w:p w14:paraId="185FF73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3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73F" w14:textId="77777777" w:rsidR="00A91885" w:rsidRDefault="009C4196">
            <w:pPr>
              <w:jc w:val="right"/>
              <w:textAlignment w:val="bottom"/>
            </w:pPr>
            <w:r>
              <w:rPr>
                <w:rFonts w:ascii="Arial" w:eastAsia="宋体" w:hAnsi="Arial" w:cs="Arial"/>
                <w:color w:val="000000"/>
                <w:sz w:val="18"/>
                <w:szCs w:val="18"/>
              </w:rPr>
              <w:t>23,476 </w:t>
            </w:r>
          </w:p>
        </w:tc>
        <w:tc>
          <w:tcPr>
            <w:tcW w:w="0" w:type="auto"/>
            <w:shd w:val="clear" w:color="auto" w:fill="E2E2E2"/>
            <w:tcMar>
              <w:top w:w="40" w:type="dxa"/>
              <w:left w:w="0" w:type="dxa"/>
              <w:bottom w:w="40" w:type="dxa"/>
              <w:right w:w="20" w:type="dxa"/>
            </w:tcMar>
            <w:vAlign w:val="bottom"/>
          </w:tcPr>
          <w:p w14:paraId="185FF74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4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742" w14:textId="77777777" w:rsidR="00A91885" w:rsidRDefault="009C4196">
            <w:pPr>
              <w:jc w:val="right"/>
              <w:textAlignment w:val="bottom"/>
            </w:pPr>
            <w:r>
              <w:rPr>
                <w:rFonts w:ascii="Arial" w:eastAsia="宋体" w:hAnsi="Arial" w:cs="Arial"/>
                <w:color w:val="000000"/>
                <w:sz w:val="18"/>
                <w:szCs w:val="18"/>
              </w:rPr>
              <w:t>36,090 </w:t>
            </w:r>
          </w:p>
        </w:tc>
        <w:tc>
          <w:tcPr>
            <w:tcW w:w="0" w:type="auto"/>
            <w:shd w:val="clear" w:color="auto" w:fill="E2E2E2"/>
            <w:tcMar>
              <w:top w:w="40" w:type="dxa"/>
              <w:left w:w="0" w:type="dxa"/>
              <w:bottom w:w="40" w:type="dxa"/>
              <w:right w:w="20" w:type="dxa"/>
            </w:tcMar>
            <w:vAlign w:val="bottom"/>
          </w:tcPr>
          <w:p w14:paraId="185FF74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44"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745" w14:textId="77777777" w:rsidR="00A91885" w:rsidRDefault="009C4196">
            <w:pPr>
              <w:jc w:val="right"/>
              <w:textAlignment w:val="bottom"/>
            </w:pPr>
            <w:r>
              <w:rPr>
                <w:rFonts w:ascii="Arial" w:eastAsia="宋体" w:hAnsi="Arial" w:cs="Arial"/>
                <w:color w:val="000000"/>
                <w:sz w:val="18"/>
                <w:szCs w:val="18"/>
              </w:rPr>
              <w:t>22,961 </w:t>
            </w:r>
          </w:p>
        </w:tc>
        <w:tc>
          <w:tcPr>
            <w:tcW w:w="0" w:type="auto"/>
            <w:shd w:val="clear" w:color="auto" w:fill="E2E2E2"/>
            <w:tcMar>
              <w:top w:w="40" w:type="dxa"/>
              <w:left w:w="0" w:type="dxa"/>
              <w:bottom w:w="40" w:type="dxa"/>
              <w:right w:w="20" w:type="dxa"/>
            </w:tcMar>
            <w:vAlign w:val="bottom"/>
          </w:tcPr>
          <w:p w14:paraId="185FF746" w14:textId="77777777" w:rsidR="00A91885" w:rsidRDefault="00A91885">
            <w:pPr>
              <w:jc w:val="right"/>
              <w:rPr>
                <w:rFonts w:ascii="宋体"/>
              </w:rPr>
            </w:pPr>
          </w:p>
        </w:tc>
      </w:tr>
      <w:tr w:rsidR="00A91885" w14:paraId="185FF754" w14:textId="77777777">
        <w:tc>
          <w:tcPr>
            <w:tcW w:w="0" w:type="auto"/>
            <w:gridSpan w:val="3"/>
            <w:shd w:val="clear" w:color="auto" w:fill="FFFFFF"/>
            <w:tcMar>
              <w:top w:w="40" w:type="dxa"/>
              <w:left w:w="245" w:type="dxa"/>
              <w:bottom w:w="40" w:type="dxa"/>
              <w:right w:w="20" w:type="dxa"/>
            </w:tcMar>
            <w:vAlign w:val="bottom"/>
          </w:tcPr>
          <w:p w14:paraId="185FF748" w14:textId="77777777" w:rsidR="00A91885" w:rsidRDefault="009C4196">
            <w:pPr>
              <w:textAlignment w:val="bottom"/>
            </w:pPr>
            <w:r>
              <w:rPr>
                <w:rFonts w:ascii="Arial" w:eastAsia="宋体" w:hAnsi="Arial" w:cs="Arial"/>
                <w:color w:val="000000"/>
                <w:sz w:val="18"/>
                <w:szCs w:val="18"/>
              </w:rPr>
              <w:t>Net income (loss)</w:t>
            </w:r>
          </w:p>
        </w:tc>
        <w:tc>
          <w:tcPr>
            <w:tcW w:w="0" w:type="auto"/>
            <w:gridSpan w:val="2"/>
            <w:shd w:val="clear" w:color="auto" w:fill="FFFFFF"/>
            <w:tcMar>
              <w:top w:w="40" w:type="dxa"/>
              <w:left w:w="20" w:type="dxa"/>
              <w:bottom w:w="40" w:type="dxa"/>
              <w:right w:w="0" w:type="dxa"/>
            </w:tcMar>
            <w:vAlign w:val="bottom"/>
          </w:tcPr>
          <w:p w14:paraId="185FF749" w14:textId="77777777" w:rsidR="00A91885" w:rsidRDefault="009C4196">
            <w:pPr>
              <w:jc w:val="right"/>
              <w:textAlignment w:val="bottom"/>
            </w:pPr>
            <w:r>
              <w:rPr>
                <w:rFonts w:ascii="Arial" w:eastAsia="宋体" w:hAnsi="Arial" w:cs="Arial"/>
                <w:color w:val="000000"/>
                <w:sz w:val="18"/>
                <w:szCs w:val="18"/>
              </w:rPr>
              <w:t>(531)</w:t>
            </w:r>
          </w:p>
        </w:tc>
        <w:tc>
          <w:tcPr>
            <w:tcW w:w="0" w:type="auto"/>
            <w:shd w:val="clear" w:color="auto" w:fill="FFFFFF"/>
            <w:tcMar>
              <w:top w:w="40" w:type="dxa"/>
              <w:left w:w="0" w:type="dxa"/>
              <w:bottom w:w="40" w:type="dxa"/>
              <w:right w:w="20" w:type="dxa"/>
            </w:tcMar>
            <w:vAlign w:val="bottom"/>
          </w:tcPr>
          <w:p w14:paraId="185FF74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4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74C" w14:textId="77777777" w:rsidR="00A91885" w:rsidRDefault="009C4196">
            <w:pPr>
              <w:jc w:val="right"/>
              <w:textAlignment w:val="bottom"/>
            </w:pPr>
            <w:r>
              <w:rPr>
                <w:rFonts w:ascii="Arial" w:eastAsia="宋体" w:hAnsi="Arial" w:cs="Arial"/>
                <w:color w:val="000000"/>
                <w:sz w:val="18"/>
                <w:szCs w:val="18"/>
              </w:rPr>
              <w:t>10,734 </w:t>
            </w:r>
          </w:p>
        </w:tc>
        <w:tc>
          <w:tcPr>
            <w:tcW w:w="0" w:type="auto"/>
            <w:shd w:val="clear" w:color="auto" w:fill="FFFFFF"/>
            <w:tcMar>
              <w:top w:w="40" w:type="dxa"/>
              <w:left w:w="0" w:type="dxa"/>
              <w:bottom w:w="40" w:type="dxa"/>
              <w:right w:w="20" w:type="dxa"/>
            </w:tcMar>
            <w:vAlign w:val="bottom"/>
          </w:tcPr>
          <w:p w14:paraId="185FF74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4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74F" w14:textId="77777777" w:rsidR="00A91885" w:rsidRDefault="009C4196">
            <w:pPr>
              <w:jc w:val="right"/>
              <w:textAlignment w:val="bottom"/>
            </w:pPr>
            <w:r>
              <w:rPr>
                <w:rFonts w:ascii="Arial" w:eastAsia="宋体" w:hAnsi="Arial" w:cs="Arial"/>
                <w:color w:val="000000"/>
                <w:sz w:val="18"/>
                <w:szCs w:val="18"/>
              </w:rPr>
              <w:t>(1,872)</w:t>
            </w:r>
          </w:p>
        </w:tc>
        <w:tc>
          <w:tcPr>
            <w:tcW w:w="0" w:type="auto"/>
            <w:shd w:val="clear" w:color="auto" w:fill="FFFFFF"/>
            <w:tcMar>
              <w:top w:w="40" w:type="dxa"/>
              <w:left w:w="0" w:type="dxa"/>
              <w:bottom w:w="40" w:type="dxa"/>
              <w:right w:w="20" w:type="dxa"/>
            </w:tcMar>
            <w:vAlign w:val="bottom"/>
          </w:tcPr>
          <w:p w14:paraId="185FF75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5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752" w14:textId="77777777" w:rsidR="00A91885" w:rsidRDefault="009C4196">
            <w:pPr>
              <w:jc w:val="right"/>
              <w:textAlignment w:val="bottom"/>
            </w:pPr>
            <w:r>
              <w:rPr>
                <w:rFonts w:ascii="Arial" w:eastAsia="宋体" w:hAnsi="Arial" w:cs="Arial"/>
                <w:color w:val="000000"/>
                <w:sz w:val="18"/>
                <w:szCs w:val="18"/>
              </w:rPr>
              <w:t>11,375 </w:t>
            </w:r>
          </w:p>
        </w:tc>
        <w:tc>
          <w:tcPr>
            <w:tcW w:w="0" w:type="auto"/>
            <w:shd w:val="clear" w:color="auto" w:fill="FFFFFF"/>
            <w:tcMar>
              <w:top w:w="40" w:type="dxa"/>
              <w:left w:w="0" w:type="dxa"/>
              <w:bottom w:w="40" w:type="dxa"/>
              <w:right w:w="20" w:type="dxa"/>
            </w:tcMar>
            <w:vAlign w:val="bottom"/>
          </w:tcPr>
          <w:p w14:paraId="185FF753" w14:textId="77777777" w:rsidR="00A91885" w:rsidRDefault="00A91885">
            <w:pPr>
              <w:jc w:val="right"/>
              <w:rPr>
                <w:rFonts w:ascii="宋体"/>
              </w:rPr>
            </w:pPr>
          </w:p>
        </w:tc>
      </w:tr>
      <w:tr w:rsidR="00A91885" w14:paraId="185FF761" w14:textId="77777777">
        <w:tc>
          <w:tcPr>
            <w:tcW w:w="0" w:type="auto"/>
            <w:gridSpan w:val="3"/>
            <w:shd w:val="clear" w:color="auto" w:fill="E2E2E2"/>
            <w:tcMar>
              <w:top w:w="40" w:type="dxa"/>
              <w:left w:w="245" w:type="dxa"/>
              <w:bottom w:w="40" w:type="dxa"/>
              <w:right w:w="20" w:type="dxa"/>
            </w:tcMar>
            <w:vAlign w:val="bottom"/>
          </w:tcPr>
          <w:p w14:paraId="185FF755" w14:textId="77777777" w:rsidR="00A91885" w:rsidRDefault="009C4196">
            <w:pPr>
              <w:textAlignment w:val="bottom"/>
            </w:pPr>
            <w:r>
              <w:rPr>
                <w:rFonts w:ascii="Arial" w:eastAsia="宋体" w:hAnsi="Arial" w:cs="Arial"/>
                <w:color w:val="000000"/>
                <w:sz w:val="18"/>
                <w:szCs w:val="18"/>
              </w:rPr>
              <w:t>Dividends and dividend equivalents declared</w:t>
            </w:r>
          </w:p>
        </w:tc>
        <w:tc>
          <w:tcPr>
            <w:tcW w:w="0" w:type="auto"/>
            <w:gridSpan w:val="2"/>
            <w:shd w:val="clear" w:color="auto" w:fill="E2E2E2"/>
            <w:tcMar>
              <w:top w:w="40" w:type="dxa"/>
              <w:left w:w="20" w:type="dxa"/>
              <w:bottom w:w="40" w:type="dxa"/>
              <w:right w:w="0" w:type="dxa"/>
            </w:tcMar>
            <w:vAlign w:val="bottom"/>
          </w:tcPr>
          <w:p w14:paraId="185FF756" w14:textId="77777777" w:rsidR="00A91885" w:rsidRDefault="009C4196">
            <w:pPr>
              <w:jc w:val="right"/>
              <w:textAlignment w:val="bottom"/>
            </w:pPr>
            <w:r>
              <w:rPr>
                <w:rFonts w:ascii="Arial" w:eastAsia="宋体" w:hAnsi="Arial" w:cs="Arial"/>
                <w:color w:val="000000"/>
                <w:sz w:val="18"/>
                <w:szCs w:val="18"/>
              </w:rPr>
              <w:t>(124)</w:t>
            </w:r>
          </w:p>
        </w:tc>
        <w:tc>
          <w:tcPr>
            <w:tcW w:w="0" w:type="auto"/>
            <w:shd w:val="clear" w:color="auto" w:fill="E2E2E2"/>
            <w:tcMar>
              <w:top w:w="40" w:type="dxa"/>
              <w:left w:w="0" w:type="dxa"/>
              <w:bottom w:w="40" w:type="dxa"/>
              <w:right w:w="20" w:type="dxa"/>
            </w:tcMar>
            <w:vAlign w:val="bottom"/>
          </w:tcPr>
          <w:p w14:paraId="185FF75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5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759" w14:textId="77777777" w:rsidR="00A91885" w:rsidRDefault="009C4196">
            <w:pPr>
              <w:jc w:val="right"/>
              <w:textAlignment w:val="bottom"/>
            </w:pPr>
            <w:r>
              <w:rPr>
                <w:rFonts w:ascii="Arial" w:eastAsia="宋体" w:hAnsi="Arial" w:cs="Arial"/>
                <w:color w:val="000000"/>
                <w:sz w:val="18"/>
                <w:szCs w:val="18"/>
              </w:rPr>
              <w:t>(124)</w:t>
            </w:r>
          </w:p>
        </w:tc>
        <w:tc>
          <w:tcPr>
            <w:tcW w:w="0" w:type="auto"/>
            <w:shd w:val="clear" w:color="auto" w:fill="E2E2E2"/>
            <w:tcMar>
              <w:top w:w="40" w:type="dxa"/>
              <w:left w:w="0" w:type="dxa"/>
              <w:bottom w:w="40" w:type="dxa"/>
              <w:right w:w="20" w:type="dxa"/>
            </w:tcMar>
            <w:vAlign w:val="bottom"/>
          </w:tcPr>
          <w:p w14:paraId="185FF75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5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75C" w14:textId="77777777" w:rsidR="00A91885" w:rsidRDefault="009C4196">
            <w:pPr>
              <w:jc w:val="right"/>
              <w:textAlignment w:val="bottom"/>
            </w:pPr>
            <w:r>
              <w:rPr>
                <w:rFonts w:ascii="Arial" w:eastAsia="宋体" w:hAnsi="Arial" w:cs="Arial"/>
                <w:color w:val="000000"/>
                <w:sz w:val="18"/>
                <w:szCs w:val="18"/>
              </w:rPr>
              <w:t>(258)</w:t>
            </w:r>
          </w:p>
        </w:tc>
        <w:tc>
          <w:tcPr>
            <w:tcW w:w="0" w:type="auto"/>
            <w:shd w:val="clear" w:color="auto" w:fill="E2E2E2"/>
            <w:tcMar>
              <w:top w:w="40" w:type="dxa"/>
              <w:left w:w="0" w:type="dxa"/>
              <w:bottom w:w="40" w:type="dxa"/>
              <w:right w:w="20" w:type="dxa"/>
            </w:tcMar>
            <w:vAlign w:val="bottom"/>
          </w:tcPr>
          <w:p w14:paraId="185FF75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5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75F" w14:textId="77777777" w:rsidR="00A91885" w:rsidRDefault="009C4196">
            <w:pPr>
              <w:jc w:val="right"/>
              <w:textAlignment w:val="bottom"/>
            </w:pPr>
            <w:r>
              <w:rPr>
                <w:rFonts w:ascii="Arial" w:eastAsia="宋体" w:hAnsi="Arial" w:cs="Arial"/>
                <w:color w:val="000000"/>
                <w:sz w:val="18"/>
                <w:szCs w:val="18"/>
              </w:rPr>
              <w:t>(250)</w:t>
            </w:r>
          </w:p>
        </w:tc>
        <w:tc>
          <w:tcPr>
            <w:tcW w:w="0" w:type="auto"/>
            <w:shd w:val="clear" w:color="auto" w:fill="E2E2E2"/>
            <w:tcMar>
              <w:top w:w="40" w:type="dxa"/>
              <w:left w:w="0" w:type="dxa"/>
              <w:bottom w:w="40" w:type="dxa"/>
              <w:right w:w="20" w:type="dxa"/>
            </w:tcMar>
            <w:vAlign w:val="bottom"/>
          </w:tcPr>
          <w:p w14:paraId="185FF760" w14:textId="77777777" w:rsidR="00A91885" w:rsidRDefault="00A91885">
            <w:pPr>
              <w:jc w:val="right"/>
              <w:rPr>
                <w:rFonts w:ascii="宋体"/>
              </w:rPr>
            </w:pPr>
          </w:p>
        </w:tc>
      </w:tr>
      <w:tr w:rsidR="00A91885" w14:paraId="185FF76A" w14:textId="77777777">
        <w:trPr>
          <w:hidden/>
        </w:trPr>
        <w:tc>
          <w:tcPr>
            <w:tcW w:w="0" w:type="auto"/>
            <w:gridSpan w:val="3"/>
            <w:shd w:val="clear" w:color="auto" w:fill="auto"/>
            <w:vAlign w:val="bottom"/>
          </w:tcPr>
          <w:p w14:paraId="185FF762" w14:textId="77777777" w:rsidR="00A91885" w:rsidRDefault="00A91885">
            <w:pPr>
              <w:rPr>
                <w:rFonts w:ascii="宋体"/>
                <w:vanish/>
              </w:rPr>
            </w:pPr>
          </w:p>
        </w:tc>
        <w:tc>
          <w:tcPr>
            <w:tcW w:w="0" w:type="auto"/>
            <w:gridSpan w:val="3"/>
            <w:shd w:val="clear" w:color="auto" w:fill="auto"/>
            <w:vAlign w:val="bottom"/>
          </w:tcPr>
          <w:p w14:paraId="185FF763" w14:textId="77777777" w:rsidR="00A91885" w:rsidRDefault="00A91885">
            <w:pPr>
              <w:rPr>
                <w:rFonts w:ascii="宋体"/>
                <w:vanish/>
              </w:rPr>
            </w:pPr>
          </w:p>
        </w:tc>
        <w:tc>
          <w:tcPr>
            <w:tcW w:w="0" w:type="auto"/>
            <w:gridSpan w:val="3"/>
            <w:shd w:val="clear" w:color="auto" w:fill="auto"/>
            <w:vAlign w:val="bottom"/>
          </w:tcPr>
          <w:p w14:paraId="185FF764" w14:textId="77777777" w:rsidR="00A91885" w:rsidRDefault="00A91885">
            <w:pPr>
              <w:rPr>
                <w:rFonts w:ascii="宋体"/>
                <w:vanish/>
              </w:rPr>
            </w:pPr>
          </w:p>
        </w:tc>
        <w:tc>
          <w:tcPr>
            <w:tcW w:w="0" w:type="auto"/>
            <w:gridSpan w:val="3"/>
            <w:shd w:val="clear" w:color="auto" w:fill="auto"/>
            <w:vAlign w:val="bottom"/>
          </w:tcPr>
          <w:p w14:paraId="185FF765" w14:textId="77777777" w:rsidR="00A91885" w:rsidRDefault="00A91885">
            <w:pPr>
              <w:rPr>
                <w:rFonts w:ascii="宋体"/>
                <w:vanish/>
              </w:rPr>
            </w:pPr>
          </w:p>
        </w:tc>
        <w:tc>
          <w:tcPr>
            <w:tcW w:w="0" w:type="auto"/>
            <w:gridSpan w:val="3"/>
            <w:shd w:val="clear" w:color="auto" w:fill="auto"/>
            <w:vAlign w:val="bottom"/>
          </w:tcPr>
          <w:p w14:paraId="185FF766" w14:textId="77777777" w:rsidR="00A91885" w:rsidRDefault="00A91885">
            <w:pPr>
              <w:rPr>
                <w:rFonts w:ascii="宋体"/>
                <w:vanish/>
              </w:rPr>
            </w:pPr>
          </w:p>
        </w:tc>
        <w:tc>
          <w:tcPr>
            <w:tcW w:w="0" w:type="auto"/>
            <w:gridSpan w:val="3"/>
            <w:shd w:val="clear" w:color="auto" w:fill="auto"/>
            <w:vAlign w:val="bottom"/>
          </w:tcPr>
          <w:p w14:paraId="185FF767" w14:textId="77777777" w:rsidR="00A91885" w:rsidRDefault="00A91885">
            <w:pPr>
              <w:rPr>
                <w:rFonts w:ascii="宋体"/>
                <w:vanish/>
              </w:rPr>
            </w:pPr>
          </w:p>
        </w:tc>
        <w:tc>
          <w:tcPr>
            <w:tcW w:w="0" w:type="auto"/>
            <w:gridSpan w:val="3"/>
            <w:shd w:val="clear" w:color="auto" w:fill="auto"/>
            <w:vAlign w:val="bottom"/>
          </w:tcPr>
          <w:p w14:paraId="185FF768" w14:textId="77777777" w:rsidR="00A91885" w:rsidRDefault="00A91885">
            <w:pPr>
              <w:rPr>
                <w:rFonts w:ascii="宋体"/>
                <w:vanish/>
              </w:rPr>
            </w:pPr>
          </w:p>
        </w:tc>
        <w:tc>
          <w:tcPr>
            <w:tcW w:w="0" w:type="auto"/>
            <w:gridSpan w:val="3"/>
            <w:shd w:val="clear" w:color="auto" w:fill="auto"/>
            <w:vAlign w:val="bottom"/>
          </w:tcPr>
          <w:p w14:paraId="185FF769" w14:textId="77777777" w:rsidR="00A91885" w:rsidRDefault="00A91885">
            <w:pPr>
              <w:rPr>
                <w:rFonts w:ascii="宋体"/>
                <w:vanish/>
              </w:rPr>
            </w:pPr>
          </w:p>
        </w:tc>
      </w:tr>
      <w:tr w:rsidR="00A91885" w14:paraId="185FF773" w14:textId="77777777">
        <w:trPr>
          <w:hidden/>
        </w:trPr>
        <w:tc>
          <w:tcPr>
            <w:tcW w:w="0" w:type="auto"/>
            <w:gridSpan w:val="3"/>
            <w:shd w:val="clear" w:color="auto" w:fill="auto"/>
            <w:vAlign w:val="bottom"/>
          </w:tcPr>
          <w:p w14:paraId="185FF76B" w14:textId="77777777" w:rsidR="00A91885" w:rsidRDefault="00A91885">
            <w:pPr>
              <w:rPr>
                <w:rFonts w:ascii="宋体"/>
                <w:vanish/>
              </w:rPr>
            </w:pPr>
          </w:p>
        </w:tc>
        <w:tc>
          <w:tcPr>
            <w:tcW w:w="0" w:type="auto"/>
            <w:gridSpan w:val="3"/>
            <w:shd w:val="clear" w:color="auto" w:fill="auto"/>
            <w:vAlign w:val="bottom"/>
          </w:tcPr>
          <w:p w14:paraId="185FF76C" w14:textId="77777777" w:rsidR="00A91885" w:rsidRDefault="00A91885">
            <w:pPr>
              <w:rPr>
                <w:rFonts w:ascii="宋体"/>
                <w:vanish/>
              </w:rPr>
            </w:pPr>
          </w:p>
        </w:tc>
        <w:tc>
          <w:tcPr>
            <w:tcW w:w="0" w:type="auto"/>
            <w:gridSpan w:val="3"/>
            <w:shd w:val="clear" w:color="auto" w:fill="auto"/>
            <w:vAlign w:val="bottom"/>
          </w:tcPr>
          <w:p w14:paraId="185FF76D" w14:textId="77777777" w:rsidR="00A91885" w:rsidRDefault="00A91885">
            <w:pPr>
              <w:rPr>
                <w:rFonts w:ascii="宋体"/>
                <w:vanish/>
              </w:rPr>
            </w:pPr>
          </w:p>
        </w:tc>
        <w:tc>
          <w:tcPr>
            <w:tcW w:w="0" w:type="auto"/>
            <w:gridSpan w:val="3"/>
            <w:shd w:val="clear" w:color="auto" w:fill="auto"/>
            <w:vAlign w:val="bottom"/>
          </w:tcPr>
          <w:p w14:paraId="185FF76E" w14:textId="77777777" w:rsidR="00A91885" w:rsidRDefault="00A91885">
            <w:pPr>
              <w:rPr>
                <w:rFonts w:ascii="宋体"/>
                <w:vanish/>
              </w:rPr>
            </w:pPr>
          </w:p>
        </w:tc>
        <w:tc>
          <w:tcPr>
            <w:tcW w:w="0" w:type="auto"/>
            <w:gridSpan w:val="3"/>
            <w:shd w:val="clear" w:color="auto" w:fill="auto"/>
            <w:vAlign w:val="bottom"/>
          </w:tcPr>
          <w:p w14:paraId="185FF76F" w14:textId="77777777" w:rsidR="00A91885" w:rsidRDefault="00A91885">
            <w:pPr>
              <w:rPr>
                <w:rFonts w:ascii="宋体"/>
                <w:vanish/>
              </w:rPr>
            </w:pPr>
          </w:p>
        </w:tc>
        <w:tc>
          <w:tcPr>
            <w:tcW w:w="0" w:type="auto"/>
            <w:gridSpan w:val="3"/>
            <w:shd w:val="clear" w:color="auto" w:fill="auto"/>
            <w:vAlign w:val="bottom"/>
          </w:tcPr>
          <w:p w14:paraId="185FF770" w14:textId="77777777" w:rsidR="00A91885" w:rsidRDefault="00A91885">
            <w:pPr>
              <w:rPr>
                <w:rFonts w:ascii="宋体"/>
                <w:vanish/>
              </w:rPr>
            </w:pPr>
          </w:p>
        </w:tc>
        <w:tc>
          <w:tcPr>
            <w:tcW w:w="0" w:type="auto"/>
            <w:gridSpan w:val="3"/>
            <w:shd w:val="clear" w:color="auto" w:fill="auto"/>
            <w:vAlign w:val="bottom"/>
          </w:tcPr>
          <w:p w14:paraId="185FF771" w14:textId="77777777" w:rsidR="00A91885" w:rsidRDefault="00A91885">
            <w:pPr>
              <w:rPr>
                <w:rFonts w:ascii="宋体"/>
                <w:vanish/>
              </w:rPr>
            </w:pPr>
          </w:p>
        </w:tc>
        <w:tc>
          <w:tcPr>
            <w:tcW w:w="0" w:type="auto"/>
            <w:gridSpan w:val="3"/>
            <w:shd w:val="clear" w:color="auto" w:fill="auto"/>
            <w:vAlign w:val="bottom"/>
          </w:tcPr>
          <w:p w14:paraId="185FF772" w14:textId="77777777" w:rsidR="00A91885" w:rsidRDefault="00A91885">
            <w:pPr>
              <w:rPr>
                <w:rFonts w:ascii="宋体"/>
                <w:vanish/>
              </w:rPr>
            </w:pPr>
          </w:p>
        </w:tc>
      </w:tr>
      <w:tr w:rsidR="00A91885" w14:paraId="185FF77C" w14:textId="77777777">
        <w:trPr>
          <w:hidden/>
        </w:trPr>
        <w:tc>
          <w:tcPr>
            <w:tcW w:w="0" w:type="auto"/>
            <w:gridSpan w:val="3"/>
            <w:shd w:val="clear" w:color="auto" w:fill="auto"/>
            <w:vAlign w:val="bottom"/>
          </w:tcPr>
          <w:p w14:paraId="185FF774" w14:textId="77777777" w:rsidR="00A91885" w:rsidRDefault="00A91885">
            <w:pPr>
              <w:rPr>
                <w:rFonts w:ascii="宋体"/>
                <w:vanish/>
              </w:rPr>
            </w:pPr>
          </w:p>
        </w:tc>
        <w:tc>
          <w:tcPr>
            <w:tcW w:w="0" w:type="auto"/>
            <w:gridSpan w:val="3"/>
            <w:shd w:val="clear" w:color="auto" w:fill="auto"/>
            <w:vAlign w:val="bottom"/>
          </w:tcPr>
          <w:p w14:paraId="185FF775" w14:textId="77777777" w:rsidR="00A91885" w:rsidRDefault="00A91885">
            <w:pPr>
              <w:rPr>
                <w:rFonts w:ascii="宋体"/>
                <w:vanish/>
              </w:rPr>
            </w:pPr>
          </w:p>
        </w:tc>
        <w:tc>
          <w:tcPr>
            <w:tcW w:w="0" w:type="auto"/>
            <w:gridSpan w:val="3"/>
            <w:shd w:val="clear" w:color="auto" w:fill="auto"/>
            <w:vAlign w:val="bottom"/>
          </w:tcPr>
          <w:p w14:paraId="185FF776" w14:textId="77777777" w:rsidR="00A91885" w:rsidRDefault="00A91885">
            <w:pPr>
              <w:rPr>
                <w:rFonts w:ascii="宋体"/>
                <w:vanish/>
              </w:rPr>
            </w:pPr>
          </w:p>
        </w:tc>
        <w:tc>
          <w:tcPr>
            <w:tcW w:w="0" w:type="auto"/>
            <w:gridSpan w:val="3"/>
            <w:shd w:val="clear" w:color="auto" w:fill="auto"/>
            <w:vAlign w:val="bottom"/>
          </w:tcPr>
          <w:p w14:paraId="185FF777" w14:textId="77777777" w:rsidR="00A91885" w:rsidRDefault="00A91885">
            <w:pPr>
              <w:rPr>
                <w:rFonts w:ascii="宋体"/>
                <w:vanish/>
              </w:rPr>
            </w:pPr>
          </w:p>
        </w:tc>
        <w:tc>
          <w:tcPr>
            <w:tcW w:w="0" w:type="auto"/>
            <w:gridSpan w:val="3"/>
            <w:shd w:val="clear" w:color="auto" w:fill="auto"/>
            <w:vAlign w:val="bottom"/>
          </w:tcPr>
          <w:p w14:paraId="185FF778" w14:textId="77777777" w:rsidR="00A91885" w:rsidRDefault="00A91885">
            <w:pPr>
              <w:rPr>
                <w:rFonts w:ascii="宋体"/>
                <w:vanish/>
              </w:rPr>
            </w:pPr>
          </w:p>
        </w:tc>
        <w:tc>
          <w:tcPr>
            <w:tcW w:w="0" w:type="auto"/>
            <w:gridSpan w:val="3"/>
            <w:shd w:val="clear" w:color="auto" w:fill="auto"/>
            <w:vAlign w:val="bottom"/>
          </w:tcPr>
          <w:p w14:paraId="185FF779" w14:textId="77777777" w:rsidR="00A91885" w:rsidRDefault="00A91885">
            <w:pPr>
              <w:rPr>
                <w:rFonts w:ascii="宋体"/>
                <w:vanish/>
              </w:rPr>
            </w:pPr>
          </w:p>
        </w:tc>
        <w:tc>
          <w:tcPr>
            <w:tcW w:w="0" w:type="auto"/>
            <w:gridSpan w:val="3"/>
            <w:shd w:val="clear" w:color="auto" w:fill="auto"/>
            <w:vAlign w:val="bottom"/>
          </w:tcPr>
          <w:p w14:paraId="185FF77A" w14:textId="77777777" w:rsidR="00A91885" w:rsidRDefault="00A91885">
            <w:pPr>
              <w:rPr>
                <w:rFonts w:ascii="宋体"/>
                <w:vanish/>
              </w:rPr>
            </w:pPr>
          </w:p>
        </w:tc>
        <w:tc>
          <w:tcPr>
            <w:tcW w:w="0" w:type="auto"/>
            <w:gridSpan w:val="3"/>
            <w:shd w:val="clear" w:color="auto" w:fill="auto"/>
            <w:vAlign w:val="bottom"/>
          </w:tcPr>
          <w:p w14:paraId="185FF77B" w14:textId="77777777" w:rsidR="00A91885" w:rsidRDefault="00A91885">
            <w:pPr>
              <w:rPr>
                <w:rFonts w:ascii="宋体"/>
                <w:vanish/>
              </w:rPr>
            </w:pPr>
          </w:p>
        </w:tc>
      </w:tr>
      <w:tr w:rsidR="00A91885" w14:paraId="185FF789" w14:textId="77777777">
        <w:tc>
          <w:tcPr>
            <w:tcW w:w="0" w:type="auto"/>
            <w:gridSpan w:val="3"/>
            <w:shd w:val="clear" w:color="auto" w:fill="FFFFFF"/>
            <w:tcMar>
              <w:top w:w="40" w:type="dxa"/>
              <w:left w:w="740" w:type="dxa"/>
              <w:bottom w:w="40" w:type="dxa"/>
              <w:right w:w="20" w:type="dxa"/>
            </w:tcMar>
            <w:vAlign w:val="bottom"/>
          </w:tcPr>
          <w:p w14:paraId="185FF77D" w14:textId="77777777" w:rsidR="00A91885" w:rsidRDefault="009C4196">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77E" w14:textId="77777777" w:rsidR="00A91885" w:rsidRDefault="009C4196">
            <w:pPr>
              <w:jc w:val="right"/>
              <w:textAlignment w:val="bottom"/>
            </w:pPr>
            <w:r>
              <w:rPr>
                <w:rFonts w:ascii="Arial" w:eastAsia="宋体" w:hAnsi="Arial" w:cs="Arial"/>
                <w:color w:val="000000"/>
                <w:sz w:val="18"/>
                <w:szCs w:val="18"/>
              </w:rPr>
              <w:t>33,960 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77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80"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781" w14:textId="77777777" w:rsidR="00A91885" w:rsidRDefault="009C4196">
            <w:pPr>
              <w:jc w:val="right"/>
              <w:textAlignment w:val="bottom"/>
            </w:pPr>
            <w:r>
              <w:rPr>
                <w:rFonts w:ascii="Arial" w:eastAsia="宋体" w:hAnsi="Arial" w:cs="Arial"/>
                <w:color w:val="000000"/>
                <w:sz w:val="18"/>
                <w:szCs w:val="18"/>
              </w:rPr>
              <w:t>34,086 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78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83"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784" w14:textId="77777777" w:rsidR="00A91885" w:rsidRDefault="009C4196">
            <w:pPr>
              <w:jc w:val="right"/>
              <w:textAlignment w:val="bottom"/>
            </w:pPr>
            <w:r>
              <w:rPr>
                <w:rFonts w:ascii="Arial" w:eastAsia="宋体" w:hAnsi="Arial" w:cs="Arial"/>
                <w:color w:val="000000"/>
                <w:sz w:val="18"/>
                <w:szCs w:val="18"/>
              </w:rPr>
              <w:t>33,960 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78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86"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787" w14:textId="77777777" w:rsidR="00A91885" w:rsidRDefault="009C4196">
            <w:pPr>
              <w:jc w:val="right"/>
              <w:textAlignment w:val="bottom"/>
            </w:pPr>
            <w:r>
              <w:rPr>
                <w:rFonts w:ascii="Arial" w:eastAsia="宋体" w:hAnsi="Arial" w:cs="Arial"/>
                <w:color w:val="000000"/>
                <w:sz w:val="18"/>
                <w:szCs w:val="18"/>
              </w:rPr>
              <w:t>34,086 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788" w14:textId="77777777" w:rsidR="00A91885" w:rsidRDefault="00A91885">
            <w:pPr>
              <w:jc w:val="right"/>
              <w:rPr>
                <w:rFonts w:ascii="宋体"/>
              </w:rPr>
            </w:pPr>
          </w:p>
        </w:tc>
      </w:tr>
      <w:tr w:rsidR="00A91885" w14:paraId="185FF792" w14:textId="77777777">
        <w:tc>
          <w:tcPr>
            <w:tcW w:w="0" w:type="auto"/>
            <w:gridSpan w:val="3"/>
            <w:shd w:val="clear" w:color="auto" w:fill="E2E2E2"/>
            <w:tcMar>
              <w:top w:w="40" w:type="dxa"/>
              <w:left w:w="20" w:type="dxa"/>
              <w:bottom w:w="40" w:type="dxa"/>
              <w:right w:w="20" w:type="dxa"/>
            </w:tcMar>
            <w:vAlign w:val="bottom"/>
          </w:tcPr>
          <w:p w14:paraId="185FF78A" w14:textId="77777777" w:rsidR="00A91885" w:rsidRDefault="009C4196">
            <w:pPr>
              <w:textAlignment w:val="bottom"/>
            </w:pPr>
            <w:r>
              <w:rPr>
                <w:rFonts w:ascii="Arial" w:eastAsia="宋体" w:hAnsi="Arial" w:cs="Arial"/>
                <w:color w:val="000000"/>
                <w:sz w:val="18"/>
                <w:szCs w:val="18"/>
              </w:rPr>
              <w:t>Accumulated other comprehensive income:</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5FF78B"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78C"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5FF78D"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78E"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5FF78F"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790"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5FF791" w14:textId="77777777" w:rsidR="00A91885" w:rsidRDefault="00A91885">
            <w:pPr>
              <w:rPr>
                <w:rFonts w:ascii="宋体"/>
              </w:rPr>
            </w:pPr>
          </w:p>
        </w:tc>
      </w:tr>
      <w:tr w:rsidR="00A91885" w14:paraId="185FF79F" w14:textId="77777777">
        <w:tc>
          <w:tcPr>
            <w:tcW w:w="0" w:type="auto"/>
            <w:gridSpan w:val="3"/>
            <w:shd w:val="clear" w:color="auto" w:fill="FFFFFF"/>
            <w:tcMar>
              <w:top w:w="40" w:type="dxa"/>
              <w:left w:w="245" w:type="dxa"/>
              <w:bottom w:w="40" w:type="dxa"/>
              <w:right w:w="20" w:type="dxa"/>
            </w:tcMar>
            <w:vAlign w:val="bottom"/>
          </w:tcPr>
          <w:p w14:paraId="185FF793" w14:textId="77777777" w:rsidR="00A91885" w:rsidRDefault="009C4196">
            <w:pPr>
              <w:textAlignment w:val="bottom"/>
            </w:pPr>
            <w:r>
              <w:rPr>
                <w:rFonts w:ascii="Arial" w:eastAsia="宋体" w:hAnsi="Arial" w:cs="Arial"/>
                <w:color w:val="000000"/>
                <w:sz w:val="18"/>
                <w:szCs w:val="18"/>
              </w:rPr>
              <w:t>Balance, beginning of period</w:t>
            </w:r>
          </w:p>
        </w:tc>
        <w:tc>
          <w:tcPr>
            <w:tcW w:w="0" w:type="auto"/>
            <w:gridSpan w:val="2"/>
            <w:shd w:val="clear" w:color="auto" w:fill="FFFFFF"/>
            <w:tcMar>
              <w:top w:w="40" w:type="dxa"/>
              <w:left w:w="20" w:type="dxa"/>
              <w:bottom w:w="40" w:type="dxa"/>
              <w:right w:w="0" w:type="dxa"/>
            </w:tcMar>
            <w:vAlign w:val="bottom"/>
          </w:tcPr>
          <w:p w14:paraId="185FF794" w14:textId="77777777" w:rsidR="00A91885" w:rsidRDefault="009C4196">
            <w:pPr>
              <w:jc w:val="right"/>
              <w:textAlignment w:val="bottom"/>
            </w:pPr>
            <w:r>
              <w:rPr>
                <w:rFonts w:ascii="Arial" w:eastAsia="宋体" w:hAnsi="Arial" w:cs="Arial"/>
                <w:color w:val="000000"/>
                <w:sz w:val="18"/>
                <w:szCs w:val="18"/>
              </w:rPr>
              <w:t>342 </w:t>
            </w:r>
          </w:p>
        </w:tc>
        <w:tc>
          <w:tcPr>
            <w:tcW w:w="0" w:type="auto"/>
            <w:shd w:val="clear" w:color="auto" w:fill="FFFFFF"/>
            <w:tcMar>
              <w:top w:w="40" w:type="dxa"/>
              <w:left w:w="0" w:type="dxa"/>
              <w:bottom w:w="40" w:type="dxa"/>
              <w:right w:w="20" w:type="dxa"/>
            </w:tcMar>
            <w:vAlign w:val="bottom"/>
          </w:tcPr>
          <w:p w14:paraId="185FF79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96"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797" w14:textId="77777777" w:rsidR="00A91885" w:rsidRDefault="009C4196">
            <w:pPr>
              <w:jc w:val="right"/>
              <w:textAlignment w:val="bottom"/>
            </w:pPr>
            <w:r>
              <w:rPr>
                <w:rFonts w:ascii="Arial" w:eastAsia="宋体" w:hAnsi="Arial" w:cs="Arial"/>
                <w:color w:val="000000"/>
                <w:sz w:val="18"/>
                <w:szCs w:val="18"/>
              </w:rPr>
              <w:t>553 </w:t>
            </w:r>
          </w:p>
        </w:tc>
        <w:tc>
          <w:tcPr>
            <w:tcW w:w="0" w:type="auto"/>
            <w:shd w:val="clear" w:color="auto" w:fill="FFFFFF"/>
            <w:tcMar>
              <w:top w:w="40" w:type="dxa"/>
              <w:left w:w="0" w:type="dxa"/>
              <w:bottom w:w="40" w:type="dxa"/>
              <w:right w:w="20" w:type="dxa"/>
            </w:tcMar>
            <w:vAlign w:val="bottom"/>
          </w:tcPr>
          <w:p w14:paraId="185FF79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9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79A" w14:textId="77777777" w:rsidR="00A91885" w:rsidRDefault="009C4196">
            <w:pPr>
              <w:jc w:val="right"/>
              <w:textAlignment w:val="bottom"/>
            </w:pPr>
            <w:r>
              <w:rPr>
                <w:rFonts w:ascii="Arial" w:eastAsia="宋体" w:hAnsi="Arial" w:cs="Arial"/>
                <w:color w:val="000000"/>
                <w:sz w:val="18"/>
                <w:szCs w:val="18"/>
              </w:rPr>
              <w:t>398 </w:t>
            </w:r>
          </w:p>
        </w:tc>
        <w:tc>
          <w:tcPr>
            <w:tcW w:w="0" w:type="auto"/>
            <w:shd w:val="clear" w:color="auto" w:fill="FFFFFF"/>
            <w:tcMar>
              <w:top w:w="40" w:type="dxa"/>
              <w:left w:w="0" w:type="dxa"/>
              <w:bottom w:w="40" w:type="dxa"/>
              <w:right w:w="20" w:type="dxa"/>
            </w:tcMar>
            <w:vAlign w:val="bottom"/>
          </w:tcPr>
          <w:p w14:paraId="185FF79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9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79D" w14:textId="77777777" w:rsidR="00A91885" w:rsidRDefault="009C4196">
            <w:pPr>
              <w:jc w:val="right"/>
              <w:textAlignment w:val="bottom"/>
            </w:pPr>
            <w:r>
              <w:rPr>
                <w:rFonts w:ascii="Arial" w:eastAsia="宋体" w:hAnsi="Arial" w:cs="Arial"/>
                <w:color w:val="000000"/>
                <w:sz w:val="18"/>
                <w:szCs w:val="18"/>
              </w:rPr>
              <w:t>616 </w:t>
            </w:r>
          </w:p>
        </w:tc>
        <w:tc>
          <w:tcPr>
            <w:tcW w:w="0" w:type="auto"/>
            <w:shd w:val="clear" w:color="auto" w:fill="FFFFFF"/>
            <w:tcMar>
              <w:top w:w="40" w:type="dxa"/>
              <w:left w:w="0" w:type="dxa"/>
              <w:bottom w:w="40" w:type="dxa"/>
              <w:right w:w="20" w:type="dxa"/>
            </w:tcMar>
            <w:vAlign w:val="bottom"/>
          </w:tcPr>
          <w:p w14:paraId="185FF79E" w14:textId="77777777" w:rsidR="00A91885" w:rsidRDefault="00A91885">
            <w:pPr>
              <w:jc w:val="right"/>
              <w:rPr>
                <w:rFonts w:ascii="宋体"/>
              </w:rPr>
            </w:pPr>
          </w:p>
        </w:tc>
      </w:tr>
      <w:tr w:rsidR="00A91885" w14:paraId="185FF7AC" w14:textId="77777777">
        <w:tc>
          <w:tcPr>
            <w:tcW w:w="0" w:type="auto"/>
            <w:gridSpan w:val="3"/>
            <w:shd w:val="clear" w:color="auto" w:fill="E2E2E2"/>
            <w:tcMar>
              <w:top w:w="40" w:type="dxa"/>
              <w:left w:w="245" w:type="dxa"/>
              <w:bottom w:w="40" w:type="dxa"/>
              <w:right w:w="20" w:type="dxa"/>
            </w:tcMar>
            <w:vAlign w:val="bottom"/>
          </w:tcPr>
          <w:p w14:paraId="185FF7A0" w14:textId="77777777" w:rsidR="00A91885" w:rsidRDefault="009C4196">
            <w:pPr>
              <w:textAlignment w:val="bottom"/>
            </w:pPr>
            <w:r>
              <w:rPr>
                <w:rFonts w:ascii="Arial" w:eastAsia="宋体" w:hAnsi="Arial" w:cs="Arial"/>
                <w:color w:val="000000"/>
                <w:sz w:val="18"/>
                <w:szCs w:val="18"/>
              </w:rPr>
              <w:t>Foreign currency translation adjustment</w:t>
            </w:r>
          </w:p>
        </w:tc>
        <w:tc>
          <w:tcPr>
            <w:tcW w:w="0" w:type="auto"/>
            <w:gridSpan w:val="2"/>
            <w:shd w:val="clear" w:color="auto" w:fill="E2E2E2"/>
            <w:tcMar>
              <w:top w:w="40" w:type="dxa"/>
              <w:left w:w="20" w:type="dxa"/>
              <w:bottom w:w="40" w:type="dxa"/>
              <w:right w:w="0" w:type="dxa"/>
            </w:tcMar>
            <w:vAlign w:val="bottom"/>
          </w:tcPr>
          <w:p w14:paraId="185FF7A1" w14:textId="77777777" w:rsidR="00A91885" w:rsidRDefault="009C4196">
            <w:pPr>
              <w:jc w:val="right"/>
              <w:textAlignment w:val="bottom"/>
            </w:pPr>
            <w:r>
              <w:rPr>
                <w:rFonts w:ascii="Arial" w:eastAsia="宋体" w:hAnsi="Arial" w:cs="Arial"/>
                <w:color w:val="000000"/>
                <w:sz w:val="18"/>
                <w:szCs w:val="18"/>
              </w:rPr>
              <w:t>(85)</w:t>
            </w:r>
          </w:p>
        </w:tc>
        <w:tc>
          <w:tcPr>
            <w:tcW w:w="0" w:type="auto"/>
            <w:shd w:val="clear" w:color="auto" w:fill="E2E2E2"/>
            <w:tcMar>
              <w:top w:w="40" w:type="dxa"/>
              <w:left w:w="0" w:type="dxa"/>
              <w:bottom w:w="40" w:type="dxa"/>
              <w:right w:w="20" w:type="dxa"/>
            </w:tcMar>
            <w:vAlign w:val="bottom"/>
          </w:tcPr>
          <w:p w14:paraId="185FF7A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A3"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7A4" w14:textId="77777777" w:rsidR="00A91885" w:rsidRDefault="009C4196">
            <w:pPr>
              <w:jc w:val="right"/>
              <w:textAlignment w:val="bottom"/>
            </w:pPr>
            <w:r>
              <w:rPr>
                <w:rFonts w:ascii="Arial" w:eastAsia="宋体" w:hAnsi="Arial" w:cs="Arial"/>
                <w:color w:val="000000"/>
                <w:sz w:val="18"/>
                <w:szCs w:val="18"/>
              </w:rPr>
              <w:t>10 </w:t>
            </w:r>
          </w:p>
        </w:tc>
        <w:tc>
          <w:tcPr>
            <w:tcW w:w="0" w:type="auto"/>
            <w:shd w:val="clear" w:color="auto" w:fill="E2E2E2"/>
            <w:tcMar>
              <w:top w:w="40" w:type="dxa"/>
              <w:left w:w="0" w:type="dxa"/>
              <w:bottom w:w="40" w:type="dxa"/>
              <w:right w:w="20" w:type="dxa"/>
            </w:tcMar>
            <w:vAlign w:val="bottom"/>
          </w:tcPr>
          <w:p w14:paraId="185FF7A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A6"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7A7" w14:textId="77777777" w:rsidR="00A91885" w:rsidRDefault="009C4196">
            <w:pPr>
              <w:jc w:val="right"/>
              <w:textAlignment w:val="bottom"/>
            </w:pPr>
            <w:r>
              <w:rPr>
                <w:rFonts w:ascii="Arial" w:eastAsia="宋体" w:hAnsi="Arial" w:cs="Arial"/>
                <w:color w:val="000000"/>
                <w:sz w:val="18"/>
                <w:szCs w:val="18"/>
              </w:rPr>
              <w:t>(119)</w:t>
            </w:r>
          </w:p>
        </w:tc>
        <w:tc>
          <w:tcPr>
            <w:tcW w:w="0" w:type="auto"/>
            <w:shd w:val="clear" w:color="auto" w:fill="E2E2E2"/>
            <w:tcMar>
              <w:top w:w="40" w:type="dxa"/>
              <w:left w:w="0" w:type="dxa"/>
              <w:bottom w:w="40" w:type="dxa"/>
              <w:right w:w="20" w:type="dxa"/>
            </w:tcMar>
            <w:vAlign w:val="bottom"/>
          </w:tcPr>
          <w:p w14:paraId="185FF7A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A9"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7AA" w14:textId="77777777" w:rsidR="00A91885" w:rsidRDefault="009C4196">
            <w:pPr>
              <w:jc w:val="right"/>
              <w:textAlignment w:val="bottom"/>
            </w:pPr>
            <w:r>
              <w:rPr>
                <w:rFonts w:ascii="Arial" w:eastAsia="宋体" w:hAnsi="Arial" w:cs="Arial"/>
                <w:color w:val="000000"/>
                <w:sz w:val="18"/>
                <w:szCs w:val="18"/>
              </w:rPr>
              <w:t>(107)</w:t>
            </w:r>
          </w:p>
        </w:tc>
        <w:tc>
          <w:tcPr>
            <w:tcW w:w="0" w:type="auto"/>
            <w:shd w:val="clear" w:color="auto" w:fill="E2E2E2"/>
            <w:tcMar>
              <w:top w:w="40" w:type="dxa"/>
              <w:left w:w="0" w:type="dxa"/>
              <w:bottom w:w="40" w:type="dxa"/>
              <w:right w:w="20" w:type="dxa"/>
            </w:tcMar>
            <w:vAlign w:val="bottom"/>
          </w:tcPr>
          <w:p w14:paraId="185FF7AB" w14:textId="77777777" w:rsidR="00A91885" w:rsidRDefault="00A91885">
            <w:pPr>
              <w:jc w:val="right"/>
              <w:rPr>
                <w:rFonts w:ascii="宋体"/>
              </w:rPr>
            </w:pPr>
          </w:p>
        </w:tc>
      </w:tr>
      <w:tr w:rsidR="00A91885" w14:paraId="185FF7B9" w14:textId="77777777">
        <w:tc>
          <w:tcPr>
            <w:tcW w:w="0" w:type="auto"/>
            <w:gridSpan w:val="3"/>
            <w:shd w:val="clear" w:color="auto" w:fill="FFFFFF"/>
            <w:tcMar>
              <w:top w:w="40" w:type="dxa"/>
              <w:left w:w="245" w:type="dxa"/>
              <w:bottom w:w="40" w:type="dxa"/>
              <w:right w:w="20" w:type="dxa"/>
            </w:tcMar>
            <w:vAlign w:val="bottom"/>
          </w:tcPr>
          <w:p w14:paraId="185FF7AD" w14:textId="77777777" w:rsidR="00A91885" w:rsidRDefault="009C4196">
            <w:pPr>
              <w:textAlignment w:val="bottom"/>
            </w:pPr>
            <w:r>
              <w:rPr>
                <w:rFonts w:ascii="Arial" w:eastAsia="宋体" w:hAnsi="Arial" w:cs="Arial"/>
                <w:color w:val="000000"/>
                <w:sz w:val="18"/>
                <w:szCs w:val="18"/>
              </w:rPr>
              <w:t>Change in unrealized gains (losses) on investments</w:t>
            </w:r>
          </w:p>
        </w:tc>
        <w:tc>
          <w:tcPr>
            <w:tcW w:w="0" w:type="auto"/>
            <w:gridSpan w:val="2"/>
            <w:shd w:val="clear" w:color="auto" w:fill="FFFFFF"/>
            <w:tcMar>
              <w:top w:w="40" w:type="dxa"/>
              <w:left w:w="20" w:type="dxa"/>
              <w:bottom w:w="40" w:type="dxa"/>
              <w:right w:w="0" w:type="dxa"/>
            </w:tcMar>
            <w:vAlign w:val="bottom"/>
          </w:tcPr>
          <w:p w14:paraId="185FF7AE" w14:textId="77777777" w:rsidR="00A91885" w:rsidRDefault="009C4196">
            <w:pPr>
              <w:jc w:val="right"/>
              <w:textAlignment w:val="bottom"/>
            </w:pPr>
            <w:r>
              <w:rPr>
                <w:rFonts w:ascii="Arial" w:eastAsia="宋体" w:hAnsi="Arial" w:cs="Arial"/>
                <w:color w:val="000000"/>
                <w:sz w:val="18"/>
                <w:szCs w:val="18"/>
              </w:rPr>
              <w:t>(17)</w:t>
            </w:r>
          </w:p>
        </w:tc>
        <w:tc>
          <w:tcPr>
            <w:tcW w:w="0" w:type="auto"/>
            <w:shd w:val="clear" w:color="auto" w:fill="FFFFFF"/>
            <w:tcMar>
              <w:top w:w="40" w:type="dxa"/>
              <w:left w:w="0" w:type="dxa"/>
              <w:bottom w:w="40" w:type="dxa"/>
              <w:right w:w="20" w:type="dxa"/>
            </w:tcMar>
            <w:vAlign w:val="bottom"/>
          </w:tcPr>
          <w:p w14:paraId="185FF7A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B0"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7B1" w14:textId="77777777" w:rsidR="00A91885" w:rsidRDefault="009C4196">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185FF7B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B3"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7B4" w14:textId="77777777" w:rsidR="00A91885" w:rsidRDefault="009C4196">
            <w:pPr>
              <w:jc w:val="right"/>
              <w:textAlignment w:val="bottom"/>
            </w:pPr>
            <w:r>
              <w:rPr>
                <w:rFonts w:ascii="Arial" w:eastAsia="宋体" w:hAnsi="Arial" w:cs="Arial"/>
                <w:color w:val="000000"/>
                <w:sz w:val="18"/>
                <w:szCs w:val="18"/>
              </w:rPr>
              <w:t>(68)</w:t>
            </w:r>
          </w:p>
        </w:tc>
        <w:tc>
          <w:tcPr>
            <w:tcW w:w="0" w:type="auto"/>
            <w:shd w:val="clear" w:color="auto" w:fill="FFFFFF"/>
            <w:tcMar>
              <w:top w:w="40" w:type="dxa"/>
              <w:left w:w="0" w:type="dxa"/>
              <w:bottom w:w="40" w:type="dxa"/>
              <w:right w:w="20" w:type="dxa"/>
            </w:tcMar>
            <w:vAlign w:val="bottom"/>
          </w:tcPr>
          <w:p w14:paraId="185FF7B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B6"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7B7" w14:textId="77777777" w:rsidR="00A91885" w:rsidRDefault="009C4196">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185FF7B8" w14:textId="77777777" w:rsidR="00A91885" w:rsidRDefault="00A91885">
            <w:pPr>
              <w:jc w:val="right"/>
              <w:rPr>
                <w:rFonts w:ascii="宋体"/>
              </w:rPr>
            </w:pPr>
          </w:p>
        </w:tc>
      </w:tr>
      <w:tr w:rsidR="00A91885" w14:paraId="185FF7C6" w14:textId="77777777">
        <w:tc>
          <w:tcPr>
            <w:tcW w:w="0" w:type="auto"/>
            <w:gridSpan w:val="3"/>
            <w:shd w:val="clear" w:color="auto" w:fill="E2E2E2"/>
            <w:tcMar>
              <w:top w:w="40" w:type="dxa"/>
              <w:left w:w="245" w:type="dxa"/>
              <w:bottom w:w="40" w:type="dxa"/>
              <w:right w:w="20" w:type="dxa"/>
            </w:tcMar>
            <w:vAlign w:val="bottom"/>
          </w:tcPr>
          <w:p w14:paraId="185FF7BA" w14:textId="77777777" w:rsidR="00A91885" w:rsidRDefault="009C4196">
            <w:pPr>
              <w:textAlignment w:val="bottom"/>
            </w:pPr>
            <w:r>
              <w:rPr>
                <w:rFonts w:ascii="Arial" w:eastAsia="宋体" w:hAnsi="Arial" w:cs="Arial"/>
                <w:color w:val="000000"/>
                <w:sz w:val="18"/>
                <w:szCs w:val="18"/>
              </w:rPr>
              <w:t>Change in unrealized gains (losses) on derivative instruments</w:t>
            </w:r>
          </w:p>
        </w:tc>
        <w:tc>
          <w:tcPr>
            <w:tcW w:w="0" w:type="auto"/>
            <w:gridSpan w:val="2"/>
            <w:shd w:val="clear" w:color="auto" w:fill="E2E2E2"/>
            <w:tcMar>
              <w:top w:w="40" w:type="dxa"/>
              <w:left w:w="20" w:type="dxa"/>
              <w:bottom w:w="40" w:type="dxa"/>
              <w:right w:w="0" w:type="dxa"/>
            </w:tcMar>
            <w:vAlign w:val="bottom"/>
          </w:tcPr>
          <w:p w14:paraId="185FF7BB" w14:textId="77777777" w:rsidR="00A91885" w:rsidRDefault="009C4196">
            <w:pPr>
              <w:jc w:val="right"/>
              <w:textAlignment w:val="bottom"/>
            </w:pPr>
            <w:r>
              <w:rPr>
                <w:rFonts w:ascii="Arial" w:eastAsia="宋体" w:hAnsi="Arial" w:cs="Arial"/>
                <w:color w:val="000000"/>
                <w:sz w:val="18"/>
                <w:szCs w:val="18"/>
              </w:rPr>
              <w:t>105 </w:t>
            </w:r>
          </w:p>
        </w:tc>
        <w:tc>
          <w:tcPr>
            <w:tcW w:w="0" w:type="auto"/>
            <w:shd w:val="clear" w:color="auto" w:fill="E2E2E2"/>
            <w:tcMar>
              <w:top w:w="40" w:type="dxa"/>
              <w:left w:w="0" w:type="dxa"/>
              <w:bottom w:w="40" w:type="dxa"/>
              <w:right w:w="20" w:type="dxa"/>
            </w:tcMar>
            <w:vAlign w:val="bottom"/>
          </w:tcPr>
          <w:p w14:paraId="185FF7B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BD"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7BE" w14:textId="77777777" w:rsidR="00A91885" w:rsidRDefault="009C4196">
            <w:pPr>
              <w:jc w:val="right"/>
              <w:textAlignment w:val="bottom"/>
            </w:pPr>
            <w:r>
              <w:rPr>
                <w:rFonts w:ascii="Arial" w:eastAsia="宋体" w:hAnsi="Arial" w:cs="Arial"/>
                <w:color w:val="000000"/>
                <w:sz w:val="18"/>
                <w:szCs w:val="18"/>
              </w:rPr>
              <w:t>(4)</w:t>
            </w:r>
          </w:p>
        </w:tc>
        <w:tc>
          <w:tcPr>
            <w:tcW w:w="0" w:type="auto"/>
            <w:shd w:val="clear" w:color="auto" w:fill="E2E2E2"/>
            <w:tcMar>
              <w:top w:w="40" w:type="dxa"/>
              <w:left w:w="0" w:type="dxa"/>
              <w:bottom w:w="40" w:type="dxa"/>
              <w:right w:w="20" w:type="dxa"/>
            </w:tcMar>
            <w:vAlign w:val="bottom"/>
          </w:tcPr>
          <w:p w14:paraId="185FF7BF"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C0"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7C1" w14:textId="77777777" w:rsidR="00A91885" w:rsidRDefault="009C4196">
            <w:pPr>
              <w:jc w:val="right"/>
              <w:textAlignment w:val="bottom"/>
            </w:pPr>
            <w:r>
              <w:rPr>
                <w:rFonts w:ascii="Arial" w:eastAsia="宋体" w:hAnsi="Arial" w:cs="Arial"/>
                <w:color w:val="000000"/>
                <w:sz w:val="18"/>
                <w:szCs w:val="18"/>
              </w:rPr>
              <w:t>125 </w:t>
            </w:r>
          </w:p>
        </w:tc>
        <w:tc>
          <w:tcPr>
            <w:tcW w:w="0" w:type="auto"/>
            <w:shd w:val="clear" w:color="auto" w:fill="E2E2E2"/>
            <w:tcMar>
              <w:top w:w="40" w:type="dxa"/>
              <w:left w:w="0" w:type="dxa"/>
              <w:bottom w:w="40" w:type="dxa"/>
              <w:right w:w="20" w:type="dxa"/>
            </w:tcMar>
            <w:vAlign w:val="bottom"/>
          </w:tcPr>
          <w:p w14:paraId="185FF7C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C3"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7C4" w14:textId="77777777" w:rsidR="00A91885" w:rsidRDefault="009C4196">
            <w:pPr>
              <w:jc w:val="right"/>
              <w:textAlignment w:val="bottom"/>
            </w:pPr>
            <w:r>
              <w:rPr>
                <w:rFonts w:ascii="Arial" w:eastAsia="宋体" w:hAnsi="Arial" w:cs="Arial"/>
                <w:color w:val="000000"/>
                <w:sz w:val="18"/>
                <w:szCs w:val="18"/>
              </w:rPr>
              <w:t>70 </w:t>
            </w:r>
          </w:p>
        </w:tc>
        <w:tc>
          <w:tcPr>
            <w:tcW w:w="0" w:type="auto"/>
            <w:shd w:val="clear" w:color="auto" w:fill="E2E2E2"/>
            <w:tcMar>
              <w:top w:w="40" w:type="dxa"/>
              <w:left w:w="0" w:type="dxa"/>
              <w:bottom w:w="40" w:type="dxa"/>
              <w:right w:w="20" w:type="dxa"/>
            </w:tcMar>
            <w:vAlign w:val="bottom"/>
          </w:tcPr>
          <w:p w14:paraId="185FF7C5" w14:textId="77777777" w:rsidR="00A91885" w:rsidRDefault="00A91885">
            <w:pPr>
              <w:jc w:val="right"/>
              <w:rPr>
                <w:rFonts w:ascii="宋体"/>
              </w:rPr>
            </w:pPr>
          </w:p>
        </w:tc>
      </w:tr>
      <w:tr w:rsidR="00A91885" w14:paraId="185FF7D3" w14:textId="77777777">
        <w:tc>
          <w:tcPr>
            <w:tcW w:w="0" w:type="auto"/>
            <w:gridSpan w:val="3"/>
            <w:shd w:val="clear" w:color="auto" w:fill="FFFFFF"/>
            <w:tcMar>
              <w:top w:w="40" w:type="dxa"/>
              <w:left w:w="245" w:type="dxa"/>
              <w:bottom w:w="40" w:type="dxa"/>
              <w:right w:w="20" w:type="dxa"/>
            </w:tcMar>
            <w:vAlign w:val="bottom"/>
          </w:tcPr>
          <w:p w14:paraId="185FF7C7" w14:textId="77777777" w:rsidR="00A91885" w:rsidRDefault="009C4196">
            <w:pPr>
              <w:textAlignment w:val="bottom"/>
            </w:pPr>
            <w:r>
              <w:rPr>
                <w:rFonts w:ascii="Arial" w:eastAsia="宋体" w:hAnsi="Arial" w:cs="Arial"/>
                <w:color w:val="000000"/>
                <w:sz w:val="18"/>
                <w:szCs w:val="18"/>
              </w:rPr>
              <w:t>Tax benefit (provision) on above items</w:t>
            </w:r>
          </w:p>
        </w:tc>
        <w:tc>
          <w:tcPr>
            <w:tcW w:w="0" w:type="auto"/>
            <w:gridSpan w:val="2"/>
            <w:shd w:val="clear" w:color="auto" w:fill="FFFFFF"/>
            <w:tcMar>
              <w:top w:w="40" w:type="dxa"/>
              <w:left w:w="20" w:type="dxa"/>
              <w:bottom w:w="40" w:type="dxa"/>
              <w:right w:w="0" w:type="dxa"/>
            </w:tcMar>
            <w:vAlign w:val="bottom"/>
          </w:tcPr>
          <w:p w14:paraId="185FF7C8" w14:textId="77777777" w:rsidR="00A91885" w:rsidRDefault="009C4196">
            <w:pPr>
              <w:jc w:val="right"/>
              <w:textAlignment w:val="bottom"/>
            </w:pPr>
            <w:r>
              <w:rPr>
                <w:rFonts w:ascii="Arial" w:eastAsia="宋体" w:hAnsi="Arial" w:cs="Arial"/>
                <w:color w:val="000000"/>
                <w:sz w:val="18"/>
                <w:szCs w:val="18"/>
              </w:rPr>
              <w:t>(22)</w:t>
            </w:r>
          </w:p>
        </w:tc>
        <w:tc>
          <w:tcPr>
            <w:tcW w:w="0" w:type="auto"/>
            <w:shd w:val="clear" w:color="auto" w:fill="FFFFFF"/>
            <w:tcMar>
              <w:top w:w="40" w:type="dxa"/>
              <w:left w:w="0" w:type="dxa"/>
              <w:bottom w:w="40" w:type="dxa"/>
              <w:right w:w="20" w:type="dxa"/>
            </w:tcMar>
            <w:vAlign w:val="bottom"/>
          </w:tcPr>
          <w:p w14:paraId="185FF7C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C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7CB"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85FF7C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CD"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7CE" w14:textId="77777777" w:rsidR="00A91885" w:rsidRDefault="009C4196">
            <w:pPr>
              <w:jc w:val="right"/>
              <w:textAlignment w:val="bottom"/>
            </w:pPr>
            <w:r>
              <w:rPr>
                <w:rFonts w:ascii="Arial" w:eastAsia="宋体" w:hAnsi="Arial" w:cs="Arial"/>
                <w:color w:val="000000"/>
                <w:sz w:val="18"/>
                <w:szCs w:val="18"/>
              </w:rPr>
              <w:t>(13)</w:t>
            </w:r>
          </w:p>
        </w:tc>
        <w:tc>
          <w:tcPr>
            <w:tcW w:w="0" w:type="auto"/>
            <w:shd w:val="clear" w:color="auto" w:fill="FFFFFF"/>
            <w:tcMar>
              <w:top w:w="40" w:type="dxa"/>
              <w:left w:w="0" w:type="dxa"/>
              <w:bottom w:w="40" w:type="dxa"/>
              <w:right w:w="20" w:type="dxa"/>
            </w:tcMar>
            <w:vAlign w:val="bottom"/>
          </w:tcPr>
          <w:p w14:paraId="185FF7C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D0"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7D1" w14:textId="77777777" w:rsidR="00A91885" w:rsidRDefault="009C4196">
            <w:pPr>
              <w:jc w:val="right"/>
              <w:textAlignment w:val="bottom"/>
            </w:pPr>
            <w:r>
              <w:rPr>
                <w:rFonts w:ascii="Arial" w:eastAsia="宋体" w:hAnsi="Arial" w:cs="Arial"/>
                <w:color w:val="000000"/>
                <w:sz w:val="18"/>
                <w:szCs w:val="18"/>
              </w:rPr>
              <w:t>(15)</w:t>
            </w:r>
          </w:p>
        </w:tc>
        <w:tc>
          <w:tcPr>
            <w:tcW w:w="0" w:type="auto"/>
            <w:shd w:val="clear" w:color="auto" w:fill="FFFFFF"/>
            <w:tcMar>
              <w:top w:w="40" w:type="dxa"/>
              <w:left w:w="0" w:type="dxa"/>
              <w:bottom w:w="40" w:type="dxa"/>
              <w:right w:w="20" w:type="dxa"/>
            </w:tcMar>
            <w:vAlign w:val="bottom"/>
          </w:tcPr>
          <w:p w14:paraId="185FF7D2" w14:textId="77777777" w:rsidR="00A91885" w:rsidRDefault="00A91885">
            <w:pPr>
              <w:jc w:val="right"/>
              <w:rPr>
                <w:rFonts w:ascii="宋体"/>
              </w:rPr>
            </w:pPr>
          </w:p>
        </w:tc>
      </w:tr>
      <w:tr w:rsidR="00A91885" w14:paraId="185FF7DC" w14:textId="77777777">
        <w:trPr>
          <w:hidden/>
        </w:trPr>
        <w:tc>
          <w:tcPr>
            <w:tcW w:w="0" w:type="auto"/>
            <w:gridSpan w:val="3"/>
            <w:shd w:val="clear" w:color="auto" w:fill="auto"/>
            <w:vAlign w:val="bottom"/>
          </w:tcPr>
          <w:p w14:paraId="185FF7D4" w14:textId="77777777" w:rsidR="00A91885" w:rsidRDefault="00A91885">
            <w:pPr>
              <w:rPr>
                <w:rFonts w:ascii="宋体"/>
                <w:vanish/>
              </w:rPr>
            </w:pPr>
          </w:p>
        </w:tc>
        <w:tc>
          <w:tcPr>
            <w:tcW w:w="0" w:type="auto"/>
            <w:gridSpan w:val="3"/>
            <w:shd w:val="clear" w:color="auto" w:fill="auto"/>
            <w:vAlign w:val="bottom"/>
          </w:tcPr>
          <w:p w14:paraId="185FF7D5" w14:textId="77777777" w:rsidR="00A91885" w:rsidRDefault="00A91885">
            <w:pPr>
              <w:rPr>
                <w:rFonts w:ascii="宋体"/>
                <w:vanish/>
              </w:rPr>
            </w:pPr>
          </w:p>
        </w:tc>
        <w:tc>
          <w:tcPr>
            <w:tcW w:w="0" w:type="auto"/>
            <w:gridSpan w:val="3"/>
            <w:shd w:val="clear" w:color="auto" w:fill="auto"/>
            <w:vAlign w:val="bottom"/>
          </w:tcPr>
          <w:p w14:paraId="185FF7D6" w14:textId="77777777" w:rsidR="00A91885" w:rsidRDefault="00A91885">
            <w:pPr>
              <w:rPr>
                <w:rFonts w:ascii="宋体"/>
                <w:vanish/>
              </w:rPr>
            </w:pPr>
          </w:p>
        </w:tc>
        <w:tc>
          <w:tcPr>
            <w:tcW w:w="0" w:type="auto"/>
            <w:gridSpan w:val="3"/>
            <w:shd w:val="clear" w:color="auto" w:fill="auto"/>
            <w:vAlign w:val="bottom"/>
          </w:tcPr>
          <w:p w14:paraId="185FF7D7" w14:textId="77777777" w:rsidR="00A91885" w:rsidRDefault="00A91885">
            <w:pPr>
              <w:rPr>
                <w:rFonts w:ascii="宋体"/>
                <w:vanish/>
              </w:rPr>
            </w:pPr>
          </w:p>
        </w:tc>
        <w:tc>
          <w:tcPr>
            <w:tcW w:w="0" w:type="auto"/>
            <w:gridSpan w:val="3"/>
            <w:shd w:val="clear" w:color="auto" w:fill="auto"/>
            <w:vAlign w:val="bottom"/>
          </w:tcPr>
          <w:p w14:paraId="185FF7D8" w14:textId="77777777" w:rsidR="00A91885" w:rsidRDefault="00A91885">
            <w:pPr>
              <w:rPr>
                <w:rFonts w:ascii="宋体"/>
                <w:vanish/>
              </w:rPr>
            </w:pPr>
          </w:p>
        </w:tc>
        <w:tc>
          <w:tcPr>
            <w:tcW w:w="0" w:type="auto"/>
            <w:gridSpan w:val="3"/>
            <w:shd w:val="clear" w:color="auto" w:fill="auto"/>
            <w:vAlign w:val="bottom"/>
          </w:tcPr>
          <w:p w14:paraId="185FF7D9" w14:textId="77777777" w:rsidR="00A91885" w:rsidRDefault="00A91885">
            <w:pPr>
              <w:rPr>
                <w:rFonts w:ascii="宋体"/>
                <w:vanish/>
              </w:rPr>
            </w:pPr>
          </w:p>
        </w:tc>
        <w:tc>
          <w:tcPr>
            <w:tcW w:w="0" w:type="auto"/>
            <w:gridSpan w:val="3"/>
            <w:shd w:val="clear" w:color="auto" w:fill="auto"/>
            <w:vAlign w:val="bottom"/>
          </w:tcPr>
          <w:p w14:paraId="185FF7DA" w14:textId="77777777" w:rsidR="00A91885" w:rsidRDefault="00A91885">
            <w:pPr>
              <w:rPr>
                <w:rFonts w:ascii="宋体"/>
                <w:vanish/>
              </w:rPr>
            </w:pPr>
          </w:p>
        </w:tc>
        <w:tc>
          <w:tcPr>
            <w:tcW w:w="0" w:type="auto"/>
            <w:gridSpan w:val="3"/>
            <w:shd w:val="clear" w:color="auto" w:fill="auto"/>
            <w:vAlign w:val="bottom"/>
          </w:tcPr>
          <w:p w14:paraId="185FF7DB" w14:textId="77777777" w:rsidR="00A91885" w:rsidRDefault="00A91885">
            <w:pPr>
              <w:rPr>
                <w:rFonts w:ascii="宋体"/>
                <w:vanish/>
              </w:rPr>
            </w:pPr>
          </w:p>
        </w:tc>
      </w:tr>
      <w:tr w:rsidR="00A91885" w14:paraId="185FF7E9" w14:textId="77777777">
        <w:tc>
          <w:tcPr>
            <w:tcW w:w="0" w:type="auto"/>
            <w:gridSpan w:val="3"/>
            <w:shd w:val="clear" w:color="auto" w:fill="E2E2E2"/>
            <w:tcMar>
              <w:top w:w="40" w:type="dxa"/>
              <w:left w:w="740" w:type="dxa"/>
              <w:bottom w:w="40" w:type="dxa"/>
              <w:right w:w="20" w:type="dxa"/>
            </w:tcMar>
            <w:vAlign w:val="bottom"/>
          </w:tcPr>
          <w:p w14:paraId="185FF7DD" w14:textId="77777777" w:rsidR="00A91885" w:rsidRDefault="009C4196">
            <w:pPr>
              <w:textAlignment w:val="bottom"/>
            </w:pPr>
            <w:r>
              <w:rPr>
                <w:rFonts w:ascii="Arial" w:eastAsia="宋体" w:hAnsi="Arial" w:cs="Arial"/>
                <w:color w:val="000000"/>
                <w:sz w:val="18"/>
                <w:szCs w:val="18"/>
              </w:rPr>
              <w:t>Balance, end of period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7DE" w14:textId="77777777" w:rsidR="00A91885" w:rsidRDefault="009C4196">
            <w:pPr>
              <w:jc w:val="right"/>
              <w:textAlignment w:val="bottom"/>
            </w:pPr>
            <w:r>
              <w:rPr>
                <w:rFonts w:ascii="Arial" w:eastAsia="宋体" w:hAnsi="Arial" w:cs="Arial"/>
                <w:color w:val="000000"/>
                <w:sz w:val="18"/>
                <w:szCs w:val="18"/>
              </w:rPr>
              <w:t>323 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7DF"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E0"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7E1" w14:textId="77777777" w:rsidR="00A91885" w:rsidRDefault="009C4196">
            <w:pPr>
              <w:jc w:val="right"/>
              <w:textAlignment w:val="bottom"/>
            </w:pPr>
            <w:r>
              <w:rPr>
                <w:rFonts w:ascii="Arial" w:eastAsia="宋体" w:hAnsi="Arial" w:cs="Arial"/>
                <w:color w:val="000000"/>
                <w:sz w:val="18"/>
                <w:szCs w:val="18"/>
              </w:rPr>
              <w:t>560 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7E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E3"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7E4" w14:textId="77777777" w:rsidR="00A91885" w:rsidRDefault="009C4196">
            <w:pPr>
              <w:jc w:val="right"/>
              <w:textAlignment w:val="bottom"/>
            </w:pPr>
            <w:r>
              <w:rPr>
                <w:rFonts w:ascii="Arial" w:eastAsia="宋体" w:hAnsi="Arial" w:cs="Arial"/>
                <w:color w:val="000000"/>
                <w:sz w:val="18"/>
                <w:szCs w:val="18"/>
              </w:rPr>
              <w:t>323 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7E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7E6"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7E7" w14:textId="77777777" w:rsidR="00A91885" w:rsidRDefault="009C4196">
            <w:pPr>
              <w:jc w:val="right"/>
              <w:textAlignment w:val="bottom"/>
            </w:pPr>
            <w:r>
              <w:rPr>
                <w:rFonts w:ascii="Arial" w:eastAsia="宋体" w:hAnsi="Arial" w:cs="Arial"/>
                <w:color w:val="000000"/>
                <w:sz w:val="18"/>
                <w:szCs w:val="18"/>
              </w:rPr>
              <w:t>560 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7E8" w14:textId="77777777" w:rsidR="00A91885" w:rsidRDefault="00A91885">
            <w:pPr>
              <w:jc w:val="right"/>
              <w:rPr>
                <w:rFonts w:ascii="宋体"/>
              </w:rPr>
            </w:pPr>
          </w:p>
        </w:tc>
      </w:tr>
      <w:tr w:rsidR="00A91885" w14:paraId="185FF7FA" w14:textId="77777777">
        <w:tc>
          <w:tcPr>
            <w:tcW w:w="0" w:type="auto"/>
            <w:gridSpan w:val="3"/>
            <w:shd w:val="clear" w:color="auto" w:fill="FFFFFF"/>
            <w:tcMar>
              <w:top w:w="40" w:type="dxa"/>
              <w:left w:w="20" w:type="dxa"/>
              <w:bottom w:w="40" w:type="dxa"/>
              <w:right w:w="20" w:type="dxa"/>
            </w:tcMar>
            <w:vAlign w:val="bottom"/>
          </w:tcPr>
          <w:p w14:paraId="185FF7EA" w14:textId="77777777" w:rsidR="00A91885" w:rsidRDefault="009C4196">
            <w:pPr>
              <w:textAlignment w:val="bottom"/>
            </w:pPr>
            <w:r>
              <w:rPr>
                <w:rFonts w:ascii="Arial" w:eastAsia="宋体" w:hAnsi="Arial" w:cs="Arial"/>
                <w:color w:val="000000"/>
                <w:sz w:val="18"/>
                <w:szCs w:val="18"/>
              </w:rPr>
              <w:t>Total stockholders’ equity</w:t>
            </w:r>
          </w:p>
        </w:tc>
        <w:tc>
          <w:tcPr>
            <w:tcW w:w="0" w:type="auto"/>
            <w:tcBorders>
              <w:top w:val="single" w:sz="8" w:space="0" w:color="000000"/>
            </w:tcBorders>
            <w:shd w:val="clear" w:color="auto" w:fill="FFFFFF"/>
            <w:tcMar>
              <w:top w:w="40" w:type="dxa"/>
              <w:left w:w="20" w:type="dxa"/>
              <w:bottom w:w="40" w:type="dxa"/>
              <w:right w:w="0" w:type="dxa"/>
            </w:tcMar>
            <w:vAlign w:val="bottom"/>
          </w:tcPr>
          <w:p w14:paraId="185FF7EB"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7EC" w14:textId="77777777" w:rsidR="00A91885" w:rsidRDefault="009C4196">
            <w:pPr>
              <w:jc w:val="right"/>
              <w:textAlignment w:val="bottom"/>
            </w:pPr>
            <w:r>
              <w:rPr>
                <w:rFonts w:ascii="Arial" w:eastAsia="宋体" w:hAnsi="Arial" w:cs="Arial"/>
                <w:color w:val="000000"/>
                <w:sz w:val="18"/>
                <w:szCs w:val="18"/>
              </w:rPr>
              <w:t>5,243 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7E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EE"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5FF7E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7F0" w14:textId="77777777" w:rsidR="00A91885" w:rsidRDefault="009C4196">
            <w:pPr>
              <w:jc w:val="right"/>
              <w:textAlignment w:val="bottom"/>
            </w:pPr>
            <w:r>
              <w:rPr>
                <w:rFonts w:ascii="Arial" w:eastAsia="宋体" w:hAnsi="Arial" w:cs="Arial"/>
                <w:color w:val="000000"/>
                <w:sz w:val="18"/>
                <w:szCs w:val="18"/>
              </w:rPr>
              <w:t>13,016 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7F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F2"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5FF7F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7F4" w14:textId="77777777" w:rsidR="00A91885" w:rsidRDefault="009C4196">
            <w:pPr>
              <w:jc w:val="right"/>
              <w:textAlignment w:val="bottom"/>
            </w:pPr>
            <w:r>
              <w:rPr>
                <w:rFonts w:ascii="Arial" w:eastAsia="宋体" w:hAnsi="Arial" w:cs="Arial"/>
                <w:color w:val="000000"/>
                <w:sz w:val="18"/>
                <w:szCs w:val="18"/>
              </w:rPr>
              <w:t>5,243 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7F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7F6"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5FF7F7"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7F8" w14:textId="77777777" w:rsidR="00A91885" w:rsidRDefault="009C4196">
            <w:pPr>
              <w:jc w:val="right"/>
              <w:textAlignment w:val="bottom"/>
            </w:pPr>
            <w:r>
              <w:rPr>
                <w:rFonts w:ascii="Arial" w:eastAsia="宋体" w:hAnsi="Arial" w:cs="Arial"/>
                <w:color w:val="000000"/>
                <w:sz w:val="18"/>
                <w:szCs w:val="18"/>
              </w:rPr>
              <w:t>13,016 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7F9" w14:textId="77777777" w:rsidR="00A91885" w:rsidRDefault="00A91885">
            <w:pPr>
              <w:jc w:val="right"/>
              <w:rPr>
                <w:rFonts w:ascii="宋体"/>
              </w:rPr>
            </w:pPr>
          </w:p>
        </w:tc>
      </w:tr>
      <w:tr w:rsidR="00A91885" w14:paraId="185FF803" w14:textId="77777777">
        <w:trPr>
          <w:trHeight w:val="280"/>
        </w:trPr>
        <w:tc>
          <w:tcPr>
            <w:tcW w:w="0" w:type="auto"/>
            <w:gridSpan w:val="3"/>
            <w:shd w:val="clear" w:color="auto" w:fill="E2E2E2"/>
            <w:tcMar>
              <w:top w:w="0" w:type="dxa"/>
              <w:left w:w="20" w:type="dxa"/>
              <w:bottom w:w="0" w:type="dxa"/>
              <w:right w:w="20" w:type="dxa"/>
            </w:tcMar>
            <w:vAlign w:val="bottom"/>
          </w:tcPr>
          <w:p w14:paraId="185FF7FB"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7FC"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7FD"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7FE"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7FF"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800"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801"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802" w14:textId="77777777" w:rsidR="00A91885" w:rsidRDefault="00A91885">
            <w:pPr>
              <w:rPr>
                <w:rFonts w:ascii="宋体"/>
              </w:rPr>
            </w:pPr>
          </w:p>
        </w:tc>
      </w:tr>
      <w:tr w:rsidR="00A91885" w14:paraId="185FF814" w14:textId="77777777">
        <w:tc>
          <w:tcPr>
            <w:tcW w:w="0" w:type="auto"/>
            <w:gridSpan w:val="3"/>
            <w:shd w:val="clear" w:color="auto" w:fill="FFFFFF"/>
            <w:tcMar>
              <w:top w:w="40" w:type="dxa"/>
              <w:left w:w="20" w:type="dxa"/>
              <w:bottom w:w="40" w:type="dxa"/>
              <w:right w:w="20" w:type="dxa"/>
            </w:tcMar>
            <w:vAlign w:val="bottom"/>
          </w:tcPr>
          <w:p w14:paraId="185FF804" w14:textId="77777777" w:rsidR="00A91885" w:rsidRDefault="009C4196">
            <w:pPr>
              <w:textAlignment w:val="bottom"/>
            </w:pPr>
            <w:r>
              <w:rPr>
                <w:rFonts w:ascii="Arial" w:eastAsia="宋体" w:hAnsi="Arial" w:cs="Arial"/>
                <w:color w:val="000000"/>
                <w:sz w:val="18"/>
                <w:szCs w:val="18"/>
              </w:rPr>
              <w:t>Dividends and dividend equivalents declared per share or restricted stock unit</w:t>
            </w:r>
          </w:p>
        </w:tc>
        <w:tc>
          <w:tcPr>
            <w:tcW w:w="0" w:type="auto"/>
            <w:shd w:val="clear" w:color="auto" w:fill="FFFFFF"/>
            <w:tcMar>
              <w:top w:w="40" w:type="dxa"/>
              <w:left w:w="20" w:type="dxa"/>
              <w:bottom w:w="40" w:type="dxa"/>
              <w:right w:w="0" w:type="dxa"/>
            </w:tcMar>
            <w:vAlign w:val="bottom"/>
          </w:tcPr>
          <w:p w14:paraId="185FF805"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806" w14:textId="77777777" w:rsidR="00A91885" w:rsidRDefault="009C4196">
            <w:pPr>
              <w:jc w:val="right"/>
              <w:textAlignment w:val="bottom"/>
            </w:pPr>
            <w:r>
              <w:rPr>
                <w:rFonts w:ascii="Arial" w:eastAsia="宋体" w:hAnsi="Arial" w:cs="Arial"/>
                <w:color w:val="000000"/>
                <w:sz w:val="18"/>
                <w:szCs w:val="18"/>
              </w:rPr>
              <w:t>0.22 </w:t>
            </w:r>
          </w:p>
        </w:tc>
        <w:tc>
          <w:tcPr>
            <w:tcW w:w="0" w:type="auto"/>
            <w:shd w:val="clear" w:color="auto" w:fill="FFFFFF"/>
            <w:tcMar>
              <w:top w:w="40" w:type="dxa"/>
              <w:left w:w="0" w:type="dxa"/>
              <w:bottom w:w="40" w:type="dxa"/>
              <w:right w:w="20" w:type="dxa"/>
            </w:tcMar>
            <w:vAlign w:val="bottom"/>
          </w:tcPr>
          <w:p w14:paraId="185FF80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808"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809"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80A" w14:textId="77777777" w:rsidR="00A91885" w:rsidRDefault="009C4196">
            <w:pPr>
              <w:jc w:val="right"/>
              <w:textAlignment w:val="bottom"/>
            </w:pPr>
            <w:r>
              <w:rPr>
                <w:rFonts w:ascii="Arial" w:eastAsia="宋体" w:hAnsi="Arial" w:cs="Arial"/>
                <w:color w:val="000000"/>
                <w:sz w:val="18"/>
                <w:szCs w:val="18"/>
              </w:rPr>
              <w:t>0.18 </w:t>
            </w:r>
          </w:p>
        </w:tc>
        <w:tc>
          <w:tcPr>
            <w:tcW w:w="0" w:type="auto"/>
            <w:shd w:val="clear" w:color="auto" w:fill="FFFFFF"/>
            <w:tcMar>
              <w:top w:w="40" w:type="dxa"/>
              <w:left w:w="0" w:type="dxa"/>
              <w:bottom w:w="40" w:type="dxa"/>
              <w:right w:w="20" w:type="dxa"/>
            </w:tcMar>
            <w:vAlign w:val="bottom"/>
          </w:tcPr>
          <w:p w14:paraId="185FF80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80C"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80D"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80E" w14:textId="77777777" w:rsidR="00A91885" w:rsidRDefault="009C4196">
            <w:pPr>
              <w:jc w:val="right"/>
              <w:textAlignment w:val="bottom"/>
            </w:pPr>
            <w:r>
              <w:rPr>
                <w:rFonts w:ascii="Arial" w:eastAsia="宋体" w:hAnsi="Arial" w:cs="Arial"/>
                <w:color w:val="000000"/>
                <w:sz w:val="18"/>
                <w:szCs w:val="18"/>
              </w:rPr>
              <w:t>0.44 </w:t>
            </w:r>
          </w:p>
        </w:tc>
        <w:tc>
          <w:tcPr>
            <w:tcW w:w="0" w:type="auto"/>
            <w:shd w:val="clear" w:color="auto" w:fill="FFFFFF"/>
            <w:tcMar>
              <w:top w:w="40" w:type="dxa"/>
              <w:left w:w="0" w:type="dxa"/>
              <w:bottom w:w="40" w:type="dxa"/>
              <w:right w:w="20" w:type="dxa"/>
            </w:tcMar>
            <w:vAlign w:val="bottom"/>
          </w:tcPr>
          <w:p w14:paraId="185FF80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810"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811"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812" w14:textId="77777777" w:rsidR="00A91885" w:rsidRDefault="009C4196">
            <w:pPr>
              <w:jc w:val="right"/>
              <w:textAlignment w:val="bottom"/>
            </w:pPr>
            <w:r>
              <w:rPr>
                <w:rFonts w:ascii="Arial" w:eastAsia="宋体" w:hAnsi="Arial" w:cs="Arial"/>
                <w:color w:val="000000"/>
                <w:sz w:val="18"/>
                <w:szCs w:val="18"/>
              </w:rPr>
              <w:t>0.36 </w:t>
            </w:r>
          </w:p>
        </w:tc>
        <w:tc>
          <w:tcPr>
            <w:tcW w:w="0" w:type="auto"/>
            <w:shd w:val="clear" w:color="auto" w:fill="FFFFFF"/>
            <w:tcMar>
              <w:top w:w="40" w:type="dxa"/>
              <w:left w:w="0" w:type="dxa"/>
              <w:bottom w:w="40" w:type="dxa"/>
              <w:right w:w="20" w:type="dxa"/>
            </w:tcMar>
            <w:vAlign w:val="bottom"/>
          </w:tcPr>
          <w:p w14:paraId="185FF813" w14:textId="77777777" w:rsidR="00A91885" w:rsidRDefault="00A91885">
            <w:pPr>
              <w:jc w:val="right"/>
              <w:rPr>
                <w:rFonts w:ascii="宋体"/>
              </w:rPr>
            </w:pPr>
          </w:p>
        </w:tc>
      </w:tr>
    </w:tbl>
    <w:p w14:paraId="185FF815" w14:textId="77777777" w:rsidR="00A91885" w:rsidRDefault="00A91885">
      <w:pPr>
        <w:jc w:val="center"/>
      </w:pPr>
    </w:p>
    <w:p w14:paraId="185FF816" w14:textId="77777777" w:rsidR="00A91885" w:rsidRDefault="009C4196">
      <w:pPr>
        <w:jc w:val="center"/>
      </w:pPr>
      <w:r>
        <w:rPr>
          <w:rFonts w:ascii="Arial" w:eastAsia="宋体" w:hAnsi="Arial" w:cs="Arial"/>
          <w:color w:val="000000"/>
          <w:sz w:val="18"/>
          <w:szCs w:val="18"/>
        </w:rPr>
        <w:t xml:space="preserve">The accompanying notes are an integral part of these condensed consolidated financial statements. </w:t>
      </w:r>
    </w:p>
    <w:p w14:paraId="185FF817" w14:textId="77777777" w:rsidR="00A91885" w:rsidRDefault="00A91885">
      <w:pPr>
        <w:jc w:val="center"/>
      </w:pPr>
    </w:p>
    <w:p w14:paraId="185FF818" w14:textId="77777777" w:rsidR="00A91885" w:rsidRDefault="00A91885">
      <w:pPr>
        <w:jc w:val="center"/>
      </w:pPr>
    </w:p>
    <w:p w14:paraId="185FF819" w14:textId="77777777" w:rsidR="00A91885" w:rsidRDefault="009C4196">
      <w:pPr>
        <w:jc w:val="center"/>
      </w:pPr>
      <w:r>
        <w:rPr>
          <w:rFonts w:ascii="Arial" w:eastAsia="宋体" w:hAnsi="Arial" w:cs="Arial"/>
          <w:color w:val="000000"/>
          <w:sz w:val="20"/>
          <w:szCs w:val="20"/>
        </w:rPr>
        <w:t>7</w:t>
      </w:r>
    </w:p>
    <w:p w14:paraId="185FF81A" w14:textId="77777777" w:rsidR="00A91885" w:rsidRDefault="009C4196">
      <w:r>
        <w:pict w14:anchorId="1860218A">
          <v:rect id="_x0000_i1031" style="width:415.3pt;height:1.5pt" o:hralign="center" o:hrstd="t" o:hr="t" fillcolor="#a0a0a0" stroked="f"/>
        </w:pict>
      </w:r>
    </w:p>
    <w:p w14:paraId="185FF81B" w14:textId="77777777" w:rsidR="00A91885" w:rsidRDefault="009C4196">
      <w:hyperlink r:id="rId91" w:anchor="ieb971428a625452486c65ae24899afca_7" w:history="1">
        <w:r>
          <w:rPr>
            <w:rStyle w:val="a5"/>
            <w:rFonts w:ascii="Arial" w:eastAsia="宋体" w:hAnsi="Arial" w:cs="Arial"/>
            <w:sz w:val="18"/>
            <w:szCs w:val="18"/>
          </w:rPr>
          <w:t>Table of Contents</w:t>
        </w:r>
      </w:hyperlink>
    </w:p>
    <w:p w14:paraId="185FF81C" w14:textId="77777777" w:rsidR="00A91885" w:rsidRDefault="009C4196">
      <w:pPr>
        <w:spacing w:before="120"/>
        <w:jc w:val="center"/>
      </w:pPr>
      <w:r>
        <w:rPr>
          <w:rFonts w:ascii="Arial" w:eastAsia="宋体" w:hAnsi="Arial" w:cs="Arial"/>
          <w:b/>
          <w:bCs/>
          <w:color w:val="000000"/>
          <w:sz w:val="20"/>
          <w:szCs w:val="20"/>
        </w:rPr>
        <w:t>eBay Inc.</w:t>
      </w:r>
    </w:p>
    <w:p w14:paraId="185FF81D" w14:textId="77777777" w:rsidR="00A91885" w:rsidRDefault="009C4196">
      <w:pPr>
        <w:spacing w:before="80"/>
        <w:jc w:val="center"/>
      </w:pPr>
      <w:r>
        <w:rPr>
          <w:rFonts w:ascii="Arial" w:eastAsia="宋体" w:hAnsi="Arial" w:cs="Arial"/>
          <w:b/>
          <w:bCs/>
          <w:color w:val="000000"/>
          <w:sz w:val="20"/>
          <w:szCs w:val="20"/>
        </w:rPr>
        <w:t>CONDENSED CONSOLIDATED STATEMENT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689"/>
        <w:gridCol w:w="41"/>
        <w:gridCol w:w="121"/>
        <w:gridCol w:w="1070"/>
        <w:gridCol w:w="36"/>
        <w:gridCol w:w="36"/>
        <w:gridCol w:w="36"/>
        <w:gridCol w:w="36"/>
        <w:gridCol w:w="121"/>
        <w:gridCol w:w="1072"/>
        <w:gridCol w:w="36"/>
      </w:tblGrid>
      <w:tr w:rsidR="00A91885" w14:paraId="185FF82A" w14:textId="77777777">
        <w:trPr>
          <w:jc w:val="center"/>
        </w:trPr>
        <w:tc>
          <w:tcPr>
            <w:tcW w:w="50" w:type="pct"/>
            <w:shd w:val="clear" w:color="auto" w:fill="auto"/>
            <w:vAlign w:val="bottom"/>
          </w:tcPr>
          <w:p w14:paraId="185FF81E" w14:textId="77777777" w:rsidR="00A91885" w:rsidRDefault="00A91885">
            <w:pPr>
              <w:rPr>
                <w:rFonts w:ascii="宋体"/>
              </w:rPr>
            </w:pPr>
          </w:p>
        </w:tc>
        <w:tc>
          <w:tcPr>
            <w:tcW w:w="3453" w:type="pct"/>
            <w:shd w:val="clear" w:color="auto" w:fill="auto"/>
            <w:vAlign w:val="bottom"/>
          </w:tcPr>
          <w:p w14:paraId="185FF81F" w14:textId="77777777" w:rsidR="00A91885" w:rsidRDefault="00A91885">
            <w:pPr>
              <w:rPr>
                <w:rFonts w:ascii="宋体"/>
              </w:rPr>
            </w:pPr>
          </w:p>
        </w:tc>
        <w:tc>
          <w:tcPr>
            <w:tcW w:w="5" w:type="pct"/>
            <w:shd w:val="clear" w:color="auto" w:fill="auto"/>
            <w:vAlign w:val="bottom"/>
          </w:tcPr>
          <w:p w14:paraId="185FF820" w14:textId="77777777" w:rsidR="00A91885" w:rsidRDefault="00A91885">
            <w:pPr>
              <w:rPr>
                <w:rFonts w:ascii="宋体"/>
              </w:rPr>
            </w:pPr>
          </w:p>
        </w:tc>
        <w:tc>
          <w:tcPr>
            <w:tcW w:w="50" w:type="pct"/>
            <w:shd w:val="clear" w:color="auto" w:fill="auto"/>
            <w:vAlign w:val="bottom"/>
          </w:tcPr>
          <w:p w14:paraId="185FF821" w14:textId="77777777" w:rsidR="00A91885" w:rsidRDefault="00A91885">
            <w:pPr>
              <w:rPr>
                <w:rFonts w:ascii="宋体"/>
              </w:rPr>
            </w:pPr>
          </w:p>
        </w:tc>
        <w:tc>
          <w:tcPr>
            <w:tcW w:w="675" w:type="pct"/>
            <w:shd w:val="clear" w:color="auto" w:fill="auto"/>
            <w:vAlign w:val="bottom"/>
          </w:tcPr>
          <w:p w14:paraId="185FF822" w14:textId="77777777" w:rsidR="00A91885" w:rsidRDefault="00A91885">
            <w:pPr>
              <w:rPr>
                <w:rFonts w:ascii="宋体"/>
              </w:rPr>
            </w:pPr>
          </w:p>
        </w:tc>
        <w:tc>
          <w:tcPr>
            <w:tcW w:w="5" w:type="pct"/>
            <w:shd w:val="clear" w:color="auto" w:fill="auto"/>
            <w:vAlign w:val="bottom"/>
          </w:tcPr>
          <w:p w14:paraId="185FF823" w14:textId="77777777" w:rsidR="00A91885" w:rsidRDefault="00A91885">
            <w:pPr>
              <w:rPr>
                <w:rFonts w:ascii="宋体"/>
              </w:rPr>
            </w:pPr>
          </w:p>
        </w:tc>
        <w:tc>
          <w:tcPr>
            <w:tcW w:w="5" w:type="pct"/>
            <w:shd w:val="clear" w:color="auto" w:fill="auto"/>
            <w:vAlign w:val="bottom"/>
          </w:tcPr>
          <w:p w14:paraId="185FF824" w14:textId="77777777" w:rsidR="00A91885" w:rsidRDefault="00A91885">
            <w:pPr>
              <w:rPr>
                <w:rFonts w:ascii="宋体"/>
              </w:rPr>
            </w:pPr>
          </w:p>
        </w:tc>
        <w:tc>
          <w:tcPr>
            <w:tcW w:w="19" w:type="pct"/>
            <w:shd w:val="clear" w:color="auto" w:fill="auto"/>
            <w:vAlign w:val="bottom"/>
          </w:tcPr>
          <w:p w14:paraId="185FF825" w14:textId="77777777" w:rsidR="00A91885" w:rsidRDefault="00A91885">
            <w:pPr>
              <w:rPr>
                <w:rFonts w:ascii="宋体"/>
              </w:rPr>
            </w:pPr>
          </w:p>
        </w:tc>
        <w:tc>
          <w:tcPr>
            <w:tcW w:w="5" w:type="pct"/>
            <w:shd w:val="clear" w:color="auto" w:fill="auto"/>
            <w:vAlign w:val="bottom"/>
          </w:tcPr>
          <w:p w14:paraId="185FF826" w14:textId="77777777" w:rsidR="00A91885" w:rsidRDefault="00A91885">
            <w:pPr>
              <w:rPr>
                <w:rFonts w:ascii="宋体"/>
              </w:rPr>
            </w:pPr>
          </w:p>
        </w:tc>
        <w:tc>
          <w:tcPr>
            <w:tcW w:w="50" w:type="pct"/>
            <w:shd w:val="clear" w:color="auto" w:fill="auto"/>
            <w:vAlign w:val="bottom"/>
          </w:tcPr>
          <w:p w14:paraId="185FF827" w14:textId="77777777" w:rsidR="00A91885" w:rsidRDefault="00A91885">
            <w:pPr>
              <w:rPr>
                <w:rFonts w:ascii="宋体"/>
              </w:rPr>
            </w:pPr>
          </w:p>
        </w:tc>
        <w:tc>
          <w:tcPr>
            <w:tcW w:w="676" w:type="pct"/>
            <w:shd w:val="clear" w:color="auto" w:fill="auto"/>
            <w:vAlign w:val="bottom"/>
          </w:tcPr>
          <w:p w14:paraId="185FF828" w14:textId="77777777" w:rsidR="00A91885" w:rsidRDefault="00A91885">
            <w:pPr>
              <w:rPr>
                <w:rFonts w:ascii="宋体"/>
              </w:rPr>
            </w:pPr>
          </w:p>
        </w:tc>
        <w:tc>
          <w:tcPr>
            <w:tcW w:w="5" w:type="pct"/>
            <w:shd w:val="clear" w:color="auto" w:fill="auto"/>
            <w:vAlign w:val="bottom"/>
          </w:tcPr>
          <w:p w14:paraId="185FF829" w14:textId="77777777" w:rsidR="00A91885" w:rsidRDefault="00A91885">
            <w:pPr>
              <w:rPr>
                <w:rFonts w:ascii="宋体"/>
              </w:rPr>
            </w:pPr>
          </w:p>
        </w:tc>
      </w:tr>
      <w:tr w:rsidR="00A91885" w14:paraId="185FF82D" w14:textId="77777777">
        <w:trPr>
          <w:jc w:val="center"/>
        </w:trPr>
        <w:tc>
          <w:tcPr>
            <w:tcW w:w="0" w:type="auto"/>
            <w:gridSpan w:val="3"/>
            <w:shd w:val="clear" w:color="auto" w:fill="auto"/>
            <w:tcMar>
              <w:top w:w="40" w:type="dxa"/>
              <w:left w:w="20" w:type="dxa"/>
              <w:bottom w:w="40" w:type="dxa"/>
              <w:right w:w="20" w:type="dxa"/>
            </w:tcMar>
            <w:vAlign w:val="bottom"/>
          </w:tcPr>
          <w:p w14:paraId="185FF82B" w14:textId="77777777" w:rsidR="00A91885" w:rsidRDefault="009C4196">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185FF82C" w14:textId="77777777" w:rsidR="00A91885" w:rsidRDefault="009C4196">
            <w:pPr>
              <w:jc w:val="center"/>
              <w:textAlignment w:val="bottom"/>
            </w:pPr>
            <w:r>
              <w:rPr>
                <w:rFonts w:ascii="Arial" w:eastAsia="宋体" w:hAnsi="Arial" w:cs="Arial"/>
                <w:b/>
                <w:bCs/>
                <w:color w:val="000000"/>
                <w:sz w:val="17"/>
                <w:szCs w:val="17"/>
              </w:rPr>
              <w:t xml:space="preserve">Six </w:t>
            </w:r>
            <w:r>
              <w:rPr>
                <w:rFonts w:ascii="Arial" w:eastAsia="宋体" w:hAnsi="Arial" w:cs="Arial"/>
                <w:b/>
                <w:bCs/>
                <w:color w:val="000000"/>
                <w:sz w:val="17"/>
                <w:szCs w:val="17"/>
              </w:rPr>
              <w:t>Months Ended</w:t>
            </w:r>
            <w:r>
              <w:rPr>
                <w:rFonts w:ascii="Arial" w:eastAsia="宋体" w:hAnsi="Arial" w:cs="Arial"/>
                <w:b/>
                <w:bCs/>
                <w:color w:val="000000"/>
                <w:sz w:val="17"/>
                <w:szCs w:val="17"/>
              </w:rPr>
              <w:br/>
              <w:t>June 30,</w:t>
            </w:r>
          </w:p>
        </w:tc>
      </w:tr>
      <w:tr w:rsidR="00A91885" w14:paraId="185FF832" w14:textId="77777777">
        <w:trPr>
          <w:jc w:val="center"/>
        </w:trPr>
        <w:tc>
          <w:tcPr>
            <w:tcW w:w="0" w:type="auto"/>
            <w:gridSpan w:val="3"/>
            <w:shd w:val="clear" w:color="auto" w:fill="auto"/>
            <w:tcMar>
              <w:top w:w="40" w:type="dxa"/>
              <w:left w:w="20" w:type="dxa"/>
              <w:bottom w:w="40" w:type="dxa"/>
              <w:right w:w="20" w:type="dxa"/>
            </w:tcMar>
            <w:vAlign w:val="bottom"/>
          </w:tcPr>
          <w:p w14:paraId="185FF82E" w14:textId="77777777" w:rsidR="00A91885" w:rsidRDefault="009C4196">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82F"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830"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5FF831"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5FF835" w14:textId="77777777">
        <w:trPr>
          <w:jc w:val="center"/>
        </w:trPr>
        <w:tc>
          <w:tcPr>
            <w:tcW w:w="0" w:type="auto"/>
            <w:gridSpan w:val="3"/>
            <w:shd w:val="clear" w:color="auto" w:fill="auto"/>
            <w:tcMar>
              <w:top w:w="40" w:type="dxa"/>
              <w:left w:w="20" w:type="dxa"/>
              <w:bottom w:w="40" w:type="dxa"/>
              <w:right w:w="20" w:type="dxa"/>
            </w:tcMar>
            <w:vAlign w:val="bottom"/>
          </w:tcPr>
          <w:p w14:paraId="185FF833" w14:textId="77777777" w:rsidR="00A91885" w:rsidRDefault="009C4196">
            <w:pPr>
              <w:textAlignment w:val="bottom"/>
            </w:pPr>
            <w:r>
              <w:rPr>
                <w:rFonts w:ascii="Arial" w:eastAsia="宋体" w:hAnsi="Arial" w:cs="Arial"/>
                <w:b/>
                <w:bCs/>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5FF834" w14:textId="77777777" w:rsidR="00A91885" w:rsidRDefault="009C4196">
            <w:pPr>
              <w:jc w:val="center"/>
              <w:textAlignment w:val="bottom"/>
            </w:pPr>
            <w:r>
              <w:rPr>
                <w:rFonts w:ascii="Arial" w:eastAsia="宋体" w:hAnsi="Arial" w:cs="Arial"/>
                <w:b/>
                <w:bCs/>
                <w:color w:val="000000"/>
                <w:sz w:val="17"/>
                <w:szCs w:val="17"/>
              </w:rPr>
              <w:t>(In millions)</w:t>
            </w:r>
          </w:p>
        </w:tc>
      </w:tr>
      <w:tr w:rsidR="00A91885" w14:paraId="185FF838" w14:textId="77777777">
        <w:trPr>
          <w:jc w:val="center"/>
        </w:trPr>
        <w:tc>
          <w:tcPr>
            <w:tcW w:w="0" w:type="auto"/>
            <w:gridSpan w:val="3"/>
            <w:shd w:val="clear" w:color="auto" w:fill="auto"/>
            <w:tcMar>
              <w:top w:w="40" w:type="dxa"/>
              <w:left w:w="20" w:type="dxa"/>
              <w:bottom w:w="40" w:type="dxa"/>
              <w:right w:w="20" w:type="dxa"/>
            </w:tcMar>
            <w:vAlign w:val="bottom"/>
          </w:tcPr>
          <w:p w14:paraId="185FF836" w14:textId="77777777" w:rsidR="00A91885" w:rsidRDefault="009C4196">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185FF837" w14:textId="77777777" w:rsidR="00A91885" w:rsidRDefault="009C4196">
            <w:pPr>
              <w:jc w:val="center"/>
              <w:textAlignment w:val="bottom"/>
            </w:pPr>
            <w:r>
              <w:rPr>
                <w:rFonts w:ascii="Arial" w:eastAsia="宋体" w:hAnsi="Arial" w:cs="Arial"/>
                <w:b/>
                <w:bCs/>
                <w:color w:val="000000"/>
                <w:sz w:val="17"/>
                <w:szCs w:val="17"/>
              </w:rPr>
              <w:t>(Unaudited)</w:t>
            </w:r>
          </w:p>
        </w:tc>
      </w:tr>
      <w:tr w:rsidR="00A91885" w14:paraId="185FF83D" w14:textId="77777777">
        <w:trPr>
          <w:jc w:val="center"/>
        </w:trPr>
        <w:tc>
          <w:tcPr>
            <w:tcW w:w="0" w:type="auto"/>
            <w:gridSpan w:val="3"/>
            <w:shd w:val="clear" w:color="auto" w:fill="E1E1E1"/>
            <w:tcMar>
              <w:top w:w="40" w:type="dxa"/>
              <w:left w:w="20" w:type="dxa"/>
              <w:bottom w:w="40" w:type="dxa"/>
              <w:right w:w="20" w:type="dxa"/>
            </w:tcMar>
            <w:vAlign w:val="bottom"/>
          </w:tcPr>
          <w:p w14:paraId="185FF839" w14:textId="77777777" w:rsidR="00A91885" w:rsidRDefault="009C4196">
            <w:pPr>
              <w:textAlignment w:val="bottom"/>
            </w:pPr>
            <w:r>
              <w:rPr>
                <w:rFonts w:ascii="Arial" w:eastAsia="宋体" w:hAnsi="Arial" w:cs="Arial"/>
                <w:color w:val="000000"/>
                <w:sz w:val="18"/>
                <w:szCs w:val="18"/>
              </w:rPr>
              <w:t>Cash flows from operating activities:</w:t>
            </w:r>
          </w:p>
        </w:tc>
        <w:tc>
          <w:tcPr>
            <w:tcW w:w="0" w:type="auto"/>
            <w:gridSpan w:val="3"/>
            <w:shd w:val="clear" w:color="auto" w:fill="E1E1E1"/>
            <w:tcMar>
              <w:top w:w="40" w:type="dxa"/>
              <w:left w:w="20" w:type="dxa"/>
              <w:bottom w:w="40" w:type="dxa"/>
              <w:right w:w="20" w:type="dxa"/>
            </w:tcMar>
            <w:vAlign w:val="bottom"/>
          </w:tcPr>
          <w:p w14:paraId="185FF83A"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E1E1E1"/>
            <w:tcMar>
              <w:top w:w="0" w:type="dxa"/>
              <w:left w:w="20" w:type="dxa"/>
              <w:bottom w:w="0" w:type="dxa"/>
              <w:right w:w="20" w:type="dxa"/>
            </w:tcMar>
            <w:vAlign w:val="bottom"/>
          </w:tcPr>
          <w:p w14:paraId="185FF83B" w14:textId="77777777" w:rsidR="00A91885" w:rsidRDefault="00A91885">
            <w:pPr>
              <w:rPr>
                <w:rFonts w:ascii="宋体"/>
              </w:rPr>
            </w:pPr>
          </w:p>
        </w:tc>
        <w:tc>
          <w:tcPr>
            <w:tcW w:w="0" w:type="auto"/>
            <w:gridSpan w:val="3"/>
            <w:shd w:val="clear" w:color="auto" w:fill="E1E1E1"/>
            <w:tcMar>
              <w:top w:w="40" w:type="dxa"/>
              <w:left w:w="20" w:type="dxa"/>
              <w:bottom w:w="40" w:type="dxa"/>
              <w:right w:w="20" w:type="dxa"/>
            </w:tcMar>
            <w:vAlign w:val="bottom"/>
          </w:tcPr>
          <w:p w14:paraId="185FF83C" w14:textId="77777777" w:rsidR="00A91885" w:rsidRDefault="009C4196">
            <w:pPr>
              <w:textAlignment w:val="bottom"/>
            </w:pPr>
            <w:r>
              <w:rPr>
                <w:rFonts w:ascii="Arial" w:eastAsia="宋体" w:hAnsi="Arial" w:cs="Arial"/>
                <w:color w:val="FFFFFF"/>
                <w:sz w:val="18"/>
                <w:szCs w:val="18"/>
              </w:rPr>
              <w:t> </w:t>
            </w:r>
          </w:p>
        </w:tc>
      </w:tr>
      <w:tr w:rsidR="00A91885" w14:paraId="185FF846" w14:textId="77777777">
        <w:trPr>
          <w:jc w:val="center"/>
        </w:trPr>
        <w:tc>
          <w:tcPr>
            <w:tcW w:w="0" w:type="auto"/>
            <w:gridSpan w:val="3"/>
            <w:shd w:val="clear" w:color="auto" w:fill="FFFFFF"/>
            <w:tcMar>
              <w:top w:w="40" w:type="dxa"/>
              <w:left w:w="245" w:type="dxa"/>
              <w:bottom w:w="40" w:type="dxa"/>
              <w:right w:w="20" w:type="dxa"/>
            </w:tcMar>
            <w:vAlign w:val="bottom"/>
          </w:tcPr>
          <w:p w14:paraId="185FF83E" w14:textId="77777777" w:rsidR="00A91885" w:rsidRDefault="009C4196">
            <w:pPr>
              <w:textAlignment w:val="bottom"/>
            </w:pPr>
            <w:r>
              <w:rPr>
                <w:rFonts w:ascii="Arial" w:eastAsia="宋体" w:hAnsi="Arial" w:cs="Arial"/>
                <w:color w:val="000000"/>
                <w:sz w:val="18"/>
                <w:szCs w:val="18"/>
              </w:rPr>
              <w:t>Net income (loss)</w:t>
            </w:r>
          </w:p>
        </w:tc>
        <w:tc>
          <w:tcPr>
            <w:tcW w:w="0" w:type="auto"/>
            <w:shd w:val="clear" w:color="auto" w:fill="FFFFFF"/>
            <w:tcMar>
              <w:top w:w="40" w:type="dxa"/>
              <w:left w:w="20" w:type="dxa"/>
              <w:bottom w:w="40" w:type="dxa"/>
              <w:right w:w="0" w:type="dxa"/>
            </w:tcMar>
            <w:vAlign w:val="bottom"/>
          </w:tcPr>
          <w:p w14:paraId="185FF83F"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840" w14:textId="77777777" w:rsidR="00A91885" w:rsidRDefault="009C4196">
            <w:pPr>
              <w:jc w:val="right"/>
              <w:textAlignment w:val="bottom"/>
            </w:pPr>
            <w:r>
              <w:rPr>
                <w:rFonts w:ascii="Arial" w:eastAsia="宋体" w:hAnsi="Arial" w:cs="Arial"/>
                <w:color w:val="000000"/>
                <w:sz w:val="18"/>
                <w:szCs w:val="18"/>
              </w:rPr>
              <w:t>(1,872)</w:t>
            </w:r>
          </w:p>
        </w:tc>
        <w:tc>
          <w:tcPr>
            <w:tcW w:w="0" w:type="auto"/>
            <w:shd w:val="clear" w:color="auto" w:fill="FFFFFF"/>
            <w:tcMar>
              <w:top w:w="40" w:type="dxa"/>
              <w:left w:w="0" w:type="dxa"/>
              <w:bottom w:w="40" w:type="dxa"/>
              <w:right w:w="20" w:type="dxa"/>
            </w:tcMar>
            <w:vAlign w:val="bottom"/>
          </w:tcPr>
          <w:p w14:paraId="185FF84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842"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843"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844" w14:textId="77777777" w:rsidR="00A91885" w:rsidRDefault="009C4196">
            <w:pPr>
              <w:jc w:val="right"/>
              <w:textAlignment w:val="bottom"/>
            </w:pPr>
            <w:r>
              <w:rPr>
                <w:rFonts w:ascii="Arial" w:eastAsia="宋体" w:hAnsi="Arial" w:cs="Arial"/>
                <w:color w:val="000000"/>
                <w:sz w:val="18"/>
                <w:szCs w:val="18"/>
              </w:rPr>
              <w:t>11,375 </w:t>
            </w:r>
          </w:p>
        </w:tc>
        <w:tc>
          <w:tcPr>
            <w:tcW w:w="0" w:type="auto"/>
            <w:shd w:val="clear" w:color="auto" w:fill="FFFFFF"/>
            <w:tcMar>
              <w:top w:w="40" w:type="dxa"/>
              <w:left w:w="0" w:type="dxa"/>
              <w:bottom w:w="40" w:type="dxa"/>
              <w:right w:w="20" w:type="dxa"/>
            </w:tcMar>
            <w:vAlign w:val="bottom"/>
          </w:tcPr>
          <w:p w14:paraId="185FF845" w14:textId="77777777" w:rsidR="00A91885" w:rsidRDefault="00A91885">
            <w:pPr>
              <w:jc w:val="right"/>
              <w:rPr>
                <w:rFonts w:ascii="宋体"/>
              </w:rPr>
            </w:pPr>
          </w:p>
        </w:tc>
      </w:tr>
      <w:tr w:rsidR="00A91885" w14:paraId="185FF84D" w14:textId="77777777">
        <w:trPr>
          <w:jc w:val="center"/>
        </w:trPr>
        <w:tc>
          <w:tcPr>
            <w:tcW w:w="0" w:type="auto"/>
            <w:gridSpan w:val="3"/>
            <w:shd w:val="clear" w:color="auto" w:fill="E1E1E1"/>
            <w:tcMar>
              <w:top w:w="40" w:type="dxa"/>
              <w:left w:w="245" w:type="dxa"/>
              <w:bottom w:w="40" w:type="dxa"/>
              <w:right w:w="20" w:type="dxa"/>
            </w:tcMar>
            <w:vAlign w:val="bottom"/>
          </w:tcPr>
          <w:p w14:paraId="185FF847" w14:textId="77777777" w:rsidR="00A91885" w:rsidRDefault="009C4196">
            <w:pPr>
              <w:textAlignment w:val="bottom"/>
            </w:pPr>
            <w:r>
              <w:rPr>
                <w:rFonts w:ascii="Arial" w:eastAsia="宋体" w:hAnsi="Arial" w:cs="Arial"/>
                <w:color w:val="000000"/>
                <w:sz w:val="18"/>
                <w:szCs w:val="18"/>
              </w:rPr>
              <w:t>Income (loss) from discontinued operations, net of income taxes</w:t>
            </w:r>
          </w:p>
        </w:tc>
        <w:tc>
          <w:tcPr>
            <w:tcW w:w="0" w:type="auto"/>
            <w:gridSpan w:val="2"/>
            <w:shd w:val="clear" w:color="auto" w:fill="E1E1E1"/>
            <w:tcMar>
              <w:top w:w="40" w:type="dxa"/>
              <w:left w:w="20" w:type="dxa"/>
              <w:bottom w:w="40" w:type="dxa"/>
              <w:right w:w="0" w:type="dxa"/>
            </w:tcMar>
            <w:vAlign w:val="bottom"/>
          </w:tcPr>
          <w:p w14:paraId="185FF848" w14:textId="77777777" w:rsidR="00A91885" w:rsidRDefault="009C4196">
            <w:pPr>
              <w:jc w:val="right"/>
              <w:textAlignment w:val="bottom"/>
            </w:pPr>
            <w:r>
              <w:rPr>
                <w:rFonts w:ascii="Arial" w:eastAsia="宋体" w:hAnsi="Arial" w:cs="Arial"/>
                <w:color w:val="000000"/>
                <w:sz w:val="18"/>
                <w:szCs w:val="18"/>
              </w:rPr>
              <w:t>(3)</w:t>
            </w:r>
          </w:p>
        </w:tc>
        <w:tc>
          <w:tcPr>
            <w:tcW w:w="0" w:type="auto"/>
            <w:shd w:val="clear" w:color="auto" w:fill="E1E1E1"/>
            <w:tcMar>
              <w:top w:w="40" w:type="dxa"/>
              <w:left w:w="0" w:type="dxa"/>
              <w:bottom w:w="40" w:type="dxa"/>
              <w:right w:w="20" w:type="dxa"/>
            </w:tcMar>
            <w:vAlign w:val="bottom"/>
          </w:tcPr>
          <w:p w14:paraId="185FF849"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84A"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84B" w14:textId="77777777" w:rsidR="00A91885" w:rsidRDefault="009C4196">
            <w:pPr>
              <w:jc w:val="right"/>
              <w:textAlignment w:val="bottom"/>
            </w:pPr>
            <w:r>
              <w:rPr>
                <w:rFonts w:ascii="Arial" w:eastAsia="宋体" w:hAnsi="Arial" w:cs="Arial"/>
                <w:color w:val="000000"/>
                <w:sz w:val="18"/>
                <w:szCs w:val="18"/>
              </w:rPr>
              <w:t>(10,513)</w:t>
            </w:r>
          </w:p>
        </w:tc>
        <w:tc>
          <w:tcPr>
            <w:tcW w:w="0" w:type="auto"/>
            <w:shd w:val="clear" w:color="auto" w:fill="E1E1E1"/>
            <w:tcMar>
              <w:top w:w="40" w:type="dxa"/>
              <w:left w:w="0" w:type="dxa"/>
              <w:bottom w:w="40" w:type="dxa"/>
              <w:right w:w="20" w:type="dxa"/>
            </w:tcMar>
            <w:vAlign w:val="bottom"/>
          </w:tcPr>
          <w:p w14:paraId="185FF84C" w14:textId="77777777" w:rsidR="00A91885" w:rsidRDefault="00A91885">
            <w:pPr>
              <w:jc w:val="right"/>
              <w:rPr>
                <w:rFonts w:ascii="宋体"/>
              </w:rPr>
            </w:pPr>
          </w:p>
        </w:tc>
      </w:tr>
      <w:tr w:rsidR="00A91885" w14:paraId="185FF852" w14:textId="77777777">
        <w:trPr>
          <w:jc w:val="center"/>
        </w:trPr>
        <w:tc>
          <w:tcPr>
            <w:tcW w:w="0" w:type="auto"/>
            <w:gridSpan w:val="3"/>
            <w:shd w:val="clear" w:color="auto" w:fill="FFFFFF"/>
            <w:tcMar>
              <w:top w:w="40" w:type="dxa"/>
              <w:left w:w="245" w:type="dxa"/>
              <w:bottom w:w="40" w:type="dxa"/>
              <w:right w:w="20" w:type="dxa"/>
            </w:tcMar>
            <w:vAlign w:val="bottom"/>
          </w:tcPr>
          <w:p w14:paraId="185FF84E" w14:textId="77777777" w:rsidR="00A91885" w:rsidRDefault="009C4196">
            <w:pPr>
              <w:textAlignment w:val="bottom"/>
            </w:pPr>
            <w:r>
              <w:rPr>
                <w:rFonts w:ascii="Arial" w:eastAsia="宋体" w:hAnsi="Arial" w:cs="Arial"/>
                <w:color w:val="000000"/>
                <w:sz w:val="18"/>
                <w:szCs w:val="18"/>
              </w:rPr>
              <w:t>Adjustments:</w:t>
            </w:r>
          </w:p>
        </w:tc>
        <w:tc>
          <w:tcPr>
            <w:tcW w:w="0" w:type="auto"/>
            <w:gridSpan w:val="3"/>
            <w:shd w:val="clear" w:color="auto" w:fill="FFFFFF"/>
            <w:tcMar>
              <w:top w:w="0" w:type="dxa"/>
              <w:left w:w="20" w:type="dxa"/>
              <w:bottom w:w="0" w:type="dxa"/>
              <w:right w:w="20" w:type="dxa"/>
            </w:tcMar>
            <w:vAlign w:val="bottom"/>
          </w:tcPr>
          <w:p w14:paraId="185FF84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850"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851" w14:textId="77777777" w:rsidR="00A91885" w:rsidRDefault="00A91885">
            <w:pPr>
              <w:rPr>
                <w:rFonts w:ascii="宋体"/>
              </w:rPr>
            </w:pPr>
          </w:p>
        </w:tc>
      </w:tr>
      <w:tr w:rsidR="00A91885" w14:paraId="185FF859" w14:textId="77777777">
        <w:trPr>
          <w:jc w:val="center"/>
        </w:trPr>
        <w:tc>
          <w:tcPr>
            <w:tcW w:w="0" w:type="auto"/>
            <w:gridSpan w:val="3"/>
            <w:shd w:val="clear" w:color="auto" w:fill="E1E1E1"/>
            <w:tcMar>
              <w:top w:w="40" w:type="dxa"/>
              <w:left w:w="515" w:type="dxa"/>
              <w:bottom w:w="40" w:type="dxa"/>
              <w:right w:w="20" w:type="dxa"/>
            </w:tcMar>
            <w:vAlign w:val="bottom"/>
          </w:tcPr>
          <w:p w14:paraId="185FF853" w14:textId="77777777" w:rsidR="00A91885" w:rsidRDefault="009C4196">
            <w:pPr>
              <w:textAlignment w:val="bottom"/>
            </w:pPr>
            <w:r>
              <w:rPr>
                <w:rFonts w:ascii="Arial" w:eastAsia="宋体" w:hAnsi="Arial" w:cs="Arial"/>
                <w:color w:val="000000"/>
                <w:sz w:val="18"/>
                <w:szCs w:val="18"/>
              </w:rPr>
              <w:t>Provision for transaction losses</w:t>
            </w:r>
          </w:p>
        </w:tc>
        <w:tc>
          <w:tcPr>
            <w:tcW w:w="0" w:type="auto"/>
            <w:gridSpan w:val="2"/>
            <w:shd w:val="clear" w:color="auto" w:fill="E1E1E1"/>
            <w:tcMar>
              <w:top w:w="40" w:type="dxa"/>
              <w:left w:w="20" w:type="dxa"/>
              <w:bottom w:w="40" w:type="dxa"/>
              <w:right w:w="0" w:type="dxa"/>
            </w:tcMar>
            <w:vAlign w:val="bottom"/>
          </w:tcPr>
          <w:p w14:paraId="185FF854" w14:textId="77777777" w:rsidR="00A91885" w:rsidRDefault="009C4196">
            <w:pPr>
              <w:jc w:val="right"/>
              <w:textAlignment w:val="bottom"/>
            </w:pPr>
            <w:r>
              <w:rPr>
                <w:rFonts w:ascii="Arial" w:eastAsia="宋体" w:hAnsi="Arial" w:cs="Arial"/>
                <w:color w:val="000000"/>
                <w:sz w:val="18"/>
                <w:szCs w:val="18"/>
              </w:rPr>
              <w:t>182 </w:t>
            </w:r>
          </w:p>
        </w:tc>
        <w:tc>
          <w:tcPr>
            <w:tcW w:w="0" w:type="auto"/>
            <w:shd w:val="clear" w:color="auto" w:fill="E1E1E1"/>
            <w:tcMar>
              <w:top w:w="40" w:type="dxa"/>
              <w:left w:w="0" w:type="dxa"/>
              <w:bottom w:w="40" w:type="dxa"/>
              <w:right w:w="20" w:type="dxa"/>
            </w:tcMar>
            <w:vAlign w:val="bottom"/>
          </w:tcPr>
          <w:p w14:paraId="185FF855"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856"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857" w14:textId="77777777" w:rsidR="00A91885" w:rsidRDefault="009C4196">
            <w:pPr>
              <w:jc w:val="right"/>
              <w:textAlignment w:val="bottom"/>
            </w:pPr>
            <w:r>
              <w:rPr>
                <w:rFonts w:ascii="Arial" w:eastAsia="宋体" w:hAnsi="Arial" w:cs="Arial"/>
                <w:color w:val="000000"/>
                <w:sz w:val="18"/>
                <w:szCs w:val="18"/>
              </w:rPr>
              <w:t>191 </w:t>
            </w:r>
          </w:p>
        </w:tc>
        <w:tc>
          <w:tcPr>
            <w:tcW w:w="0" w:type="auto"/>
            <w:shd w:val="clear" w:color="auto" w:fill="E1E1E1"/>
            <w:tcMar>
              <w:top w:w="40" w:type="dxa"/>
              <w:left w:w="0" w:type="dxa"/>
              <w:bottom w:w="40" w:type="dxa"/>
              <w:right w:w="20" w:type="dxa"/>
            </w:tcMar>
            <w:vAlign w:val="bottom"/>
          </w:tcPr>
          <w:p w14:paraId="185FF858" w14:textId="77777777" w:rsidR="00A91885" w:rsidRDefault="00A91885">
            <w:pPr>
              <w:jc w:val="right"/>
              <w:rPr>
                <w:rFonts w:ascii="宋体"/>
              </w:rPr>
            </w:pPr>
          </w:p>
        </w:tc>
      </w:tr>
      <w:tr w:rsidR="00A91885" w14:paraId="185FF860" w14:textId="77777777">
        <w:trPr>
          <w:jc w:val="center"/>
        </w:trPr>
        <w:tc>
          <w:tcPr>
            <w:tcW w:w="0" w:type="auto"/>
            <w:gridSpan w:val="3"/>
            <w:shd w:val="clear" w:color="auto" w:fill="FFFFFF"/>
            <w:tcMar>
              <w:top w:w="40" w:type="dxa"/>
              <w:left w:w="515" w:type="dxa"/>
              <w:bottom w:w="40" w:type="dxa"/>
              <w:right w:w="20" w:type="dxa"/>
            </w:tcMar>
            <w:vAlign w:val="bottom"/>
          </w:tcPr>
          <w:p w14:paraId="185FF85A" w14:textId="77777777" w:rsidR="00A91885" w:rsidRDefault="009C4196">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185FF85B" w14:textId="77777777" w:rsidR="00A91885" w:rsidRDefault="009C4196">
            <w:pPr>
              <w:jc w:val="right"/>
              <w:textAlignment w:val="bottom"/>
            </w:pPr>
            <w:r>
              <w:rPr>
                <w:rFonts w:ascii="Arial" w:eastAsia="宋体" w:hAnsi="Arial" w:cs="Arial"/>
                <w:color w:val="000000"/>
                <w:sz w:val="18"/>
                <w:szCs w:val="18"/>
              </w:rPr>
              <w:t>231 </w:t>
            </w:r>
          </w:p>
        </w:tc>
        <w:tc>
          <w:tcPr>
            <w:tcW w:w="0" w:type="auto"/>
            <w:shd w:val="clear" w:color="auto" w:fill="FFFFFF"/>
            <w:tcMar>
              <w:top w:w="40" w:type="dxa"/>
              <w:left w:w="0" w:type="dxa"/>
              <w:bottom w:w="40" w:type="dxa"/>
              <w:right w:w="20" w:type="dxa"/>
            </w:tcMar>
            <w:vAlign w:val="bottom"/>
          </w:tcPr>
          <w:p w14:paraId="185FF85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85D"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85E" w14:textId="77777777" w:rsidR="00A91885" w:rsidRDefault="009C4196">
            <w:pPr>
              <w:jc w:val="right"/>
              <w:textAlignment w:val="bottom"/>
            </w:pPr>
            <w:r>
              <w:rPr>
                <w:rFonts w:ascii="Arial" w:eastAsia="宋体" w:hAnsi="Arial" w:cs="Arial"/>
                <w:color w:val="000000"/>
                <w:sz w:val="18"/>
                <w:szCs w:val="18"/>
              </w:rPr>
              <w:t>261 </w:t>
            </w:r>
          </w:p>
        </w:tc>
        <w:tc>
          <w:tcPr>
            <w:tcW w:w="0" w:type="auto"/>
            <w:shd w:val="clear" w:color="auto" w:fill="FFFFFF"/>
            <w:tcMar>
              <w:top w:w="40" w:type="dxa"/>
              <w:left w:w="0" w:type="dxa"/>
              <w:bottom w:w="40" w:type="dxa"/>
              <w:right w:w="20" w:type="dxa"/>
            </w:tcMar>
            <w:vAlign w:val="bottom"/>
          </w:tcPr>
          <w:p w14:paraId="185FF85F" w14:textId="77777777" w:rsidR="00A91885" w:rsidRDefault="00A91885">
            <w:pPr>
              <w:jc w:val="right"/>
              <w:rPr>
                <w:rFonts w:ascii="宋体"/>
              </w:rPr>
            </w:pPr>
          </w:p>
        </w:tc>
      </w:tr>
      <w:tr w:rsidR="00A91885" w14:paraId="185FF867" w14:textId="77777777">
        <w:trPr>
          <w:jc w:val="center"/>
        </w:trPr>
        <w:tc>
          <w:tcPr>
            <w:tcW w:w="0" w:type="auto"/>
            <w:gridSpan w:val="3"/>
            <w:shd w:val="clear" w:color="auto" w:fill="E1E1E1"/>
            <w:tcMar>
              <w:top w:w="40" w:type="dxa"/>
              <w:left w:w="515" w:type="dxa"/>
              <w:bottom w:w="40" w:type="dxa"/>
              <w:right w:w="20" w:type="dxa"/>
            </w:tcMar>
            <w:vAlign w:val="bottom"/>
          </w:tcPr>
          <w:p w14:paraId="185FF861" w14:textId="77777777" w:rsidR="00A91885" w:rsidRDefault="009C4196">
            <w:pPr>
              <w:textAlignment w:val="bottom"/>
            </w:pPr>
            <w:r>
              <w:rPr>
                <w:rFonts w:ascii="Arial" w:eastAsia="宋体" w:hAnsi="Arial" w:cs="Arial"/>
                <w:color w:val="000000"/>
                <w:sz w:val="18"/>
                <w:szCs w:val="18"/>
              </w:rPr>
              <w:t>Stock-based compensation</w:t>
            </w:r>
          </w:p>
        </w:tc>
        <w:tc>
          <w:tcPr>
            <w:tcW w:w="0" w:type="auto"/>
            <w:gridSpan w:val="2"/>
            <w:shd w:val="clear" w:color="auto" w:fill="E1E1E1"/>
            <w:tcMar>
              <w:top w:w="40" w:type="dxa"/>
              <w:left w:w="20" w:type="dxa"/>
              <w:bottom w:w="40" w:type="dxa"/>
              <w:right w:w="0" w:type="dxa"/>
            </w:tcMar>
            <w:vAlign w:val="bottom"/>
          </w:tcPr>
          <w:p w14:paraId="185FF862" w14:textId="77777777" w:rsidR="00A91885" w:rsidRDefault="009C4196">
            <w:pPr>
              <w:jc w:val="right"/>
              <w:textAlignment w:val="bottom"/>
            </w:pPr>
            <w:r>
              <w:rPr>
                <w:rFonts w:ascii="Arial" w:eastAsia="宋体" w:hAnsi="Arial" w:cs="Arial"/>
                <w:color w:val="000000"/>
                <w:sz w:val="18"/>
                <w:szCs w:val="18"/>
              </w:rPr>
              <w:t>248 </w:t>
            </w:r>
          </w:p>
        </w:tc>
        <w:tc>
          <w:tcPr>
            <w:tcW w:w="0" w:type="auto"/>
            <w:shd w:val="clear" w:color="auto" w:fill="E1E1E1"/>
            <w:tcMar>
              <w:top w:w="40" w:type="dxa"/>
              <w:left w:w="0" w:type="dxa"/>
              <w:bottom w:w="40" w:type="dxa"/>
              <w:right w:w="20" w:type="dxa"/>
            </w:tcMar>
            <w:vAlign w:val="bottom"/>
          </w:tcPr>
          <w:p w14:paraId="185FF863"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864"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865" w14:textId="77777777" w:rsidR="00A91885" w:rsidRDefault="009C4196">
            <w:pPr>
              <w:jc w:val="right"/>
              <w:textAlignment w:val="bottom"/>
            </w:pPr>
            <w:r>
              <w:rPr>
                <w:rFonts w:ascii="Arial" w:eastAsia="宋体" w:hAnsi="Arial" w:cs="Arial"/>
                <w:color w:val="000000"/>
                <w:sz w:val="18"/>
                <w:szCs w:val="18"/>
              </w:rPr>
              <w:t>238 </w:t>
            </w:r>
          </w:p>
        </w:tc>
        <w:tc>
          <w:tcPr>
            <w:tcW w:w="0" w:type="auto"/>
            <w:shd w:val="clear" w:color="auto" w:fill="E1E1E1"/>
            <w:tcMar>
              <w:top w:w="40" w:type="dxa"/>
              <w:left w:w="0" w:type="dxa"/>
              <w:bottom w:w="40" w:type="dxa"/>
              <w:right w:w="20" w:type="dxa"/>
            </w:tcMar>
            <w:vAlign w:val="bottom"/>
          </w:tcPr>
          <w:p w14:paraId="185FF866" w14:textId="77777777" w:rsidR="00A91885" w:rsidRDefault="00A91885">
            <w:pPr>
              <w:jc w:val="right"/>
              <w:rPr>
                <w:rFonts w:ascii="宋体"/>
              </w:rPr>
            </w:pPr>
          </w:p>
        </w:tc>
      </w:tr>
      <w:tr w:rsidR="00A91885" w14:paraId="185FF86C" w14:textId="77777777">
        <w:trPr>
          <w:jc w:val="center"/>
          <w:hidden/>
        </w:trPr>
        <w:tc>
          <w:tcPr>
            <w:tcW w:w="0" w:type="auto"/>
            <w:gridSpan w:val="3"/>
            <w:shd w:val="clear" w:color="auto" w:fill="auto"/>
            <w:vAlign w:val="bottom"/>
          </w:tcPr>
          <w:p w14:paraId="185FF868" w14:textId="77777777" w:rsidR="00A91885" w:rsidRDefault="00A91885">
            <w:pPr>
              <w:rPr>
                <w:rFonts w:ascii="宋体"/>
                <w:vanish/>
              </w:rPr>
            </w:pPr>
          </w:p>
        </w:tc>
        <w:tc>
          <w:tcPr>
            <w:tcW w:w="0" w:type="auto"/>
            <w:gridSpan w:val="3"/>
            <w:shd w:val="clear" w:color="auto" w:fill="auto"/>
            <w:vAlign w:val="bottom"/>
          </w:tcPr>
          <w:p w14:paraId="185FF869" w14:textId="77777777" w:rsidR="00A91885" w:rsidRDefault="00A91885">
            <w:pPr>
              <w:rPr>
                <w:rFonts w:ascii="宋体"/>
                <w:vanish/>
              </w:rPr>
            </w:pPr>
          </w:p>
        </w:tc>
        <w:tc>
          <w:tcPr>
            <w:tcW w:w="0" w:type="auto"/>
            <w:gridSpan w:val="3"/>
            <w:shd w:val="clear" w:color="auto" w:fill="auto"/>
            <w:vAlign w:val="bottom"/>
          </w:tcPr>
          <w:p w14:paraId="185FF86A" w14:textId="77777777" w:rsidR="00A91885" w:rsidRDefault="00A91885">
            <w:pPr>
              <w:rPr>
                <w:rFonts w:ascii="宋体"/>
                <w:vanish/>
              </w:rPr>
            </w:pPr>
          </w:p>
        </w:tc>
        <w:tc>
          <w:tcPr>
            <w:tcW w:w="0" w:type="auto"/>
            <w:gridSpan w:val="3"/>
            <w:shd w:val="clear" w:color="auto" w:fill="auto"/>
            <w:vAlign w:val="bottom"/>
          </w:tcPr>
          <w:p w14:paraId="185FF86B" w14:textId="77777777" w:rsidR="00A91885" w:rsidRDefault="00A91885">
            <w:pPr>
              <w:rPr>
                <w:rFonts w:ascii="宋体"/>
                <w:vanish/>
              </w:rPr>
            </w:pPr>
          </w:p>
        </w:tc>
      </w:tr>
      <w:tr w:rsidR="00A91885" w14:paraId="185FF871" w14:textId="77777777">
        <w:trPr>
          <w:jc w:val="center"/>
          <w:hidden/>
        </w:trPr>
        <w:tc>
          <w:tcPr>
            <w:tcW w:w="0" w:type="auto"/>
            <w:gridSpan w:val="3"/>
            <w:shd w:val="clear" w:color="auto" w:fill="auto"/>
            <w:vAlign w:val="bottom"/>
          </w:tcPr>
          <w:p w14:paraId="185FF86D" w14:textId="77777777" w:rsidR="00A91885" w:rsidRDefault="00A91885">
            <w:pPr>
              <w:rPr>
                <w:rFonts w:ascii="宋体"/>
                <w:vanish/>
              </w:rPr>
            </w:pPr>
          </w:p>
        </w:tc>
        <w:tc>
          <w:tcPr>
            <w:tcW w:w="0" w:type="auto"/>
            <w:gridSpan w:val="3"/>
            <w:shd w:val="clear" w:color="auto" w:fill="auto"/>
            <w:vAlign w:val="bottom"/>
          </w:tcPr>
          <w:p w14:paraId="185FF86E" w14:textId="77777777" w:rsidR="00A91885" w:rsidRDefault="00A91885">
            <w:pPr>
              <w:rPr>
                <w:rFonts w:ascii="宋体"/>
                <w:vanish/>
              </w:rPr>
            </w:pPr>
          </w:p>
        </w:tc>
        <w:tc>
          <w:tcPr>
            <w:tcW w:w="0" w:type="auto"/>
            <w:gridSpan w:val="3"/>
            <w:shd w:val="clear" w:color="auto" w:fill="auto"/>
            <w:vAlign w:val="bottom"/>
          </w:tcPr>
          <w:p w14:paraId="185FF86F" w14:textId="77777777" w:rsidR="00A91885" w:rsidRDefault="00A91885">
            <w:pPr>
              <w:rPr>
                <w:rFonts w:ascii="宋体"/>
                <w:vanish/>
              </w:rPr>
            </w:pPr>
          </w:p>
        </w:tc>
        <w:tc>
          <w:tcPr>
            <w:tcW w:w="0" w:type="auto"/>
            <w:gridSpan w:val="3"/>
            <w:shd w:val="clear" w:color="auto" w:fill="auto"/>
            <w:vAlign w:val="bottom"/>
          </w:tcPr>
          <w:p w14:paraId="185FF870" w14:textId="77777777" w:rsidR="00A91885" w:rsidRDefault="00A91885">
            <w:pPr>
              <w:rPr>
                <w:rFonts w:ascii="宋体"/>
                <w:vanish/>
              </w:rPr>
            </w:pPr>
          </w:p>
        </w:tc>
      </w:tr>
      <w:tr w:rsidR="00A91885" w14:paraId="185FF878" w14:textId="77777777">
        <w:trPr>
          <w:jc w:val="center"/>
        </w:trPr>
        <w:tc>
          <w:tcPr>
            <w:tcW w:w="0" w:type="auto"/>
            <w:gridSpan w:val="3"/>
            <w:shd w:val="clear" w:color="auto" w:fill="FFFFFF"/>
            <w:tcMar>
              <w:top w:w="40" w:type="dxa"/>
              <w:left w:w="515" w:type="dxa"/>
              <w:bottom w:w="40" w:type="dxa"/>
              <w:right w:w="20" w:type="dxa"/>
            </w:tcMar>
            <w:vAlign w:val="bottom"/>
          </w:tcPr>
          <w:p w14:paraId="185FF872" w14:textId="77777777" w:rsidR="00A91885" w:rsidRDefault="009C4196">
            <w:pPr>
              <w:textAlignment w:val="bottom"/>
            </w:pPr>
            <w:r>
              <w:rPr>
                <w:rFonts w:ascii="Arial" w:eastAsia="宋体" w:hAnsi="Arial" w:cs="Arial"/>
                <w:color w:val="000000"/>
                <w:sz w:val="18"/>
                <w:szCs w:val="18"/>
              </w:rPr>
              <w:t>Loss (gain) on investments and other, net</w:t>
            </w:r>
          </w:p>
        </w:tc>
        <w:tc>
          <w:tcPr>
            <w:tcW w:w="0" w:type="auto"/>
            <w:gridSpan w:val="2"/>
            <w:shd w:val="clear" w:color="auto" w:fill="FFFFFF"/>
            <w:tcMar>
              <w:top w:w="40" w:type="dxa"/>
              <w:left w:w="20" w:type="dxa"/>
              <w:bottom w:w="40" w:type="dxa"/>
              <w:right w:w="0" w:type="dxa"/>
            </w:tcMar>
            <w:vAlign w:val="bottom"/>
          </w:tcPr>
          <w:p w14:paraId="185FF873" w14:textId="77777777" w:rsidR="00A91885" w:rsidRDefault="009C4196">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185FF87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87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876" w14:textId="77777777" w:rsidR="00A91885" w:rsidRDefault="009C4196">
            <w:pPr>
              <w:jc w:val="right"/>
              <w:textAlignment w:val="bottom"/>
            </w:pPr>
            <w:r>
              <w:rPr>
                <w:rFonts w:ascii="Arial" w:eastAsia="宋体" w:hAnsi="Arial" w:cs="Arial"/>
                <w:color w:val="000000"/>
                <w:sz w:val="18"/>
                <w:szCs w:val="18"/>
              </w:rPr>
              <w:t>(44)</w:t>
            </w:r>
          </w:p>
        </w:tc>
        <w:tc>
          <w:tcPr>
            <w:tcW w:w="0" w:type="auto"/>
            <w:shd w:val="clear" w:color="auto" w:fill="FFFFFF"/>
            <w:tcMar>
              <w:top w:w="40" w:type="dxa"/>
              <w:left w:w="0" w:type="dxa"/>
              <w:bottom w:w="40" w:type="dxa"/>
              <w:right w:w="20" w:type="dxa"/>
            </w:tcMar>
            <w:vAlign w:val="bottom"/>
          </w:tcPr>
          <w:p w14:paraId="185FF877" w14:textId="77777777" w:rsidR="00A91885" w:rsidRDefault="00A91885">
            <w:pPr>
              <w:jc w:val="right"/>
              <w:rPr>
                <w:rFonts w:ascii="宋体"/>
              </w:rPr>
            </w:pPr>
          </w:p>
        </w:tc>
      </w:tr>
      <w:tr w:rsidR="00A91885" w14:paraId="185FF87F" w14:textId="77777777">
        <w:trPr>
          <w:jc w:val="center"/>
        </w:trPr>
        <w:tc>
          <w:tcPr>
            <w:tcW w:w="0" w:type="auto"/>
            <w:gridSpan w:val="3"/>
            <w:shd w:val="clear" w:color="auto" w:fill="E1E1E1"/>
            <w:tcMar>
              <w:top w:w="40" w:type="dxa"/>
              <w:left w:w="515" w:type="dxa"/>
              <w:bottom w:w="40" w:type="dxa"/>
              <w:right w:w="20" w:type="dxa"/>
            </w:tcMar>
            <w:vAlign w:val="bottom"/>
          </w:tcPr>
          <w:p w14:paraId="185FF879" w14:textId="77777777" w:rsidR="00A91885" w:rsidRDefault="009C4196">
            <w:pPr>
              <w:textAlignment w:val="bottom"/>
            </w:pPr>
            <w:r>
              <w:rPr>
                <w:rFonts w:ascii="Arial" w:eastAsia="宋体" w:hAnsi="Arial" w:cs="Arial"/>
                <w:color w:val="000000"/>
                <w:sz w:val="18"/>
                <w:szCs w:val="18"/>
              </w:rPr>
              <w:t>Deferred income taxes</w:t>
            </w:r>
          </w:p>
        </w:tc>
        <w:tc>
          <w:tcPr>
            <w:tcW w:w="0" w:type="auto"/>
            <w:gridSpan w:val="2"/>
            <w:shd w:val="clear" w:color="auto" w:fill="E1E1E1"/>
            <w:tcMar>
              <w:top w:w="40" w:type="dxa"/>
              <w:left w:w="20" w:type="dxa"/>
              <w:bottom w:w="40" w:type="dxa"/>
              <w:right w:w="0" w:type="dxa"/>
            </w:tcMar>
            <w:vAlign w:val="bottom"/>
          </w:tcPr>
          <w:p w14:paraId="185FF87A" w14:textId="77777777" w:rsidR="00A91885" w:rsidRDefault="009C4196">
            <w:pPr>
              <w:jc w:val="right"/>
              <w:textAlignment w:val="bottom"/>
            </w:pPr>
            <w:r>
              <w:rPr>
                <w:rFonts w:ascii="Arial" w:eastAsia="宋体" w:hAnsi="Arial" w:cs="Arial"/>
                <w:color w:val="000000"/>
                <w:sz w:val="18"/>
                <w:szCs w:val="18"/>
              </w:rPr>
              <w:t>(695)</w:t>
            </w:r>
          </w:p>
        </w:tc>
        <w:tc>
          <w:tcPr>
            <w:tcW w:w="0" w:type="auto"/>
            <w:shd w:val="clear" w:color="auto" w:fill="E1E1E1"/>
            <w:tcMar>
              <w:top w:w="40" w:type="dxa"/>
              <w:left w:w="0" w:type="dxa"/>
              <w:bottom w:w="40" w:type="dxa"/>
              <w:right w:w="20" w:type="dxa"/>
            </w:tcMar>
            <w:vAlign w:val="bottom"/>
          </w:tcPr>
          <w:p w14:paraId="185FF87B"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87C"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87D" w14:textId="77777777" w:rsidR="00A91885" w:rsidRDefault="009C4196">
            <w:pPr>
              <w:jc w:val="right"/>
              <w:textAlignment w:val="bottom"/>
            </w:pPr>
            <w:r>
              <w:rPr>
                <w:rFonts w:ascii="Arial" w:eastAsia="宋体" w:hAnsi="Arial" w:cs="Arial"/>
                <w:color w:val="000000"/>
                <w:sz w:val="18"/>
                <w:szCs w:val="18"/>
              </w:rPr>
              <w:t>106 </w:t>
            </w:r>
          </w:p>
        </w:tc>
        <w:tc>
          <w:tcPr>
            <w:tcW w:w="0" w:type="auto"/>
            <w:shd w:val="clear" w:color="auto" w:fill="E1E1E1"/>
            <w:tcMar>
              <w:top w:w="40" w:type="dxa"/>
              <w:left w:w="0" w:type="dxa"/>
              <w:bottom w:w="40" w:type="dxa"/>
              <w:right w:w="20" w:type="dxa"/>
            </w:tcMar>
            <w:vAlign w:val="bottom"/>
          </w:tcPr>
          <w:p w14:paraId="185FF87E" w14:textId="77777777" w:rsidR="00A91885" w:rsidRDefault="00A91885">
            <w:pPr>
              <w:jc w:val="right"/>
              <w:rPr>
                <w:rFonts w:ascii="宋体"/>
              </w:rPr>
            </w:pPr>
          </w:p>
        </w:tc>
      </w:tr>
      <w:tr w:rsidR="00A91885" w14:paraId="185FF886" w14:textId="77777777">
        <w:trPr>
          <w:jc w:val="center"/>
        </w:trPr>
        <w:tc>
          <w:tcPr>
            <w:tcW w:w="0" w:type="auto"/>
            <w:gridSpan w:val="3"/>
            <w:shd w:val="clear" w:color="auto" w:fill="FFFFFF"/>
            <w:tcMar>
              <w:top w:w="40" w:type="dxa"/>
              <w:left w:w="515" w:type="dxa"/>
              <w:bottom w:w="40" w:type="dxa"/>
              <w:right w:w="20" w:type="dxa"/>
            </w:tcMar>
            <w:vAlign w:val="bottom"/>
          </w:tcPr>
          <w:p w14:paraId="185FF880" w14:textId="77777777" w:rsidR="00A91885" w:rsidRDefault="009C4196">
            <w:pPr>
              <w:textAlignment w:val="bottom"/>
            </w:pPr>
            <w:r>
              <w:rPr>
                <w:rFonts w:ascii="Arial" w:eastAsia="宋体" w:hAnsi="Arial" w:cs="Arial"/>
                <w:color w:val="000000"/>
                <w:sz w:val="18"/>
                <w:szCs w:val="18"/>
              </w:rPr>
              <w:t>Change in fair value of warrant</w:t>
            </w:r>
          </w:p>
        </w:tc>
        <w:tc>
          <w:tcPr>
            <w:tcW w:w="0" w:type="auto"/>
            <w:gridSpan w:val="2"/>
            <w:shd w:val="clear" w:color="auto" w:fill="FFFFFF"/>
            <w:tcMar>
              <w:top w:w="40" w:type="dxa"/>
              <w:left w:w="20" w:type="dxa"/>
              <w:bottom w:w="40" w:type="dxa"/>
              <w:right w:w="0" w:type="dxa"/>
            </w:tcMar>
            <w:vAlign w:val="bottom"/>
          </w:tcPr>
          <w:p w14:paraId="185FF881" w14:textId="77777777" w:rsidR="00A91885" w:rsidRDefault="009C4196">
            <w:pPr>
              <w:jc w:val="right"/>
              <w:textAlignment w:val="bottom"/>
            </w:pPr>
            <w:r>
              <w:rPr>
                <w:rFonts w:ascii="Arial" w:eastAsia="宋体" w:hAnsi="Arial" w:cs="Arial"/>
                <w:color w:val="000000"/>
                <w:sz w:val="18"/>
                <w:szCs w:val="18"/>
              </w:rPr>
              <w:t>219 </w:t>
            </w:r>
          </w:p>
        </w:tc>
        <w:tc>
          <w:tcPr>
            <w:tcW w:w="0" w:type="auto"/>
            <w:shd w:val="clear" w:color="auto" w:fill="FFFFFF"/>
            <w:tcMar>
              <w:top w:w="40" w:type="dxa"/>
              <w:left w:w="0" w:type="dxa"/>
              <w:bottom w:w="40" w:type="dxa"/>
              <w:right w:w="20" w:type="dxa"/>
            </w:tcMar>
            <w:vAlign w:val="bottom"/>
          </w:tcPr>
          <w:p w14:paraId="185FF88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883"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884" w14:textId="77777777" w:rsidR="00A91885" w:rsidRDefault="009C4196">
            <w:pPr>
              <w:jc w:val="right"/>
              <w:textAlignment w:val="bottom"/>
            </w:pPr>
            <w:r>
              <w:rPr>
                <w:rFonts w:ascii="Arial" w:eastAsia="宋体" w:hAnsi="Arial" w:cs="Arial"/>
                <w:color w:val="000000"/>
                <w:sz w:val="18"/>
                <w:szCs w:val="18"/>
              </w:rPr>
              <w:t>(72)</w:t>
            </w:r>
          </w:p>
        </w:tc>
        <w:tc>
          <w:tcPr>
            <w:tcW w:w="0" w:type="auto"/>
            <w:shd w:val="clear" w:color="auto" w:fill="FFFFFF"/>
            <w:tcMar>
              <w:top w:w="40" w:type="dxa"/>
              <w:left w:w="0" w:type="dxa"/>
              <w:bottom w:w="40" w:type="dxa"/>
              <w:right w:w="20" w:type="dxa"/>
            </w:tcMar>
            <w:vAlign w:val="bottom"/>
          </w:tcPr>
          <w:p w14:paraId="185FF885" w14:textId="77777777" w:rsidR="00A91885" w:rsidRDefault="00A91885">
            <w:pPr>
              <w:jc w:val="right"/>
              <w:rPr>
                <w:rFonts w:ascii="宋体"/>
              </w:rPr>
            </w:pPr>
          </w:p>
        </w:tc>
      </w:tr>
      <w:tr w:rsidR="00A91885" w14:paraId="185FF88D" w14:textId="77777777">
        <w:trPr>
          <w:jc w:val="center"/>
        </w:trPr>
        <w:tc>
          <w:tcPr>
            <w:tcW w:w="0" w:type="auto"/>
            <w:gridSpan w:val="3"/>
            <w:shd w:val="clear" w:color="auto" w:fill="E1E1E1"/>
            <w:tcMar>
              <w:top w:w="40" w:type="dxa"/>
              <w:left w:w="515" w:type="dxa"/>
              <w:bottom w:w="40" w:type="dxa"/>
              <w:right w:w="20" w:type="dxa"/>
            </w:tcMar>
            <w:vAlign w:val="bottom"/>
          </w:tcPr>
          <w:p w14:paraId="185FF887" w14:textId="77777777" w:rsidR="00A91885" w:rsidRDefault="009C4196">
            <w:pPr>
              <w:textAlignment w:val="bottom"/>
            </w:pPr>
            <w:r>
              <w:rPr>
                <w:rFonts w:ascii="Arial" w:eastAsia="宋体" w:hAnsi="Arial" w:cs="Arial"/>
                <w:color w:val="000000"/>
                <w:sz w:val="18"/>
                <w:szCs w:val="18"/>
              </w:rPr>
              <w:t>Change in fair value of equity investment in Adevinta</w:t>
            </w:r>
          </w:p>
        </w:tc>
        <w:tc>
          <w:tcPr>
            <w:tcW w:w="0" w:type="auto"/>
            <w:gridSpan w:val="2"/>
            <w:shd w:val="clear" w:color="auto" w:fill="E1E1E1"/>
            <w:tcMar>
              <w:top w:w="40" w:type="dxa"/>
              <w:left w:w="20" w:type="dxa"/>
              <w:bottom w:w="40" w:type="dxa"/>
              <w:right w:w="0" w:type="dxa"/>
            </w:tcMar>
            <w:vAlign w:val="bottom"/>
          </w:tcPr>
          <w:p w14:paraId="185FF888" w14:textId="77777777" w:rsidR="00A91885" w:rsidRDefault="009C4196">
            <w:pPr>
              <w:jc w:val="right"/>
              <w:textAlignment w:val="bottom"/>
            </w:pPr>
            <w:r>
              <w:rPr>
                <w:rFonts w:ascii="Arial" w:eastAsia="宋体" w:hAnsi="Arial" w:cs="Arial"/>
                <w:color w:val="000000"/>
                <w:sz w:val="18"/>
                <w:szCs w:val="18"/>
              </w:rPr>
              <w:t>2,472 </w:t>
            </w:r>
          </w:p>
        </w:tc>
        <w:tc>
          <w:tcPr>
            <w:tcW w:w="0" w:type="auto"/>
            <w:shd w:val="clear" w:color="auto" w:fill="E1E1E1"/>
            <w:tcMar>
              <w:top w:w="40" w:type="dxa"/>
              <w:left w:w="0" w:type="dxa"/>
              <w:bottom w:w="40" w:type="dxa"/>
              <w:right w:w="20" w:type="dxa"/>
            </w:tcMar>
            <w:vAlign w:val="bottom"/>
          </w:tcPr>
          <w:p w14:paraId="185FF889"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88A"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88B" w14:textId="77777777" w:rsidR="00A91885" w:rsidRDefault="009C4196">
            <w:pPr>
              <w:jc w:val="right"/>
              <w:textAlignment w:val="bottom"/>
            </w:pPr>
            <w:r>
              <w:rPr>
                <w:rFonts w:ascii="Arial" w:eastAsia="宋体" w:hAnsi="Arial" w:cs="Arial"/>
                <w:color w:val="000000"/>
                <w:sz w:val="18"/>
                <w:szCs w:val="18"/>
              </w:rPr>
              <w:t>422 </w:t>
            </w:r>
          </w:p>
        </w:tc>
        <w:tc>
          <w:tcPr>
            <w:tcW w:w="0" w:type="auto"/>
            <w:shd w:val="clear" w:color="auto" w:fill="E1E1E1"/>
            <w:tcMar>
              <w:top w:w="40" w:type="dxa"/>
              <w:left w:w="0" w:type="dxa"/>
              <w:bottom w:w="40" w:type="dxa"/>
              <w:right w:w="20" w:type="dxa"/>
            </w:tcMar>
            <w:vAlign w:val="bottom"/>
          </w:tcPr>
          <w:p w14:paraId="185FF88C" w14:textId="77777777" w:rsidR="00A91885" w:rsidRDefault="00A91885">
            <w:pPr>
              <w:jc w:val="right"/>
              <w:rPr>
                <w:rFonts w:ascii="宋体"/>
              </w:rPr>
            </w:pPr>
          </w:p>
        </w:tc>
      </w:tr>
      <w:tr w:rsidR="00A91885" w14:paraId="185FF894" w14:textId="77777777">
        <w:trPr>
          <w:jc w:val="center"/>
        </w:trPr>
        <w:tc>
          <w:tcPr>
            <w:tcW w:w="0" w:type="auto"/>
            <w:gridSpan w:val="3"/>
            <w:shd w:val="clear" w:color="auto" w:fill="FFFFFF"/>
            <w:tcMar>
              <w:top w:w="40" w:type="dxa"/>
              <w:left w:w="515" w:type="dxa"/>
              <w:bottom w:w="40" w:type="dxa"/>
              <w:right w:w="20" w:type="dxa"/>
            </w:tcMar>
            <w:vAlign w:val="bottom"/>
          </w:tcPr>
          <w:p w14:paraId="185FF88E" w14:textId="77777777" w:rsidR="00A91885" w:rsidRDefault="009C4196">
            <w:pPr>
              <w:textAlignment w:val="bottom"/>
            </w:pPr>
            <w:r>
              <w:rPr>
                <w:rFonts w:ascii="Arial" w:eastAsia="宋体" w:hAnsi="Arial" w:cs="Arial"/>
                <w:color w:val="000000"/>
                <w:sz w:val="18"/>
                <w:szCs w:val="18"/>
              </w:rPr>
              <w:t>Change in fair value of equity investment in Gmarket</w:t>
            </w:r>
          </w:p>
        </w:tc>
        <w:tc>
          <w:tcPr>
            <w:tcW w:w="0" w:type="auto"/>
            <w:gridSpan w:val="2"/>
            <w:shd w:val="clear" w:color="auto" w:fill="FFFFFF"/>
            <w:tcMar>
              <w:top w:w="40" w:type="dxa"/>
              <w:left w:w="20" w:type="dxa"/>
              <w:bottom w:w="40" w:type="dxa"/>
              <w:right w:w="0" w:type="dxa"/>
            </w:tcMar>
            <w:vAlign w:val="bottom"/>
          </w:tcPr>
          <w:p w14:paraId="185FF88F" w14:textId="77777777" w:rsidR="00A91885" w:rsidRDefault="009C4196">
            <w:pPr>
              <w:jc w:val="right"/>
              <w:textAlignment w:val="bottom"/>
            </w:pPr>
            <w:r>
              <w:rPr>
                <w:rFonts w:ascii="Arial" w:eastAsia="宋体" w:hAnsi="Arial" w:cs="Arial"/>
                <w:color w:val="000000"/>
                <w:sz w:val="18"/>
                <w:szCs w:val="18"/>
              </w:rPr>
              <w:t>259 </w:t>
            </w:r>
          </w:p>
        </w:tc>
        <w:tc>
          <w:tcPr>
            <w:tcW w:w="0" w:type="auto"/>
            <w:shd w:val="clear" w:color="auto" w:fill="FFFFFF"/>
            <w:tcMar>
              <w:top w:w="40" w:type="dxa"/>
              <w:left w:w="0" w:type="dxa"/>
              <w:bottom w:w="40" w:type="dxa"/>
              <w:right w:w="20" w:type="dxa"/>
            </w:tcMar>
            <w:vAlign w:val="bottom"/>
          </w:tcPr>
          <w:p w14:paraId="185FF89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89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892"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893" w14:textId="77777777" w:rsidR="00A91885" w:rsidRDefault="00A91885">
            <w:pPr>
              <w:jc w:val="right"/>
              <w:rPr>
                <w:rFonts w:ascii="宋体"/>
              </w:rPr>
            </w:pPr>
          </w:p>
        </w:tc>
      </w:tr>
      <w:tr w:rsidR="00A91885" w14:paraId="185FF89B" w14:textId="77777777">
        <w:trPr>
          <w:jc w:val="center"/>
        </w:trPr>
        <w:tc>
          <w:tcPr>
            <w:tcW w:w="0" w:type="auto"/>
            <w:gridSpan w:val="3"/>
            <w:shd w:val="clear" w:color="auto" w:fill="E1E1E1"/>
            <w:tcMar>
              <w:top w:w="40" w:type="dxa"/>
              <w:left w:w="515" w:type="dxa"/>
              <w:bottom w:w="40" w:type="dxa"/>
              <w:right w:w="20" w:type="dxa"/>
            </w:tcMar>
            <w:vAlign w:val="bottom"/>
          </w:tcPr>
          <w:p w14:paraId="185FF895" w14:textId="77777777" w:rsidR="00A91885" w:rsidRDefault="009C4196">
            <w:pPr>
              <w:textAlignment w:val="bottom"/>
            </w:pPr>
            <w:r>
              <w:rPr>
                <w:rFonts w:ascii="Arial" w:eastAsia="宋体" w:hAnsi="Arial" w:cs="Arial"/>
                <w:color w:val="000000"/>
                <w:sz w:val="18"/>
                <w:szCs w:val="18"/>
              </w:rPr>
              <w:t>Unrealized change in fair value of equity investment in KakaoBank</w:t>
            </w:r>
          </w:p>
        </w:tc>
        <w:tc>
          <w:tcPr>
            <w:tcW w:w="0" w:type="auto"/>
            <w:gridSpan w:val="2"/>
            <w:shd w:val="clear" w:color="auto" w:fill="E1E1E1"/>
            <w:tcMar>
              <w:top w:w="40" w:type="dxa"/>
              <w:left w:w="20" w:type="dxa"/>
              <w:bottom w:w="40" w:type="dxa"/>
              <w:right w:w="0" w:type="dxa"/>
            </w:tcMar>
            <w:vAlign w:val="bottom"/>
          </w:tcPr>
          <w:p w14:paraId="185FF896" w14:textId="77777777" w:rsidR="00A91885" w:rsidRDefault="009C4196">
            <w:pPr>
              <w:jc w:val="right"/>
              <w:textAlignment w:val="bottom"/>
            </w:pPr>
            <w:r>
              <w:rPr>
                <w:rFonts w:ascii="Arial" w:eastAsia="宋体" w:hAnsi="Arial" w:cs="Arial"/>
                <w:color w:val="000000"/>
                <w:sz w:val="18"/>
                <w:szCs w:val="18"/>
              </w:rPr>
              <w:t>196 </w:t>
            </w:r>
          </w:p>
        </w:tc>
        <w:tc>
          <w:tcPr>
            <w:tcW w:w="0" w:type="auto"/>
            <w:shd w:val="clear" w:color="auto" w:fill="E1E1E1"/>
            <w:tcMar>
              <w:top w:w="40" w:type="dxa"/>
              <w:left w:w="0" w:type="dxa"/>
              <w:bottom w:w="40" w:type="dxa"/>
              <w:right w:w="20" w:type="dxa"/>
            </w:tcMar>
            <w:vAlign w:val="bottom"/>
          </w:tcPr>
          <w:p w14:paraId="185FF897"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898"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89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5FF89A" w14:textId="77777777" w:rsidR="00A91885" w:rsidRDefault="00A91885">
            <w:pPr>
              <w:jc w:val="right"/>
              <w:rPr>
                <w:rFonts w:ascii="宋体"/>
              </w:rPr>
            </w:pPr>
          </w:p>
        </w:tc>
      </w:tr>
      <w:tr w:rsidR="00A91885" w14:paraId="185FF8A2" w14:textId="77777777">
        <w:trPr>
          <w:jc w:val="center"/>
        </w:trPr>
        <w:tc>
          <w:tcPr>
            <w:tcW w:w="0" w:type="auto"/>
            <w:gridSpan w:val="3"/>
            <w:shd w:val="clear" w:color="auto" w:fill="FFFFFF"/>
            <w:tcMar>
              <w:top w:w="40" w:type="dxa"/>
              <w:left w:w="515" w:type="dxa"/>
              <w:bottom w:w="40" w:type="dxa"/>
              <w:right w:w="20" w:type="dxa"/>
            </w:tcMar>
            <w:vAlign w:val="bottom"/>
          </w:tcPr>
          <w:p w14:paraId="185FF89C" w14:textId="77777777" w:rsidR="00A91885" w:rsidRDefault="009C4196">
            <w:pPr>
              <w:textAlignment w:val="bottom"/>
            </w:pPr>
            <w:r>
              <w:rPr>
                <w:rFonts w:ascii="Arial" w:eastAsia="宋体" w:hAnsi="Arial" w:cs="Arial"/>
                <w:color w:val="000000"/>
                <w:sz w:val="18"/>
                <w:szCs w:val="18"/>
              </w:rPr>
              <w:t>Unrealized change in fair value of equity investment in Adyen</w:t>
            </w:r>
          </w:p>
        </w:tc>
        <w:tc>
          <w:tcPr>
            <w:tcW w:w="0" w:type="auto"/>
            <w:gridSpan w:val="2"/>
            <w:shd w:val="clear" w:color="auto" w:fill="FFFFFF"/>
            <w:tcMar>
              <w:top w:w="40" w:type="dxa"/>
              <w:left w:w="20" w:type="dxa"/>
              <w:bottom w:w="40" w:type="dxa"/>
              <w:right w:w="0" w:type="dxa"/>
            </w:tcMar>
            <w:vAlign w:val="bottom"/>
          </w:tcPr>
          <w:p w14:paraId="185FF89D" w14:textId="77777777" w:rsidR="00A91885" w:rsidRDefault="009C4196">
            <w:pPr>
              <w:jc w:val="right"/>
              <w:textAlignment w:val="bottom"/>
            </w:pPr>
            <w:r>
              <w:rPr>
                <w:rFonts w:ascii="Arial" w:eastAsia="宋体" w:hAnsi="Arial" w:cs="Arial"/>
                <w:color w:val="000000"/>
                <w:sz w:val="18"/>
                <w:szCs w:val="18"/>
              </w:rPr>
              <w:t>118 </w:t>
            </w:r>
          </w:p>
        </w:tc>
        <w:tc>
          <w:tcPr>
            <w:tcW w:w="0" w:type="auto"/>
            <w:shd w:val="clear" w:color="auto" w:fill="FFFFFF"/>
            <w:tcMar>
              <w:top w:w="40" w:type="dxa"/>
              <w:left w:w="0" w:type="dxa"/>
              <w:bottom w:w="40" w:type="dxa"/>
              <w:right w:w="20" w:type="dxa"/>
            </w:tcMar>
            <w:vAlign w:val="bottom"/>
          </w:tcPr>
          <w:p w14:paraId="185FF89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89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8A0"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8A1" w14:textId="77777777" w:rsidR="00A91885" w:rsidRDefault="00A91885">
            <w:pPr>
              <w:jc w:val="right"/>
              <w:rPr>
                <w:rFonts w:ascii="宋体"/>
              </w:rPr>
            </w:pPr>
          </w:p>
        </w:tc>
      </w:tr>
      <w:tr w:rsidR="00A91885" w14:paraId="185FF8A9" w14:textId="77777777">
        <w:trPr>
          <w:jc w:val="center"/>
        </w:trPr>
        <w:tc>
          <w:tcPr>
            <w:tcW w:w="0" w:type="auto"/>
            <w:gridSpan w:val="3"/>
            <w:shd w:val="clear" w:color="auto" w:fill="E1E1E1"/>
            <w:tcMar>
              <w:top w:w="40" w:type="dxa"/>
              <w:left w:w="515" w:type="dxa"/>
              <w:bottom w:w="40" w:type="dxa"/>
              <w:right w:w="20" w:type="dxa"/>
            </w:tcMar>
            <w:vAlign w:val="bottom"/>
          </w:tcPr>
          <w:p w14:paraId="185FF8A3" w14:textId="77777777" w:rsidR="00A91885" w:rsidRDefault="009C4196">
            <w:pPr>
              <w:textAlignment w:val="bottom"/>
            </w:pPr>
            <w:r>
              <w:rPr>
                <w:rFonts w:ascii="Arial" w:eastAsia="宋体" w:hAnsi="Arial" w:cs="Arial"/>
                <w:color w:val="000000"/>
                <w:sz w:val="18"/>
                <w:szCs w:val="18"/>
              </w:rPr>
              <w:t>Realized change in fair value of shares sold in Adyen</w:t>
            </w:r>
          </w:p>
        </w:tc>
        <w:tc>
          <w:tcPr>
            <w:tcW w:w="0" w:type="auto"/>
            <w:gridSpan w:val="2"/>
            <w:shd w:val="clear" w:color="auto" w:fill="E1E1E1"/>
            <w:tcMar>
              <w:top w:w="40" w:type="dxa"/>
              <w:left w:w="20" w:type="dxa"/>
              <w:bottom w:w="40" w:type="dxa"/>
              <w:right w:w="0" w:type="dxa"/>
            </w:tcMar>
            <w:vAlign w:val="bottom"/>
          </w:tcPr>
          <w:p w14:paraId="185FF8A4" w14:textId="77777777" w:rsidR="00A91885" w:rsidRDefault="009C4196">
            <w:pPr>
              <w:jc w:val="right"/>
              <w:textAlignment w:val="bottom"/>
            </w:pPr>
            <w:r>
              <w:rPr>
                <w:rFonts w:ascii="Arial" w:eastAsia="宋体" w:hAnsi="Arial" w:cs="Arial"/>
                <w:color w:val="000000"/>
                <w:sz w:val="18"/>
                <w:szCs w:val="18"/>
              </w:rPr>
              <w:t>167 </w:t>
            </w:r>
          </w:p>
        </w:tc>
        <w:tc>
          <w:tcPr>
            <w:tcW w:w="0" w:type="auto"/>
            <w:shd w:val="clear" w:color="auto" w:fill="E1E1E1"/>
            <w:tcMar>
              <w:top w:w="40" w:type="dxa"/>
              <w:left w:w="0" w:type="dxa"/>
              <w:bottom w:w="40" w:type="dxa"/>
              <w:right w:w="20" w:type="dxa"/>
            </w:tcMar>
            <w:vAlign w:val="bottom"/>
          </w:tcPr>
          <w:p w14:paraId="185FF8A5"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8A6"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8A7"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5FF8A8" w14:textId="77777777" w:rsidR="00A91885" w:rsidRDefault="00A91885">
            <w:pPr>
              <w:jc w:val="right"/>
              <w:rPr>
                <w:rFonts w:ascii="宋体"/>
              </w:rPr>
            </w:pPr>
          </w:p>
        </w:tc>
      </w:tr>
      <w:tr w:rsidR="00A91885" w14:paraId="185FF8B0" w14:textId="77777777">
        <w:trPr>
          <w:jc w:val="center"/>
        </w:trPr>
        <w:tc>
          <w:tcPr>
            <w:tcW w:w="0" w:type="auto"/>
            <w:gridSpan w:val="3"/>
            <w:shd w:val="clear" w:color="auto" w:fill="FFFFFF"/>
            <w:tcMar>
              <w:top w:w="40" w:type="dxa"/>
              <w:left w:w="515" w:type="dxa"/>
              <w:bottom w:w="40" w:type="dxa"/>
              <w:right w:w="20" w:type="dxa"/>
            </w:tcMar>
            <w:vAlign w:val="bottom"/>
          </w:tcPr>
          <w:p w14:paraId="185FF8AA" w14:textId="77777777" w:rsidR="00A91885" w:rsidRDefault="009C4196">
            <w:pPr>
              <w:textAlignment w:val="bottom"/>
            </w:pPr>
            <w:r>
              <w:rPr>
                <w:rFonts w:ascii="Arial" w:eastAsia="宋体" w:hAnsi="Arial" w:cs="Arial"/>
                <w:color w:val="000000"/>
                <w:sz w:val="18"/>
                <w:szCs w:val="18"/>
              </w:rPr>
              <w:t>Realized change in fair value of shares sold in KakaoBank</w:t>
            </w:r>
          </w:p>
        </w:tc>
        <w:tc>
          <w:tcPr>
            <w:tcW w:w="0" w:type="auto"/>
            <w:gridSpan w:val="2"/>
            <w:shd w:val="clear" w:color="auto" w:fill="FFFFFF"/>
            <w:tcMar>
              <w:top w:w="40" w:type="dxa"/>
              <w:left w:w="20" w:type="dxa"/>
              <w:bottom w:w="40" w:type="dxa"/>
              <w:right w:w="0" w:type="dxa"/>
            </w:tcMar>
            <w:vAlign w:val="bottom"/>
          </w:tcPr>
          <w:p w14:paraId="185FF8AB" w14:textId="77777777" w:rsidR="00A91885" w:rsidRDefault="009C4196">
            <w:pPr>
              <w:jc w:val="right"/>
              <w:textAlignment w:val="bottom"/>
            </w:pPr>
            <w:r>
              <w:rPr>
                <w:rFonts w:ascii="Arial" w:eastAsia="宋体" w:hAnsi="Arial" w:cs="Arial"/>
                <w:color w:val="000000"/>
                <w:sz w:val="18"/>
                <w:szCs w:val="18"/>
              </w:rPr>
              <w:t>75 </w:t>
            </w:r>
          </w:p>
        </w:tc>
        <w:tc>
          <w:tcPr>
            <w:tcW w:w="0" w:type="auto"/>
            <w:shd w:val="clear" w:color="auto" w:fill="FFFFFF"/>
            <w:tcMar>
              <w:top w:w="40" w:type="dxa"/>
              <w:left w:w="0" w:type="dxa"/>
              <w:bottom w:w="40" w:type="dxa"/>
              <w:right w:w="20" w:type="dxa"/>
            </w:tcMar>
            <w:vAlign w:val="bottom"/>
          </w:tcPr>
          <w:p w14:paraId="185FF8A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8AD"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8AE"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8AF" w14:textId="77777777" w:rsidR="00A91885" w:rsidRDefault="00A91885">
            <w:pPr>
              <w:jc w:val="right"/>
              <w:rPr>
                <w:rFonts w:ascii="宋体"/>
              </w:rPr>
            </w:pPr>
          </w:p>
        </w:tc>
      </w:tr>
      <w:tr w:rsidR="00A91885" w14:paraId="185FF8B7" w14:textId="77777777">
        <w:trPr>
          <w:jc w:val="center"/>
        </w:trPr>
        <w:tc>
          <w:tcPr>
            <w:tcW w:w="0" w:type="auto"/>
            <w:gridSpan w:val="3"/>
            <w:shd w:val="clear" w:color="auto" w:fill="E1E1E1"/>
            <w:tcMar>
              <w:top w:w="40" w:type="dxa"/>
              <w:left w:w="515" w:type="dxa"/>
              <w:bottom w:w="40" w:type="dxa"/>
              <w:right w:w="20" w:type="dxa"/>
            </w:tcMar>
            <w:vAlign w:val="bottom"/>
          </w:tcPr>
          <w:p w14:paraId="185FF8B1" w14:textId="77777777" w:rsidR="00A91885" w:rsidRDefault="009C4196">
            <w:pPr>
              <w:textAlignment w:val="bottom"/>
            </w:pPr>
            <w:r>
              <w:rPr>
                <w:rFonts w:ascii="Arial" w:eastAsia="宋体" w:hAnsi="Arial" w:cs="Arial"/>
                <w:color w:val="000000"/>
                <w:sz w:val="18"/>
                <w:szCs w:val="18"/>
              </w:rPr>
              <w:t xml:space="preserve">Loss (gain) on </w:t>
            </w:r>
            <w:r>
              <w:rPr>
                <w:rFonts w:ascii="Arial" w:eastAsia="宋体" w:hAnsi="Arial" w:cs="Arial"/>
                <w:color w:val="000000"/>
                <w:sz w:val="18"/>
                <w:szCs w:val="18"/>
              </w:rPr>
              <w:t>extinguishment of debt</w:t>
            </w:r>
          </w:p>
        </w:tc>
        <w:tc>
          <w:tcPr>
            <w:tcW w:w="0" w:type="auto"/>
            <w:gridSpan w:val="2"/>
            <w:shd w:val="clear" w:color="auto" w:fill="E1E1E1"/>
            <w:tcMar>
              <w:top w:w="40" w:type="dxa"/>
              <w:left w:w="20" w:type="dxa"/>
              <w:bottom w:w="40" w:type="dxa"/>
              <w:right w:w="0" w:type="dxa"/>
            </w:tcMar>
            <w:vAlign w:val="bottom"/>
          </w:tcPr>
          <w:p w14:paraId="185FF8B2"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5FF8B3"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8B4"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8B5" w14:textId="77777777" w:rsidR="00A91885" w:rsidRDefault="009C4196">
            <w:pPr>
              <w:jc w:val="right"/>
              <w:textAlignment w:val="bottom"/>
            </w:pPr>
            <w:r>
              <w:rPr>
                <w:rFonts w:ascii="Arial" w:eastAsia="宋体" w:hAnsi="Arial" w:cs="Arial"/>
                <w:color w:val="000000"/>
                <w:sz w:val="18"/>
                <w:szCs w:val="18"/>
              </w:rPr>
              <w:t>10 </w:t>
            </w:r>
          </w:p>
        </w:tc>
        <w:tc>
          <w:tcPr>
            <w:tcW w:w="0" w:type="auto"/>
            <w:shd w:val="clear" w:color="auto" w:fill="E1E1E1"/>
            <w:tcMar>
              <w:top w:w="40" w:type="dxa"/>
              <w:left w:w="0" w:type="dxa"/>
              <w:bottom w:w="40" w:type="dxa"/>
              <w:right w:w="20" w:type="dxa"/>
            </w:tcMar>
            <w:vAlign w:val="bottom"/>
          </w:tcPr>
          <w:p w14:paraId="185FF8B6" w14:textId="77777777" w:rsidR="00A91885" w:rsidRDefault="00A91885">
            <w:pPr>
              <w:jc w:val="right"/>
              <w:rPr>
                <w:rFonts w:ascii="宋体"/>
              </w:rPr>
            </w:pPr>
          </w:p>
        </w:tc>
      </w:tr>
      <w:tr w:rsidR="00A91885" w14:paraId="185FF8BE" w14:textId="77777777">
        <w:trPr>
          <w:jc w:val="center"/>
        </w:trPr>
        <w:tc>
          <w:tcPr>
            <w:tcW w:w="0" w:type="auto"/>
            <w:gridSpan w:val="3"/>
            <w:shd w:val="clear" w:color="auto" w:fill="FFFFFF"/>
            <w:tcMar>
              <w:top w:w="40" w:type="dxa"/>
              <w:left w:w="515" w:type="dxa"/>
              <w:bottom w:w="40" w:type="dxa"/>
              <w:right w:w="20" w:type="dxa"/>
            </w:tcMar>
            <w:vAlign w:val="bottom"/>
          </w:tcPr>
          <w:p w14:paraId="185FF8B8" w14:textId="77777777" w:rsidR="00A91885" w:rsidRDefault="009C4196">
            <w:pPr>
              <w:textAlignment w:val="bottom"/>
            </w:pPr>
            <w:r>
              <w:rPr>
                <w:rFonts w:ascii="Arial" w:eastAsia="宋体" w:hAnsi="Arial" w:cs="Arial"/>
                <w:color w:val="000000"/>
                <w:sz w:val="18"/>
                <w:szCs w:val="18"/>
              </w:rPr>
              <w:t>Changes in assets and liabilities, net of acquisition effects</w:t>
            </w:r>
          </w:p>
        </w:tc>
        <w:tc>
          <w:tcPr>
            <w:tcW w:w="0" w:type="auto"/>
            <w:gridSpan w:val="2"/>
            <w:shd w:val="clear" w:color="auto" w:fill="FFFFFF"/>
            <w:tcMar>
              <w:top w:w="40" w:type="dxa"/>
              <w:left w:w="20" w:type="dxa"/>
              <w:bottom w:w="40" w:type="dxa"/>
              <w:right w:w="0" w:type="dxa"/>
            </w:tcMar>
            <w:vAlign w:val="bottom"/>
          </w:tcPr>
          <w:p w14:paraId="185FF8B9" w14:textId="77777777" w:rsidR="00A91885" w:rsidRDefault="009C4196">
            <w:pPr>
              <w:jc w:val="right"/>
              <w:textAlignment w:val="bottom"/>
            </w:pPr>
            <w:r>
              <w:rPr>
                <w:rFonts w:ascii="Arial" w:eastAsia="宋体" w:hAnsi="Arial" w:cs="Arial"/>
                <w:color w:val="000000"/>
                <w:sz w:val="18"/>
                <w:szCs w:val="18"/>
              </w:rPr>
              <w:t>(398)</w:t>
            </w:r>
          </w:p>
        </w:tc>
        <w:tc>
          <w:tcPr>
            <w:tcW w:w="0" w:type="auto"/>
            <w:shd w:val="clear" w:color="auto" w:fill="FFFFFF"/>
            <w:tcMar>
              <w:top w:w="40" w:type="dxa"/>
              <w:left w:w="0" w:type="dxa"/>
              <w:bottom w:w="40" w:type="dxa"/>
              <w:right w:w="20" w:type="dxa"/>
            </w:tcMar>
            <w:vAlign w:val="bottom"/>
          </w:tcPr>
          <w:p w14:paraId="185FF8B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8B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8BC" w14:textId="77777777" w:rsidR="00A91885" w:rsidRDefault="009C4196">
            <w:pPr>
              <w:jc w:val="right"/>
              <w:textAlignment w:val="bottom"/>
            </w:pPr>
            <w:r>
              <w:rPr>
                <w:rFonts w:ascii="Arial" w:eastAsia="宋体" w:hAnsi="Arial" w:cs="Arial"/>
                <w:color w:val="000000"/>
                <w:sz w:val="18"/>
                <w:szCs w:val="18"/>
              </w:rPr>
              <w:t>(17)</w:t>
            </w:r>
          </w:p>
        </w:tc>
        <w:tc>
          <w:tcPr>
            <w:tcW w:w="0" w:type="auto"/>
            <w:shd w:val="clear" w:color="auto" w:fill="FFFFFF"/>
            <w:tcMar>
              <w:top w:w="40" w:type="dxa"/>
              <w:left w:w="0" w:type="dxa"/>
              <w:bottom w:w="40" w:type="dxa"/>
              <w:right w:w="20" w:type="dxa"/>
            </w:tcMar>
            <w:vAlign w:val="bottom"/>
          </w:tcPr>
          <w:p w14:paraId="185FF8BD" w14:textId="77777777" w:rsidR="00A91885" w:rsidRDefault="00A91885">
            <w:pPr>
              <w:jc w:val="right"/>
              <w:rPr>
                <w:rFonts w:ascii="宋体"/>
              </w:rPr>
            </w:pPr>
          </w:p>
        </w:tc>
      </w:tr>
      <w:tr w:rsidR="00A91885" w14:paraId="185FF8C5" w14:textId="77777777">
        <w:trPr>
          <w:jc w:val="center"/>
        </w:trPr>
        <w:tc>
          <w:tcPr>
            <w:tcW w:w="0" w:type="auto"/>
            <w:gridSpan w:val="3"/>
            <w:shd w:val="clear" w:color="auto" w:fill="E1E1E1"/>
            <w:tcMar>
              <w:top w:w="40" w:type="dxa"/>
              <w:left w:w="20" w:type="dxa"/>
              <w:bottom w:w="40" w:type="dxa"/>
              <w:right w:w="20" w:type="dxa"/>
            </w:tcMar>
            <w:vAlign w:val="bottom"/>
          </w:tcPr>
          <w:p w14:paraId="185FF8BF" w14:textId="77777777" w:rsidR="00A91885" w:rsidRDefault="009C4196">
            <w:pPr>
              <w:textAlignment w:val="bottom"/>
            </w:pPr>
            <w:r>
              <w:rPr>
                <w:rFonts w:ascii="Arial" w:eastAsia="宋体" w:hAnsi="Arial" w:cs="Arial"/>
                <w:color w:val="000000"/>
                <w:sz w:val="18"/>
                <w:szCs w:val="18"/>
              </w:rPr>
              <w:t>Net cash provided by continuing operating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8C0" w14:textId="77777777" w:rsidR="00A91885" w:rsidRDefault="009C4196">
            <w:pPr>
              <w:jc w:val="right"/>
              <w:textAlignment w:val="bottom"/>
            </w:pPr>
            <w:r>
              <w:rPr>
                <w:rFonts w:ascii="Arial" w:eastAsia="宋体" w:hAnsi="Arial" w:cs="Arial"/>
                <w:color w:val="000000"/>
                <w:sz w:val="18"/>
                <w:szCs w:val="18"/>
              </w:rPr>
              <w:t>1,206 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8C1"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8C2"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8C3" w14:textId="77777777" w:rsidR="00A91885" w:rsidRDefault="009C4196">
            <w:pPr>
              <w:jc w:val="right"/>
              <w:textAlignment w:val="bottom"/>
            </w:pPr>
            <w:r>
              <w:rPr>
                <w:rFonts w:ascii="Arial" w:eastAsia="宋体" w:hAnsi="Arial" w:cs="Arial"/>
                <w:color w:val="000000"/>
                <w:sz w:val="18"/>
                <w:szCs w:val="18"/>
              </w:rPr>
              <w:t>1,957 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8C4" w14:textId="77777777" w:rsidR="00A91885" w:rsidRDefault="00A91885">
            <w:pPr>
              <w:jc w:val="right"/>
              <w:rPr>
                <w:rFonts w:ascii="宋体"/>
              </w:rPr>
            </w:pPr>
          </w:p>
        </w:tc>
      </w:tr>
      <w:tr w:rsidR="00A91885" w14:paraId="185FF8CC" w14:textId="77777777">
        <w:trPr>
          <w:jc w:val="center"/>
        </w:trPr>
        <w:tc>
          <w:tcPr>
            <w:tcW w:w="0" w:type="auto"/>
            <w:gridSpan w:val="3"/>
            <w:shd w:val="clear" w:color="auto" w:fill="FFFFFF"/>
            <w:tcMar>
              <w:top w:w="40" w:type="dxa"/>
              <w:left w:w="20" w:type="dxa"/>
              <w:bottom w:w="40" w:type="dxa"/>
              <w:right w:w="20" w:type="dxa"/>
            </w:tcMar>
            <w:vAlign w:val="bottom"/>
          </w:tcPr>
          <w:p w14:paraId="185FF8C6" w14:textId="77777777" w:rsidR="00A91885" w:rsidRDefault="009C4196">
            <w:pPr>
              <w:textAlignment w:val="bottom"/>
            </w:pPr>
            <w:r>
              <w:rPr>
                <w:rFonts w:ascii="Arial" w:eastAsia="宋体" w:hAnsi="Arial" w:cs="Arial"/>
                <w:color w:val="000000"/>
                <w:sz w:val="18"/>
                <w:szCs w:val="18"/>
              </w:rPr>
              <w:t>Net cash provided by (used in) discontinued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8C7" w14:textId="77777777" w:rsidR="00A91885" w:rsidRDefault="009C4196">
            <w:pPr>
              <w:jc w:val="right"/>
              <w:textAlignment w:val="bottom"/>
            </w:pPr>
            <w:r>
              <w:rPr>
                <w:rFonts w:ascii="Arial" w:eastAsia="宋体" w:hAnsi="Arial" w:cs="Arial"/>
                <w:color w:val="000000"/>
                <w:sz w:val="18"/>
                <w:szCs w:val="18"/>
              </w:rPr>
              <w:t>(365)</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8C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8C9"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8CA" w14:textId="77777777" w:rsidR="00A91885" w:rsidRDefault="009C4196">
            <w:pPr>
              <w:jc w:val="right"/>
              <w:textAlignment w:val="bottom"/>
            </w:pPr>
            <w:r>
              <w:rPr>
                <w:rFonts w:ascii="Arial" w:eastAsia="宋体" w:hAnsi="Arial" w:cs="Arial"/>
                <w:color w:val="000000"/>
                <w:sz w:val="18"/>
                <w:szCs w:val="18"/>
              </w:rPr>
              <w:t>152 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8CB" w14:textId="77777777" w:rsidR="00A91885" w:rsidRDefault="00A91885">
            <w:pPr>
              <w:jc w:val="right"/>
              <w:rPr>
                <w:rFonts w:ascii="宋体"/>
              </w:rPr>
            </w:pPr>
          </w:p>
        </w:tc>
      </w:tr>
      <w:tr w:rsidR="00A91885" w14:paraId="185FF8D3" w14:textId="77777777">
        <w:trPr>
          <w:jc w:val="center"/>
        </w:trPr>
        <w:tc>
          <w:tcPr>
            <w:tcW w:w="0" w:type="auto"/>
            <w:gridSpan w:val="3"/>
            <w:shd w:val="clear" w:color="auto" w:fill="E1E1E1"/>
            <w:tcMar>
              <w:top w:w="40" w:type="dxa"/>
              <w:left w:w="740" w:type="dxa"/>
              <w:bottom w:w="40" w:type="dxa"/>
              <w:right w:w="20" w:type="dxa"/>
            </w:tcMar>
            <w:vAlign w:val="bottom"/>
          </w:tcPr>
          <w:p w14:paraId="185FF8CD" w14:textId="77777777" w:rsidR="00A91885" w:rsidRDefault="009C4196">
            <w:pPr>
              <w:textAlignment w:val="bottom"/>
            </w:pPr>
            <w:r>
              <w:rPr>
                <w:rFonts w:ascii="Arial" w:eastAsia="宋体" w:hAnsi="Arial" w:cs="Arial"/>
                <w:color w:val="000000"/>
                <w:sz w:val="18"/>
                <w:szCs w:val="18"/>
              </w:rPr>
              <w:t>Net cash provided by operating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8CE" w14:textId="77777777" w:rsidR="00A91885" w:rsidRDefault="009C4196">
            <w:pPr>
              <w:jc w:val="right"/>
              <w:textAlignment w:val="bottom"/>
            </w:pPr>
            <w:r>
              <w:rPr>
                <w:rFonts w:ascii="Arial" w:eastAsia="宋体" w:hAnsi="Arial" w:cs="Arial"/>
                <w:color w:val="000000"/>
                <w:sz w:val="18"/>
                <w:szCs w:val="18"/>
              </w:rPr>
              <w:t>841 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8CF"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8D0"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8D1" w14:textId="77777777" w:rsidR="00A91885" w:rsidRDefault="009C4196">
            <w:pPr>
              <w:jc w:val="right"/>
              <w:textAlignment w:val="bottom"/>
            </w:pPr>
            <w:r>
              <w:rPr>
                <w:rFonts w:ascii="Arial" w:eastAsia="宋体" w:hAnsi="Arial" w:cs="Arial"/>
                <w:color w:val="000000"/>
                <w:sz w:val="18"/>
                <w:szCs w:val="18"/>
              </w:rPr>
              <w:t>2,109 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8D2" w14:textId="77777777" w:rsidR="00A91885" w:rsidRDefault="00A91885">
            <w:pPr>
              <w:jc w:val="right"/>
              <w:rPr>
                <w:rFonts w:ascii="宋体"/>
              </w:rPr>
            </w:pPr>
          </w:p>
        </w:tc>
      </w:tr>
      <w:tr w:rsidR="00A91885" w14:paraId="185FF8D8" w14:textId="77777777">
        <w:trPr>
          <w:jc w:val="center"/>
        </w:trPr>
        <w:tc>
          <w:tcPr>
            <w:tcW w:w="0" w:type="auto"/>
            <w:gridSpan w:val="3"/>
            <w:shd w:val="clear" w:color="auto" w:fill="FFFFFF"/>
            <w:tcMar>
              <w:top w:w="40" w:type="dxa"/>
              <w:left w:w="20" w:type="dxa"/>
              <w:bottom w:w="40" w:type="dxa"/>
              <w:right w:w="20" w:type="dxa"/>
            </w:tcMar>
            <w:vAlign w:val="bottom"/>
          </w:tcPr>
          <w:p w14:paraId="185FF8D4" w14:textId="77777777" w:rsidR="00A91885" w:rsidRDefault="009C4196">
            <w:pPr>
              <w:textAlignment w:val="bottom"/>
            </w:pPr>
            <w:r>
              <w:rPr>
                <w:rFonts w:ascii="Arial" w:eastAsia="宋体" w:hAnsi="Arial" w:cs="Arial"/>
                <w:color w:val="000000"/>
                <w:sz w:val="18"/>
                <w:szCs w:val="18"/>
              </w:rPr>
              <w:t>Cash flows from investing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85FF8D5" w14:textId="77777777" w:rsidR="00A91885" w:rsidRDefault="009C4196">
            <w:pPr>
              <w:jc w:val="right"/>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185FF8D6" w14:textId="77777777" w:rsidR="00A91885" w:rsidRDefault="00A9188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85FF8D7" w14:textId="77777777" w:rsidR="00A91885" w:rsidRDefault="009C4196">
            <w:pPr>
              <w:jc w:val="right"/>
              <w:textAlignment w:val="bottom"/>
            </w:pPr>
            <w:r>
              <w:rPr>
                <w:rFonts w:ascii="Arial" w:eastAsia="宋体" w:hAnsi="Arial" w:cs="Arial"/>
                <w:color w:val="000000"/>
                <w:sz w:val="18"/>
                <w:szCs w:val="18"/>
              </w:rPr>
              <w:t> </w:t>
            </w:r>
          </w:p>
        </w:tc>
      </w:tr>
      <w:tr w:rsidR="00A91885" w14:paraId="185FF8DF" w14:textId="77777777">
        <w:trPr>
          <w:jc w:val="center"/>
        </w:trPr>
        <w:tc>
          <w:tcPr>
            <w:tcW w:w="0" w:type="auto"/>
            <w:gridSpan w:val="3"/>
            <w:shd w:val="clear" w:color="auto" w:fill="E1E1E1"/>
            <w:tcMar>
              <w:top w:w="40" w:type="dxa"/>
              <w:left w:w="245" w:type="dxa"/>
              <w:bottom w:w="40" w:type="dxa"/>
              <w:right w:w="20" w:type="dxa"/>
            </w:tcMar>
            <w:vAlign w:val="bottom"/>
          </w:tcPr>
          <w:p w14:paraId="185FF8D9" w14:textId="77777777" w:rsidR="00A91885" w:rsidRDefault="009C4196">
            <w:pPr>
              <w:textAlignment w:val="bottom"/>
            </w:pPr>
            <w:r>
              <w:rPr>
                <w:rFonts w:ascii="Arial" w:eastAsia="宋体" w:hAnsi="Arial" w:cs="Arial"/>
                <w:color w:val="000000"/>
                <w:sz w:val="18"/>
                <w:szCs w:val="18"/>
              </w:rPr>
              <w:t>Purchases of property and equipment</w:t>
            </w:r>
          </w:p>
        </w:tc>
        <w:tc>
          <w:tcPr>
            <w:tcW w:w="0" w:type="auto"/>
            <w:gridSpan w:val="2"/>
            <w:shd w:val="clear" w:color="auto" w:fill="E1E1E1"/>
            <w:tcMar>
              <w:top w:w="40" w:type="dxa"/>
              <w:left w:w="20" w:type="dxa"/>
              <w:bottom w:w="40" w:type="dxa"/>
              <w:right w:w="0" w:type="dxa"/>
            </w:tcMar>
            <w:vAlign w:val="bottom"/>
          </w:tcPr>
          <w:p w14:paraId="185FF8DA" w14:textId="77777777" w:rsidR="00A91885" w:rsidRDefault="009C4196">
            <w:pPr>
              <w:jc w:val="right"/>
              <w:textAlignment w:val="bottom"/>
            </w:pPr>
            <w:r>
              <w:rPr>
                <w:rFonts w:ascii="Arial" w:eastAsia="宋体" w:hAnsi="Arial" w:cs="Arial"/>
                <w:color w:val="000000"/>
                <w:sz w:val="18"/>
                <w:szCs w:val="18"/>
              </w:rPr>
              <w:t>(194)</w:t>
            </w:r>
          </w:p>
        </w:tc>
        <w:tc>
          <w:tcPr>
            <w:tcW w:w="0" w:type="auto"/>
            <w:shd w:val="clear" w:color="auto" w:fill="E1E1E1"/>
            <w:tcMar>
              <w:top w:w="40" w:type="dxa"/>
              <w:left w:w="0" w:type="dxa"/>
              <w:bottom w:w="40" w:type="dxa"/>
              <w:right w:w="20" w:type="dxa"/>
            </w:tcMar>
            <w:vAlign w:val="bottom"/>
          </w:tcPr>
          <w:p w14:paraId="185FF8DB"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8DC"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8DD" w14:textId="77777777" w:rsidR="00A91885" w:rsidRDefault="009C4196">
            <w:pPr>
              <w:jc w:val="right"/>
              <w:textAlignment w:val="bottom"/>
            </w:pPr>
            <w:r>
              <w:rPr>
                <w:rFonts w:ascii="Arial" w:eastAsia="宋体" w:hAnsi="Arial" w:cs="Arial"/>
                <w:color w:val="000000"/>
                <w:sz w:val="18"/>
                <w:szCs w:val="18"/>
              </w:rPr>
              <w:t>(182)</w:t>
            </w:r>
          </w:p>
        </w:tc>
        <w:tc>
          <w:tcPr>
            <w:tcW w:w="0" w:type="auto"/>
            <w:shd w:val="clear" w:color="auto" w:fill="E1E1E1"/>
            <w:tcMar>
              <w:top w:w="40" w:type="dxa"/>
              <w:left w:w="0" w:type="dxa"/>
              <w:bottom w:w="40" w:type="dxa"/>
              <w:right w:w="20" w:type="dxa"/>
            </w:tcMar>
            <w:vAlign w:val="bottom"/>
          </w:tcPr>
          <w:p w14:paraId="185FF8DE" w14:textId="77777777" w:rsidR="00A91885" w:rsidRDefault="00A91885">
            <w:pPr>
              <w:jc w:val="right"/>
              <w:rPr>
                <w:rFonts w:ascii="宋体"/>
              </w:rPr>
            </w:pPr>
          </w:p>
        </w:tc>
      </w:tr>
      <w:tr w:rsidR="00A91885" w14:paraId="185FF8E6" w14:textId="77777777">
        <w:trPr>
          <w:jc w:val="center"/>
        </w:trPr>
        <w:tc>
          <w:tcPr>
            <w:tcW w:w="0" w:type="auto"/>
            <w:gridSpan w:val="3"/>
            <w:shd w:val="clear" w:color="auto" w:fill="FFFFFF"/>
            <w:tcMar>
              <w:top w:w="40" w:type="dxa"/>
              <w:left w:w="245" w:type="dxa"/>
              <w:bottom w:w="40" w:type="dxa"/>
              <w:right w:w="20" w:type="dxa"/>
            </w:tcMar>
            <w:vAlign w:val="bottom"/>
          </w:tcPr>
          <w:p w14:paraId="185FF8E0" w14:textId="77777777" w:rsidR="00A91885" w:rsidRDefault="009C4196">
            <w:pPr>
              <w:textAlignment w:val="bottom"/>
            </w:pPr>
            <w:r>
              <w:rPr>
                <w:rFonts w:ascii="Arial" w:eastAsia="宋体" w:hAnsi="Arial" w:cs="Arial"/>
                <w:color w:val="000000"/>
                <w:sz w:val="18"/>
                <w:szCs w:val="18"/>
              </w:rPr>
              <w:t>Purchases of investments</w:t>
            </w:r>
          </w:p>
        </w:tc>
        <w:tc>
          <w:tcPr>
            <w:tcW w:w="0" w:type="auto"/>
            <w:gridSpan w:val="2"/>
            <w:shd w:val="clear" w:color="auto" w:fill="FFFFFF"/>
            <w:tcMar>
              <w:top w:w="40" w:type="dxa"/>
              <w:left w:w="20" w:type="dxa"/>
              <w:bottom w:w="40" w:type="dxa"/>
              <w:right w:w="0" w:type="dxa"/>
            </w:tcMar>
            <w:vAlign w:val="bottom"/>
          </w:tcPr>
          <w:p w14:paraId="185FF8E1" w14:textId="77777777" w:rsidR="00A91885" w:rsidRDefault="009C4196">
            <w:pPr>
              <w:jc w:val="right"/>
              <w:textAlignment w:val="bottom"/>
            </w:pPr>
            <w:r>
              <w:rPr>
                <w:rFonts w:ascii="Arial" w:eastAsia="宋体" w:hAnsi="Arial" w:cs="Arial"/>
                <w:color w:val="000000"/>
                <w:sz w:val="18"/>
                <w:szCs w:val="18"/>
              </w:rPr>
              <w:t>(10,146)</w:t>
            </w:r>
          </w:p>
        </w:tc>
        <w:tc>
          <w:tcPr>
            <w:tcW w:w="0" w:type="auto"/>
            <w:shd w:val="clear" w:color="auto" w:fill="FFFFFF"/>
            <w:tcMar>
              <w:top w:w="40" w:type="dxa"/>
              <w:left w:w="0" w:type="dxa"/>
              <w:bottom w:w="40" w:type="dxa"/>
              <w:right w:w="20" w:type="dxa"/>
            </w:tcMar>
            <w:vAlign w:val="bottom"/>
          </w:tcPr>
          <w:p w14:paraId="185FF8E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8E3"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8E4" w14:textId="77777777" w:rsidR="00A91885" w:rsidRDefault="009C4196">
            <w:pPr>
              <w:jc w:val="right"/>
              <w:textAlignment w:val="bottom"/>
            </w:pPr>
            <w:r>
              <w:rPr>
                <w:rFonts w:ascii="Arial" w:eastAsia="宋体" w:hAnsi="Arial" w:cs="Arial"/>
                <w:color w:val="000000"/>
                <w:sz w:val="18"/>
                <w:szCs w:val="18"/>
              </w:rPr>
              <w:t>(9,676)</w:t>
            </w:r>
          </w:p>
        </w:tc>
        <w:tc>
          <w:tcPr>
            <w:tcW w:w="0" w:type="auto"/>
            <w:shd w:val="clear" w:color="auto" w:fill="FFFFFF"/>
            <w:tcMar>
              <w:top w:w="40" w:type="dxa"/>
              <w:left w:w="0" w:type="dxa"/>
              <w:bottom w:w="40" w:type="dxa"/>
              <w:right w:w="20" w:type="dxa"/>
            </w:tcMar>
            <w:vAlign w:val="bottom"/>
          </w:tcPr>
          <w:p w14:paraId="185FF8E5" w14:textId="77777777" w:rsidR="00A91885" w:rsidRDefault="00A91885">
            <w:pPr>
              <w:jc w:val="right"/>
              <w:rPr>
                <w:rFonts w:ascii="宋体"/>
              </w:rPr>
            </w:pPr>
          </w:p>
        </w:tc>
      </w:tr>
      <w:tr w:rsidR="00A91885" w14:paraId="185FF8ED" w14:textId="77777777">
        <w:trPr>
          <w:jc w:val="center"/>
        </w:trPr>
        <w:tc>
          <w:tcPr>
            <w:tcW w:w="0" w:type="auto"/>
            <w:gridSpan w:val="3"/>
            <w:shd w:val="clear" w:color="auto" w:fill="E1E1E1"/>
            <w:tcMar>
              <w:top w:w="40" w:type="dxa"/>
              <w:left w:w="245" w:type="dxa"/>
              <w:bottom w:w="40" w:type="dxa"/>
              <w:right w:w="20" w:type="dxa"/>
            </w:tcMar>
            <w:vAlign w:val="bottom"/>
          </w:tcPr>
          <w:p w14:paraId="185FF8E7" w14:textId="77777777" w:rsidR="00A91885" w:rsidRDefault="009C4196">
            <w:pPr>
              <w:textAlignment w:val="bottom"/>
            </w:pPr>
            <w:r>
              <w:rPr>
                <w:rFonts w:ascii="Arial" w:eastAsia="宋体" w:hAnsi="Arial" w:cs="Arial"/>
                <w:color w:val="000000"/>
                <w:sz w:val="18"/>
                <w:szCs w:val="18"/>
              </w:rPr>
              <w:t xml:space="preserve">Maturities and sales of </w:t>
            </w:r>
            <w:r>
              <w:rPr>
                <w:rFonts w:ascii="Arial" w:eastAsia="宋体" w:hAnsi="Arial" w:cs="Arial"/>
                <w:color w:val="000000"/>
                <w:sz w:val="18"/>
                <w:szCs w:val="18"/>
              </w:rPr>
              <w:t>investments</w:t>
            </w:r>
          </w:p>
        </w:tc>
        <w:tc>
          <w:tcPr>
            <w:tcW w:w="0" w:type="auto"/>
            <w:gridSpan w:val="2"/>
            <w:shd w:val="clear" w:color="auto" w:fill="E1E1E1"/>
            <w:tcMar>
              <w:top w:w="40" w:type="dxa"/>
              <w:left w:w="20" w:type="dxa"/>
              <w:bottom w:w="40" w:type="dxa"/>
              <w:right w:w="0" w:type="dxa"/>
            </w:tcMar>
            <w:vAlign w:val="bottom"/>
          </w:tcPr>
          <w:p w14:paraId="185FF8E8" w14:textId="77777777" w:rsidR="00A91885" w:rsidRDefault="009C4196">
            <w:pPr>
              <w:jc w:val="right"/>
              <w:textAlignment w:val="bottom"/>
            </w:pPr>
            <w:r>
              <w:rPr>
                <w:rFonts w:ascii="Arial" w:eastAsia="宋体" w:hAnsi="Arial" w:cs="Arial"/>
                <w:color w:val="000000"/>
                <w:sz w:val="18"/>
                <w:szCs w:val="18"/>
              </w:rPr>
              <w:t>13,181 </w:t>
            </w:r>
          </w:p>
        </w:tc>
        <w:tc>
          <w:tcPr>
            <w:tcW w:w="0" w:type="auto"/>
            <w:shd w:val="clear" w:color="auto" w:fill="E1E1E1"/>
            <w:tcMar>
              <w:top w:w="40" w:type="dxa"/>
              <w:left w:w="0" w:type="dxa"/>
              <w:bottom w:w="40" w:type="dxa"/>
              <w:right w:w="20" w:type="dxa"/>
            </w:tcMar>
            <w:vAlign w:val="bottom"/>
          </w:tcPr>
          <w:p w14:paraId="185FF8E9"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8EA"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8EB" w14:textId="77777777" w:rsidR="00A91885" w:rsidRDefault="009C4196">
            <w:pPr>
              <w:jc w:val="right"/>
              <w:textAlignment w:val="bottom"/>
            </w:pPr>
            <w:r>
              <w:rPr>
                <w:rFonts w:ascii="Arial" w:eastAsia="宋体" w:hAnsi="Arial" w:cs="Arial"/>
                <w:color w:val="000000"/>
                <w:sz w:val="18"/>
                <w:szCs w:val="18"/>
              </w:rPr>
              <w:t>6,765 </w:t>
            </w:r>
          </w:p>
        </w:tc>
        <w:tc>
          <w:tcPr>
            <w:tcW w:w="0" w:type="auto"/>
            <w:shd w:val="clear" w:color="auto" w:fill="E1E1E1"/>
            <w:tcMar>
              <w:top w:w="40" w:type="dxa"/>
              <w:left w:w="0" w:type="dxa"/>
              <w:bottom w:w="40" w:type="dxa"/>
              <w:right w:w="20" w:type="dxa"/>
            </w:tcMar>
            <w:vAlign w:val="bottom"/>
          </w:tcPr>
          <w:p w14:paraId="185FF8EC" w14:textId="77777777" w:rsidR="00A91885" w:rsidRDefault="00A91885">
            <w:pPr>
              <w:jc w:val="right"/>
              <w:rPr>
                <w:rFonts w:ascii="宋体"/>
              </w:rPr>
            </w:pPr>
          </w:p>
        </w:tc>
      </w:tr>
      <w:tr w:rsidR="00A91885" w14:paraId="185FF8F2" w14:textId="77777777">
        <w:trPr>
          <w:jc w:val="center"/>
          <w:hidden/>
        </w:trPr>
        <w:tc>
          <w:tcPr>
            <w:tcW w:w="0" w:type="auto"/>
            <w:gridSpan w:val="3"/>
            <w:shd w:val="clear" w:color="auto" w:fill="auto"/>
            <w:vAlign w:val="bottom"/>
          </w:tcPr>
          <w:p w14:paraId="185FF8EE" w14:textId="77777777" w:rsidR="00A91885" w:rsidRDefault="00A91885">
            <w:pPr>
              <w:rPr>
                <w:rFonts w:ascii="宋体"/>
                <w:vanish/>
              </w:rPr>
            </w:pPr>
          </w:p>
        </w:tc>
        <w:tc>
          <w:tcPr>
            <w:tcW w:w="0" w:type="auto"/>
            <w:gridSpan w:val="3"/>
            <w:shd w:val="clear" w:color="auto" w:fill="auto"/>
            <w:vAlign w:val="bottom"/>
          </w:tcPr>
          <w:p w14:paraId="185FF8EF" w14:textId="77777777" w:rsidR="00A91885" w:rsidRDefault="00A91885">
            <w:pPr>
              <w:rPr>
                <w:rFonts w:ascii="宋体"/>
                <w:vanish/>
              </w:rPr>
            </w:pPr>
          </w:p>
        </w:tc>
        <w:tc>
          <w:tcPr>
            <w:tcW w:w="0" w:type="auto"/>
            <w:gridSpan w:val="3"/>
            <w:shd w:val="clear" w:color="auto" w:fill="auto"/>
            <w:vAlign w:val="bottom"/>
          </w:tcPr>
          <w:p w14:paraId="185FF8F0" w14:textId="77777777" w:rsidR="00A91885" w:rsidRDefault="00A91885">
            <w:pPr>
              <w:rPr>
                <w:rFonts w:ascii="宋体"/>
                <w:vanish/>
              </w:rPr>
            </w:pPr>
          </w:p>
        </w:tc>
        <w:tc>
          <w:tcPr>
            <w:tcW w:w="0" w:type="auto"/>
            <w:gridSpan w:val="3"/>
            <w:shd w:val="clear" w:color="auto" w:fill="auto"/>
            <w:vAlign w:val="bottom"/>
          </w:tcPr>
          <w:p w14:paraId="185FF8F1" w14:textId="77777777" w:rsidR="00A91885" w:rsidRDefault="00A91885">
            <w:pPr>
              <w:rPr>
                <w:rFonts w:ascii="宋体"/>
                <w:vanish/>
              </w:rPr>
            </w:pPr>
          </w:p>
        </w:tc>
      </w:tr>
      <w:tr w:rsidR="00A91885" w14:paraId="185FF8F7" w14:textId="77777777">
        <w:trPr>
          <w:jc w:val="center"/>
          <w:hidden/>
        </w:trPr>
        <w:tc>
          <w:tcPr>
            <w:tcW w:w="0" w:type="auto"/>
            <w:gridSpan w:val="3"/>
            <w:shd w:val="clear" w:color="auto" w:fill="auto"/>
            <w:vAlign w:val="bottom"/>
          </w:tcPr>
          <w:p w14:paraId="185FF8F3" w14:textId="77777777" w:rsidR="00A91885" w:rsidRDefault="00A91885">
            <w:pPr>
              <w:rPr>
                <w:rFonts w:ascii="宋体"/>
                <w:vanish/>
              </w:rPr>
            </w:pPr>
          </w:p>
        </w:tc>
        <w:tc>
          <w:tcPr>
            <w:tcW w:w="0" w:type="auto"/>
            <w:gridSpan w:val="3"/>
            <w:shd w:val="clear" w:color="auto" w:fill="auto"/>
            <w:vAlign w:val="bottom"/>
          </w:tcPr>
          <w:p w14:paraId="185FF8F4" w14:textId="77777777" w:rsidR="00A91885" w:rsidRDefault="00A91885">
            <w:pPr>
              <w:rPr>
                <w:rFonts w:ascii="宋体"/>
                <w:vanish/>
              </w:rPr>
            </w:pPr>
          </w:p>
        </w:tc>
        <w:tc>
          <w:tcPr>
            <w:tcW w:w="0" w:type="auto"/>
            <w:gridSpan w:val="3"/>
            <w:shd w:val="clear" w:color="auto" w:fill="auto"/>
            <w:vAlign w:val="bottom"/>
          </w:tcPr>
          <w:p w14:paraId="185FF8F5" w14:textId="77777777" w:rsidR="00A91885" w:rsidRDefault="00A91885">
            <w:pPr>
              <w:rPr>
                <w:rFonts w:ascii="宋体"/>
                <w:vanish/>
              </w:rPr>
            </w:pPr>
          </w:p>
        </w:tc>
        <w:tc>
          <w:tcPr>
            <w:tcW w:w="0" w:type="auto"/>
            <w:gridSpan w:val="3"/>
            <w:shd w:val="clear" w:color="auto" w:fill="auto"/>
            <w:vAlign w:val="bottom"/>
          </w:tcPr>
          <w:p w14:paraId="185FF8F6" w14:textId="77777777" w:rsidR="00A91885" w:rsidRDefault="00A91885">
            <w:pPr>
              <w:rPr>
                <w:rFonts w:ascii="宋体"/>
                <w:vanish/>
              </w:rPr>
            </w:pPr>
          </w:p>
        </w:tc>
      </w:tr>
      <w:tr w:rsidR="00A91885" w14:paraId="185FF8FE" w14:textId="77777777">
        <w:trPr>
          <w:jc w:val="center"/>
        </w:trPr>
        <w:tc>
          <w:tcPr>
            <w:tcW w:w="0" w:type="auto"/>
            <w:gridSpan w:val="3"/>
            <w:shd w:val="clear" w:color="auto" w:fill="FFFFFF"/>
            <w:tcMar>
              <w:top w:w="40" w:type="dxa"/>
              <w:left w:w="245" w:type="dxa"/>
              <w:bottom w:w="40" w:type="dxa"/>
              <w:right w:w="20" w:type="dxa"/>
            </w:tcMar>
            <w:vAlign w:val="bottom"/>
          </w:tcPr>
          <w:p w14:paraId="185FF8F8" w14:textId="77777777" w:rsidR="00A91885" w:rsidRDefault="009C4196">
            <w:pPr>
              <w:textAlignment w:val="bottom"/>
            </w:pPr>
            <w:r>
              <w:rPr>
                <w:rFonts w:ascii="Arial" w:eastAsia="宋体" w:hAnsi="Arial" w:cs="Arial"/>
                <w:color w:val="000000"/>
                <w:sz w:val="18"/>
                <w:szCs w:val="18"/>
              </w:rPr>
              <w:t>Proceeds from the sale of shares in Adyen</w:t>
            </w:r>
          </w:p>
        </w:tc>
        <w:tc>
          <w:tcPr>
            <w:tcW w:w="0" w:type="auto"/>
            <w:gridSpan w:val="2"/>
            <w:shd w:val="clear" w:color="auto" w:fill="FFFFFF"/>
            <w:tcMar>
              <w:top w:w="40" w:type="dxa"/>
              <w:left w:w="20" w:type="dxa"/>
              <w:bottom w:w="40" w:type="dxa"/>
              <w:right w:w="0" w:type="dxa"/>
            </w:tcMar>
            <w:vAlign w:val="bottom"/>
          </w:tcPr>
          <w:p w14:paraId="185FF8F9" w14:textId="77777777" w:rsidR="00A91885" w:rsidRDefault="009C4196">
            <w:pPr>
              <w:jc w:val="right"/>
              <w:textAlignment w:val="bottom"/>
            </w:pPr>
            <w:r>
              <w:rPr>
                <w:rFonts w:ascii="Arial" w:eastAsia="宋体" w:hAnsi="Arial" w:cs="Arial"/>
                <w:color w:val="000000"/>
                <w:sz w:val="18"/>
                <w:szCs w:val="18"/>
              </w:rPr>
              <w:t>680 </w:t>
            </w:r>
          </w:p>
        </w:tc>
        <w:tc>
          <w:tcPr>
            <w:tcW w:w="0" w:type="auto"/>
            <w:shd w:val="clear" w:color="auto" w:fill="FFFFFF"/>
            <w:tcMar>
              <w:top w:w="40" w:type="dxa"/>
              <w:left w:w="0" w:type="dxa"/>
              <w:bottom w:w="40" w:type="dxa"/>
              <w:right w:w="20" w:type="dxa"/>
            </w:tcMar>
            <w:vAlign w:val="bottom"/>
          </w:tcPr>
          <w:p w14:paraId="185FF8F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8F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8FC"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8FD" w14:textId="77777777" w:rsidR="00A91885" w:rsidRDefault="00A91885">
            <w:pPr>
              <w:jc w:val="right"/>
              <w:rPr>
                <w:rFonts w:ascii="宋体"/>
              </w:rPr>
            </w:pPr>
          </w:p>
        </w:tc>
      </w:tr>
      <w:tr w:rsidR="00A91885" w14:paraId="185FF903" w14:textId="77777777">
        <w:trPr>
          <w:jc w:val="center"/>
          <w:hidden/>
        </w:trPr>
        <w:tc>
          <w:tcPr>
            <w:tcW w:w="0" w:type="auto"/>
            <w:gridSpan w:val="3"/>
            <w:shd w:val="clear" w:color="auto" w:fill="auto"/>
            <w:vAlign w:val="bottom"/>
          </w:tcPr>
          <w:p w14:paraId="185FF8FF" w14:textId="77777777" w:rsidR="00A91885" w:rsidRDefault="00A91885">
            <w:pPr>
              <w:rPr>
                <w:rFonts w:ascii="宋体"/>
                <w:vanish/>
              </w:rPr>
            </w:pPr>
          </w:p>
        </w:tc>
        <w:tc>
          <w:tcPr>
            <w:tcW w:w="0" w:type="auto"/>
            <w:gridSpan w:val="3"/>
            <w:shd w:val="clear" w:color="auto" w:fill="auto"/>
            <w:vAlign w:val="bottom"/>
          </w:tcPr>
          <w:p w14:paraId="185FF900" w14:textId="77777777" w:rsidR="00A91885" w:rsidRDefault="00A91885">
            <w:pPr>
              <w:rPr>
                <w:rFonts w:ascii="宋体"/>
                <w:vanish/>
              </w:rPr>
            </w:pPr>
          </w:p>
        </w:tc>
        <w:tc>
          <w:tcPr>
            <w:tcW w:w="0" w:type="auto"/>
            <w:gridSpan w:val="3"/>
            <w:shd w:val="clear" w:color="auto" w:fill="auto"/>
            <w:vAlign w:val="bottom"/>
          </w:tcPr>
          <w:p w14:paraId="185FF901" w14:textId="77777777" w:rsidR="00A91885" w:rsidRDefault="00A91885">
            <w:pPr>
              <w:rPr>
                <w:rFonts w:ascii="宋体"/>
                <w:vanish/>
              </w:rPr>
            </w:pPr>
          </w:p>
        </w:tc>
        <w:tc>
          <w:tcPr>
            <w:tcW w:w="0" w:type="auto"/>
            <w:gridSpan w:val="3"/>
            <w:shd w:val="clear" w:color="auto" w:fill="auto"/>
            <w:vAlign w:val="bottom"/>
          </w:tcPr>
          <w:p w14:paraId="185FF902" w14:textId="77777777" w:rsidR="00A91885" w:rsidRDefault="00A91885">
            <w:pPr>
              <w:rPr>
                <w:rFonts w:ascii="宋体"/>
                <w:vanish/>
              </w:rPr>
            </w:pPr>
          </w:p>
        </w:tc>
      </w:tr>
      <w:tr w:rsidR="00A91885" w14:paraId="185FF90A" w14:textId="77777777">
        <w:trPr>
          <w:jc w:val="center"/>
        </w:trPr>
        <w:tc>
          <w:tcPr>
            <w:tcW w:w="0" w:type="auto"/>
            <w:gridSpan w:val="3"/>
            <w:shd w:val="clear" w:color="auto" w:fill="E1E1E1"/>
            <w:tcMar>
              <w:top w:w="40" w:type="dxa"/>
              <w:left w:w="245" w:type="dxa"/>
              <w:bottom w:w="40" w:type="dxa"/>
              <w:right w:w="20" w:type="dxa"/>
            </w:tcMar>
            <w:vAlign w:val="bottom"/>
          </w:tcPr>
          <w:p w14:paraId="185FF904" w14:textId="77777777" w:rsidR="00A91885" w:rsidRDefault="009C4196">
            <w:pPr>
              <w:textAlignment w:val="bottom"/>
            </w:pPr>
            <w:r>
              <w:rPr>
                <w:rFonts w:ascii="Arial" w:eastAsia="宋体" w:hAnsi="Arial" w:cs="Arial"/>
                <w:color w:val="000000"/>
                <w:sz w:val="18"/>
                <w:szCs w:val="18"/>
              </w:rPr>
              <w:t>Proceeds from the sale of shares in KakaoBank</w:t>
            </w:r>
          </w:p>
        </w:tc>
        <w:tc>
          <w:tcPr>
            <w:tcW w:w="0" w:type="auto"/>
            <w:gridSpan w:val="2"/>
            <w:shd w:val="clear" w:color="auto" w:fill="E1E1E1"/>
            <w:tcMar>
              <w:top w:w="40" w:type="dxa"/>
              <w:left w:w="20" w:type="dxa"/>
              <w:bottom w:w="40" w:type="dxa"/>
              <w:right w:w="0" w:type="dxa"/>
            </w:tcMar>
            <w:vAlign w:val="bottom"/>
          </w:tcPr>
          <w:p w14:paraId="185FF905" w14:textId="77777777" w:rsidR="00A91885" w:rsidRDefault="009C4196">
            <w:pPr>
              <w:jc w:val="right"/>
              <w:textAlignment w:val="bottom"/>
            </w:pPr>
            <w:r>
              <w:rPr>
                <w:rFonts w:ascii="Arial" w:eastAsia="宋体" w:hAnsi="Arial" w:cs="Arial"/>
                <w:color w:val="000000"/>
                <w:sz w:val="18"/>
                <w:szCs w:val="18"/>
              </w:rPr>
              <w:t>287 </w:t>
            </w:r>
          </w:p>
        </w:tc>
        <w:tc>
          <w:tcPr>
            <w:tcW w:w="0" w:type="auto"/>
            <w:shd w:val="clear" w:color="auto" w:fill="E1E1E1"/>
            <w:tcMar>
              <w:top w:w="40" w:type="dxa"/>
              <w:left w:w="0" w:type="dxa"/>
              <w:bottom w:w="40" w:type="dxa"/>
              <w:right w:w="20" w:type="dxa"/>
            </w:tcMar>
            <w:vAlign w:val="bottom"/>
          </w:tcPr>
          <w:p w14:paraId="185FF906"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907"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908"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5FF909" w14:textId="77777777" w:rsidR="00A91885" w:rsidRDefault="00A91885">
            <w:pPr>
              <w:jc w:val="right"/>
              <w:rPr>
                <w:rFonts w:ascii="宋体"/>
              </w:rPr>
            </w:pPr>
          </w:p>
        </w:tc>
      </w:tr>
      <w:tr w:rsidR="00A91885" w14:paraId="185FF911" w14:textId="77777777">
        <w:trPr>
          <w:jc w:val="center"/>
        </w:trPr>
        <w:tc>
          <w:tcPr>
            <w:tcW w:w="0" w:type="auto"/>
            <w:gridSpan w:val="3"/>
            <w:shd w:val="clear" w:color="auto" w:fill="FFFFFF"/>
            <w:tcMar>
              <w:top w:w="40" w:type="dxa"/>
              <w:left w:w="245" w:type="dxa"/>
              <w:bottom w:w="40" w:type="dxa"/>
              <w:right w:w="20" w:type="dxa"/>
            </w:tcMar>
            <w:vAlign w:val="bottom"/>
          </w:tcPr>
          <w:p w14:paraId="185FF90B" w14:textId="77777777" w:rsidR="00A91885" w:rsidRDefault="009C4196">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185FF90C" w14:textId="77777777" w:rsidR="00A91885" w:rsidRDefault="009C4196">
            <w:pPr>
              <w:jc w:val="right"/>
              <w:textAlignment w:val="bottom"/>
            </w:pPr>
            <w:r>
              <w:rPr>
                <w:rFonts w:ascii="Arial" w:eastAsia="宋体" w:hAnsi="Arial" w:cs="Arial"/>
                <w:color w:val="000000"/>
                <w:sz w:val="18"/>
                <w:szCs w:val="18"/>
              </w:rPr>
              <w:t>(44)</w:t>
            </w:r>
          </w:p>
        </w:tc>
        <w:tc>
          <w:tcPr>
            <w:tcW w:w="0" w:type="auto"/>
            <w:shd w:val="clear" w:color="auto" w:fill="FFFFFF"/>
            <w:tcMar>
              <w:top w:w="40" w:type="dxa"/>
              <w:left w:w="0" w:type="dxa"/>
              <w:bottom w:w="40" w:type="dxa"/>
              <w:right w:w="20" w:type="dxa"/>
            </w:tcMar>
            <w:vAlign w:val="bottom"/>
          </w:tcPr>
          <w:p w14:paraId="185FF90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90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90F" w14:textId="77777777" w:rsidR="00A91885" w:rsidRDefault="009C4196">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185FF910" w14:textId="77777777" w:rsidR="00A91885" w:rsidRDefault="00A91885">
            <w:pPr>
              <w:jc w:val="right"/>
              <w:rPr>
                <w:rFonts w:ascii="宋体"/>
              </w:rPr>
            </w:pPr>
          </w:p>
        </w:tc>
      </w:tr>
      <w:tr w:rsidR="00A91885" w14:paraId="185FF918" w14:textId="77777777">
        <w:trPr>
          <w:jc w:val="center"/>
        </w:trPr>
        <w:tc>
          <w:tcPr>
            <w:tcW w:w="0" w:type="auto"/>
            <w:gridSpan w:val="3"/>
            <w:shd w:val="clear" w:color="auto" w:fill="E1E1E1"/>
            <w:tcMar>
              <w:top w:w="40" w:type="dxa"/>
              <w:left w:w="20" w:type="dxa"/>
              <w:bottom w:w="40" w:type="dxa"/>
              <w:right w:w="20" w:type="dxa"/>
            </w:tcMar>
            <w:vAlign w:val="bottom"/>
          </w:tcPr>
          <w:p w14:paraId="185FF912" w14:textId="77777777" w:rsidR="00A91885" w:rsidRDefault="009C4196">
            <w:pPr>
              <w:textAlignment w:val="bottom"/>
            </w:pPr>
            <w:r>
              <w:rPr>
                <w:rFonts w:ascii="Arial" w:eastAsia="宋体" w:hAnsi="Arial" w:cs="Arial"/>
                <w:color w:val="000000"/>
                <w:sz w:val="18"/>
                <w:szCs w:val="18"/>
              </w:rPr>
              <w:t>Net cash provided by (used in) continuing investing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913" w14:textId="77777777" w:rsidR="00A91885" w:rsidRDefault="009C4196">
            <w:pPr>
              <w:jc w:val="right"/>
              <w:textAlignment w:val="bottom"/>
            </w:pPr>
            <w:r>
              <w:rPr>
                <w:rFonts w:ascii="Arial" w:eastAsia="宋体" w:hAnsi="Arial" w:cs="Arial"/>
                <w:color w:val="000000"/>
                <w:sz w:val="18"/>
                <w:szCs w:val="18"/>
              </w:rPr>
              <w:t>3,764 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914"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915"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916" w14:textId="77777777" w:rsidR="00A91885" w:rsidRDefault="009C4196">
            <w:pPr>
              <w:jc w:val="right"/>
              <w:textAlignment w:val="bottom"/>
            </w:pPr>
            <w:r>
              <w:rPr>
                <w:rFonts w:ascii="Arial" w:eastAsia="宋体" w:hAnsi="Arial" w:cs="Arial"/>
                <w:color w:val="000000"/>
                <w:sz w:val="18"/>
                <w:szCs w:val="18"/>
              </w:rPr>
              <w:t>(3,089)</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917" w14:textId="77777777" w:rsidR="00A91885" w:rsidRDefault="00A91885">
            <w:pPr>
              <w:jc w:val="right"/>
              <w:rPr>
                <w:rFonts w:ascii="宋体"/>
              </w:rPr>
            </w:pPr>
          </w:p>
        </w:tc>
      </w:tr>
      <w:tr w:rsidR="00A91885" w14:paraId="185FF91F" w14:textId="77777777">
        <w:trPr>
          <w:jc w:val="center"/>
        </w:trPr>
        <w:tc>
          <w:tcPr>
            <w:tcW w:w="0" w:type="auto"/>
            <w:gridSpan w:val="3"/>
            <w:shd w:val="clear" w:color="auto" w:fill="FFFFFF"/>
            <w:tcMar>
              <w:top w:w="40" w:type="dxa"/>
              <w:left w:w="20" w:type="dxa"/>
              <w:bottom w:w="40" w:type="dxa"/>
              <w:right w:w="20" w:type="dxa"/>
            </w:tcMar>
            <w:vAlign w:val="bottom"/>
          </w:tcPr>
          <w:p w14:paraId="185FF919" w14:textId="77777777" w:rsidR="00A91885" w:rsidRDefault="009C4196">
            <w:pPr>
              <w:textAlignment w:val="bottom"/>
            </w:pPr>
            <w:r>
              <w:rPr>
                <w:rFonts w:ascii="Arial" w:eastAsia="宋体" w:hAnsi="Arial" w:cs="Arial"/>
                <w:color w:val="000000"/>
                <w:sz w:val="18"/>
                <w:szCs w:val="18"/>
              </w:rPr>
              <w:t>Net cash provided by (used in) discontinued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91A"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91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91C"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91D" w14:textId="77777777" w:rsidR="00A91885" w:rsidRDefault="009C4196">
            <w:pPr>
              <w:jc w:val="right"/>
              <w:textAlignment w:val="bottom"/>
            </w:pPr>
            <w:r>
              <w:rPr>
                <w:rFonts w:ascii="Arial" w:eastAsia="宋体" w:hAnsi="Arial" w:cs="Arial"/>
                <w:color w:val="000000"/>
                <w:sz w:val="18"/>
                <w:szCs w:val="18"/>
              </w:rPr>
              <w:t>2,444 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91E" w14:textId="77777777" w:rsidR="00A91885" w:rsidRDefault="00A91885">
            <w:pPr>
              <w:jc w:val="right"/>
              <w:rPr>
                <w:rFonts w:ascii="宋体"/>
              </w:rPr>
            </w:pPr>
          </w:p>
        </w:tc>
      </w:tr>
      <w:tr w:rsidR="00A91885" w14:paraId="185FF926" w14:textId="77777777">
        <w:trPr>
          <w:jc w:val="center"/>
        </w:trPr>
        <w:tc>
          <w:tcPr>
            <w:tcW w:w="0" w:type="auto"/>
            <w:gridSpan w:val="3"/>
            <w:shd w:val="clear" w:color="auto" w:fill="E1E1E1"/>
            <w:tcMar>
              <w:top w:w="40" w:type="dxa"/>
              <w:left w:w="740" w:type="dxa"/>
              <w:bottom w:w="40" w:type="dxa"/>
              <w:right w:w="20" w:type="dxa"/>
            </w:tcMar>
            <w:vAlign w:val="bottom"/>
          </w:tcPr>
          <w:p w14:paraId="185FF920" w14:textId="77777777" w:rsidR="00A91885" w:rsidRDefault="009C4196">
            <w:pPr>
              <w:textAlignment w:val="bottom"/>
            </w:pPr>
            <w:r>
              <w:rPr>
                <w:rFonts w:ascii="Arial" w:eastAsia="宋体" w:hAnsi="Arial" w:cs="Arial"/>
                <w:color w:val="000000"/>
                <w:sz w:val="18"/>
                <w:szCs w:val="18"/>
              </w:rPr>
              <w:t>Net cash provided by (used in) investing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921" w14:textId="77777777" w:rsidR="00A91885" w:rsidRDefault="009C4196">
            <w:pPr>
              <w:jc w:val="right"/>
              <w:textAlignment w:val="bottom"/>
            </w:pPr>
            <w:r>
              <w:rPr>
                <w:rFonts w:ascii="Arial" w:eastAsia="宋体" w:hAnsi="Arial" w:cs="Arial"/>
                <w:color w:val="000000"/>
                <w:sz w:val="18"/>
                <w:szCs w:val="18"/>
              </w:rPr>
              <w:t>3,764 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922"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923"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924" w14:textId="77777777" w:rsidR="00A91885" w:rsidRDefault="009C4196">
            <w:pPr>
              <w:jc w:val="right"/>
              <w:textAlignment w:val="bottom"/>
            </w:pPr>
            <w:r>
              <w:rPr>
                <w:rFonts w:ascii="Arial" w:eastAsia="宋体" w:hAnsi="Arial" w:cs="Arial"/>
                <w:color w:val="000000"/>
                <w:sz w:val="18"/>
                <w:szCs w:val="18"/>
              </w:rPr>
              <w:t>(645)</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925" w14:textId="77777777" w:rsidR="00A91885" w:rsidRDefault="00A91885">
            <w:pPr>
              <w:jc w:val="right"/>
              <w:rPr>
                <w:rFonts w:ascii="宋体"/>
              </w:rPr>
            </w:pPr>
          </w:p>
        </w:tc>
      </w:tr>
      <w:tr w:rsidR="00A91885" w14:paraId="185FF92B" w14:textId="77777777">
        <w:trPr>
          <w:jc w:val="center"/>
        </w:trPr>
        <w:tc>
          <w:tcPr>
            <w:tcW w:w="0" w:type="auto"/>
            <w:gridSpan w:val="3"/>
            <w:shd w:val="clear" w:color="auto" w:fill="FFFFFF"/>
            <w:tcMar>
              <w:top w:w="40" w:type="dxa"/>
              <w:left w:w="20" w:type="dxa"/>
              <w:bottom w:w="40" w:type="dxa"/>
              <w:right w:w="20" w:type="dxa"/>
            </w:tcMar>
            <w:vAlign w:val="bottom"/>
          </w:tcPr>
          <w:p w14:paraId="185FF927" w14:textId="77777777" w:rsidR="00A91885" w:rsidRDefault="009C4196">
            <w:pPr>
              <w:textAlignment w:val="bottom"/>
            </w:pPr>
            <w:r>
              <w:rPr>
                <w:rFonts w:ascii="Arial" w:eastAsia="宋体" w:hAnsi="Arial" w:cs="Arial"/>
                <w:color w:val="000000"/>
                <w:sz w:val="18"/>
                <w:szCs w:val="18"/>
              </w:rPr>
              <w:t>Cash flows from financing activities: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85FF928" w14:textId="77777777" w:rsidR="00A91885" w:rsidRDefault="009C4196">
            <w:pPr>
              <w:jc w:val="right"/>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185FF929" w14:textId="77777777" w:rsidR="00A91885" w:rsidRDefault="00A9188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85FF92A" w14:textId="77777777" w:rsidR="00A91885" w:rsidRDefault="009C4196">
            <w:pPr>
              <w:jc w:val="right"/>
              <w:textAlignment w:val="bottom"/>
            </w:pPr>
            <w:r>
              <w:rPr>
                <w:rFonts w:ascii="Arial" w:eastAsia="宋体" w:hAnsi="Arial" w:cs="Arial"/>
                <w:color w:val="000000"/>
                <w:sz w:val="18"/>
                <w:szCs w:val="18"/>
              </w:rPr>
              <w:t> </w:t>
            </w:r>
          </w:p>
        </w:tc>
      </w:tr>
      <w:tr w:rsidR="00A91885" w14:paraId="185FF932" w14:textId="77777777">
        <w:trPr>
          <w:jc w:val="center"/>
        </w:trPr>
        <w:tc>
          <w:tcPr>
            <w:tcW w:w="0" w:type="auto"/>
            <w:gridSpan w:val="3"/>
            <w:shd w:val="clear" w:color="auto" w:fill="E1E1E1"/>
            <w:tcMar>
              <w:top w:w="40" w:type="dxa"/>
              <w:left w:w="245" w:type="dxa"/>
              <w:bottom w:w="40" w:type="dxa"/>
              <w:right w:w="20" w:type="dxa"/>
            </w:tcMar>
            <w:vAlign w:val="bottom"/>
          </w:tcPr>
          <w:p w14:paraId="185FF92C" w14:textId="77777777" w:rsidR="00A91885" w:rsidRDefault="009C4196">
            <w:pPr>
              <w:textAlignment w:val="bottom"/>
            </w:pPr>
            <w:r>
              <w:rPr>
                <w:rFonts w:ascii="Arial" w:eastAsia="宋体" w:hAnsi="Arial" w:cs="Arial"/>
                <w:color w:val="000000"/>
                <w:sz w:val="18"/>
                <w:szCs w:val="18"/>
              </w:rPr>
              <w:t>Proceeds from issuance of common stock</w:t>
            </w:r>
          </w:p>
        </w:tc>
        <w:tc>
          <w:tcPr>
            <w:tcW w:w="0" w:type="auto"/>
            <w:gridSpan w:val="2"/>
            <w:shd w:val="clear" w:color="auto" w:fill="E1E1E1"/>
            <w:tcMar>
              <w:top w:w="40" w:type="dxa"/>
              <w:left w:w="20" w:type="dxa"/>
              <w:bottom w:w="40" w:type="dxa"/>
              <w:right w:w="0" w:type="dxa"/>
            </w:tcMar>
            <w:vAlign w:val="bottom"/>
          </w:tcPr>
          <w:p w14:paraId="185FF92D" w14:textId="77777777" w:rsidR="00A91885" w:rsidRDefault="009C4196">
            <w:pPr>
              <w:jc w:val="right"/>
              <w:textAlignment w:val="bottom"/>
            </w:pPr>
            <w:r>
              <w:rPr>
                <w:rFonts w:ascii="Arial" w:eastAsia="宋体" w:hAnsi="Arial" w:cs="Arial"/>
                <w:color w:val="000000"/>
                <w:sz w:val="18"/>
                <w:szCs w:val="18"/>
              </w:rPr>
              <w:t>55 </w:t>
            </w:r>
          </w:p>
        </w:tc>
        <w:tc>
          <w:tcPr>
            <w:tcW w:w="0" w:type="auto"/>
            <w:shd w:val="clear" w:color="auto" w:fill="E1E1E1"/>
            <w:tcMar>
              <w:top w:w="40" w:type="dxa"/>
              <w:left w:w="0" w:type="dxa"/>
              <w:bottom w:w="40" w:type="dxa"/>
              <w:right w:w="20" w:type="dxa"/>
            </w:tcMar>
            <w:vAlign w:val="bottom"/>
          </w:tcPr>
          <w:p w14:paraId="185FF92E"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92F"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930" w14:textId="77777777" w:rsidR="00A91885" w:rsidRDefault="009C4196">
            <w:pPr>
              <w:jc w:val="right"/>
              <w:textAlignment w:val="bottom"/>
            </w:pPr>
            <w:r>
              <w:rPr>
                <w:rFonts w:ascii="Arial" w:eastAsia="宋体" w:hAnsi="Arial" w:cs="Arial"/>
                <w:color w:val="000000"/>
                <w:sz w:val="18"/>
                <w:szCs w:val="18"/>
              </w:rPr>
              <w:t>57 </w:t>
            </w:r>
          </w:p>
        </w:tc>
        <w:tc>
          <w:tcPr>
            <w:tcW w:w="0" w:type="auto"/>
            <w:shd w:val="clear" w:color="auto" w:fill="E1E1E1"/>
            <w:tcMar>
              <w:top w:w="40" w:type="dxa"/>
              <w:left w:w="0" w:type="dxa"/>
              <w:bottom w:w="40" w:type="dxa"/>
              <w:right w:w="20" w:type="dxa"/>
            </w:tcMar>
            <w:vAlign w:val="bottom"/>
          </w:tcPr>
          <w:p w14:paraId="185FF931" w14:textId="77777777" w:rsidR="00A91885" w:rsidRDefault="00A91885">
            <w:pPr>
              <w:jc w:val="right"/>
              <w:rPr>
                <w:rFonts w:ascii="宋体"/>
              </w:rPr>
            </w:pPr>
          </w:p>
        </w:tc>
      </w:tr>
      <w:tr w:rsidR="00A91885" w14:paraId="185FF939" w14:textId="77777777">
        <w:trPr>
          <w:jc w:val="center"/>
        </w:trPr>
        <w:tc>
          <w:tcPr>
            <w:tcW w:w="0" w:type="auto"/>
            <w:gridSpan w:val="3"/>
            <w:shd w:val="clear" w:color="auto" w:fill="FFFFFF"/>
            <w:tcMar>
              <w:top w:w="40" w:type="dxa"/>
              <w:left w:w="245" w:type="dxa"/>
              <w:bottom w:w="40" w:type="dxa"/>
              <w:right w:w="20" w:type="dxa"/>
            </w:tcMar>
            <w:vAlign w:val="bottom"/>
          </w:tcPr>
          <w:p w14:paraId="185FF933" w14:textId="77777777" w:rsidR="00A91885" w:rsidRDefault="009C4196">
            <w:pPr>
              <w:textAlignment w:val="bottom"/>
            </w:pPr>
            <w:r>
              <w:rPr>
                <w:rFonts w:ascii="Arial" w:eastAsia="宋体" w:hAnsi="Arial" w:cs="Arial"/>
                <w:color w:val="000000"/>
                <w:sz w:val="18"/>
                <w:szCs w:val="18"/>
              </w:rPr>
              <w:t>Repurchases of common stock</w:t>
            </w:r>
          </w:p>
        </w:tc>
        <w:tc>
          <w:tcPr>
            <w:tcW w:w="0" w:type="auto"/>
            <w:gridSpan w:val="2"/>
            <w:shd w:val="clear" w:color="auto" w:fill="FFFFFF"/>
            <w:tcMar>
              <w:top w:w="40" w:type="dxa"/>
              <w:left w:w="20" w:type="dxa"/>
              <w:bottom w:w="40" w:type="dxa"/>
              <w:right w:w="0" w:type="dxa"/>
            </w:tcMar>
            <w:vAlign w:val="bottom"/>
          </w:tcPr>
          <w:p w14:paraId="185FF934" w14:textId="77777777" w:rsidR="00A91885" w:rsidRDefault="009C4196">
            <w:pPr>
              <w:jc w:val="right"/>
              <w:textAlignment w:val="bottom"/>
            </w:pPr>
            <w:r>
              <w:rPr>
                <w:rFonts w:ascii="Arial" w:eastAsia="宋体" w:hAnsi="Arial" w:cs="Arial"/>
                <w:color w:val="000000"/>
                <w:sz w:val="18"/>
                <w:szCs w:val="18"/>
              </w:rPr>
              <w:t>(2,542)</w:t>
            </w:r>
          </w:p>
        </w:tc>
        <w:tc>
          <w:tcPr>
            <w:tcW w:w="0" w:type="auto"/>
            <w:shd w:val="clear" w:color="auto" w:fill="FFFFFF"/>
            <w:tcMar>
              <w:top w:w="40" w:type="dxa"/>
              <w:left w:w="0" w:type="dxa"/>
              <w:bottom w:w="40" w:type="dxa"/>
              <w:right w:w="20" w:type="dxa"/>
            </w:tcMar>
            <w:vAlign w:val="bottom"/>
          </w:tcPr>
          <w:p w14:paraId="185FF93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936"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937" w14:textId="77777777" w:rsidR="00A91885" w:rsidRDefault="009C4196">
            <w:pPr>
              <w:jc w:val="right"/>
              <w:textAlignment w:val="bottom"/>
            </w:pPr>
            <w:r>
              <w:rPr>
                <w:rFonts w:ascii="Arial" w:eastAsia="宋体" w:hAnsi="Arial" w:cs="Arial"/>
                <w:color w:val="000000"/>
                <w:sz w:val="18"/>
                <w:szCs w:val="18"/>
              </w:rPr>
              <w:t>(1,733)</w:t>
            </w:r>
          </w:p>
        </w:tc>
        <w:tc>
          <w:tcPr>
            <w:tcW w:w="0" w:type="auto"/>
            <w:shd w:val="clear" w:color="auto" w:fill="FFFFFF"/>
            <w:tcMar>
              <w:top w:w="40" w:type="dxa"/>
              <w:left w:w="0" w:type="dxa"/>
              <w:bottom w:w="40" w:type="dxa"/>
              <w:right w:w="20" w:type="dxa"/>
            </w:tcMar>
            <w:vAlign w:val="bottom"/>
          </w:tcPr>
          <w:p w14:paraId="185FF938" w14:textId="77777777" w:rsidR="00A91885" w:rsidRDefault="00A91885">
            <w:pPr>
              <w:jc w:val="right"/>
              <w:rPr>
                <w:rFonts w:ascii="宋体"/>
              </w:rPr>
            </w:pPr>
          </w:p>
        </w:tc>
      </w:tr>
      <w:tr w:rsidR="00A91885" w14:paraId="185FF940" w14:textId="77777777">
        <w:trPr>
          <w:jc w:val="center"/>
        </w:trPr>
        <w:tc>
          <w:tcPr>
            <w:tcW w:w="0" w:type="auto"/>
            <w:gridSpan w:val="3"/>
            <w:shd w:val="clear" w:color="auto" w:fill="E1E1E1"/>
            <w:tcMar>
              <w:top w:w="40" w:type="dxa"/>
              <w:left w:w="245" w:type="dxa"/>
              <w:bottom w:w="40" w:type="dxa"/>
              <w:right w:w="20" w:type="dxa"/>
            </w:tcMar>
            <w:vAlign w:val="bottom"/>
          </w:tcPr>
          <w:p w14:paraId="185FF93A" w14:textId="77777777" w:rsidR="00A91885" w:rsidRDefault="009C4196">
            <w:pPr>
              <w:textAlignment w:val="bottom"/>
            </w:pPr>
            <w:r>
              <w:rPr>
                <w:rFonts w:ascii="Arial" w:eastAsia="宋体" w:hAnsi="Arial" w:cs="Arial"/>
                <w:color w:val="000000"/>
                <w:sz w:val="18"/>
                <w:szCs w:val="18"/>
              </w:rPr>
              <w:t>Payments for taxes related to net share settlements of restricted stock units and awards</w:t>
            </w:r>
          </w:p>
        </w:tc>
        <w:tc>
          <w:tcPr>
            <w:tcW w:w="0" w:type="auto"/>
            <w:gridSpan w:val="2"/>
            <w:shd w:val="clear" w:color="auto" w:fill="E1E1E1"/>
            <w:tcMar>
              <w:top w:w="40" w:type="dxa"/>
              <w:left w:w="20" w:type="dxa"/>
              <w:bottom w:w="40" w:type="dxa"/>
              <w:right w:w="0" w:type="dxa"/>
            </w:tcMar>
            <w:vAlign w:val="bottom"/>
          </w:tcPr>
          <w:p w14:paraId="185FF93B" w14:textId="77777777" w:rsidR="00A91885" w:rsidRDefault="009C4196">
            <w:pPr>
              <w:jc w:val="right"/>
              <w:textAlignment w:val="bottom"/>
            </w:pPr>
            <w:r>
              <w:rPr>
                <w:rFonts w:ascii="Arial" w:eastAsia="宋体" w:hAnsi="Arial" w:cs="Arial"/>
                <w:color w:val="000000"/>
                <w:sz w:val="18"/>
                <w:szCs w:val="18"/>
              </w:rPr>
              <w:t>(98)</w:t>
            </w:r>
          </w:p>
        </w:tc>
        <w:tc>
          <w:tcPr>
            <w:tcW w:w="0" w:type="auto"/>
            <w:shd w:val="clear" w:color="auto" w:fill="E1E1E1"/>
            <w:tcMar>
              <w:top w:w="40" w:type="dxa"/>
              <w:left w:w="0" w:type="dxa"/>
              <w:bottom w:w="40" w:type="dxa"/>
              <w:right w:w="20" w:type="dxa"/>
            </w:tcMar>
            <w:vAlign w:val="bottom"/>
          </w:tcPr>
          <w:p w14:paraId="185FF93C"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93D"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93E" w14:textId="77777777" w:rsidR="00A91885" w:rsidRDefault="009C4196">
            <w:pPr>
              <w:jc w:val="right"/>
              <w:textAlignment w:val="bottom"/>
            </w:pPr>
            <w:r>
              <w:rPr>
                <w:rFonts w:ascii="Arial" w:eastAsia="宋体" w:hAnsi="Arial" w:cs="Arial"/>
                <w:color w:val="000000"/>
                <w:sz w:val="18"/>
                <w:szCs w:val="18"/>
              </w:rPr>
              <w:t>(128)</w:t>
            </w:r>
          </w:p>
        </w:tc>
        <w:tc>
          <w:tcPr>
            <w:tcW w:w="0" w:type="auto"/>
            <w:shd w:val="clear" w:color="auto" w:fill="E1E1E1"/>
            <w:tcMar>
              <w:top w:w="40" w:type="dxa"/>
              <w:left w:w="0" w:type="dxa"/>
              <w:bottom w:w="40" w:type="dxa"/>
              <w:right w:w="20" w:type="dxa"/>
            </w:tcMar>
            <w:vAlign w:val="bottom"/>
          </w:tcPr>
          <w:p w14:paraId="185FF93F" w14:textId="77777777" w:rsidR="00A91885" w:rsidRDefault="00A91885">
            <w:pPr>
              <w:jc w:val="right"/>
              <w:rPr>
                <w:rFonts w:ascii="宋体"/>
              </w:rPr>
            </w:pPr>
          </w:p>
        </w:tc>
      </w:tr>
      <w:tr w:rsidR="00A91885" w14:paraId="185FF947" w14:textId="77777777">
        <w:trPr>
          <w:jc w:val="center"/>
        </w:trPr>
        <w:tc>
          <w:tcPr>
            <w:tcW w:w="0" w:type="auto"/>
            <w:gridSpan w:val="3"/>
            <w:shd w:val="clear" w:color="auto" w:fill="FFFFFF"/>
            <w:tcMar>
              <w:top w:w="40" w:type="dxa"/>
              <w:left w:w="245" w:type="dxa"/>
              <w:bottom w:w="40" w:type="dxa"/>
              <w:right w:w="20" w:type="dxa"/>
            </w:tcMar>
            <w:vAlign w:val="bottom"/>
          </w:tcPr>
          <w:p w14:paraId="185FF941" w14:textId="77777777" w:rsidR="00A91885" w:rsidRDefault="009C4196">
            <w:pPr>
              <w:textAlignment w:val="bottom"/>
            </w:pPr>
            <w:r>
              <w:rPr>
                <w:rFonts w:ascii="Arial" w:eastAsia="宋体" w:hAnsi="Arial" w:cs="Arial"/>
                <w:color w:val="000000"/>
                <w:sz w:val="18"/>
                <w:szCs w:val="18"/>
              </w:rPr>
              <w:t>Payments for dividends</w:t>
            </w:r>
          </w:p>
        </w:tc>
        <w:tc>
          <w:tcPr>
            <w:tcW w:w="0" w:type="auto"/>
            <w:gridSpan w:val="2"/>
            <w:shd w:val="clear" w:color="auto" w:fill="FFFFFF"/>
            <w:tcMar>
              <w:top w:w="40" w:type="dxa"/>
              <w:left w:w="20" w:type="dxa"/>
              <w:bottom w:w="40" w:type="dxa"/>
              <w:right w:w="0" w:type="dxa"/>
            </w:tcMar>
            <w:vAlign w:val="bottom"/>
          </w:tcPr>
          <w:p w14:paraId="185FF942" w14:textId="77777777" w:rsidR="00A91885" w:rsidRDefault="009C4196">
            <w:pPr>
              <w:jc w:val="right"/>
              <w:textAlignment w:val="bottom"/>
            </w:pPr>
            <w:r>
              <w:rPr>
                <w:rFonts w:ascii="Arial" w:eastAsia="宋体" w:hAnsi="Arial" w:cs="Arial"/>
                <w:color w:val="000000"/>
                <w:sz w:val="18"/>
                <w:szCs w:val="18"/>
              </w:rPr>
              <w:t>(250)</w:t>
            </w:r>
          </w:p>
        </w:tc>
        <w:tc>
          <w:tcPr>
            <w:tcW w:w="0" w:type="auto"/>
            <w:shd w:val="clear" w:color="auto" w:fill="FFFFFF"/>
            <w:tcMar>
              <w:top w:w="40" w:type="dxa"/>
              <w:left w:w="0" w:type="dxa"/>
              <w:bottom w:w="40" w:type="dxa"/>
              <w:right w:w="20" w:type="dxa"/>
            </w:tcMar>
            <w:vAlign w:val="bottom"/>
          </w:tcPr>
          <w:p w14:paraId="185FF94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94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945" w14:textId="77777777" w:rsidR="00A91885" w:rsidRDefault="009C4196">
            <w:pPr>
              <w:jc w:val="right"/>
              <w:textAlignment w:val="bottom"/>
            </w:pPr>
            <w:r>
              <w:rPr>
                <w:rFonts w:ascii="Arial" w:eastAsia="宋体" w:hAnsi="Arial" w:cs="Arial"/>
                <w:color w:val="000000"/>
                <w:sz w:val="18"/>
                <w:szCs w:val="18"/>
              </w:rPr>
              <w:t>(243)</w:t>
            </w:r>
          </w:p>
        </w:tc>
        <w:tc>
          <w:tcPr>
            <w:tcW w:w="0" w:type="auto"/>
            <w:shd w:val="clear" w:color="auto" w:fill="FFFFFF"/>
            <w:tcMar>
              <w:top w:w="40" w:type="dxa"/>
              <w:left w:w="0" w:type="dxa"/>
              <w:bottom w:w="40" w:type="dxa"/>
              <w:right w:w="20" w:type="dxa"/>
            </w:tcMar>
            <w:vAlign w:val="bottom"/>
          </w:tcPr>
          <w:p w14:paraId="185FF946" w14:textId="77777777" w:rsidR="00A91885" w:rsidRDefault="00A91885">
            <w:pPr>
              <w:jc w:val="right"/>
              <w:rPr>
                <w:rFonts w:ascii="宋体"/>
              </w:rPr>
            </w:pPr>
          </w:p>
        </w:tc>
      </w:tr>
      <w:tr w:rsidR="00A91885" w14:paraId="185FF94E" w14:textId="77777777">
        <w:trPr>
          <w:jc w:val="center"/>
        </w:trPr>
        <w:tc>
          <w:tcPr>
            <w:tcW w:w="0" w:type="auto"/>
            <w:gridSpan w:val="3"/>
            <w:shd w:val="clear" w:color="auto" w:fill="E1E1E1"/>
            <w:tcMar>
              <w:top w:w="40" w:type="dxa"/>
              <w:left w:w="245" w:type="dxa"/>
              <w:bottom w:w="40" w:type="dxa"/>
              <w:right w:w="20" w:type="dxa"/>
            </w:tcMar>
            <w:vAlign w:val="bottom"/>
          </w:tcPr>
          <w:p w14:paraId="185FF948" w14:textId="77777777" w:rsidR="00A91885" w:rsidRDefault="009C4196">
            <w:pPr>
              <w:textAlignment w:val="bottom"/>
            </w:pPr>
            <w:r>
              <w:rPr>
                <w:rFonts w:ascii="Arial" w:eastAsia="宋体" w:hAnsi="Arial" w:cs="Arial"/>
                <w:color w:val="000000"/>
                <w:sz w:val="18"/>
                <w:szCs w:val="18"/>
              </w:rPr>
              <w:t>Proceeds from issuance of long-term debt, net</w:t>
            </w:r>
          </w:p>
        </w:tc>
        <w:tc>
          <w:tcPr>
            <w:tcW w:w="0" w:type="auto"/>
            <w:gridSpan w:val="2"/>
            <w:shd w:val="clear" w:color="auto" w:fill="E1E1E1"/>
            <w:tcMar>
              <w:top w:w="40" w:type="dxa"/>
              <w:left w:w="20" w:type="dxa"/>
              <w:bottom w:w="40" w:type="dxa"/>
              <w:right w:w="0" w:type="dxa"/>
            </w:tcMar>
            <w:vAlign w:val="bottom"/>
          </w:tcPr>
          <w:p w14:paraId="185FF94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5FF94A"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94B"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94C" w14:textId="77777777" w:rsidR="00A91885" w:rsidRDefault="009C4196">
            <w:pPr>
              <w:jc w:val="right"/>
              <w:textAlignment w:val="bottom"/>
            </w:pPr>
            <w:r>
              <w:rPr>
                <w:rFonts w:ascii="Arial" w:eastAsia="宋体" w:hAnsi="Arial" w:cs="Arial"/>
                <w:color w:val="000000"/>
                <w:sz w:val="18"/>
                <w:szCs w:val="18"/>
              </w:rPr>
              <w:t>2,482 </w:t>
            </w:r>
          </w:p>
        </w:tc>
        <w:tc>
          <w:tcPr>
            <w:tcW w:w="0" w:type="auto"/>
            <w:shd w:val="clear" w:color="auto" w:fill="E1E1E1"/>
            <w:tcMar>
              <w:top w:w="40" w:type="dxa"/>
              <w:left w:w="0" w:type="dxa"/>
              <w:bottom w:w="40" w:type="dxa"/>
              <w:right w:w="20" w:type="dxa"/>
            </w:tcMar>
            <w:vAlign w:val="bottom"/>
          </w:tcPr>
          <w:p w14:paraId="185FF94D" w14:textId="77777777" w:rsidR="00A91885" w:rsidRDefault="00A91885">
            <w:pPr>
              <w:jc w:val="right"/>
              <w:rPr>
                <w:rFonts w:ascii="宋体"/>
              </w:rPr>
            </w:pPr>
          </w:p>
        </w:tc>
      </w:tr>
      <w:tr w:rsidR="00A91885" w14:paraId="185FF955" w14:textId="77777777">
        <w:trPr>
          <w:jc w:val="center"/>
        </w:trPr>
        <w:tc>
          <w:tcPr>
            <w:tcW w:w="0" w:type="auto"/>
            <w:gridSpan w:val="3"/>
            <w:shd w:val="clear" w:color="auto" w:fill="FFFFFF"/>
            <w:tcMar>
              <w:top w:w="40" w:type="dxa"/>
              <w:left w:w="245" w:type="dxa"/>
              <w:bottom w:w="40" w:type="dxa"/>
              <w:right w:w="20" w:type="dxa"/>
            </w:tcMar>
            <w:vAlign w:val="bottom"/>
          </w:tcPr>
          <w:p w14:paraId="185FF94F" w14:textId="77777777" w:rsidR="00A91885" w:rsidRDefault="009C4196">
            <w:pPr>
              <w:textAlignment w:val="bottom"/>
            </w:pPr>
            <w:r>
              <w:rPr>
                <w:rFonts w:ascii="Arial" w:eastAsia="宋体" w:hAnsi="Arial" w:cs="Arial"/>
                <w:color w:val="000000"/>
                <w:sz w:val="18"/>
                <w:szCs w:val="18"/>
              </w:rPr>
              <w:t>Repayment of debt</w:t>
            </w:r>
          </w:p>
        </w:tc>
        <w:tc>
          <w:tcPr>
            <w:tcW w:w="0" w:type="auto"/>
            <w:gridSpan w:val="2"/>
            <w:shd w:val="clear" w:color="auto" w:fill="FFFFFF"/>
            <w:tcMar>
              <w:top w:w="40" w:type="dxa"/>
              <w:left w:w="20" w:type="dxa"/>
              <w:bottom w:w="40" w:type="dxa"/>
              <w:right w:w="0" w:type="dxa"/>
            </w:tcMar>
            <w:vAlign w:val="bottom"/>
          </w:tcPr>
          <w:p w14:paraId="185FF950" w14:textId="77777777" w:rsidR="00A91885" w:rsidRDefault="009C4196">
            <w:pPr>
              <w:jc w:val="right"/>
              <w:textAlignment w:val="bottom"/>
            </w:pPr>
            <w:r>
              <w:rPr>
                <w:rFonts w:ascii="Arial" w:eastAsia="宋体" w:hAnsi="Arial" w:cs="Arial"/>
                <w:color w:val="000000"/>
                <w:sz w:val="18"/>
                <w:szCs w:val="18"/>
              </w:rPr>
              <w:t>(1,355)</w:t>
            </w:r>
          </w:p>
        </w:tc>
        <w:tc>
          <w:tcPr>
            <w:tcW w:w="0" w:type="auto"/>
            <w:shd w:val="clear" w:color="auto" w:fill="FFFFFF"/>
            <w:tcMar>
              <w:top w:w="40" w:type="dxa"/>
              <w:left w:w="0" w:type="dxa"/>
              <w:bottom w:w="40" w:type="dxa"/>
              <w:right w:w="20" w:type="dxa"/>
            </w:tcMar>
            <w:vAlign w:val="bottom"/>
          </w:tcPr>
          <w:p w14:paraId="185FF95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95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953" w14:textId="77777777" w:rsidR="00A91885" w:rsidRDefault="009C4196">
            <w:pPr>
              <w:jc w:val="right"/>
              <w:textAlignment w:val="bottom"/>
            </w:pPr>
            <w:r>
              <w:rPr>
                <w:rFonts w:ascii="Arial" w:eastAsia="宋体" w:hAnsi="Arial" w:cs="Arial"/>
                <w:color w:val="000000"/>
                <w:sz w:val="18"/>
                <w:szCs w:val="18"/>
              </w:rPr>
              <w:t>(1,156)</w:t>
            </w:r>
          </w:p>
        </w:tc>
        <w:tc>
          <w:tcPr>
            <w:tcW w:w="0" w:type="auto"/>
            <w:shd w:val="clear" w:color="auto" w:fill="FFFFFF"/>
            <w:tcMar>
              <w:top w:w="40" w:type="dxa"/>
              <w:left w:w="0" w:type="dxa"/>
              <w:bottom w:w="40" w:type="dxa"/>
              <w:right w:w="20" w:type="dxa"/>
            </w:tcMar>
            <w:vAlign w:val="bottom"/>
          </w:tcPr>
          <w:p w14:paraId="185FF954" w14:textId="77777777" w:rsidR="00A91885" w:rsidRDefault="00A91885">
            <w:pPr>
              <w:jc w:val="right"/>
              <w:rPr>
                <w:rFonts w:ascii="宋体"/>
              </w:rPr>
            </w:pPr>
          </w:p>
        </w:tc>
      </w:tr>
      <w:tr w:rsidR="00A91885" w14:paraId="185FF95A" w14:textId="77777777">
        <w:trPr>
          <w:jc w:val="center"/>
          <w:hidden/>
        </w:trPr>
        <w:tc>
          <w:tcPr>
            <w:tcW w:w="0" w:type="auto"/>
            <w:gridSpan w:val="3"/>
            <w:shd w:val="clear" w:color="auto" w:fill="auto"/>
            <w:vAlign w:val="bottom"/>
          </w:tcPr>
          <w:p w14:paraId="185FF956" w14:textId="77777777" w:rsidR="00A91885" w:rsidRDefault="00A91885">
            <w:pPr>
              <w:rPr>
                <w:rFonts w:ascii="宋体"/>
                <w:vanish/>
              </w:rPr>
            </w:pPr>
          </w:p>
        </w:tc>
        <w:tc>
          <w:tcPr>
            <w:tcW w:w="0" w:type="auto"/>
            <w:gridSpan w:val="3"/>
            <w:shd w:val="clear" w:color="auto" w:fill="auto"/>
            <w:vAlign w:val="bottom"/>
          </w:tcPr>
          <w:p w14:paraId="185FF957" w14:textId="77777777" w:rsidR="00A91885" w:rsidRDefault="00A91885">
            <w:pPr>
              <w:rPr>
                <w:rFonts w:ascii="宋体"/>
                <w:vanish/>
              </w:rPr>
            </w:pPr>
          </w:p>
        </w:tc>
        <w:tc>
          <w:tcPr>
            <w:tcW w:w="0" w:type="auto"/>
            <w:gridSpan w:val="3"/>
            <w:shd w:val="clear" w:color="auto" w:fill="auto"/>
            <w:vAlign w:val="bottom"/>
          </w:tcPr>
          <w:p w14:paraId="185FF958" w14:textId="77777777" w:rsidR="00A91885" w:rsidRDefault="00A91885">
            <w:pPr>
              <w:rPr>
                <w:rFonts w:ascii="宋体"/>
                <w:vanish/>
              </w:rPr>
            </w:pPr>
          </w:p>
        </w:tc>
        <w:tc>
          <w:tcPr>
            <w:tcW w:w="0" w:type="auto"/>
            <w:gridSpan w:val="3"/>
            <w:shd w:val="clear" w:color="auto" w:fill="auto"/>
            <w:vAlign w:val="bottom"/>
          </w:tcPr>
          <w:p w14:paraId="185FF959" w14:textId="77777777" w:rsidR="00A91885" w:rsidRDefault="00A91885">
            <w:pPr>
              <w:rPr>
                <w:rFonts w:ascii="宋体"/>
                <w:vanish/>
              </w:rPr>
            </w:pPr>
          </w:p>
        </w:tc>
      </w:tr>
      <w:tr w:rsidR="00A91885" w14:paraId="185FF95F" w14:textId="77777777">
        <w:trPr>
          <w:jc w:val="center"/>
          <w:hidden/>
        </w:trPr>
        <w:tc>
          <w:tcPr>
            <w:tcW w:w="0" w:type="auto"/>
            <w:gridSpan w:val="3"/>
            <w:shd w:val="clear" w:color="auto" w:fill="auto"/>
            <w:vAlign w:val="bottom"/>
          </w:tcPr>
          <w:p w14:paraId="185FF95B" w14:textId="77777777" w:rsidR="00A91885" w:rsidRDefault="00A91885">
            <w:pPr>
              <w:rPr>
                <w:rFonts w:ascii="宋体"/>
                <w:vanish/>
              </w:rPr>
            </w:pPr>
          </w:p>
        </w:tc>
        <w:tc>
          <w:tcPr>
            <w:tcW w:w="0" w:type="auto"/>
            <w:gridSpan w:val="3"/>
            <w:shd w:val="clear" w:color="auto" w:fill="auto"/>
            <w:vAlign w:val="bottom"/>
          </w:tcPr>
          <w:p w14:paraId="185FF95C" w14:textId="77777777" w:rsidR="00A91885" w:rsidRDefault="00A91885">
            <w:pPr>
              <w:rPr>
                <w:rFonts w:ascii="宋体"/>
                <w:vanish/>
              </w:rPr>
            </w:pPr>
          </w:p>
        </w:tc>
        <w:tc>
          <w:tcPr>
            <w:tcW w:w="0" w:type="auto"/>
            <w:gridSpan w:val="3"/>
            <w:shd w:val="clear" w:color="auto" w:fill="auto"/>
            <w:vAlign w:val="bottom"/>
          </w:tcPr>
          <w:p w14:paraId="185FF95D" w14:textId="77777777" w:rsidR="00A91885" w:rsidRDefault="00A91885">
            <w:pPr>
              <w:rPr>
                <w:rFonts w:ascii="宋体"/>
                <w:vanish/>
              </w:rPr>
            </w:pPr>
          </w:p>
        </w:tc>
        <w:tc>
          <w:tcPr>
            <w:tcW w:w="0" w:type="auto"/>
            <w:gridSpan w:val="3"/>
            <w:shd w:val="clear" w:color="auto" w:fill="auto"/>
            <w:vAlign w:val="bottom"/>
          </w:tcPr>
          <w:p w14:paraId="185FF95E" w14:textId="77777777" w:rsidR="00A91885" w:rsidRDefault="00A91885">
            <w:pPr>
              <w:rPr>
                <w:rFonts w:ascii="宋体"/>
                <w:vanish/>
              </w:rPr>
            </w:pPr>
          </w:p>
        </w:tc>
      </w:tr>
      <w:tr w:rsidR="00A91885" w14:paraId="185FF966" w14:textId="77777777">
        <w:trPr>
          <w:jc w:val="center"/>
        </w:trPr>
        <w:tc>
          <w:tcPr>
            <w:tcW w:w="0" w:type="auto"/>
            <w:gridSpan w:val="3"/>
            <w:shd w:val="clear" w:color="auto" w:fill="E1E1E1"/>
            <w:tcMar>
              <w:top w:w="40" w:type="dxa"/>
              <w:left w:w="245" w:type="dxa"/>
              <w:bottom w:w="40" w:type="dxa"/>
              <w:right w:w="20" w:type="dxa"/>
            </w:tcMar>
            <w:vAlign w:val="bottom"/>
          </w:tcPr>
          <w:p w14:paraId="185FF960" w14:textId="77777777" w:rsidR="00A91885" w:rsidRDefault="009C4196">
            <w:pPr>
              <w:textAlignment w:val="bottom"/>
            </w:pPr>
            <w:r>
              <w:rPr>
                <w:rFonts w:ascii="Arial" w:eastAsia="宋体" w:hAnsi="Arial" w:cs="Arial"/>
                <w:color w:val="000000"/>
                <w:sz w:val="18"/>
                <w:szCs w:val="18"/>
              </w:rPr>
              <w:t>Net funds receivable and payable activity</w:t>
            </w:r>
          </w:p>
        </w:tc>
        <w:tc>
          <w:tcPr>
            <w:tcW w:w="0" w:type="auto"/>
            <w:gridSpan w:val="2"/>
            <w:shd w:val="clear" w:color="auto" w:fill="E1E1E1"/>
            <w:tcMar>
              <w:top w:w="40" w:type="dxa"/>
              <w:left w:w="20" w:type="dxa"/>
              <w:bottom w:w="40" w:type="dxa"/>
              <w:right w:w="0" w:type="dxa"/>
            </w:tcMar>
            <w:vAlign w:val="bottom"/>
          </w:tcPr>
          <w:p w14:paraId="185FF961" w14:textId="77777777" w:rsidR="00A91885" w:rsidRDefault="009C4196">
            <w:pPr>
              <w:jc w:val="right"/>
              <w:textAlignment w:val="bottom"/>
            </w:pPr>
            <w:r>
              <w:rPr>
                <w:rFonts w:ascii="Arial" w:eastAsia="宋体" w:hAnsi="Arial" w:cs="Arial"/>
                <w:color w:val="000000"/>
                <w:sz w:val="18"/>
                <w:szCs w:val="18"/>
              </w:rPr>
              <w:t>8 </w:t>
            </w:r>
          </w:p>
        </w:tc>
        <w:tc>
          <w:tcPr>
            <w:tcW w:w="0" w:type="auto"/>
            <w:shd w:val="clear" w:color="auto" w:fill="E1E1E1"/>
            <w:tcMar>
              <w:top w:w="40" w:type="dxa"/>
              <w:left w:w="0" w:type="dxa"/>
              <w:bottom w:w="40" w:type="dxa"/>
              <w:right w:w="20" w:type="dxa"/>
            </w:tcMar>
            <w:vAlign w:val="bottom"/>
          </w:tcPr>
          <w:p w14:paraId="185FF962"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963"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964" w14:textId="77777777" w:rsidR="00A91885" w:rsidRDefault="009C4196">
            <w:pPr>
              <w:jc w:val="right"/>
              <w:textAlignment w:val="bottom"/>
            </w:pPr>
            <w:r>
              <w:rPr>
                <w:rFonts w:ascii="Arial" w:eastAsia="宋体" w:hAnsi="Arial" w:cs="Arial"/>
                <w:color w:val="000000"/>
                <w:sz w:val="18"/>
                <w:szCs w:val="18"/>
              </w:rPr>
              <w:t>30 </w:t>
            </w:r>
          </w:p>
        </w:tc>
        <w:tc>
          <w:tcPr>
            <w:tcW w:w="0" w:type="auto"/>
            <w:shd w:val="clear" w:color="auto" w:fill="E1E1E1"/>
            <w:tcMar>
              <w:top w:w="40" w:type="dxa"/>
              <w:left w:w="0" w:type="dxa"/>
              <w:bottom w:w="40" w:type="dxa"/>
              <w:right w:w="20" w:type="dxa"/>
            </w:tcMar>
            <w:vAlign w:val="bottom"/>
          </w:tcPr>
          <w:p w14:paraId="185FF965" w14:textId="77777777" w:rsidR="00A91885" w:rsidRDefault="00A91885">
            <w:pPr>
              <w:jc w:val="right"/>
              <w:rPr>
                <w:rFonts w:ascii="宋体"/>
              </w:rPr>
            </w:pPr>
          </w:p>
        </w:tc>
      </w:tr>
      <w:tr w:rsidR="00A91885" w14:paraId="185FF96D" w14:textId="77777777">
        <w:trPr>
          <w:jc w:val="center"/>
        </w:trPr>
        <w:tc>
          <w:tcPr>
            <w:tcW w:w="0" w:type="auto"/>
            <w:gridSpan w:val="3"/>
            <w:shd w:val="clear" w:color="auto" w:fill="FFFFFF"/>
            <w:tcMar>
              <w:top w:w="40" w:type="dxa"/>
              <w:left w:w="245" w:type="dxa"/>
              <w:bottom w:w="40" w:type="dxa"/>
              <w:right w:w="20" w:type="dxa"/>
            </w:tcMar>
            <w:vAlign w:val="bottom"/>
          </w:tcPr>
          <w:p w14:paraId="185FF967" w14:textId="77777777" w:rsidR="00A91885" w:rsidRDefault="009C4196">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185FF968"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96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96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96B" w14:textId="77777777" w:rsidR="00A91885" w:rsidRDefault="009C4196">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185FF96C" w14:textId="77777777" w:rsidR="00A91885" w:rsidRDefault="00A91885">
            <w:pPr>
              <w:jc w:val="right"/>
              <w:rPr>
                <w:rFonts w:ascii="宋体"/>
              </w:rPr>
            </w:pPr>
          </w:p>
        </w:tc>
      </w:tr>
      <w:tr w:rsidR="00A91885" w14:paraId="185FF974" w14:textId="77777777">
        <w:trPr>
          <w:jc w:val="center"/>
        </w:trPr>
        <w:tc>
          <w:tcPr>
            <w:tcW w:w="0" w:type="auto"/>
            <w:gridSpan w:val="3"/>
            <w:shd w:val="clear" w:color="auto" w:fill="E1E1E1"/>
            <w:tcMar>
              <w:top w:w="40" w:type="dxa"/>
              <w:left w:w="20" w:type="dxa"/>
              <w:bottom w:w="40" w:type="dxa"/>
              <w:right w:w="20" w:type="dxa"/>
            </w:tcMar>
            <w:vAlign w:val="bottom"/>
          </w:tcPr>
          <w:p w14:paraId="185FF96E" w14:textId="77777777" w:rsidR="00A91885" w:rsidRDefault="009C4196">
            <w:pPr>
              <w:textAlignment w:val="bottom"/>
            </w:pPr>
            <w:r>
              <w:rPr>
                <w:rFonts w:ascii="Arial" w:eastAsia="宋体" w:hAnsi="Arial" w:cs="Arial"/>
                <w:color w:val="000000"/>
                <w:sz w:val="18"/>
                <w:szCs w:val="18"/>
              </w:rPr>
              <w:t>Net cash used in continuing financing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96F" w14:textId="77777777" w:rsidR="00A91885" w:rsidRDefault="009C4196">
            <w:pPr>
              <w:jc w:val="right"/>
              <w:textAlignment w:val="bottom"/>
            </w:pPr>
            <w:r>
              <w:rPr>
                <w:rFonts w:ascii="Arial" w:eastAsia="宋体" w:hAnsi="Arial" w:cs="Arial"/>
                <w:color w:val="000000"/>
                <w:sz w:val="18"/>
                <w:szCs w:val="18"/>
              </w:rPr>
              <w:t>(4,182)</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970"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971"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972" w14:textId="77777777" w:rsidR="00A91885" w:rsidRDefault="009C4196">
            <w:pPr>
              <w:jc w:val="right"/>
              <w:textAlignment w:val="bottom"/>
            </w:pPr>
            <w:r>
              <w:rPr>
                <w:rFonts w:ascii="Arial" w:eastAsia="宋体" w:hAnsi="Arial" w:cs="Arial"/>
                <w:color w:val="000000"/>
                <w:sz w:val="18"/>
                <w:szCs w:val="18"/>
              </w:rPr>
              <w:t>(685)</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973" w14:textId="77777777" w:rsidR="00A91885" w:rsidRDefault="00A91885">
            <w:pPr>
              <w:jc w:val="right"/>
              <w:rPr>
                <w:rFonts w:ascii="宋体"/>
              </w:rPr>
            </w:pPr>
          </w:p>
        </w:tc>
      </w:tr>
      <w:tr w:rsidR="00A91885" w14:paraId="185FF97B" w14:textId="77777777">
        <w:trPr>
          <w:jc w:val="center"/>
        </w:trPr>
        <w:tc>
          <w:tcPr>
            <w:tcW w:w="0" w:type="auto"/>
            <w:gridSpan w:val="3"/>
            <w:shd w:val="clear" w:color="auto" w:fill="FFFFFF"/>
            <w:tcMar>
              <w:top w:w="40" w:type="dxa"/>
              <w:left w:w="20" w:type="dxa"/>
              <w:bottom w:w="40" w:type="dxa"/>
              <w:right w:w="20" w:type="dxa"/>
            </w:tcMar>
            <w:vAlign w:val="bottom"/>
          </w:tcPr>
          <w:p w14:paraId="185FF975" w14:textId="77777777" w:rsidR="00A91885" w:rsidRDefault="009C4196">
            <w:pPr>
              <w:textAlignment w:val="bottom"/>
            </w:pPr>
            <w:r>
              <w:rPr>
                <w:rFonts w:ascii="Arial" w:eastAsia="宋体" w:hAnsi="Arial" w:cs="Arial"/>
                <w:color w:val="000000"/>
                <w:sz w:val="18"/>
                <w:szCs w:val="18"/>
              </w:rPr>
              <w:t xml:space="preserve">Net cash provided by (used in) discontinued financing </w:t>
            </w:r>
            <w:r>
              <w:rPr>
                <w:rFonts w:ascii="Arial" w:eastAsia="宋体" w:hAnsi="Arial" w:cs="Arial"/>
                <w:color w:val="000000"/>
                <w:sz w:val="18"/>
                <w:szCs w:val="18"/>
              </w:rPr>
              <w:t>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976"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97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978"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979" w14:textId="77777777" w:rsidR="00A91885" w:rsidRDefault="009C4196">
            <w:pPr>
              <w:jc w:val="right"/>
              <w:textAlignment w:val="bottom"/>
            </w:pPr>
            <w:r>
              <w:rPr>
                <w:rFonts w:ascii="Arial" w:eastAsia="宋体" w:hAnsi="Arial" w:cs="Arial"/>
                <w:color w:val="000000"/>
                <w:sz w:val="18"/>
                <w:szCs w:val="18"/>
              </w:rPr>
              <w:t>(62)</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97A" w14:textId="77777777" w:rsidR="00A91885" w:rsidRDefault="00A91885">
            <w:pPr>
              <w:jc w:val="right"/>
              <w:rPr>
                <w:rFonts w:ascii="宋体"/>
              </w:rPr>
            </w:pPr>
          </w:p>
        </w:tc>
      </w:tr>
      <w:tr w:rsidR="00A91885" w14:paraId="185FF982" w14:textId="77777777">
        <w:trPr>
          <w:jc w:val="center"/>
        </w:trPr>
        <w:tc>
          <w:tcPr>
            <w:tcW w:w="0" w:type="auto"/>
            <w:gridSpan w:val="3"/>
            <w:shd w:val="clear" w:color="auto" w:fill="E1E1E1"/>
            <w:tcMar>
              <w:top w:w="40" w:type="dxa"/>
              <w:left w:w="755" w:type="dxa"/>
              <w:bottom w:w="40" w:type="dxa"/>
              <w:right w:w="20" w:type="dxa"/>
            </w:tcMar>
            <w:vAlign w:val="bottom"/>
          </w:tcPr>
          <w:p w14:paraId="185FF97C" w14:textId="77777777" w:rsidR="00A91885" w:rsidRDefault="009C4196">
            <w:pPr>
              <w:textAlignment w:val="bottom"/>
            </w:pPr>
            <w:r>
              <w:rPr>
                <w:rFonts w:ascii="Arial" w:eastAsia="宋体" w:hAnsi="Arial" w:cs="Arial"/>
                <w:color w:val="000000"/>
                <w:sz w:val="18"/>
                <w:szCs w:val="18"/>
              </w:rPr>
              <w:t>Net cash used in financing activities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97D" w14:textId="77777777" w:rsidR="00A91885" w:rsidRDefault="009C4196">
            <w:pPr>
              <w:jc w:val="right"/>
              <w:textAlignment w:val="bottom"/>
            </w:pPr>
            <w:r>
              <w:rPr>
                <w:rFonts w:ascii="Arial" w:eastAsia="宋体" w:hAnsi="Arial" w:cs="Arial"/>
                <w:color w:val="000000"/>
                <w:sz w:val="18"/>
                <w:szCs w:val="18"/>
              </w:rPr>
              <w:t>(4,182)</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97E"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97F"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980" w14:textId="77777777" w:rsidR="00A91885" w:rsidRDefault="009C4196">
            <w:pPr>
              <w:jc w:val="right"/>
              <w:textAlignment w:val="bottom"/>
            </w:pPr>
            <w:r>
              <w:rPr>
                <w:rFonts w:ascii="Arial" w:eastAsia="宋体" w:hAnsi="Arial" w:cs="Arial"/>
                <w:color w:val="000000"/>
                <w:sz w:val="18"/>
                <w:szCs w:val="18"/>
              </w:rPr>
              <w:t>(747)</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981" w14:textId="77777777" w:rsidR="00A91885" w:rsidRDefault="00A91885">
            <w:pPr>
              <w:jc w:val="right"/>
              <w:rPr>
                <w:rFonts w:ascii="宋体"/>
              </w:rPr>
            </w:pPr>
          </w:p>
        </w:tc>
      </w:tr>
      <w:tr w:rsidR="00A91885" w14:paraId="185FF989" w14:textId="77777777">
        <w:trPr>
          <w:jc w:val="center"/>
        </w:trPr>
        <w:tc>
          <w:tcPr>
            <w:tcW w:w="0" w:type="auto"/>
            <w:gridSpan w:val="3"/>
            <w:shd w:val="clear" w:color="auto" w:fill="FFFFFF"/>
            <w:tcMar>
              <w:top w:w="40" w:type="dxa"/>
              <w:left w:w="20" w:type="dxa"/>
              <w:bottom w:w="40" w:type="dxa"/>
              <w:right w:w="20" w:type="dxa"/>
            </w:tcMar>
            <w:vAlign w:val="bottom"/>
          </w:tcPr>
          <w:p w14:paraId="185FF983" w14:textId="77777777" w:rsidR="00A91885" w:rsidRDefault="009C4196">
            <w:pPr>
              <w:textAlignment w:val="bottom"/>
            </w:pPr>
            <w:r>
              <w:rPr>
                <w:rFonts w:ascii="Arial" w:eastAsia="宋体" w:hAnsi="Arial" w:cs="Arial"/>
                <w:color w:val="000000"/>
                <w:sz w:val="18"/>
                <w:szCs w:val="18"/>
              </w:rPr>
              <w:t>Effect of exchange rate changes on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984" w14:textId="77777777" w:rsidR="00A91885" w:rsidRDefault="009C4196">
            <w:pPr>
              <w:jc w:val="right"/>
              <w:textAlignment w:val="bottom"/>
            </w:pPr>
            <w:r>
              <w:rPr>
                <w:rFonts w:ascii="Arial" w:eastAsia="宋体" w:hAnsi="Arial" w:cs="Arial"/>
                <w:color w:val="000000"/>
                <w:sz w:val="18"/>
                <w:szCs w:val="18"/>
              </w:rPr>
              <w:t>(57)</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98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986"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987" w14:textId="77777777" w:rsidR="00A91885" w:rsidRDefault="009C4196">
            <w:pPr>
              <w:jc w:val="right"/>
              <w:textAlignment w:val="bottom"/>
            </w:pPr>
            <w:r>
              <w:rPr>
                <w:rFonts w:ascii="Arial" w:eastAsia="宋体" w:hAnsi="Arial" w:cs="Arial"/>
                <w:color w:val="000000"/>
                <w:sz w:val="18"/>
                <w:szCs w:val="18"/>
              </w:rPr>
              <w:t>(5)</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988" w14:textId="77777777" w:rsidR="00A91885" w:rsidRDefault="00A91885">
            <w:pPr>
              <w:jc w:val="right"/>
              <w:rPr>
                <w:rFonts w:ascii="宋体"/>
              </w:rPr>
            </w:pPr>
          </w:p>
        </w:tc>
      </w:tr>
      <w:tr w:rsidR="00A91885" w14:paraId="185FF990" w14:textId="77777777">
        <w:trPr>
          <w:jc w:val="center"/>
        </w:trPr>
        <w:tc>
          <w:tcPr>
            <w:tcW w:w="0" w:type="auto"/>
            <w:gridSpan w:val="3"/>
            <w:shd w:val="clear" w:color="auto" w:fill="E1E1E1"/>
            <w:tcMar>
              <w:top w:w="40" w:type="dxa"/>
              <w:left w:w="20" w:type="dxa"/>
              <w:bottom w:w="40" w:type="dxa"/>
              <w:right w:w="20" w:type="dxa"/>
            </w:tcMar>
            <w:vAlign w:val="bottom"/>
          </w:tcPr>
          <w:p w14:paraId="185FF98A" w14:textId="77777777" w:rsidR="00A91885" w:rsidRDefault="009C4196">
            <w:pPr>
              <w:textAlignment w:val="bottom"/>
            </w:pPr>
            <w:r>
              <w:rPr>
                <w:rFonts w:ascii="Arial" w:eastAsia="宋体" w:hAnsi="Arial" w:cs="Arial"/>
                <w:color w:val="000000"/>
                <w:sz w:val="18"/>
                <w:szCs w:val="18"/>
              </w:rPr>
              <w:t>Net increase in cash, cash equivalents and restricted cash</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98B" w14:textId="77777777" w:rsidR="00A91885" w:rsidRDefault="009C4196">
            <w:pPr>
              <w:jc w:val="right"/>
              <w:textAlignment w:val="bottom"/>
            </w:pPr>
            <w:r>
              <w:rPr>
                <w:rFonts w:ascii="Arial" w:eastAsia="宋体" w:hAnsi="Arial" w:cs="Arial"/>
                <w:color w:val="000000"/>
                <w:sz w:val="18"/>
                <w:szCs w:val="18"/>
              </w:rPr>
              <w:t>366 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98C"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98D"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98E" w14:textId="77777777" w:rsidR="00A91885" w:rsidRDefault="009C4196">
            <w:pPr>
              <w:jc w:val="right"/>
              <w:textAlignment w:val="bottom"/>
            </w:pPr>
            <w:r>
              <w:rPr>
                <w:rFonts w:ascii="Arial" w:eastAsia="宋体" w:hAnsi="Arial" w:cs="Arial"/>
                <w:color w:val="000000"/>
                <w:sz w:val="18"/>
                <w:szCs w:val="18"/>
              </w:rPr>
              <w:t>712 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98F" w14:textId="77777777" w:rsidR="00A91885" w:rsidRDefault="00A91885">
            <w:pPr>
              <w:jc w:val="right"/>
              <w:rPr>
                <w:rFonts w:ascii="宋体"/>
              </w:rPr>
            </w:pPr>
          </w:p>
        </w:tc>
      </w:tr>
      <w:tr w:rsidR="00A91885" w14:paraId="185FF997" w14:textId="77777777">
        <w:trPr>
          <w:jc w:val="center"/>
        </w:trPr>
        <w:tc>
          <w:tcPr>
            <w:tcW w:w="0" w:type="auto"/>
            <w:gridSpan w:val="3"/>
            <w:shd w:val="clear" w:color="auto" w:fill="FFFFFF"/>
            <w:tcMar>
              <w:top w:w="40" w:type="dxa"/>
              <w:left w:w="20" w:type="dxa"/>
              <w:bottom w:w="40" w:type="dxa"/>
              <w:right w:w="20" w:type="dxa"/>
            </w:tcMar>
            <w:vAlign w:val="bottom"/>
          </w:tcPr>
          <w:p w14:paraId="185FF991" w14:textId="77777777" w:rsidR="00A91885" w:rsidRDefault="009C4196">
            <w:pPr>
              <w:textAlignment w:val="bottom"/>
            </w:pPr>
            <w:r>
              <w:rPr>
                <w:rFonts w:ascii="Arial" w:eastAsia="宋体" w:hAnsi="Arial" w:cs="Arial"/>
                <w:color w:val="000000"/>
                <w:sz w:val="18"/>
                <w:szCs w:val="18"/>
              </w:rPr>
              <w:t xml:space="preserve">Cash, </w:t>
            </w:r>
            <w:r>
              <w:rPr>
                <w:rFonts w:ascii="Arial" w:eastAsia="宋体" w:hAnsi="Arial" w:cs="Arial"/>
                <w:color w:val="000000"/>
                <w:sz w:val="18"/>
                <w:szCs w:val="18"/>
              </w:rPr>
              <w:t>cash equivalents and restricted cash at beginning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992" w14:textId="77777777" w:rsidR="00A91885" w:rsidRDefault="009C4196">
            <w:pPr>
              <w:jc w:val="right"/>
              <w:textAlignment w:val="bottom"/>
            </w:pPr>
            <w:r>
              <w:rPr>
                <w:rFonts w:ascii="Arial" w:eastAsia="宋体" w:hAnsi="Arial" w:cs="Arial"/>
                <w:color w:val="000000"/>
                <w:sz w:val="18"/>
                <w:szCs w:val="18"/>
              </w:rPr>
              <w:t>1,406 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99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994"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995" w14:textId="77777777" w:rsidR="00A91885" w:rsidRDefault="009C4196">
            <w:pPr>
              <w:jc w:val="right"/>
              <w:textAlignment w:val="bottom"/>
            </w:pPr>
            <w:r>
              <w:rPr>
                <w:rFonts w:ascii="Arial" w:eastAsia="宋体" w:hAnsi="Arial" w:cs="Arial"/>
                <w:color w:val="000000"/>
                <w:sz w:val="18"/>
                <w:szCs w:val="18"/>
              </w:rPr>
              <w:t>1,594 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996" w14:textId="77777777" w:rsidR="00A91885" w:rsidRDefault="00A91885">
            <w:pPr>
              <w:jc w:val="right"/>
              <w:rPr>
                <w:rFonts w:ascii="宋体"/>
              </w:rPr>
            </w:pPr>
          </w:p>
        </w:tc>
      </w:tr>
      <w:tr w:rsidR="00A91885" w14:paraId="185FF9A0" w14:textId="77777777">
        <w:trPr>
          <w:jc w:val="center"/>
        </w:trPr>
        <w:tc>
          <w:tcPr>
            <w:tcW w:w="0" w:type="auto"/>
            <w:gridSpan w:val="3"/>
            <w:shd w:val="clear" w:color="auto" w:fill="E1E1E1"/>
            <w:tcMar>
              <w:top w:w="40" w:type="dxa"/>
              <w:left w:w="20" w:type="dxa"/>
              <w:bottom w:w="40" w:type="dxa"/>
              <w:right w:w="20" w:type="dxa"/>
            </w:tcMar>
            <w:vAlign w:val="bottom"/>
          </w:tcPr>
          <w:p w14:paraId="185FF998" w14:textId="77777777" w:rsidR="00A91885" w:rsidRDefault="009C4196">
            <w:pPr>
              <w:textAlignment w:val="bottom"/>
            </w:pPr>
            <w:r>
              <w:rPr>
                <w:rFonts w:ascii="Arial" w:eastAsia="宋体" w:hAnsi="Arial" w:cs="Arial"/>
                <w:color w:val="000000"/>
                <w:sz w:val="18"/>
                <w:szCs w:val="18"/>
              </w:rPr>
              <w:t>Cash, cash equivalents and restricted cash at end of period</w:t>
            </w:r>
          </w:p>
        </w:tc>
        <w:tc>
          <w:tcPr>
            <w:tcW w:w="0" w:type="auto"/>
            <w:tcBorders>
              <w:top w:val="single" w:sz="8" w:space="0" w:color="000000"/>
            </w:tcBorders>
            <w:shd w:val="clear" w:color="auto" w:fill="E1E1E1"/>
            <w:tcMar>
              <w:top w:w="40" w:type="dxa"/>
              <w:left w:w="20" w:type="dxa"/>
              <w:bottom w:w="40" w:type="dxa"/>
              <w:right w:w="0" w:type="dxa"/>
            </w:tcMar>
            <w:vAlign w:val="bottom"/>
          </w:tcPr>
          <w:p w14:paraId="185FF99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5FF99A" w14:textId="77777777" w:rsidR="00A91885" w:rsidRDefault="009C4196">
            <w:pPr>
              <w:jc w:val="right"/>
              <w:textAlignment w:val="bottom"/>
            </w:pPr>
            <w:r>
              <w:rPr>
                <w:rFonts w:ascii="Arial" w:eastAsia="宋体" w:hAnsi="Arial" w:cs="Arial"/>
                <w:color w:val="000000"/>
                <w:sz w:val="18"/>
                <w:szCs w:val="18"/>
              </w:rPr>
              <w:t>1,772 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99B"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99C"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5FF99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5FF99E" w14:textId="77777777" w:rsidR="00A91885" w:rsidRDefault="009C4196">
            <w:pPr>
              <w:jc w:val="right"/>
              <w:textAlignment w:val="bottom"/>
            </w:pPr>
            <w:r>
              <w:rPr>
                <w:rFonts w:ascii="Arial" w:eastAsia="宋体" w:hAnsi="Arial" w:cs="Arial"/>
                <w:color w:val="000000"/>
                <w:sz w:val="18"/>
                <w:szCs w:val="18"/>
              </w:rPr>
              <w:t>2,306 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99F" w14:textId="77777777" w:rsidR="00A91885" w:rsidRDefault="00A91885">
            <w:pPr>
              <w:jc w:val="right"/>
              <w:rPr>
                <w:rFonts w:ascii="宋体"/>
              </w:rPr>
            </w:pPr>
          </w:p>
        </w:tc>
      </w:tr>
      <w:tr w:rsidR="00A91885" w14:paraId="185FF9A5" w14:textId="77777777">
        <w:trPr>
          <w:jc w:val="center"/>
          <w:hidden/>
        </w:trPr>
        <w:tc>
          <w:tcPr>
            <w:tcW w:w="0" w:type="auto"/>
            <w:gridSpan w:val="3"/>
            <w:shd w:val="clear" w:color="auto" w:fill="auto"/>
            <w:vAlign w:val="bottom"/>
          </w:tcPr>
          <w:p w14:paraId="185FF9A1" w14:textId="77777777" w:rsidR="00A91885" w:rsidRDefault="00A91885">
            <w:pPr>
              <w:rPr>
                <w:rFonts w:ascii="宋体"/>
                <w:vanish/>
              </w:rPr>
            </w:pPr>
          </w:p>
        </w:tc>
        <w:tc>
          <w:tcPr>
            <w:tcW w:w="0" w:type="auto"/>
            <w:gridSpan w:val="3"/>
            <w:shd w:val="clear" w:color="auto" w:fill="auto"/>
            <w:vAlign w:val="bottom"/>
          </w:tcPr>
          <w:p w14:paraId="185FF9A2" w14:textId="77777777" w:rsidR="00A91885" w:rsidRDefault="00A91885">
            <w:pPr>
              <w:rPr>
                <w:rFonts w:ascii="宋体"/>
                <w:vanish/>
              </w:rPr>
            </w:pPr>
          </w:p>
        </w:tc>
        <w:tc>
          <w:tcPr>
            <w:tcW w:w="0" w:type="auto"/>
            <w:gridSpan w:val="3"/>
            <w:shd w:val="clear" w:color="auto" w:fill="auto"/>
            <w:vAlign w:val="bottom"/>
          </w:tcPr>
          <w:p w14:paraId="185FF9A3" w14:textId="77777777" w:rsidR="00A91885" w:rsidRDefault="00A91885">
            <w:pPr>
              <w:rPr>
                <w:rFonts w:ascii="宋体"/>
                <w:vanish/>
              </w:rPr>
            </w:pPr>
          </w:p>
        </w:tc>
        <w:tc>
          <w:tcPr>
            <w:tcW w:w="0" w:type="auto"/>
            <w:gridSpan w:val="3"/>
            <w:shd w:val="clear" w:color="auto" w:fill="auto"/>
            <w:vAlign w:val="bottom"/>
          </w:tcPr>
          <w:p w14:paraId="185FF9A4" w14:textId="77777777" w:rsidR="00A91885" w:rsidRDefault="00A91885">
            <w:pPr>
              <w:rPr>
                <w:rFonts w:ascii="宋体"/>
                <w:vanish/>
              </w:rPr>
            </w:pPr>
          </w:p>
        </w:tc>
      </w:tr>
      <w:tr w:rsidR="00A91885" w14:paraId="185FF9AC" w14:textId="77777777">
        <w:trPr>
          <w:jc w:val="center"/>
        </w:trPr>
        <w:tc>
          <w:tcPr>
            <w:tcW w:w="0" w:type="auto"/>
            <w:gridSpan w:val="3"/>
            <w:shd w:val="clear" w:color="auto" w:fill="FFFFFF"/>
            <w:tcMar>
              <w:top w:w="40" w:type="dxa"/>
              <w:left w:w="245" w:type="dxa"/>
              <w:bottom w:w="40" w:type="dxa"/>
              <w:right w:w="20" w:type="dxa"/>
            </w:tcMar>
            <w:vAlign w:val="bottom"/>
          </w:tcPr>
          <w:p w14:paraId="185FF9A6" w14:textId="77777777" w:rsidR="00A91885" w:rsidRDefault="009C4196">
            <w:pPr>
              <w:textAlignment w:val="bottom"/>
            </w:pPr>
            <w:r>
              <w:rPr>
                <w:rFonts w:ascii="Arial" w:eastAsia="宋体" w:hAnsi="Arial" w:cs="Arial"/>
                <w:color w:val="000000"/>
                <w:sz w:val="18"/>
                <w:szCs w:val="18"/>
              </w:rPr>
              <w:t>Less: Cash, cash equivalents and restricted cash of discontinued operations</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85FF9A7"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185FF9A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9A9" w14:textId="77777777" w:rsidR="00A91885" w:rsidRDefault="00A91885">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85FF9AA" w14:textId="77777777" w:rsidR="00A91885" w:rsidRDefault="009C4196">
            <w:pPr>
              <w:jc w:val="right"/>
              <w:textAlignment w:val="bottom"/>
            </w:pPr>
            <w:r>
              <w:rPr>
                <w:rFonts w:ascii="Arial" w:eastAsia="宋体" w:hAnsi="Arial" w:cs="Arial"/>
                <w:color w:val="000000"/>
                <w:sz w:val="18"/>
                <w:szCs w:val="18"/>
              </w:rPr>
              <w:t>162 </w:t>
            </w:r>
          </w:p>
        </w:tc>
        <w:tc>
          <w:tcPr>
            <w:tcW w:w="0" w:type="auto"/>
            <w:tcBorders>
              <w:top w:val="double" w:sz="6" w:space="0" w:color="000000"/>
            </w:tcBorders>
            <w:shd w:val="clear" w:color="auto" w:fill="FFFFFF"/>
            <w:tcMar>
              <w:top w:w="40" w:type="dxa"/>
              <w:left w:w="0" w:type="dxa"/>
              <w:bottom w:w="40" w:type="dxa"/>
              <w:right w:w="20" w:type="dxa"/>
            </w:tcMar>
            <w:vAlign w:val="bottom"/>
          </w:tcPr>
          <w:p w14:paraId="185FF9AB" w14:textId="77777777" w:rsidR="00A91885" w:rsidRDefault="00A91885">
            <w:pPr>
              <w:jc w:val="right"/>
              <w:rPr>
                <w:rFonts w:ascii="宋体"/>
              </w:rPr>
            </w:pPr>
          </w:p>
        </w:tc>
      </w:tr>
      <w:tr w:rsidR="00A91885" w14:paraId="185FF9B5" w14:textId="77777777">
        <w:trPr>
          <w:jc w:val="center"/>
        </w:trPr>
        <w:tc>
          <w:tcPr>
            <w:tcW w:w="0" w:type="auto"/>
            <w:gridSpan w:val="3"/>
            <w:shd w:val="clear" w:color="auto" w:fill="E1E1E1"/>
            <w:tcMar>
              <w:top w:w="40" w:type="dxa"/>
              <w:left w:w="20" w:type="dxa"/>
              <w:bottom w:w="40" w:type="dxa"/>
              <w:right w:w="20" w:type="dxa"/>
            </w:tcMar>
            <w:vAlign w:val="bottom"/>
          </w:tcPr>
          <w:p w14:paraId="185FF9AD" w14:textId="77777777" w:rsidR="00A91885" w:rsidRDefault="009C4196">
            <w:pPr>
              <w:textAlignment w:val="bottom"/>
            </w:pPr>
            <w:r>
              <w:rPr>
                <w:rFonts w:ascii="Arial" w:eastAsia="宋体" w:hAnsi="Arial" w:cs="Arial"/>
                <w:color w:val="000000"/>
                <w:sz w:val="18"/>
                <w:szCs w:val="18"/>
              </w:rPr>
              <w:t>Cash, cash equivalents and restricted cash of continuing operations at end of period</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5FF9A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5FF9AF" w14:textId="77777777" w:rsidR="00A91885" w:rsidRDefault="009C4196">
            <w:pPr>
              <w:jc w:val="right"/>
              <w:textAlignment w:val="bottom"/>
            </w:pPr>
            <w:r>
              <w:rPr>
                <w:rFonts w:ascii="Arial" w:eastAsia="宋体" w:hAnsi="Arial" w:cs="Arial"/>
                <w:color w:val="000000"/>
                <w:sz w:val="18"/>
                <w:szCs w:val="18"/>
              </w:rPr>
              <w:t>1,772 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5FF9B0"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9B1" w14:textId="77777777" w:rsidR="00A91885" w:rsidRDefault="00A91885">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5FF9B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5FF9B3" w14:textId="77777777" w:rsidR="00A91885" w:rsidRDefault="009C4196">
            <w:pPr>
              <w:jc w:val="right"/>
              <w:textAlignment w:val="bottom"/>
            </w:pPr>
            <w:r>
              <w:rPr>
                <w:rFonts w:ascii="Arial" w:eastAsia="宋体" w:hAnsi="Arial" w:cs="Arial"/>
                <w:color w:val="000000"/>
                <w:sz w:val="18"/>
                <w:szCs w:val="18"/>
              </w:rPr>
              <w:t>2,144 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5FF9B4" w14:textId="77777777" w:rsidR="00A91885" w:rsidRDefault="00A91885">
            <w:pPr>
              <w:jc w:val="right"/>
              <w:rPr>
                <w:rFonts w:ascii="宋体"/>
              </w:rPr>
            </w:pPr>
          </w:p>
        </w:tc>
      </w:tr>
    </w:tbl>
    <w:p w14:paraId="185FF9B6" w14:textId="77777777" w:rsidR="00A91885" w:rsidRDefault="00A91885">
      <w:pPr>
        <w:jc w:val="center"/>
      </w:pPr>
    </w:p>
    <w:p w14:paraId="185FF9B7" w14:textId="77777777" w:rsidR="00A91885" w:rsidRDefault="009C4196">
      <w:pPr>
        <w:jc w:val="center"/>
      </w:pPr>
      <w:r>
        <w:rPr>
          <w:rFonts w:ascii="Arial" w:eastAsia="宋体" w:hAnsi="Arial" w:cs="Arial"/>
          <w:color w:val="000000"/>
          <w:sz w:val="20"/>
          <w:szCs w:val="20"/>
        </w:rPr>
        <w:t>8</w:t>
      </w:r>
    </w:p>
    <w:p w14:paraId="185FF9B8" w14:textId="77777777" w:rsidR="00A91885" w:rsidRDefault="009C4196">
      <w:r>
        <w:pict w14:anchorId="1860218B">
          <v:rect id="_x0000_i1032" style="width:415.3pt;height:1.5pt" o:hralign="center" o:hrstd="t" o:hr="t" fillcolor="#a0a0a0" stroked="f"/>
        </w:pict>
      </w:r>
    </w:p>
    <w:p w14:paraId="185FF9B9" w14:textId="77777777" w:rsidR="00A91885" w:rsidRDefault="009C4196">
      <w:hyperlink r:id="rId92" w:anchor="ieb971428a625452486c65ae24899afca_7" w:history="1">
        <w:r>
          <w:rPr>
            <w:rStyle w:val="a5"/>
            <w:rFonts w:ascii="Arial" w:eastAsia="宋体" w:hAnsi="Arial" w:cs="Arial"/>
            <w:sz w:val="18"/>
            <w:szCs w:val="18"/>
          </w:rPr>
          <w:t>Table of Contents</w:t>
        </w:r>
      </w:hyperlink>
    </w:p>
    <w:p w14:paraId="185FF9BA" w14:textId="77777777" w:rsidR="00A91885" w:rsidRDefault="009C4196">
      <w:pPr>
        <w:spacing w:before="120"/>
        <w:jc w:val="center"/>
      </w:pPr>
      <w:r>
        <w:rPr>
          <w:rFonts w:ascii="Arial" w:eastAsia="宋体" w:hAnsi="Arial" w:cs="Arial"/>
          <w:b/>
          <w:bCs/>
          <w:color w:val="000000"/>
          <w:sz w:val="20"/>
          <w:szCs w:val="20"/>
        </w:rPr>
        <w:t>eBay Inc.</w:t>
      </w:r>
    </w:p>
    <w:p w14:paraId="185FF9BB" w14:textId="77777777" w:rsidR="00A91885" w:rsidRDefault="009C4196">
      <w:pPr>
        <w:spacing w:before="80"/>
        <w:jc w:val="center"/>
      </w:pPr>
      <w:r>
        <w:rPr>
          <w:rFonts w:ascii="Arial" w:eastAsia="宋体" w:hAnsi="Arial" w:cs="Arial"/>
          <w:b/>
          <w:bCs/>
          <w:color w:val="000000"/>
          <w:sz w:val="20"/>
          <w:szCs w:val="20"/>
        </w:rPr>
        <w:t>CONDENSED CONSOLIDATED STATEMENT OF CASH FLOWS—(Continued)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95"/>
        <w:gridCol w:w="37"/>
        <w:gridCol w:w="121"/>
        <w:gridCol w:w="1071"/>
        <w:gridCol w:w="36"/>
        <w:gridCol w:w="36"/>
        <w:gridCol w:w="36"/>
        <w:gridCol w:w="36"/>
        <w:gridCol w:w="121"/>
        <w:gridCol w:w="1073"/>
        <w:gridCol w:w="36"/>
      </w:tblGrid>
      <w:tr w:rsidR="00A91885" w14:paraId="185FF9C8" w14:textId="77777777">
        <w:trPr>
          <w:jc w:val="center"/>
        </w:trPr>
        <w:tc>
          <w:tcPr>
            <w:tcW w:w="50" w:type="pct"/>
            <w:shd w:val="clear" w:color="auto" w:fill="auto"/>
            <w:vAlign w:val="bottom"/>
          </w:tcPr>
          <w:p w14:paraId="185FF9BC" w14:textId="77777777" w:rsidR="00A91885" w:rsidRDefault="00A91885">
            <w:pPr>
              <w:rPr>
                <w:rFonts w:ascii="宋体"/>
              </w:rPr>
            </w:pPr>
          </w:p>
        </w:tc>
        <w:tc>
          <w:tcPr>
            <w:tcW w:w="3453" w:type="pct"/>
            <w:shd w:val="clear" w:color="auto" w:fill="auto"/>
            <w:vAlign w:val="bottom"/>
          </w:tcPr>
          <w:p w14:paraId="185FF9BD" w14:textId="77777777" w:rsidR="00A91885" w:rsidRDefault="00A91885">
            <w:pPr>
              <w:rPr>
                <w:rFonts w:ascii="宋体"/>
              </w:rPr>
            </w:pPr>
          </w:p>
        </w:tc>
        <w:tc>
          <w:tcPr>
            <w:tcW w:w="5" w:type="pct"/>
            <w:shd w:val="clear" w:color="auto" w:fill="auto"/>
            <w:vAlign w:val="bottom"/>
          </w:tcPr>
          <w:p w14:paraId="185FF9BE" w14:textId="77777777" w:rsidR="00A91885" w:rsidRDefault="00A91885">
            <w:pPr>
              <w:rPr>
                <w:rFonts w:ascii="宋体"/>
              </w:rPr>
            </w:pPr>
          </w:p>
        </w:tc>
        <w:tc>
          <w:tcPr>
            <w:tcW w:w="50" w:type="pct"/>
            <w:shd w:val="clear" w:color="auto" w:fill="auto"/>
            <w:vAlign w:val="bottom"/>
          </w:tcPr>
          <w:p w14:paraId="185FF9BF" w14:textId="77777777" w:rsidR="00A91885" w:rsidRDefault="00A91885">
            <w:pPr>
              <w:rPr>
                <w:rFonts w:ascii="宋体"/>
              </w:rPr>
            </w:pPr>
          </w:p>
        </w:tc>
        <w:tc>
          <w:tcPr>
            <w:tcW w:w="675" w:type="pct"/>
            <w:shd w:val="clear" w:color="auto" w:fill="auto"/>
            <w:vAlign w:val="bottom"/>
          </w:tcPr>
          <w:p w14:paraId="185FF9C0" w14:textId="77777777" w:rsidR="00A91885" w:rsidRDefault="00A91885">
            <w:pPr>
              <w:rPr>
                <w:rFonts w:ascii="宋体"/>
              </w:rPr>
            </w:pPr>
          </w:p>
        </w:tc>
        <w:tc>
          <w:tcPr>
            <w:tcW w:w="5" w:type="pct"/>
            <w:shd w:val="clear" w:color="auto" w:fill="auto"/>
            <w:vAlign w:val="bottom"/>
          </w:tcPr>
          <w:p w14:paraId="185FF9C1" w14:textId="77777777" w:rsidR="00A91885" w:rsidRDefault="00A91885">
            <w:pPr>
              <w:rPr>
                <w:rFonts w:ascii="宋体"/>
              </w:rPr>
            </w:pPr>
          </w:p>
        </w:tc>
        <w:tc>
          <w:tcPr>
            <w:tcW w:w="5" w:type="pct"/>
            <w:shd w:val="clear" w:color="auto" w:fill="auto"/>
            <w:vAlign w:val="bottom"/>
          </w:tcPr>
          <w:p w14:paraId="185FF9C2" w14:textId="77777777" w:rsidR="00A91885" w:rsidRDefault="00A91885">
            <w:pPr>
              <w:rPr>
                <w:rFonts w:ascii="宋体"/>
              </w:rPr>
            </w:pPr>
          </w:p>
        </w:tc>
        <w:tc>
          <w:tcPr>
            <w:tcW w:w="19" w:type="pct"/>
            <w:shd w:val="clear" w:color="auto" w:fill="auto"/>
            <w:vAlign w:val="bottom"/>
          </w:tcPr>
          <w:p w14:paraId="185FF9C3" w14:textId="77777777" w:rsidR="00A91885" w:rsidRDefault="00A91885">
            <w:pPr>
              <w:rPr>
                <w:rFonts w:ascii="宋体"/>
              </w:rPr>
            </w:pPr>
          </w:p>
        </w:tc>
        <w:tc>
          <w:tcPr>
            <w:tcW w:w="5" w:type="pct"/>
            <w:shd w:val="clear" w:color="auto" w:fill="auto"/>
            <w:vAlign w:val="bottom"/>
          </w:tcPr>
          <w:p w14:paraId="185FF9C4" w14:textId="77777777" w:rsidR="00A91885" w:rsidRDefault="00A91885">
            <w:pPr>
              <w:rPr>
                <w:rFonts w:ascii="宋体"/>
              </w:rPr>
            </w:pPr>
          </w:p>
        </w:tc>
        <w:tc>
          <w:tcPr>
            <w:tcW w:w="50" w:type="pct"/>
            <w:shd w:val="clear" w:color="auto" w:fill="auto"/>
            <w:vAlign w:val="bottom"/>
          </w:tcPr>
          <w:p w14:paraId="185FF9C5" w14:textId="77777777" w:rsidR="00A91885" w:rsidRDefault="00A91885">
            <w:pPr>
              <w:rPr>
                <w:rFonts w:ascii="宋体"/>
              </w:rPr>
            </w:pPr>
          </w:p>
        </w:tc>
        <w:tc>
          <w:tcPr>
            <w:tcW w:w="676" w:type="pct"/>
            <w:shd w:val="clear" w:color="auto" w:fill="auto"/>
            <w:vAlign w:val="bottom"/>
          </w:tcPr>
          <w:p w14:paraId="185FF9C6" w14:textId="77777777" w:rsidR="00A91885" w:rsidRDefault="00A91885">
            <w:pPr>
              <w:rPr>
                <w:rFonts w:ascii="宋体"/>
              </w:rPr>
            </w:pPr>
          </w:p>
        </w:tc>
        <w:tc>
          <w:tcPr>
            <w:tcW w:w="5" w:type="pct"/>
            <w:shd w:val="clear" w:color="auto" w:fill="auto"/>
            <w:vAlign w:val="bottom"/>
          </w:tcPr>
          <w:p w14:paraId="185FF9C7" w14:textId="77777777" w:rsidR="00A91885" w:rsidRDefault="00A91885">
            <w:pPr>
              <w:rPr>
                <w:rFonts w:ascii="宋体"/>
              </w:rPr>
            </w:pPr>
          </w:p>
        </w:tc>
      </w:tr>
      <w:tr w:rsidR="00A91885" w14:paraId="185FF9CB" w14:textId="77777777">
        <w:trPr>
          <w:jc w:val="center"/>
        </w:trPr>
        <w:tc>
          <w:tcPr>
            <w:tcW w:w="0" w:type="auto"/>
            <w:gridSpan w:val="3"/>
            <w:shd w:val="clear" w:color="auto" w:fill="auto"/>
            <w:tcMar>
              <w:top w:w="0" w:type="dxa"/>
              <w:left w:w="20" w:type="dxa"/>
              <w:bottom w:w="0" w:type="dxa"/>
              <w:right w:w="20" w:type="dxa"/>
            </w:tcMar>
            <w:vAlign w:val="bottom"/>
          </w:tcPr>
          <w:p w14:paraId="185FF9C9"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5FF9CA"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5FF9D0" w14:textId="77777777">
        <w:trPr>
          <w:jc w:val="center"/>
        </w:trPr>
        <w:tc>
          <w:tcPr>
            <w:tcW w:w="0" w:type="auto"/>
            <w:gridSpan w:val="3"/>
            <w:shd w:val="clear" w:color="auto" w:fill="auto"/>
            <w:tcMar>
              <w:top w:w="0" w:type="dxa"/>
              <w:left w:w="20" w:type="dxa"/>
              <w:bottom w:w="0" w:type="dxa"/>
              <w:right w:w="20" w:type="dxa"/>
            </w:tcMar>
            <w:vAlign w:val="bottom"/>
          </w:tcPr>
          <w:p w14:paraId="185FF9CC"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9CD"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9CE"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5FF9CF"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5FF9D3" w14:textId="77777777">
        <w:trPr>
          <w:jc w:val="center"/>
        </w:trPr>
        <w:tc>
          <w:tcPr>
            <w:tcW w:w="0" w:type="auto"/>
            <w:gridSpan w:val="3"/>
            <w:shd w:val="clear" w:color="auto" w:fill="auto"/>
            <w:tcMar>
              <w:top w:w="0" w:type="dxa"/>
              <w:left w:w="20" w:type="dxa"/>
              <w:bottom w:w="0" w:type="dxa"/>
              <w:right w:w="20" w:type="dxa"/>
            </w:tcMar>
            <w:vAlign w:val="bottom"/>
          </w:tcPr>
          <w:p w14:paraId="185FF9D1" w14:textId="77777777" w:rsidR="00A91885" w:rsidRDefault="00A9188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5FF9D2" w14:textId="77777777" w:rsidR="00A91885" w:rsidRDefault="009C4196">
            <w:pPr>
              <w:jc w:val="center"/>
              <w:textAlignment w:val="bottom"/>
            </w:pPr>
            <w:r>
              <w:rPr>
                <w:rFonts w:ascii="Arial" w:eastAsia="宋体" w:hAnsi="Arial" w:cs="Arial"/>
                <w:b/>
                <w:bCs/>
                <w:color w:val="000000"/>
                <w:sz w:val="17"/>
                <w:szCs w:val="17"/>
              </w:rPr>
              <w:t>(In millions)</w:t>
            </w:r>
          </w:p>
        </w:tc>
      </w:tr>
      <w:tr w:rsidR="00A91885" w14:paraId="185FF9D6" w14:textId="77777777">
        <w:trPr>
          <w:jc w:val="center"/>
        </w:trPr>
        <w:tc>
          <w:tcPr>
            <w:tcW w:w="0" w:type="auto"/>
            <w:gridSpan w:val="3"/>
            <w:shd w:val="clear" w:color="auto" w:fill="auto"/>
            <w:tcMar>
              <w:top w:w="0" w:type="dxa"/>
              <w:left w:w="20" w:type="dxa"/>
              <w:bottom w:w="0" w:type="dxa"/>
              <w:right w:w="20" w:type="dxa"/>
            </w:tcMar>
            <w:vAlign w:val="bottom"/>
          </w:tcPr>
          <w:p w14:paraId="185FF9D4"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5FF9D5" w14:textId="77777777" w:rsidR="00A91885" w:rsidRDefault="009C4196">
            <w:pPr>
              <w:jc w:val="center"/>
              <w:textAlignment w:val="bottom"/>
            </w:pPr>
            <w:r>
              <w:rPr>
                <w:rFonts w:ascii="Arial" w:eastAsia="宋体" w:hAnsi="Arial" w:cs="Arial"/>
                <w:b/>
                <w:bCs/>
                <w:color w:val="000000"/>
                <w:sz w:val="17"/>
                <w:szCs w:val="17"/>
              </w:rPr>
              <w:t>(Unaudited)</w:t>
            </w:r>
          </w:p>
        </w:tc>
      </w:tr>
      <w:tr w:rsidR="00A91885" w14:paraId="185FF9DB" w14:textId="77777777">
        <w:trPr>
          <w:jc w:val="center"/>
        </w:trPr>
        <w:tc>
          <w:tcPr>
            <w:tcW w:w="0" w:type="auto"/>
            <w:gridSpan w:val="3"/>
            <w:shd w:val="clear" w:color="auto" w:fill="DBDBDB"/>
            <w:tcMar>
              <w:top w:w="40" w:type="dxa"/>
              <w:left w:w="20" w:type="dxa"/>
              <w:bottom w:w="40" w:type="dxa"/>
              <w:right w:w="20" w:type="dxa"/>
            </w:tcMar>
            <w:vAlign w:val="bottom"/>
          </w:tcPr>
          <w:p w14:paraId="185FF9D7" w14:textId="77777777" w:rsidR="00A91885" w:rsidRDefault="009C4196">
            <w:pPr>
              <w:textAlignment w:val="bottom"/>
            </w:pPr>
            <w:r>
              <w:rPr>
                <w:rFonts w:ascii="Arial" w:eastAsia="宋体" w:hAnsi="Arial" w:cs="Arial"/>
                <w:color w:val="000000"/>
                <w:sz w:val="18"/>
                <w:szCs w:val="18"/>
              </w:rPr>
              <w:t>Supplemental cash flow disclosures:</w:t>
            </w:r>
          </w:p>
        </w:tc>
        <w:tc>
          <w:tcPr>
            <w:tcW w:w="0" w:type="auto"/>
            <w:gridSpan w:val="3"/>
            <w:shd w:val="clear" w:color="auto" w:fill="DBDBDB"/>
            <w:tcMar>
              <w:top w:w="0" w:type="dxa"/>
              <w:left w:w="20" w:type="dxa"/>
              <w:bottom w:w="0" w:type="dxa"/>
              <w:right w:w="20" w:type="dxa"/>
            </w:tcMar>
            <w:vAlign w:val="bottom"/>
          </w:tcPr>
          <w:p w14:paraId="185FF9D8"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5FF9D9"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5FF9DA" w14:textId="77777777" w:rsidR="00A91885" w:rsidRDefault="00A91885">
            <w:pPr>
              <w:rPr>
                <w:rFonts w:ascii="宋体"/>
              </w:rPr>
            </w:pPr>
          </w:p>
        </w:tc>
      </w:tr>
      <w:tr w:rsidR="00A91885" w14:paraId="185FF9E0" w14:textId="77777777">
        <w:trPr>
          <w:jc w:val="center"/>
        </w:trPr>
        <w:tc>
          <w:tcPr>
            <w:tcW w:w="0" w:type="auto"/>
            <w:gridSpan w:val="3"/>
            <w:shd w:val="clear" w:color="auto" w:fill="FFFFFF"/>
            <w:tcMar>
              <w:top w:w="40" w:type="dxa"/>
              <w:left w:w="245" w:type="dxa"/>
              <w:bottom w:w="40" w:type="dxa"/>
              <w:right w:w="20" w:type="dxa"/>
            </w:tcMar>
            <w:vAlign w:val="bottom"/>
          </w:tcPr>
          <w:p w14:paraId="185FF9DC" w14:textId="77777777" w:rsidR="00A91885" w:rsidRDefault="009C4196">
            <w:pPr>
              <w:textAlignment w:val="bottom"/>
            </w:pPr>
            <w:r>
              <w:rPr>
                <w:rFonts w:ascii="Arial" w:eastAsia="宋体" w:hAnsi="Arial" w:cs="Arial"/>
                <w:color w:val="000000"/>
                <w:sz w:val="18"/>
                <w:szCs w:val="18"/>
              </w:rPr>
              <w:t>Cash paid for:</w:t>
            </w:r>
          </w:p>
        </w:tc>
        <w:tc>
          <w:tcPr>
            <w:tcW w:w="0" w:type="auto"/>
            <w:gridSpan w:val="3"/>
            <w:shd w:val="clear" w:color="auto" w:fill="FFFFFF"/>
            <w:tcMar>
              <w:top w:w="0" w:type="dxa"/>
              <w:left w:w="20" w:type="dxa"/>
              <w:bottom w:w="0" w:type="dxa"/>
              <w:right w:w="20" w:type="dxa"/>
            </w:tcMar>
            <w:vAlign w:val="bottom"/>
          </w:tcPr>
          <w:p w14:paraId="185FF9D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9D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9DF" w14:textId="77777777" w:rsidR="00A91885" w:rsidRDefault="00A91885">
            <w:pPr>
              <w:rPr>
                <w:rFonts w:ascii="宋体"/>
              </w:rPr>
            </w:pPr>
          </w:p>
        </w:tc>
      </w:tr>
      <w:tr w:rsidR="00A91885" w14:paraId="185FF9E9" w14:textId="77777777">
        <w:trPr>
          <w:jc w:val="center"/>
        </w:trPr>
        <w:tc>
          <w:tcPr>
            <w:tcW w:w="0" w:type="auto"/>
            <w:gridSpan w:val="3"/>
            <w:shd w:val="clear" w:color="auto" w:fill="DBDBDB"/>
            <w:tcMar>
              <w:top w:w="40" w:type="dxa"/>
              <w:left w:w="515" w:type="dxa"/>
              <w:bottom w:w="40" w:type="dxa"/>
              <w:right w:w="20" w:type="dxa"/>
            </w:tcMar>
            <w:vAlign w:val="bottom"/>
          </w:tcPr>
          <w:p w14:paraId="185FF9E1" w14:textId="77777777" w:rsidR="00A91885" w:rsidRDefault="009C4196">
            <w:pPr>
              <w:textAlignment w:val="bottom"/>
            </w:pPr>
            <w:r>
              <w:rPr>
                <w:rFonts w:ascii="Arial" w:eastAsia="宋体" w:hAnsi="Arial" w:cs="Arial"/>
                <w:color w:val="000000"/>
                <w:sz w:val="18"/>
                <w:szCs w:val="18"/>
              </w:rPr>
              <w:t>Interest</w:t>
            </w:r>
          </w:p>
        </w:tc>
        <w:tc>
          <w:tcPr>
            <w:tcW w:w="0" w:type="auto"/>
            <w:shd w:val="clear" w:color="auto" w:fill="DBDBDB"/>
            <w:tcMar>
              <w:top w:w="40" w:type="dxa"/>
              <w:left w:w="20" w:type="dxa"/>
              <w:bottom w:w="40" w:type="dxa"/>
              <w:right w:w="0" w:type="dxa"/>
            </w:tcMar>
            <w:vAlign w:val="bottom"/>
          </w:tcPr>
          <w:p w14:paraId="185FF9E2"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85FF9E3" w14:textId="77777777" w:rsidR="00A91885" w:rsidRDefault="009C4196">
            <w:pPr>
              <w:jc w:val="right"/>
              <w:textAlignment w:val="bottom"/>
            </w:pPr>
            <w:r>
              <w:rPr>
                <w:rFonts w:ascii="Arial" w:eastAsia="宋体" w:hAnsi="Arial" w:cs="Arial"/>
                <w:color w:val="000000"/>
                <w:sz w:val="18"/>
                <w:szCs w:val="18"/>
              </w:rPr>
              <w:t>134 </w:t>
            </w:r>
          </w:p>
        </w:tc>
        <w:tc>
          <w:tcPr>
            <w:tcW w:w="0" w:type="auto"/>
            <w:shd w:val="clear" w:color="auto" w:fill="DBDBDB"/>
            <w:tcMar>
              <w:top w:w="40" w:type="dxa"/>
              <w:left w:w="0" w:type="dxa"/>
              <w:bottom w:w="40" w:type="dxa"/>
              <w:right w:w="20" w:type="dxa"/>
            </w:tcMar>
            <w:vAlign w:val="bottom"/>
          </w:tcPr>
          <w:p w14:paraId="185FF9E4"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5FF9E5" w14:textId="77777777" w:rsidR="00A91885" w:rsidRDefault="00A91885">
            <w:pPr>
              <w:rPr>
                <w:rFonts w:ascii="宋体"/>
              </w:rPr>
            </w:pPr>
          </w:p>
        </w:tc>
        <w:tc>
          <w:tcPr>
            <w:tcW w:w="0" w:type="auto"/>
            <w:shd w:val="clear" w:color="auto" w:fill="DBDBDB"/>
            <w:tcMar>
              <w:top w:w="40" w:type="dxa"/>
              <w:left w:w="20" w:type="dxa"/>
              <w:bottom w:w="40" w:type="dxa"/>
              <w:right w:w="0" w:type="dxa"/>
            </w:tcMar>
            <w:vAlign w:val="bottom"/>
          </w:tcPr>
          <w:p w14:paraId="185FF9E6"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85FF9E7" w14:textId="77777777" w:rsidR="00A91885" w:rsidRDefault="009C4196">
            <w:pPr>
              <w:jc w:val="right"/>
              <w:textAlignment w:val="bottom"/>
            </w:pPr>
            <w:r>
              <w:rPr>
                <w:rFonts w:ascii="Arial" w:eastAsia="宋体" w:hAnsi="Arial" w:cs="Arial"/>
                <w:color w:val="000000"/>
                <w:sz w:val="18"/>
                <w:szCs w:val="18"/>
              </w:rPr>
              <w:t>121 </w:t>
            </w:r>
          </w:p>
        </w:tc>
        <w:tc>
          <w:tcPr>
            <w:tcW w:w="0" w:type="auto"/>
            <w:shd w:val="clear" w:color="auto" w:fill="DBDBDB"/>
            <w:tcMar>
              <w:top w:w="40" w:type="dxa"/>
              <w:left w:w="0" w:type="dxa"/>
              <w:bottom w:w="40" w:type="dxa"/>
              <w:right w:w="20" w:type="dxa"/>
            </w:tcMar>
            <w:vAlign w:val="bottom"/>
          </w:tcPr>
          <w:p w14:paraId="185FF9E8" w14:textId="77777777" w:rsidR="00A91885" w:rsidRDefault="00A91885">
            <w:pPr>
              <w:jc w:val="right"/>
              <w:rPr>
                <w:rFonts w:ascii="宋体"/>
              </w:rPr>
            </w:pPr>
          </w:p>
        </w:tc>
      </w:tr>
      <w:tr w:rsidR="00A91885" w14:paraId="185FF9EE" w14:textId="77777777">
        <w:trPr>
          <w:jc w:val="center"/>
          <w:hidden/>
        </w:trPr>
        <w:tc>
          <w:tcPr>
            <w:tcW w:w="0" w:type="auto"/>
            <w:gridSpan w:val="3"/>
            <w:shd w:val="clear" w:color="auto" w:fill="auto"/>
            <w:vAlign w:val="bottom"/>
          </w:tcPr>
          <w:p w14:paraId="185FF9EA" w14:textId="77777777" w:rsidR="00A91885" w:rsidRDefault="00A91885">
            <w:pPr>
              <w:rPr>
                <w:rFonts w:ascii="宋体"/>
                <w:vanish/>
              </w:rPr>
            </w:pPr>
          </w:p>
        </w:tc>
        <w:tc>
          <w:tcPr>
            <w:tcW w:w="0" w:type="auto"/>
            <w:gridSpan w:val="3"/>
            <w:shd w:val="clear" w:color="auto" w:fill="auto"/>
            <w:vAlign w:val="bottom"/>
          </w:tcPr>
          <w:p w14:paraId="185FF9EB" w14:textId="77777777" w:rsidR="00A91885" w:rsidRDefault="00A91885">
            <w:pPr>
              <w:rPr>
                <w:rFonts w:ascii="宋体"/>
                <w:vanish/>
              </w:rPr>
            </w:pPr>
          </w:p>
        </w:tc>
        <w:tc>
          <w:tcPr>
            <w:tcW w:w="0" w:type="auto"/>
            <w:gridSpan w:val="3"/>
            <w:shd w:val="clear" w:color="auto" w:fill="auto"/>
            <w:vAlign w:val="bottom"/>
          </w:tcPr>
          <w:p w14:paraId="185FF9EC" w14:textId="77777777" w:rsidR="00A91885" w:rsidRDefault="00A91885">
            <w:pPr>
              <w:rPr>
                <w:rFonts w:ascii="宋体"/>
                <w:vanish/>
              </w:rPr>
            </w:pPr>
          </w:p>
        </w:tc>
        <w:tc>
          <w:tcPr>
            <w:tcW w:w="0" w:type="auto"/>
            <w:gridSpan w:val="3"/>
            <w:shd w:val="clear" w:color="auto" w:fill="auto"/>
            <w:vAlign w:val="bottom"/>
          </w:tcPr>
          <w:p w14:paraId="185FF9ED" w14:textId="77777777" w:rsidR="00A91885" w:rsidRDefault="00A91885">
            <w:pPr>
              <w:rPr>
                <w:rFonts w:ascii="宋体"/>
                <w:vanish/>
              </w:rPr>
            </w:pPr>
          </w:p>
        </w:tc>
      </w:tr>
      <w:tr w:rsidR="00A91885" w14:paraId="185FF9F7" w14:textId="77777777">
        <w:trPr>
          <w:jc w:val="center"/>
        </w:trPr>
        <w:tc>
          <w:tcPr>
            <w:tcW w:w="0" w:type="auto"/>
            <w:gridSpan w:val="3"/>
            <w:shd w:val="clear" w:color="auto" w:fill="FFFFFF"/>
            <w:tcMar>
              <w:top w:w="40" w:type="dxa"/>
              <w:left w:w="515" w:type="dxa"/>
              <w:bottom w:w="40" w:type="dxa"/>
              <w:right w:w="20" w:type="dxa"/>
            </w:tcMar>
            <w:vAlign w:val="bottom"/>
          </w:tcPr>
          <w:p w14:paraId="185FF9EF" w14:textId="77777777" w:rsidR="00A91885" w:rsidRDefault="009C4196">
            <w:pPr>
              <w:textAlignment w:val="bottom"/>
            </w:pPr>
            <w:r>
              <w:rPr>
                <w:rFonts w:ascii="Arial" w:eastAsia="宋体" w:hAnsi="Arial" w:cs="Arial"/>
                <w:color w:val="000000"/>
                <w:sz w:val="18"/>
                <w:szCs w:val="18"/>
              </w:rPr>
              <w:t>Income taxes</w:t>
            </w:r>
          </w:p>
        </w:tc>
        <w:tc>
          <w:tcPr>
            <w:tcW w:w="0" w:type="auto"/>
            <w:shd w:val="clear" w:color="auto" w:fill="FFFFFF"/>
            <w:tcMar>
              <w:top w:w="40" w:type="dxa"/>
              <w:left w:w="20" w:type="dxa"/>
              <w:bottom w:w="40" w:type="dxa"/>
              <w:right w:w="0" w:type="dxa"/>
            </w:tcMar>
            <w:vAlign w:val="bottom"/>
          </w:tcPr>
          <w:p w14:paraId="185FF9F0"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9F1" w14:textId="77777777" w:rsidR="00A91885" w:rsidRDefault="009C4196">
            <w:pPr>
              <w:jc w:val="right"/>
              <w:textAlignment w:val="bottom"/>
            </w:pPr>
            <w:r>
              <w:rPr>
                <w:rFonts w:ascii="Arial" w:eastAsia="宋体" w:hAnsi="Arial" w:cs="Arial"/>
                <w:color w:val="000000"/>
                <w:sz w:val="18"/>
                <w:szCs w:val="18"/>
              </w:rPr>
              <w:t>282 </w:t>
            </w:r>
          </w:p>
        </w:tc>
        <w:tc>
          <w:tcPr>
            <w:tcW w:w="0" w:type="auto"/>
            <w:shd w:val="clear" w:color="auto" w:fill="FFFFFF"/>
            <w:tcMar>
              <w:top w:w="40" w:type="dxa"/>
              <w:left w:w="0" w:type="dxa"/>
              <w:bottom w:w="40" w:type="dxa"/>
              <w:right w:w="20" w:type="dxa"/>
            </w:tcMar>
            <w:vAlign w:val="bottom"/>
          </w:tcPr>
          <w:p w14:paraId="185FF9F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9F3"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9F4"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9F5" w14:textId="77777777" w:rsidR="00A91885" w:rsidRDefault="009C4196">
            <w:pPr>
              <w:jc w:val="right"/>
              <w:textAlignment w:val="bottom"/>
            </w:pPr>
            <w:r>
              <w:rPr>
                <w:rFonts w:ascii="Arial" w:eastAsia="宋体" w:hAnsi="Arial" w:cs="Arial"/>
                <w:color w:val="000000"/>
                <w:sz w:val="18"/>
                <w:szCs w:val="18"/>
              </w:rPr>
              <w:t>313 </w:t>
            </w:r>
          </w:p>
        </w:tc>
        <w:tc>
          <w:tcPr>
            <w:tcW w:w="0" w:type="auto"/>
            <w:shd w:val="clear" w:color="auto" w:fill="FFFFFF"/>
            <w:tcMar>
              <w:top w:w="40" w:type="dxa"/>
              <w:left w:w="0" w:type="dxa"/>
              <w:bottom w:w="40" w:type="dxa"/>
              <w:right w:w="20" w:type="dxa"/>
            </w:tcMar>
            <w:vAlign w:val="bottom"/>
          </w:tcPr>
          <w:p w14:paraId="185FF9F6" w14:textId="77777777" w:rsidR="00A91885" w:rsidRDefault="00A91885">
            <w:pPr>
              <w:jc w:val="right"/>
              <w:rPr>
                <w:rFonts w:ascii="宋体"/>
              </w:rPr>
            </w:pPr>
          </w:p>
        </w:tc>
      </w:tr>
      <w:tr w:rsidR="00A91885" w14:paraId="185FF9FC" w14:textId="77777777">
        <w:trPr>
          <w:jc w:val="center"/>
        </w:trPr>
        <w:tc>
          <w:tcPr>
            <w:tcW w:w="0" w:type="auto"/>
            <w:gridSpan w:val="3"/>
            <w:shd w:val="clear" w:color="auto" w:fill="DBDBDB"/>
            <w:tcMar>
              <w:top w:w="40" w:type="dxa"/>
              <w:left w:w="245" w:type="dxa"/>
              <w:bottom w:w="40" w:type="dxa"/>
              <w:right w:w="20" w:type="dxa"/>
            </w:tcMar>
            <w:vAlign w:val="bottom"/>
          </w:tcPr>
          <w:p w14:paraId="185FF9F8" w14:textId="77777777" w:rsidR="00A91885" w:rsidRDefault="009C4196">
            <w:pPr>
              <w:textAlignment w:val="bottom"/>
            </w:pPr>
            <w:r>
              <w:rPr>
                <w:rFonts w:ascii="Arial" w:eastAsia="宋体" w:hAnsi="Arial" w:cs="Arial"/>
                <w:color w:val="000000"/>
                <w:sz w:val="18"/>
                <w:szCs w:val="18"/>
              </w:rPr>
              <w:t>Non-cash investing activities:</w:t>
            </w:r>
          </w:p>
        </w:tc>
        <w:tc>
          <w:tcPr>
            <w:tcW w:w="0" w:type="auto"/>
            <w:gridSpan w:val="3"/>
            <w:shd w:val="clear" w:color="auto" w:fill="DBDBDB"/>
            <w:tcMar>
              <w:top w:w="0" w:type="dxa"/>
              <w:left w:w="20" w:type="dxa"/>
              <w:bottom w:w="0" w:type="dxa"/>
              <w:right w:w="20" w:type="dxa"/>
            </w:tcMar>
            <w:vAlign w:val="bottom"/>
          </w:tcPr>
          <w:p w14:paraId="185FF9F9"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5FF9FA"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5FF9FB" w14:textId="77777777" w:rsidR="00A91885" w:rsidRDefault="00A91885">
            <w:pPr>
              <w:rPr>
                <w:rFonts w:ascii="宋体"/>
              </w:rPr>
            </w:pPr>
          </w:p>
        </w:tc>
      </w:tr>
      <w:tr w:rsidR="00A91885" w14:paraId="185FFA05" w14:textId="77777777">
        <w:trPr>
          <w:jc w:val="center"/>
        </w:trPr>
        <w:tc>
          <w:tcPr>
            <w:tcW w:w="0" w:type="auto"/>
            <w:gridSpan w:val="3"/>
            <w:shd w:val="clear" w:color="auto" w:fill="FFFFFF"/>
            <w:tcMar>
              <w:top w:w="40" w:type="dxa"/>
              <w:left w:w="515" w:type="dxa"/>
              <w:bottom w:w="40" w:type="dxa"/>
              <w:right w:w="20" w:type="dxa"/>
            </w:tcMar>
            <w:vAlign w:val="bottom"/>
          </w:tcPr>
          <w:p w14:paraId="185FF9FD" w14:textId="77777777" w:rsidR="00A91885" w:rsidRDefault="009C4196">
            <w:pPr>
              <w:textAlignment w:val="bottom"/>
            </w:pPr>
            <w:r>
              <w:rPr>
                <w:rFonts w:ascii="Arial" w:eastAsia="宋体" w:hAnsi="Arial" w:cs="Arial"/>
                <w:color w:val="000000"/>
                <w:sz w:val="18"/>
                <w:szCs w:val="18"/>
              </w:rPr>
              <w:t xml:space="preserve">Equity investment in </w:t>
            </w:r>
            <w:r>
              <w:rPr>
                <w:rFonts w:ascii="Arial" w:eastAsia="宋体" w:hAnsi="Arial" w:cs="Arial"/>
                <w:color w:val="000000"/>
                <w:sz w:val="18"/>
                <w:szCs w:val="18"/>
              </w:rPr>
              <w:t>Adevinta</w:t>
            </w:r>
          </w:p>
        </w:tc>
        <w:tc>
          <w:tcPr>
            <w:tcW w:w="0" w:type="auto"/>
            <w:shd w:val="clear" w:color="auto" w:fill="FFFFFF"/>
            <w:tcMar>
              <w:top w:w="40" w:type="dxa"/>
              <w:left w:w="20" w:type="dxa"/>
              <w:bottom w:w="40" w:type="dxa"/>
              <w:right w:w="0" w:type="dxa"/>
            </w:tcMar>
            <w:vAlign w:val="bottom"/>
          </w:tcPr>
          <w:p w14:paraId="185FF9FE"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9FF"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A0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A01"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A02"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A03" w14:textId="77777777" w:rsidR="00A91885" w:rsidRDefault="009C4196">
            <w:pPr>
              <w:jc w:val="right"/>
              <w:textAlignment w:val="bottom"/>
            </w:pPr>
            <w:r>
              <w:rPr>
                <w:rFonts w:ascii="Arial" w:eastAsia="宋体" w:hAnsi="Arial" w:cs="Arial"/>
                <w:color w:val="000000"/>
                <w:sz w:val="18"/>
                <w:szCs w:val="18"/>
              </w:rPr>
              <w:t>10,776 </w:t>
            </w:r>
          </w:p>
        </w:tc>
        <w:tc>
          <w:tcPr>
            <w:tcW w:w="0" w:type="auto"/>
            <w:shd w:val="clear" w:color="auto" w:fill="FFFFFF"/>
            <w:tcMar>
              <w:top w:w="40" w:type="dxa"/>
              <w:left w:w="0" w:type="dxa"/>
              <w:bottom w:w="40" w:type="dxa"/>
              <w:right w:w="20" w:type="dxa"/>
            </w:tcMar>
            <w:vAlign w:val="bottom"/>
          </w:tcPr>
          <w:p w14:paraId="185FFA04" w14:textId="77777777" w:rsidR="00A91885" w:rsidRDefault="00A91885">
            <w:pPr>
              <w:jc w:val="right"/>
              <w:rPr>
                <w:rFonts w:ascii="宋体"/>
              </w:rPr>
            </w:pPr>
          </w:p>
        </w:tc>
      </w:tr>
    </w:tbl>
    <w:p w14:paraId="185FFA06" w14:textId="77777777" w:rsidR="00A91885" w:rsidRDefault="00A91885">
      <w:pPr>
        <w:jc w:val="center"/>
      </w:pPr>
    </w:p>
    <w:p w14:paraId="185FFA07" w14:textId="77777777" w:rsidR="00A91885" w:rsidRDefault="009C4196">
      <w:pPr>
        <w:jc w:val="center"/>
      </w:pPr>
      <w:r>
        <w:rPr>
          <w:rFonts w:ascii="Arial" w:eastAsia="宋体" w:hAnsi="Arial" w:cs="Arial"/>
          <w:color w:val="000000"/>
          <w:sz w:val="18"/>
          <w:szCs w:val="18"/>
        </w:rPr>
        <w:t>The accompanying notes are an integral part of these condensed consolidated financial statements.</w:t>
      </w:r>
    </w:p>
    <w:p w14:paraId="185FFA08" w14:textId="77777777" w:rsidR="00A91885" w:rsidRDefault="00A91885">
      <w:pPr>
        <w:jc w:val="center"/>
      </w:pPr>
    </w:p>
    <w:p w14:paraId="185FFA09" w14:textId="77777777" w:rsidR="00A91885" w:rsidRDefault="00A91885">
      <w:pPr>
        <w:jc w:val="center"/>
      </w:pPr>
    </w:p>
    <w:p w14:paraId="185FFA0A" w14:textId="77777777" w:rsidR="00A91885" w:rsidRDefault="009C4196">
      <w:pPr>
        <w:jc w:val="center"/>
      </w:pPr>
      <w:r>
        <w:rPr>
          <w:rFonts w:ascii="Arial" w:eastAsia="宋体" w:hAnsi="Arial" w:cs="Arial"/>
          <w:color w:val="000000"/>
          <w:sz w:val="20"/>
          <w:szCs w:val="20"/>
        </w:rPr>
        <w:t>9</w:t>
      </w:r>
    </w:p>
    <w:p w14:paraId="185FFA0B" w14:textId="77777777" w:rsidR="00A91885" w:rsidRDefault="009C4196">
      <w:r>
        <w:pict w14:anchorId="1860218C">
          <v:rect id="_x0000_i1033" style="width:415.3pt;height:1.5pt" o:hralign="center" o:hrstd="t" o:hr="t" fillcolor="#a0a0a0" stroked="f"/>
        </w:pict>
      </w:r>
    </w:p>
    <w:p w14:paraId="185FFA0C" w14:textId="77777777" w:rsidR="00A91885" w:rsidRDefault="009C4196">
      <w:hyperlink r:id="rId93" w:anchor="ieb971428a625452486c65ae24899afca_7" w:history="1">
        <w:r>
          <w:rPr>
            <w:rStyle w:val="a5"/>
            <w:rFonts w:ascii="Arial" w:eastAsia="宋体" w:hAnsi="Arial" w:cs="Arial"/>
            <w:sz w:val="18"/>
            <w:szCs w:val="18"/>
          </w:rPr>
          <w:t>Table of Contents</w:t>
        </w:r>
      </w:hyperlink>
    </w:p>
    <w:p w14:paraId="185FFA0D" w14:textId="77777777" w:rsidR="00A91885" w:rsidRDefault="009C4196">
      <w:pPr>
        <w:jc w:val="center"/>
      </w:pPr>
      <w:r>
        <w:rPr>
          <w:rFonts w:ascii="Arial" w:eastAsia="宋体" w:hAnsi="Arial" w:cs="Arial"/>
          <w:b/>
          <w:bCs/>
          <w:color w:val="000000"/>
          <w:sz w:val="20"/>
          <w:szCs w:val="20"/>
        </w:rPr>
        <w:t xml:space="preserve">eBay Inc. </w:t>
      </w:r>
    </w:p>
    <w:p w14:paraId="185FFA0E" w14:textId="77777777" w:rsidR="00A91885" w:rsidRDefault="009C4196">
      <w:pPr>
        <w:spacing w:before="80"/>
        <w:jc w:val="center"/>
      </w:pPr>
      <w:r>
        <w:rPr>
          <w:rFonts w:ascii="Arial" w:eastAsia="宋体" w:hAnsi="Arial" w:cs="Arial"/>
          <w:b/>
          <w:bCs/>
          <w:color w:val="000000"/>
          <w:sz w:val="20"/>
          <w:szCs w:val="20"/>
        </w:rPr>
        <w:t xml:space="preserve">NOTES TO CONDENSED CONSOLIDATED FINANCIAL STATEMENTS </w:t>
      </w:r>
    </w:p>
    <w:p w14:paraId="185FFA0F" w14:textId="77777777" w:rsidR="00A91885" w:rsidRDefault="009C4196">
      <w:pPr>
        <w:jc w:val="center"/>
      </w:pPr>
      <w:r>
        <w:rPr>
          <w:rFonts w:ascii="Arial" w:eastAsia="宋体" w:hAnsi="Arial" w:cs="Arial"/>
          <w:b/>
          <w:bCs/>
          <w:color w:val="000000"/>
          <w:sz w:val="20"/>
          <w:szCs w:val="20"/>
        </w:rPr>
        <w:t>(Unaudited)</w:t>
      </w:r>
    </w:p>
    <w:p w14:paraId="185FFA10" w14:textId="77777777" w:rsidR="00A91885" w:rsidRDefault="00A91885">
      <w:pPr>
        <w:spacing w:before="120"/>
      </w:pPr>
    </w:p>
    <w:p w14:paraId="185FFA11" w14:textId="77777777" w:rsidR="00A91885" w:rsidRDefault="009C4196">
      <w:pPr>
        <w:jc w:val="both"/>
      </w:pPr>
      <w:r>
        <w:rPr>
          <w:rFonts w:ascii="Arial" w:eastAsia="宋体" w:hAnsi="Arial" w:cs="Arial"/>
          <w:b/>
          <w:bCs/>
          <w:color w:val="000000"/>
          <w:sz w:val="20"/>
          <w:szCs w:val="20"/>
        </w:rPr>
        <w:t>Note 1 </w:t>
      </w:r>
      <w:r>
        <w:rPr>
          <w:rFonts w:ascii="Arial" w:eastAsia="宋体" w:hAnsi="Arial" w:cs="Arial"/>
          <w:b/>
          <w:bCs/>
          <w:color w:val="000000"/>
          <w:sz w:val="20"/>
          <w:szCs w:val="20"/>
        </w:rPr>
        <w:t xml:space="preserve">— The Company and Summary of Significant Accounting Policies </w:t>
      </w:r>
    </w:p>
    <w:p w14:paraId="185FFA12" w14:textId="77777777" w:rsidR="00A91885" w:rsidRDefault="00A91885">
      <w:pPr>
        <w:jc w:val="both"/>
      </w:pPr>
    </w:p>
    <w:p w14:paraId="185FFA13" w14:textId="77777777" w:rsidR="00A91885" w:rsidRDefault="009C4196">
      <w:pPr>
        <w:ind w:firstLine="270"/>
        <w:jc w:val="both"/>
      </w:pPr>
      <w:r>
        <w:rPr>
          <w:rFonts w:ascii="Arial" w:eastAsia="宋体" w:hAnsi="Arial" w:cs="Arial"/>
          <w:b/>
          <w:bCs/>
          <w:i/>
          <w:iCs/>
          <w:color w:val="000000"/>
          <w:sz w:val="20"/>
          <w:szCs w:val="20"/>
        </w:rPr>
        <w:t xml:space="preserve">The Company </w:t>
      </w:r>
    </w:p>
    <w:p w14:paraId="185FFA14" w14:textId="77777777" w:rsidR="00A91885" w:rsidRDefault="00A91885">
      <w:pPr>
        <w:jc w:val="both"/>
      </w:pPr>
    </w:p>
    <w:p w14:paraId="185FFA15" w14:textId="77777777" w:rsidR="00A91885" w:rsidRDefault="009C4196">
      <w:pPr>
        <w:ind w:firstLine="540"/>
        <w:jc w:val="both"/>
      </w:pPr>
      <w:r>
        <w:rPr>
          <w:rFonts w:ascii="Arial" w:eastAsia="宋体" w:hAnsi="Arial" w:cs="Arial"/>
          <w:color w:val="000000"/>
          <w:sz w:val="20"/>
          <w:szCs w:val="20"/>
        </w:rPr>
        <w:t>eBay Inc. is a global commerce leader, which includes our Marketplace platforms. Founded in 1995 in San Jose, California, eBay is one of the world’s largest and most vibrant marke</w:t>
      </w:r>
      <w:r>
        <w:rPr>
          <w:rFonts w:ascii="Arial" w:eastAsia="宋体" w:hAnsi="Arial" w:cs="Arial"/>
          <w:color w:val="000000"/>
          <w:sz w:val="20"/>
          <w:szCs w:val="20"/>
        </w:rPr>
        <w:t>tplaces for discovering great value and unique selection. Collectively, we connect millions of buyers and sellers around the world, empowering people and creating opportunity for all. Our technologies and services are designed to give buyers choice and a b</w:t>
      </w:r>
      <w:r>
        <w:rPr>
          <w:rFonts w:ascii="Arial" w:eastAsia="宋体" w:hAnsi="Arial" w:cs="Arial"/>
          <w:color w:val="000000"/>
          <w:sz w:val="20"/>
          <w:szCs w:val="20"/>
        </w:rPr>
        <w:t>readth of relevant inventory and to enable sellers worldwide to organize and offer their inventory for sale, virtually anytime and anywhere. </w:t>
      </w:r>
    </w:p>
    <w:p w14:paraId="185FFA16" w14:textId="77777777" w:rsidR="00A91885" w:rsidRDefault="00A91885">
      <w:pPr>
        <w:ind w:firstLine="540"/>
        <w:jc w:val="both"/>
      </w:pPr>
    </w:p>
    <w:p w14:paraId="185FFA17" w14:textId="77777777" w:rsidR="00A91885" w:rsidRDefault="009C4196">
      <w:pPr>
        <w:ind w:firstLine="540"/>
        <w:jc w:val="both"/>
      </w:pPr>
      <w:r>
        <w:rPr>
          <w:rFonts w:ascii="Arial" w:eastAsia="宋体" w:hAnsi="Arial" w:cs="Arial"/>
          <w:color w:val="000000"/>
          <w:sz w:val="20"/>
          <w:szCs w:val="20"/>
        </w:rPr>
        <w:t>When we refer to “we,” “our,” “us,” the “Company” or “eBay” in this Quarterly Report on Form 10-Q, we mean the cu</w:t>
      </w:r>
      <w:r>
        <w:rPr>
          <w:rFonts w:ascii="Arial" w:eastAsia="宋体" w:hAnsi="Arial" w:cs="Arial"/>
          <w:color w:val="000000"/>
          <w:sz w:val="20"/>
          <w:szCs w:val="20"/>
        </w:rPr>
        <w:t>rrent Delaware corporation (eBay Inc.) and its consolidated subsidiaries, unless otherwise expressly stated or the context otherwise requires.</w:t>
      </w:r>
    </w:p>
    <w:p w14:paraId="185FFA18" w14:textId="77777777" w:rsidR="00A91885" w:rsidRDefault="00A91885">
      <w:pPr>
        <w:ind w:firstLine="540"/>
        <w:jc w:val="both"/>
      </w:pPr>
    </w:p>
    <w:p w14:paraId="185FFA19" w14:textId="77777777" w:rsidR="00A91885" w:rsidRDefault="009C4196">
      <w:pPr>
        <w:ind w:firstLine="270"/>
      </w:pPr>
      <w:r>
        <w:rPr>
          <w:rFonts w:ascii="Arial" w:eastAsia="宋体" w:hAnsi="Arial" w:cs="Arial"/>
          <w:b/>
          <w:bCs/>
          <w:i/>
          <w:iCs/>
          <w:color w:val="000000"/>
          <w:sz w:val="20"/>
          <w:szCs w:val="20"/>
        </w:rPr>
        <w:t xml:space="preserve">Use of Estimates </w:t>
      </w:r>
    </w:p>
    <w:p w14:paraId="185FFA1A" w14:textId="77777777" w:rsidR="00A91885" w:rsidRDefault="00A91885">
      <w:pPr>
        <w:jc w:val="both"/>
      </w:pPr>
    </w:p>
    <w:p w14:paraId="185FFA1B" w14:textId="77777777" w:rsidR="00A91885" w:rsidRDefault="009C4196">
      <w:pPr>
        <w:ind w:firstLine="540"/>
        <w:jc w:val="both"/>
      </w:pPr>
      <w:r>
        <w:rPr>
          <w:rFonts w:ascii="Arial" w:eastAsia="宋体" w:hAnsi="Arial" w:cs="Arial"/>
          <w:color w:val="000000"/>
          <w:sz w:val="20"/>
          <w:szCs w:val="20"/>
        </w:rPr>
        <w:t>The preparation of condensed consolidated financial statements in conformity with U.S. generally accepted accounting principles (“GAAP”) requires management to make estimates and assumptions that affect the reported amounts of assets and liabilities and di</w:t>
      </w:r>
      <w:r>
        <w:rPr>
          <w:rFonts w:ascii="Arial" w:eastAsia="宋体" w:hAnsi="Arial" w:cs="Arial"/>
          <w:color w:val="000000"/>
          <w:sz w:val="20"/>
          <w:szCs w:val="20"/>
        </w:rPr>
        <w:t>sclosure of contingent assets and liabilities at the date of the condensed consolidated financial statements and the reported amounts of revenues and expenses during the reporting period. On an ongoing basis, we evaluate our estimates, including those rela</w:t>
      </w:r>
      <w:r>
        <w:rPr>
          <w:rFonts w:ascii="Arial" w:eastAsia="宋体" w:hAnsi="Arial" w:cs="Arial"/>
          <w:color w:val="000000"/>
          <w:sz w:val="20"/>
          <w:szCs w:val="20"/>
        </w:rPr>
        <w:t xml:space="preserve">ted to provisions for transaction losses, legal contingencies, income taxes, revenue recognition, stock-based compensation, investments including level 3 investments in Gmarket and warrant, the recoverability of goodwill and intangible assets. We base our </w:t>
      </w:r>
      <w:r>
        <w:rPr>
          <w:rFonts w:ascii="Arial" w:eastAsia="宋体" w:hAnsi="Arial" w:cs="Arial"/>
          <w:color w:val="000000"/>
          <w:sz w:val="20"/>
          <w:szCs w:val="20"/>
        </w:rPr>
        <w:t xml:space="preserve">estimates on historical experience and on various other assumptions that we believe to be reasonable under the circumstances. Actual results could differ from those estimates. </w:t>
      </w:r>
    </w:p>
    <w:p w14:paraId="185FFA1C" w14:textId="77777777" w:rsidR="00A91885" w:rsidRDefault="00A91885">
      <w:pPr>
        <w:jc w:val="both"/>
      </w:pPr>
    </w:p>
    <w:p w14:paraId="185FFA1D" w14:textId="77777777" w:rsidR="00A91885" w:rsidRDefault="009C4196">
      <w:pPr>
        <w:ind w:firstLine="270"/>
        <w:jc w:val="both"/>
      </w:pPr>
      <w:r>
        <w:rPr>
          <w:rFonts w:ascii="Arial" w:eastAsia="宋体" w:hAnsi="Arial" w:cs="Arial"/>
          <w:b/>
          <w:bCs/>
          <w:i/>
          <w:iCs/>
          <w:color w:val="000000"/>
          <w:sz w:val="20"/>
          <w:szCs w:val="20"/>
        </w:rPr>
        <w:t xml:space="preserve">Principles of Consolidation and Basis of Presentation </w:t>
      </w:r>
    </w:p>
    <w:p w14:paraId="185FFA1E" w14:textId="77777777" w:rsidR="00A91885" w:rsidRDefault="00A91885">
      <w:pPr>
        <w:jc w:val="both"/>
      </w:pPr>
    </w:p>
    <w:p w14:paraId="185FFA1F" w14:textId="77777777" w:rsidR="00A91885" w:rsidRDefault="009C4196">
      <w:pPr>
        <w:ind w:firstLine="540"/>
        <w:jc w:val="both"/>
      </w:pPr>
      <w:r>
        <w:rPr>
          <w:rFonts w:ascii="Arial" w:eastAsia="宋体" w:hAnsi="Arial" w:cs="Arial"/>
          <w:color w:val="000000"/>
          <w:sz w:val="20"/>
          <w:szCs w:val="20"/>
        </w:rPr>
        <w:t>The accompanying conde</w:t>
      </w:r>
      <w:r>
        <w:rPr>
          <w:rFonts w:ascii="Arial" w:eastAsia="宋体" w:hAnsi="Arial" w:cs="Arial"/>
          <w:color w:val="000000"/>
          <w:sz w:val="20"/>
          <w:szCs w:val="20"/>
        </w:rPr>
        <w:t>nsed financial statements are consolidated and include the financial statements of eBay Inc., our wholly and majority-owned subsidiaries and variable interest entities (“VIE”) where we are the primary beneficiary. All intercompany balances and transactions</w:t>
      </w:r>
      <w:r>
        <w:rPr>
          <w:rFonts w:ascii="Arial" w:eastAsia="宋体" w:hAnsi="Arial" w:cs="Arial"/>
          <w:color w:val="000000"/>
          <w:sz w:val="20"/>
          <w:szCs w:val="20"/>
        </w:rPr>
        <w:t xml:space="preserve"> have been eliminated in consolidation. Minority interests are recorded as a noncontrolling interest. A qualitative approach is applied to assess the consolidation requirement for VIE’s. Equity investments in entities where we have not elected the fair val</w:t>
      </w:r>
      <w:r>
        <w:rPr>
          <w:rFonts w:ascii="Arial" w:eastAsia="宋体" w:hAnsi="Arial" w:cs="Arial"/>
          <w:color w:val="000000"/>
          <w:sz w:val="20"/>
          <w:szCs w:val="20"/>
        </w:rPr>
        <w:t>ue option and where we hold at least a 20% ownership interest or have the ability to exercise significant influence, but not control, over the investee are accounted for using the equity method of accounting. For such investments, our share of the investee</w:t>
      </w:r>
      <w:r>
        <w:rPr>
          <w:rFonts w:ascii="Arial" w:eastAsia="宋体" w:hAnsi="Arial" w:cs="Arial"/>
          <w:color w:val="000000"/>
          <w:sz w:val="20"/>
          <w:szCs w:val="20"/>
        </w:rPr>
        <w:t>s’ results of operations is included in gain (loss) on equity investments and warrant, net and our equity investment balance is included in long-term investments. Equity investments in entities where we hold less than a 20% ownership interest are generally</w:t>
      </w:r>
      <w:r>
        <w:rPr>
          <w:rFonts w:ascii="Arial" w:eastAsia="宋体" w:hAnsi="Arial" w:cs="Arial"/>
          <w:color w:val="000000"/>
          <w:sz w:val="20"/>
          <w:szCs w:val="20"/>
        </w:rPr>
        <w:t xml:space="preserve"> accounted for as equity investments to be measured at fair value or, under an election, at cost if it does not have readily determinable fair value, in which case the carrying value would be adjusted upon the occurrence of an observable price change in an</w:t>
      </w:r>
      <w:r>
        <w:rPr>
          <w:rFonts w:ascii="Arial" w:eastAsia="宋体" w:hAnsi="Arial" w:cs="Arial"/>
          <w:color w:val="000000"/>
          <w:sz w:val="20"/>
          <w:szCs w:val="20"/>
        </w:rPr>
        <w:t xml:space="preserve"> orderly transaction for identical or similar instruments or impairment. </w:t>
      </w:r>
    </w:p>
    <w:p w14:paraId="185FFA20" w14:textId="77777777" w:rsidR="00A91885" w:rsidRDefault="00A91885">
      <w:pPr>
        <w:ind w:firstLine="540"/>
        <w:jc w:val="both"/>
      </w:pPr>
    </w:p>
    <w:p w14:paraId="185FFA21" w14:textId="77777777" w:rsidR="00A91885" w:rsidRDefault="009C4196">
      <w:pPr>
        <w:ind w:firstLine="540"/>
        <w:jc w:val="both"/>
      </w:pPr>
      <w:r>
        <w:rPr>
          <w:rFonts w:ascii="Arial" w:eastAsia="宋体" w:hAnsi="Arial" w:cs="Arial"/>
          <w:color w:val="000000"/>
          <w:sz w:val="20"/>
          <w:szCs w:val="20"/>
        </w:rPr>
        <w:t>Upon the transfer of our Classifieds business to Adevinta ASA (“Adevinta”) on June 24, 2021, shares in Adevinta were included as part of total consideration received under the defin</w:t>
      </w:r>
      <w:r>
        <w:rPr>
          <w:rFonts w:ascii="Arial" w:eastAsia="宋体" w:hAnsi="Arial" w:cs="Arial"/>
          <w:color w:val="000000"/>
          <w:sz w:val="20"/>
          <w:szCs w:val="20"/>
        </w:rPr>
        <w:t>itive agreement. The equity interest in Adevinta is accounted for under the fair value option. As of June 30, 2022, our ownership in Adevinta was 33%. Subsequent changes in fair value are included in gain (loss) on equity investments and warrant, net.</w:t>
      </w:r>
    </w:p>
    <w:p w14:paraId="185FFA22" w14:textId="77777777" w:rsidR="00A91885" w:rsidRDefault="00A91885">
      <w:pPr>
        <w:ind w:firstLine="540"/>
        <w:jc w:val="both"/>
      </w:pPr>
    </w:p>
    <w:p w14:paraId="185FFA23" w14:textId="77777777" w:rsidR="00A91885" w:rsidRDefault="009C4196">
      <w:pPr>
        <w:ind w:firstLine="540"/>
        <w:jc w:val="both"/>
      </w:pPr>
      <w:r>
        <w:rPr>
          <w:rFonts w:ascii="Arial" w:eastAsia="宋体" w:hAnsi="Arial" w:cs="Arial"/>
          <w:color w:val="000000"/>
          <w:sz w:val="20"/>
          <w:szCs w:val="20"/>
        </w:rPr>
        <w:t>Additionally, upon completion of the sale of 80.01% of the outstanding equity interests of eBay Korea LLC, a limited liability company incorporated under the laws of Korea and a wholly owned subsidiary of eBay KTA (“eBay Korea”) to E-mart Inc. and one of i</w:t>
      </w:r>
      <w:r>
        <w:rPr>
          <w:rFonts w:ascii="Arial" w:eastAsia="宋体" w:hAnsi="Arial" w:cs="Arial"/>
          <w:color w:val="000000"/>
          <w:sz w:val="20"/>
          <w:szCs w:val="20"/>
        </w:rPr>
        <w:t>ts wholly owned subsidiaries (together, “Emart”) on November 14, 2021, we retained 19.99% of the outstanding equity interests of the new entity, Gmarket Global LLC (“Gmarket”) formerly known as Apollo Korea, which is accounted for under the fair value opti</w:t>
      </w:r>
      <w:r>
        <w:rPr>
          <w:rFonts w:ascii="Arial" w:eastAsia="宋体" w:hAnsi="Arial" w:cs="Arial"/>
          <w:color w:val="000000"/>
          <w:sz w:val="20"/>
          <w:szCs w:val="20"/>
        </w:rPr>
        <w:t>on. Subsequent changes in fair value are included in gain (loss) on equity investments and warrant, net and our equity investment balance is included in long-term investments.</w:t>
      </w:r>
    </w:p>
    <w:p w14:paraId="185FFA24" w14:textId="77777777" w:rsidR="00A91885" w:rsidRDefault="00A91885">
      <w:pPr>
        <w:jc w:val="center"/>
      </w:pPr>
    </w:p>
    <w:p w14:paraId="185FFA25" w14:textId="77777777" w:rsidR="00A91885" w:rsidRDefault="009C4196">
      <w:pPr>
        <w:jc w:val="center"/>
      </w:pPr>
      <w:r>
        <w:rPr>
          <w:rFonts w:ascii="Arial" w:eastAsia="宋体" w:hAnsi="Arial" w:cs="Arial"/>
          <w:color w:val="000000"/>
          <w:sz w:val="20"/>
          <w:szCs w:val="20"/>
        </w:rPr>
        <w:t>10</w:t>
      </w:r>
    </w:p>
    <w:p w14:paraId="185FFA26" w14:textId="77777777" w:rsidR="00A91885" w:rsidRDefault="009C4196">
      <w:r>
        <w:pict w14:anchorId="1860218D">
          <v:rect id="_x0000_i1034" style="width:415.3pt;height:1.5pt" o:hralign="center" o:hrstd="t" o:hr="t" fillcolor="#a0a0a0" stroked="f"/>
        </w:pict>
      </w:r>
    </w:p>
    <w:p w14:paraId="185FFA27" w14:textId="77777777" w:rsidR="00A91885" w:rsidRDefault="009C4196">
      <w:hyperlink r:id="rId94" w:anchor="ieb971428a625452486c65ae24899afca_7" w:history="1">
        <w:r>
          <w:rPr>
            <w:rStyle w:val="a5"/>
            <w:rFonts w:ascii="Arial" w:eastAsia="宋体" w:hAnsi="Arial" w:cs="Arial"/>
            <w:sz w:val="18"/>
            <w:szCs w:val="18"/>
          </w:rPr>
          <w:t>Table of Contents</w:t>
        </w:r>
      </w:hyperlink>
    </w:p>
    <w:p w14:paraId="185FFA28" w14:textId="77777777" w:rsidR="00A91885" w:rsidRDefault="009C4196">
      <w:pPr>
        <w:jc w:val="center"/>
      </w:pPr>
      <w:r>
        <w:rPr>
          <w:rFonts w:ascii="Arial" w:eastAsia="宋体" w:hAnsi="Arial" w:cs="Arial"/>
          <w:b/>
          <w:bCs/>
          <w:color w:val="000000"/>
          <w:sz w:val="20"/>
          <w:szCs w:val="20"/>
        </w:rPr>
        <w:t>eBay Inc.</w:t>
      </w:r>
    </w:p>
    <w:p w14:paraId="185FFA29"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5FFA2A" w14:textId="77777777" w:rsidR="00A91885" w:rsidRDefault="00A91885">
      <w:pPr>
        <w:ind w:firstLine="540"/>
        <w:jc w:val="both"/>
      </w:pPr>
    </w:p>
    <w:p w14:paraId="185FFA2B" w14:textId="77777777" w:rsidR="00A91885" w:rsidRDefault="009C4196">
      <w:pPr>
        <w:ind w:firstLine="540"/>
        <w:jc w:val="both"/>
      </w:pPr>
      <w:r>
        <w:rPr>
          <w:rFonts w:ascii="Arial" w:eastAsia="宋体" w:hAnsi="Arial" w:cs="Arial"/>
          <w:color w:val="000000"/>
          <w:sz w:val="20"/>
          <w:szCs w:val="20"/>
        </w:rPr>
        <w:t xml:space="preserve">These condensed consolidated financial statements and accompanying notes should be </w:t>
      </w:r>
      <w:r>
        <w:rPr>
          <w:rFonts w:ascii="Arial" w:eastAsia="宋体" w:hAnsi="Arial" w:cs="Arial"/>
          <w:color w:val="000000"/>
          <w:sz w:val="20"/>
          <w:szCs w:val="20"/>
        </w:rPr>
        <w:t>read in conjunction with the audited consolidated financial statements and accompanying notes included in our Annual Report on Form 10-K for the year ended December 31, 2021. We have evaluated all subsequent events through the date these condensed consolid</w:t>
      </w:r>
      <w:r>
        <w:rPr>
          <w:rFonts w:ascii="Arial" w:eastAsia="宋体" w:hAnsi="Arial" w:cs="Arial"/>
          <w:color w:val="000000"/>
          <w:sz w:val="20"/>
          <w:szCs w:val="20"/>
        </w:rPr>
        <w:t>ated financial statements were issued. In the opinion of management, these condensed consolidated financial statements reflect all adjustments, consisting only of normal recurring adjustments, which are necessary for the fair statement of the condensed con</w:t>
      </w:r>
      <w:r>
        <w:rPr>
          <w:rFonts w:ascii="Arial" w:eastAsia="宋体" w:hAnsi="Arial" w:cs="Arial"/>
          <w:color w:val="000000"/>
          <w:sz w:val="20"/>
          <w:szCs w:val="20"/>
        </w:rPr>
        <w:t xml:space="preserve">solidated financial position, results of operations and cash flows for these interim periods. </w:t>
      </w:r>
    </w:p>
    <w:p w14:paraId="185FFA2C" w14:textId="77777777" w:rsidR="00A91885" w:rsidRDefault="00A91885">
      <w:pPr>
        <w:ind w:firstLine="540"/>
        <w:jc w:val="both"/>
      </w:pPr>
    </w:p>
    <w:p w14:paraId="185FFA2D" w14:textId="77777777" w:rsidR="00A91885" w:rsidRDefault="009C4196">
      <w:pPr>
        <w:ind w:firstLine="270"/>
        <w:jc w:val="both"/>
      </w:pPr>
      <w:r>
        <w:rPr>
          <w:rFonts w:ascii="Arial" w:eastAsia="宋体" w:hAnsi="Arial" w:cs="Arial"/>
          <w:b/>
          <w:bCs/>
          <w:i/>
          <w:iCs/>
          <w:color w:val="000000"/>
          <w:sz w:val="20"/>
          <w:szCs w:val="20"/>
        </w:rPr>
        <w:t>Significant Accounting Policies</w:t>
      </w:r>
    </w:p>
    <w:p w14:paraId="185FFA2E" w14:textId="77777777" w:rsidR="00A91885" w:rsidRDefault="00A91885">
      <w:pPr>
        <w:ind w:firstLine="540"/>
        <w:jc w:val="both"/>
      </w:pPr>
    </w:p>
    <w:p w14:paraId="185FFA2F" w14:textId="77777777" w:rsidR="00A91885" w:rsidRDefault="009C4196">
      <w:pPr>
        <w:ind w:firstLine="540"/>
        <w:jc w:val="both"/>
      </w:pPr>
      <w:r>
        <w:rPr>
          <w:rFonts w:ascii="Arial" w:eastAsia="宋体" w:hAnsi="Arial" w:cs="Arial"/>
          <w:color w:val="000000"/>
          <w:sz w:val="20"/>
          <w:szCs w:val="20"/>
        </w:rPr>
        <w:t>The</w:t>
      </w:r>
      <w:r>
        <w:rPr>
          <w:rFonts w:ascii="Arial" w:eastAsia="宋体" w:hAnsi="Arial" w:cs="Arial"/>
          <w:color w:val="000000"/>
          <w:sz w:val="20"/>
          <w:szCs w:val="20"/>
          <w:shd w:val="clear" w:color="auto" w:fill="FFFFFF"/>
        </w:rPr>
        <w:t xml:space="preserve">re were no significant changes to our significant accounting policies disclosed in “Note 1 </w:t>
      </w:r>
      <w:r>
        <w:rPr>
          <w:rFonts w:ascii="Arial" w:eastAsia="宋体" w:hAnsi="Arial" w:cs="Arial"/>
          <w:color w:val="000000"/>
          <w:sz w:val="20"/>
          <w:szCs w:val="20"/>
        </w:rPr>
        <w:t>—</w:t>
      </w:r>
      <w:r>
        <w:rPr>
          <w:rFonts w:ascii="Arial" w:eastAsia="宋体" w:hAnsi="Arial" w:cs="Arial"/>
          <w:color w:val="000000"/>
          <w:sz w:val="20"/>
          <w:szCs w:val="20"/>
          <w:shd w:val="clear" w:color="auto" w:fill="FFFFFF"/>
        </w:rPr>
        <w:t xml:space="preserve"> The Company and Summary of Sign</w:t>
      </w:r>
      <w:r>
        <w:rPr>
          <w:rFonts w:ascii="Arial" w:eastAsia="宋体" w:hAnsi="Arial" w:cs="Arial"/>
          <w:color w:val="000000"/>
          <w:sz w:val="20"/>
          <w:szCs w:val="20"/>
          <w:shd w:val="clear" w:color="auto" w:fill="FFFFFF"/>
        </w:rPr>
        <w:t xml:space="preserve">ificant Accounting Policies” of our Annual Report on Form 10-K for the year ended </w:t>
      </w:r>
      <w:r>
        <w:rPr>
          <w:rFonts w:ascii="Arial" w:eastAsia="宋体" w:hAnsi="Arial" w:cs="Arial"/>
          <w:color w:val="000000"/>
          <w:sz w:val="20"/>
          <w:szCs w:val="20"/>
        </w:rPr>
        <w:t>December 31, 2021</w:t>
      </w:r>
      <w:r>
        <w:rPr>
          <w:rFonts w:ascii="Arial" w:eastAsia="宋体" w:hAnsi="Arial" w:cs="Arial"/>
          <w:color w:val="000000"/>
          <w:sz w:val="20"/>
          <w:szCs w:val="20"/>
          <w:shd w:val="clear" w:color="auto" w:fill="FFFFFF"/>
        </w:rPr>
        <w:t xml:space="preserve">. </w:t>
      </w:r>
    </w:p>
    <w:p w14:paraId="185FFA30" w14:textId="77777777" w:rsidR="00A91885" w:rsidRDefault="00A91885">
      <w:pPr>
        <w:ind w:firstLine="540"/>
        <w:jc w:val="both"/>
      </w:pPr>
    </w:p>
    <w:p w14:paraId="185FFA31" w14:textId="77777777" w:rsidR="00A91885" w:rsidRDefault="009C4196">
      <w:pPr>
        <w:ind w:firstLine="270"/>
      </w:pPr>
      <w:r>
        <w:rPr>
          <w:rFonts w:ascii="Arial" w:eastAsia="宋体" w:hAnsi="Arial" w:cs="Arial"/>
          <w:b/>
          <w:bCs/>
          <w:i/>
          <w:iCs/>
          <w:color w:val="000000"/>
          <w:sz w:val="20"/>
          <w:szCs w:val="20"/>
        </w:rPr>
        <w:t>Recent Accounting Pronouncements Not Yet Adopted</w:t>
      </w:r>
    </w:p>
    <w:p w14:paraId="185FFA32" w14:textId="77777777" w:rsidR="00A91885" w:rsidRDefault="00A91885">
      <w:pPr>
        <w:ind w:firstLine="540"/>
        <w:jc w:val="both"/>
      </w:pPr>
    </w:p>
    <w:p w14:paraId="185FFA33" w14:textId="77777777" w:rsidR="00A91885" w:rsidRDefault="009C4196">
      <w:pPr>
        <w:ind w:firstLine="540"/>
        <w:jc w:val="both"/>
      </w:pPr>
      <w:r>
        <w:rPr>
          <w:rFonts w:ascii="Arial" w:eastAsia="宋体" w:hAnsi="Arial" w:cs="Arial"/>
          <w:color w:val="000000"/>
          <w:sz w:val="20"/>
          <w:szCs w:val="20"/>
          <w:shd w:val="clear" w:color="auto" w:fill="FFFFFF"/>
        </w:rPr>
        <w:t xml:space="preserve">In March 2022, the FASB issued new guidance to expand the scope of financial assets that can be </w:t>
      </w:r>
      <w:r>
        <w:rPr>
          <w:rFonts w:ascii="Arial" w:eastAsia="宋体" w:hAnsi="Arial" w:cs="Arial"/>
          <w:color w:val="000000"/>
          <w:sz w:val="20"/>
          <w:szCs w:val="20"/>
          <w:shd w:val="clear" w:color="auto" w:fill="FFFFFF"/>
        </w:rPr>
        <w:t>included in a closed portfolio hedged using the portfolio layer method to allow consistent accounting for similar hedges. The expanded scope permits the application of the same portfolio hedging method to both prepayable and nonprepayable financial assets.</w:t>
      </w:r>
      <w:r>
        <w:rPr>
          <w:rFonts w:ascii="Arial" w:eastAsia="宋体" w:hAnsi="Arial" w:cs="Arial"/>
          <w:color w:val="000000"/>
          <w:sz w:val="20"/>
          <w:szCs w:val="20"/>
          <w:shd w:val="clear" w:color="auto" w:fill="FFFFFF"/>
        </w:rPr>
        <w:t xml:space="preserve"> The standard will be effective for annual reporting periods beginning after December 15, 2022, including interim reporting periods within those fiscal years. We do not expect the adoption of this standard to have a material impact on our consolidated fina</w:t>
      </w:r>
      <w:r>
        <w:rPr>
          <w:rFonts w:ascii="Arial" w:eastAsia="宋体" w:hAnsi="Arial" w:cs="Arial"/>
          <w:color w:val="000000"/>
          <w:sz w:val="20"/>
          <w:szCs w:val="20"/>
          <w:shd w:val="clear" w:color="auto" w:fill="FFFFFF"/>
        </w:rPr>
        <w:t>ncial statements.</w:t>
      </w:r>
    </w:p>
    <w:p w14:paraId="185FFA34" w14:textId="77777777" w:rsidR="00A91885" w:rsidRDefault="00A91885">
      <w:pPr>
        <w:ind w:firstLine="540"/>
        <w:jc w:val="both"/>
      </w:pPr>
    </w:p>
    <w:p w14:paraId="185FFA35" w14:textId="77777777" w:rsidR="00A91885" w:rsidRDefault="009C4196">
      <w:pPr>
        <w:ind w:firstLine="540"/>
        <w:jc w:val="both"/>
      </w:pPr>
      <w:r>
        <w:rPr>
          <w:rFonts w:ascii="Arial" w:eastAsia="宋体" w:hAnsi="Arial" w:cs="Arial"/>
          <w:color w:val="000000"/>
          <w:sz w:val="20"/>
          <w:szCs w:val="20"/>
          <w:shd w:val="clear" w:color="auto" w:fill="FFFFFF"/>
        </w:rPr>
        <w:t>In June 2022, the Financial Accounting Standards Board (“FASB”) issued new guidance to clarify the fair value measurement guidance for equity securities subject to contractual restrictions that prohibit the sale of an equity security. Fu</w:t>
      </w:r>
      <w:r>
        <w:rPr>
          <w:rFonts w:ascii="Arial" w:eastAsia="宋体" w:hAnsi="Arial" w:cs="Arial"/>
          <w:color w:val="000000"/>
          <w:sz w:val="20"/>
          <w:szCs w:val="20"/>
          <w:shd w:val="clear" w:color="auto" w:fill="FFFFFF"/>
        </w:rPr>
        <w:t>rther, the guidance introduces new disclosure requirements for equity securities subject to contractual sale restrictions that are measured at fair value. The standard will be effective for annual reporting periods beginning after December 15, 2023, includ</w:t>
      </w:r>
      <w:r>
        <w:rPr>
          <w:rFonts w:ascii="Arial" w:eastAsia="宋体" w:hAnsi="Arial" w:cs="Arial"/>
          <w:color w:val="000000"/>
          <w:sz w:val="20"/>
          <w:szCs w:val="20"/>
          <w:shd w:val="clear" w:color="auto" w:fill="FFFFFF"/>
        </w:rPr>
        <w:t>ing interim reporting periods within those fiscal years. We do not expect the adoption of this standard to have a material impact on our consolidated financial statements.</w:t>
      </w:r>
    </w:p>
    <w:p w14:paraId="185FFA36" w14:textId="77777777" w:rsidR="00A91885" w:rsidRDefault="00A91885">
      <w:pPr>
        <w:jc w:val="center"/>
      </w:pPr>
    </w:p>
    <w:p w14:paraId="185FFA37" w14:textId="77777777" w:rsidR="00A91885" w:rsidRDefault="009C4196">
      <w:pPr>
        <w:jc w:val="center"/>
      </w:pPr>
      <w:r>
        <w:rPr>
          <w:rFonts w:ascii="Arial" w:eastAsia="宋体" w:hAnsi="Arial" w:cs="Arial"/>
          <w:color w:val="000000"/>
          <w:sz w:val="20"/>
          <w:szCs w:val="20"/>
        </w:rPr>
        <w:t>11</w:t>
      </w:r>
    </w:p>
    <w:p w14:paraId="185FFA38" w14:textId="77777777" w:rsidR="00A91885" w:rsidRDefault="009C4196">
      <w:r>
        <w:pict w14:anchorId="1860218E">
          <v:rect id="_x0000_i1035" style="width:415.3pt;height:1.5pt" o:hralign="center" o:hrstd="t" o:hr="t" fillcolor="#a0a0a0" stroked="f"/>
        </w:pict>
      </w:r>
    </w:p>
    <w:p w14:paraId="185FFA39" w14:textId="77777777" w:rsidR="00A91885" w:rsidRDefault="009C4196">
      <w:hyperlink r:id="rId95" w:anchor="ieb971428a625452486c65ae24899afca_7" w:history="1">
        <w:r>
          <w:rPr>
            <w:rStyle w:val="a5"/>
            <w:rFonts w:ascii="Arial" w:eastAsia="宋体" w:hAnsi="Arial" w:cs="Arial"/>
            <w:sz w:val="18"/>
            <w:szCs w:val="18"/>
          </w:rPr>
          <w:t>Table of Contents</w:t>
        </w:r>
      </w:hyperlink>
    </w:p>
    <w:p w14:paraId="185FFA3A" w14:textId="77777777" w:rsidR="00A91885" w:rsidRDefault="009C4196">
      <w:pPr>
        <w:jc w:val="center"/>
      </w:pPr>
      <w:r>
        <w:rPr>
          <w:rFonts w:ascii="Arial" w:eastAsia="宋体" w:hAnsi="Arial" w:cs="Arial"/>
          <w:b/>
          <w:bCs/>
          <w:color w:val="000000"/>
          <w:sz w:val="20"/>
          <w:szCs w:val="20"/>
        </w:rPr>
        <w:t>eBay Inc.</w:t>
      </w:r>
    </w:p>
    <w:p w14:paraId="185FFA3B"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5FFA3C" w14:textId="77777777" w:rsidR="00A91885" w:rsidRDefault="009C4196">
      <w:r>
        <w:rPr>
          <w:rFonts w:ascii="Arial" w:eastAsia="宋体" w:hAnsi="Arial" w:cs="Arial"/>
          <w:b/>
          <w:bCs/>
          <w:color w:val="000000"/>
          <w:sz w:val="20"/>
          <w:szCs w:val="20"/>
        </w:rPr>
        <w:t>Note 2 — Net Income (Loss) Per Share</w:t>
      </w:r>
    </w:p>
    <w:p w14:paraId="185FFA3D" w14:textId="77777777" w:rsidR="00A91885" w:rsidRDefault="00A91885"/>
    <w:p w14:paraId="185FFA3E" w14:textId="77777777" w:rsidR="00A91885" w:rsidRDefault="009C4196">
      <w:pPr>
        <w:spacing w:after="60"/>
        <w:ind w:firstLine="540"/>
        <w:jc w:val="both"/>
      </w:pPr>
      <w:r>
        <w:rPr>
          <w:rFonts w:ascii="Arial" w:eastAsia="宋体" w:hAnsi="Arial" w:cs="Arial"/>
          <w:color w:val="000000"/>
          <w:sz w:val="20"/>
          <w:szCs w:val="20"/>
        </w:rPr>
        <w:t xml:space="preserve">Basic net income (loss) per share is computed by dividing net income (loss) for the period by the weighted average number of common shares outstanding during the period. Diluted net income (loss) per share is computed by dividing net income (loss) for the </w:t>
      </w:r>
      <w:r>
        <w:rPr>
          <w:rFonts w:ascii="Arial" w:eastAsia="宋体" w:hAnsi="Arial" w:cs="Arial"/>
          <w:color w:val="000000"/>
          <w:sz w:val="20"/>
          <w:szCs w:val="20"/>
        </w:rPr>
        <w:t xml:space="preserve">period by the weighted average number of shares of common stock and potentially dilutive common stock outstanding during the period. The dilutive effect of outstanding options and equity incentive awards is reflected in diluted net income (loss) per share </w:t>
      </w:r>
      <w:r>
        <w:rPr>
          <w:rFonts w:ascii="Arial" w:eastAsia="宋体" w:hAnsi="Arial" w:cs="Arial"/>
          <w:color w:val="000000"/>
          <w:sz w:val="20"/>
          <w:szCs w:val="20"/>
        </w:rPr>
        <w:t xml:space="preserve">by application of the treasury stock method. The calculation of diluted net income (loss) per share excludes all anti-dilutive common shares. </w:t>
      </w:r>
    </w:p>
    <w:p w14:paraId="185FFA3F" w14:textId="77777777" w:rsidR="00A91885" w:rsidRDefault="00A91885">
      <w:pPr>
        <w:ind w:firstLine="540"/>
        <w:jc w:val="both"/>
      </w:pPr>
    </w:p>
    <w:p w14:paraId="185FFA40" w14:textId="77777777" w:rsidR="00A91885" w:rsidRDefault="009C4196">
      <w:pPr>
        <w:spacing w:after="120"/>
        <w:ind w:firstLine="540"/>
        <w:jc w:val="both"/>
      </w:pPr>
      <w:r>
        <w:rPr>
          <w:rFonts w:ascii="Arial" w:eastAsia="宋体" w:hAnsi="Arial" w:cs="Arial"/>
          <w:color w:val="000000"/>
          <w:sz w:val="20"/>
          <w:szCs w:val="20"/>
        </w:rPr>
        <w:t>The following table presents the computation of basic and diluted net income (loss) per share for the periods in</w:t>
      </w:r>
      <w:r>
        <w:rPr>
          <w:rFonts w:ascii="Arial" w:eastAsia="宋体" w:hAnsi="Arial" w:cs="Arial"/>
          <w:color w:val="000000"/>
          <w:sz w:val="20"/>
          <w:szCs w:val="20"/>
        </w:rPr>
        <w:t xml:space="preserve">dicated (in millions, except per share amounts): </w:t>
      </w:r>
    </w:p>
    <w:tbl>
      <w:tblPr>
        <w:tblW w:w="5000" w:type="pct"/>
        <w:tblCellMar>
          <w:top w:w="15" w:type="dxa"/>
          <w:left w:w="15" w:type="dxa"/>
          <w:bottom w:w="15" w:type="dxa"/>
          <w:right w:w="15" w:type="dxa"/>
        </w:tblCellMar>
        <w:tblLook w:val="04A0" w:firstRow="1" w:lastRow="0" w:firstColumn="1" w:lastColumn="0" w:noHBand="0" w:noVBand="1"/>
      </w:tblPr>
      <w:tblGrid>
        <w:gridCol w:w="40"/>
        <w:gridCol w:w="4088"/>
        <w:gridCol w:w="38"/>
        <w:gridCol w:w="121"/>
        <w:gridCol w:w="804"/>
        <w:gridCol w:w="36"/>
        <w:gridCol w:w="36"/>
        <w:gridCol w:w="36"/>
        <w:gridCol w:w="36"/>
        <w:gridCol w:w="121"/>
        <w:gridCol w:w="804"/>
        <w:gridCol w:w="36"/>
        <w:gridCol w:w="36"/>
        <w:gridCol w:w="36"/>
        <w:gridCol w:w="36"/>
        <w:gridCol w:w="121"/>
        <w:gridCol w:w="804"/>
        <w:gridCol w:w="36"/>
        <w:gridCol w:w="36"/>
        <w:gridCol w:w="36"/>
        <w:gridCol w:w="36"/>
        <w:gridCol w:w="121"/>
        <w:gridCol w:w="806"/>
        <w:gridCol w:w="36"/>
      </w:tblGrid>
      <w:tr w:rsidR="00A91885" w14:paraId="185FFA59" w14:textId="77777777">
        <w:tc>
          <w:tcPr>
            <w:tcW w:w="50" w:type="pct"/>
            <w:shd w:val="clear" w:color="auto" w:fill="auto"/>
            <w:vAlign w:val="bottom"/>
          </w:tcPr>
          <w:p w14:paraId="185FFA41" w14:textId="77777777" w:rsidR="00A91885" w:rsidRDefault="00A91885">
            <w:pPr>
              <w:rPr>
                <w:rFonts w:ascii="宋体"/>
              </w:rPr>
            </w:pPr>
          </w:p>
        </w:tc>
        <w:tc>
          <w:tcPr>
            <w:tcW w:w="2518" w:type="pct"/>
            <w:shd w:val="clear" w:color="auto" w:fill="auto"/>
            <w:vAlign w:val="bottom"/>
          </w:tcPr>
          <w:p w14:paraId="185FFA42" w14:textId="77777777" w:rsidR="00A91885" w:rsidRDefault="00A91885">
            <w:pPr>
              <w:rPr>
                <w:rFonts w:ascii="宋体"/>
              </w:rPr>
            </w:pPr>
          </w:p>
        </w:tc>
        <w:tc>
          <w:tcPr>
            <w:tcW w:w="5" w:type="pct"/>
            <w:shd w:val="clear" w:color="auto" w:fill="auto"/>
            <w:vAlign w:val="bottom"/>
          </w:tcPr>
          <w:p w14:paraId="185FFA43" w14:textId="77777777" w:rsidR="00A91885" w:rsidRDefault="00A91885">
            <w:pPr>
              <w:rPr>
                <w:rFonts w:ascii="宋体"/>
              </w:rPr>
            </w:pPr>
          </w:p>
        </w:tc>
        <w:tc>
          <w:tcPr>
            <w:tcW w:w="50" w:type="pct"/>
            <w:shd w:val="clear" w:color="auto" w:fill="auto"/>
            <w:vAlign w:val="bottom"/>
          </w:tcPr>
          <w:p w14:paraId="185FFA44" w14:textId="77777777" w:rsidR="00A91885" w:rsidRDefault="00A91885">
            <w:pPr>
              <w:rPr>
                <w:rFonts w:ascii="宋体"/>
              </w:rPr>
            </w:pPr>
          </w:p>
        </w:tc>
        <w:tc>
          <w:tcPr>
            <w:tcW w:w="529" w:type="pct"/>
            <w:shd w:val="clear" w:color="auto" w:fill="auto"/>
            <w:vAlign w:val="bottom"/>
          </w:tcPr>
          <w:p w14:paraId="185FFA45" w14:textId="77777777" w:rsidR="00A91885" w:rsidRDefault="00A91885">
            <w:pPr>
              <w:rPr>
                <w:rFonts w:ascii="宋体"/>
              </w:rPr>
            </w:pPr>
          </w:p>
        </w:tc>
        <w:tc>
          <w:tcPr>
            <w:tcW w:w="5" w:type="pct"/>
            <w:shd w:val="clear" w:color="auto" w:fill="auto"/>
            <w:vAlign w:val="bottom"/>
          </w:tcPr>
          <w:p w14:paraId="185FFA46" w14:textId="77777777" w:rsidR="00A91885" w:rsidRDefault="00A91885">
            <w:pPr>
              <w:rPr>
                <w:rFonts w:ascii="宋体"/>
              </w:rPr>
            </w:pPr>
          </w:p>
        </w:tc>
        <w:tc>
          <w:tcPr>
            <w:tcW w:w="5" w:type="pct"/>
            <w:shd w:val="clear" w:color="auto" w:fill="auto"/>
            <w:vAlign w:val="bottom"/>
          </w:tcPr>
          <w:p w14:paraId="185FFA47" w14:textId="77777777" w:rsidR="00A91885" w:rsidRDefault="00A91885">
            <w:pPr>
              <w:rPr>
                <w:rFonts w:ascii="宋体"/>
              </w:rPr>
            </w:pPr>
          </w:p>
        </w:tc>
        <w:tc>
          <w:tcPr>
            <w:tcW w:w="19" w:type="pct"/>
            <w:shd w:val="clear" w:color="auto" w:fill="auto"/>
            <w:vAlign w:val="bottom"/>
          </w:tcPr>
          <w:p w14:paraId="185FFA48" w14:textId="77777777" w:rsidR="00A91885" w:rsidRDefault="00A91885">
            <w:pPr>
              <w:rPr>
                <w:rFonts w:ascii="宋体"/>
              </w:rPr>
            </w:pPr>
          </w:p>
        </w:tc>
        <w:tc>
          <w:tcPr>
            <w:tcW w:w="5" w:type="pct"/>
            <w:shd w:val="clear" w:color="auto" w:fill="auto"/>
            <w:vAlign w:val="bottom"/>
          </w:tcPr>
          <w:p w14:paraId="185FFA49" w14:textId="77777777" w:rsidR="00A91885" w:rsidRDefault="00A91885">
            <w:pPr>
              <w:rPr>
                <w:rFonts w:ascii="宋体"/>
              </w:rPr>
            </w:pPr>
          </w:p>
        </w:tc>
        <w:tc>
          <w:tcPr>
            <w:tcW w:w="50" w:type="pct"/>
            <w:shd w:val="clear" w:color="auto" w:fill="auto"/>
            <w:vAlign w:val="bottom"/>
          </w:tcPr>
          <w:p w14:paraId="185FFA4A" w14:textId="77777777" w:rsidR="00A91885" w:rsidRDefault="00A91885">
            <w:pPr>
              <w:rPr>
                <w:rFonts w:ascii="宋体"/>
              </w:rPr>
            </w:pPr>
          </w:p>
        </w:tc>
        <w:tc>
          <w:tcPr>
            <w:tcW w:w="529" w:type="pct"/>
            <w:shd w:val="clear" w:color="auto" w:fill="auto"/>
            <w:vAlign w:val="bottom"/>
          </w:tcPr>
          <w:p w14:paraId="185FFA4B" w14:textId="77777777" w:rsidR="00A91885" w:rsidRDefault="00A91885">
            <w:pPr>
              <w:rPr>
                <w:rFonts w:ascii="宋体"/>
              </w:rPr>
            </w:pPr>
          </w:p>
        </w:tc>
        <w:tc>
          <w:tcPr>
            <w:tcW w:w="5" w:type="pct"/>
            <w:shd w:val="clear" w:color="auto" w:fill="auto"/>
            <w:vAlign w:val="bottom"/>
          </w:tcPr>
          <w:p w14:paraId="185FFA4C" w14:textId="77777777" w:rsidR="00A91885" w:rsidRDefault="00A91885">
            <w:pPr>
              <w:rPr>
                <w:rFonts w:ascii="宋体"/>
              </w:rPr>
            </w:pPr>
          </w:p>
        </w:tc>
        <w:tc>
          <w:tcPr>
            <w:tcW w:w="5" w:type="pct"/>
            <w:shd w:val="clear" w:color="auto" w:fill="auto"/>
            <w:vAlign w:val="bottom"/>
          </w:tcPr>
          <w:p w14:paraId="185FFA4D" w14:textId="77777777" w:rsidR="00A91885" w:rsidRDefault="00A91885">
            <w:pPr>
              <w:rPr>
                <w:rFonts w:ascii="宋体"/>
              </w:rPr>
            </w:pPr>
          </w:p>
        </w:tc>
        <w:tc>
          <w:tcPr>
            <w:tcW w:w="19" w:type="pct"/>
            <w:shd w:val="clear" w:color="auto" w:fill="auto"/>
            <w:vAlign w:val="bottom"/>
          </w:tcPr>
          <w:p w14:paraId="185FFA4E" w14:textId="77777777" w:rsidR="00A91885" w:rsidRDefault="00A91885">
            <w:pPr>
              <w:rPr>
                <w:rFonts w:ascii="宋体"/>
              </w:rPr>
            </w:pPr>
          </w:p>
        </w:tc>
        <w:tc>
          <w:tcPr>
            <w:tcW w:w="5" w:type="pct"/>
            <w:shd w:val="clear" w:color="auto" w:fill="auto"/>
            <w:vAlign w:val="bottom"/>
          </w:tcPr>
          <w:p w14:paraId="185FFA4F" w14:textId="77777777" w:rsidR="00A91885" w:rsidRDefault="00A91885">
            <w:pPr>
              <w:rPr>
                <w:rFonts w:ascii="宋体"/>
              </w:rPr>
            </w:pPr>
          </w:p>
        </w:tc>
        <w:tc>
          <w:tcPr>
            <w:tcW w:w="50" w:type="pct"/>
            <w:shd w:val="clear" w:color="auto" w:fill="auto"/>
            <w:vAlign w:val="bottom"/>
          </w:tcPr>
          <w:p w14:paraId="185FFA50" w14:textId="77777777" w:rsidR="00A91885" w:rsidRDefault="00A91885">
            <w:pPr>
              <w:rPr>
                <w:rFonts w:ascii="宋体"/>
              </w:rPr>
            </w:pPr>
          </w:p>
        </w:tc>
        <w:tc>
          <w:tcPr>
            <w:tcW w:w="529" w:type="pct"/>
            <w:shd w:val="clear" w:color="auto" w:fill="auto"/>
            <w:vAlign w:val="bottom"/>
          </w:tcPr>
          <w:p w14:paraId="185FFA51" w14:textId="77777777" w:rsidR="00A91885" w:rsidRDefault="00A91885">
            <w:pPr>
              <w:rPr>
                <w:rFonts w:ascii="宋体"/>
              </w:rPr>
            </w:pPr>
          </w:p>
        </w:tc>
        <w:tc>
          <w:tcPr>
            <w:tcW w:w="5" w:type="pct"/>
            <w:shd w:val="clear" w:color="auto" w:fill="auto"/>
            <w:vAlign w:val="bottom"/>
          </w:tcPr>
          <w:p w14:paraId="185FFA52" w14:textId="77777777" w:rsidR="00A91885" w:rsidRDefault="00A91885">
            <w:pPr>
              <w:rPr>
                <w:rFonts w:ascii="宋体"/>
              </w:rPr>
            </w:pPr>
          </w:p>
        </w:tc>
        <w:tc>
          <w:tcPr>
            <w:tcW w:w="5" w:type="pct"/>
            <w:shd w:val="clear" w:color="auto" w:fill="auto"/>
            <w:vAlign w:val="bottom"/>
          </w:tcPr>
          <w:p w14:paraId="185FFA53" w14:textId="77777777" w:rsidR="00A91885" w:rsidRDefault="00A91885">
            <w:pPr>
              <w:rPr>
                <w:rFonts w:ascii="宋体"/>
              </w:rPr>
            </w:pPr>
          </w:p>
        </w:tc>
        <w:tc>
          <w:tcPr>
            <w:tcW w:w="19" w:type="pct"/>
            <w:shd w:val="clear" w:color="auto" w:fill="auto"/>
            <w:vAlign w:val="bottom"/>
          </w:tcPr>
          <w:p w14:paraId="185FFA54" w14:textId="77777777" w:rsidR="00A91885" w:rsidRDefault="00A91885">
            <w:pPr>
              <w:rPr>
                <w:rFonts w:ascii="宋体"/>
              </w:rPr>
            </w:pPr>
          </w:p>
        </w:tc>
        <w:tc>
          <w:tcPr>
            <w:tcW w:w="5" w:type="pct"/>
            <w:shd w:val="clear" w:color="auto" w:fill="auto"/>
            <w:vAlign w:val="bottom"/>
          </w:tcPr>
          <w:p w14:paraId="185FFA55" w14:textId="77777777" w:rsidR="00A91885" w:rsidRDefault="00A91885">
            <w:pPr>
              <w:rPr>
                <w:rFonts w:ascii="宋体"/>
              </w:rPr>
            </w:pPr>
          </w:p>
        </w:tc>
        <w:tc>
          <w:tcPr>
            <w:tcW w:w="50" w:type="pct"/>
            <w:shd w:val="clear" w:color="auto" w:fill="auto"/>
            <w:vAlign w:val="bottom"/>
          </w:tcPr>
          <w:p w14:paraId="185FFA56" w14:textId="77777777" w:rsidR="00A91885" w:rsidRDefault="00A91885">
            <w:pPr>
              <w:rPr>
                <w:rFonts w:ascii="宋体"/>
              </w:rPr>
            </w:pPr>
          </w:p>
        </w:tc>
        <w:tc>
          <w:tcPr>
            <w:tcW w:w="530" w:type="pct"/>
            <w:shd w:val="clear" w:color="auto" w:fill="auto"/>
            <w:vAlign w:val="bottom"/>
          </w:tcPr>
          <w:p w14:paraId="185FFA57" w14:textId="77777777" w:rsidR="00A91885" w:rsidRDefault="00A91885">
            <w:pPr>
              <w:rPr>
                <w:rFonts w:ascii="宋体"/>
              </w:rPr>
            </w:pPr>
          </w:p>
        </w:tc>
        <w:tc>
          <w:tcPr>
            <w:tcW w:w="5" w:type="pct"/>
            <w:shd w:val="clear" w:color="auto" w:fill="auto"/>
            <w:vAlign w:val="bottom"/>
          </w:tcPr>
          <w:p w14:paraId="185FFA58" w14:textId="77777777" w:rsidR="00A91885" w:rsidRDefault="00A91885">
            <w:pPr>
              <w:rPr>
                <w:rFonts w:ascii="宋体"/>
              </w:rPr>
            </w:pPr>
          </w:p>
        </w:tc>
      </w:tr>
      <w:tr w:rsidR="00A91885" w14:paraId="185FFA5E" w14:textId="77777777">
        <w:tc>
          <w:tcPr>
            <w:tcW w:w="0" w:type="auto"/>
            <w:gridSpan w:val="3"/>
            <w:shd w:val="clear" w:color="auto" w:fill="auto"/>
            <w:tcMar>
              <w:top w:w="40" w:type="dxa"/>
              <w:left w:w="20" w:type="dxa"/>
              <w:bottom w:w="40" w:type="dxa"/>
              <w:right w:w="20" w:type="dxa"/>
            </w:tcMar>
            <w:vAlign w:val="bottom"/>
          </w:tcPr>
          <w:p w14:paraId="185FFA5A" w14:textId="77777777" w:rsidR="00A91885" w:rsidRDefault="009C4196">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185FFA5B"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5FFA5C"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5FFA5D"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5FFA67" w14:textId="77777777">
        <w:tc>
          <w:tcPr>
            <w:tcW w:w="0" w:type="auto"/>
            <w:gridSpan w:val="3"/>
            <w:shd w:val="clear" w:color="auto" w:fill="auto"/>
            <w:tcMar>
              <w:top w:w="40" w:type="dxa"/>
              <w:left w:w="20" w:type="dxa"/>
              <w:bottom w:w="40" w:type="dxa"/>
              <w:right w:w="20" w:type="dxa"/>
            </w:tcMar>
            <w:vAlign w:val="bottom"/>
          </w:tcPr>
          <w:p w14:paraId="185FFA5F" w14:textId="77777777" w:rsidR="00A91885" w:rsidRDefault="009C4196">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A60"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A61"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A62"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5FFA63"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A64"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A65"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A66"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5FFA70" w14:textId="77777777">
        <w:tc>
          <w:tcPr>
            <w:tcW w:w="0" w:type="auto"/>
            <w:gridSpan w:val="3"/>
            <w:shd w:val="clear" w:color="auto" w:fill="FFFFFF"/>
            <w:tcMar>
              <w:top w:w="40" w:type="dxa"/>
              <w:left w:w="20" w:type="dxa"/>
              <w:bottom w:w="40" w:type="dxa"/>
              <w:right w:w="20" w:type="dxa"/>
            </w:tcMar>
            <w:vAlign w:val="bottom"/>
          </w:tcPr>
          <w:p w14:paraId="185FFA68" w14:textId="77777777" w:rsidR="00A91885" w:rsidRDefault="009C4196">
            <w:pPr>
              <w:textAlignment w:val="bottom"/>
            </w:pPr>
            <w:r>
              <w:rPr>
                <w:rFonts w:ascii="Arial" w:eastAsia="宋体" w:hAnsi="Arial" w:cs="Arial"/>
                <w:color w:val="000000"/>
                <w:sz w:val="18"/>
                <w:szCs w:val="18"/>
              </w:rPr>
              <w:t>Numerator:</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A69"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A6A"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A6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A6C"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A6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A6E"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A6F" w14:textId="77777777" w:rsidR="00A91885" w:rsidRDefault="00A91885">
            <w:pPr>
              <w:rPr>
                <w:rFonts w:ascii="宋体"/>
              </w:rPr>
            </w:pPr>
          </w:p>
        </w:tc>
      </w:tr>
      <w:tr w:rsidR="00A91885" w14:paraId="185FFA81" w14:textId="77777777">
        <w:tc>
          <w:tcPr>
            <w:tcW w:w="0" w:type="auto"/>
            <w:gridSpan w:val="3"/>
            <w:shd w:val="clear" w:color="auto" w:fill="E2E2E2"/>
            <w:tcMar>
              <w:top w:w="40" w:type="dxa"/>
              <w:left w:w="515" w:type="dxa"/>
              <w:bottom w:w="40" w:type="dxa"/>
              <w:right w:w="20" w:type="dxa"/>
            </w:tcMar>
            <w:vAlign w:val="bottom"/>
          </w:tcPr>
          <w:p w14:paraId="185FFA71" w14:textId="77777777" w:rsidR="00A91885" w:rsidRDefault="009C4196">
            <w:pPr>
              <w:textAlignment w:val="bottom"/>
            </w:pPr>
            <w:r>
              <w:rPr>
                <w:rFonts w:ascii="Arial" w:eastAsia="宋体" w:hAnsi="Arial" w:cs="Arial"/>
                <w:color w:val="000000"/>
                <w:sz w:val="18"/>
                <w:szCs w:val="18"/>
              </w:rPr>
              <w:t>Income (loss) from continuing operations</w:t>
            </w:r>
          </w:p>
        </w:tc>
        <w:tc>
          <w:tcPr>
            <w:tcW w:w="0" w:type="auto"/>
            <w:shd w:val="clear" w:color="auto" w:fill="E2E2E2"/>
            <w:tcMar>
              <w:top w:w="40" w:type="dxa"/>
              <w:left w:w="20" w:type="dxa"/>
              <w:bottom w:w="40" w:type="dxa"/>
              <w:right w:w="0" w:type="dxa"/>
            </w:tcMar>
            <w:vAlign w:val="bottom"/>
          </w:tcPr>
          <w:p w14:paraId="185FFA72"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A73" w14:textId="77777777" w:rsidR="00A91885" w:rsidRDefault="009C4196">
            <w:pPr>
              <w:jc w:val="right"/>
              <w:textAlignment w:val="bottom"/>
            </w:pPr>
            <w:r>
              <w:rPr>
                <w:rFonts w:ascii="Arial" w:eastAsia="宋体" w:hAnsi="Arial" w:cs="Arial"/>
                <w:color w:val="000000"/>
                <w:sz w:val="18"/>
                <w:szCs w:val="18"/>
              </w:rPr>
              <w:t>(536)</w:t>
            </w:r>
          </w:p>
        </w:tc>
        <w:tc>
          <w:tcPr>
            <w:tcW w:w="0" w:type="auto"/>
            <w:shd w:val="clear" w:color="auto" w:fill="E2E2E2"/>
            <w:tcMar>
              <w:top w:w="40" w:type="dxa"/>
              <w:left w:w="0" w:type="dxa"/>
              <w:bottom w:w="40" w:type="dxa"/>
              <w:right w:w="20" w:type="dxa"/>
            </w:tcMar>
            <w:vAlign w:val="bottom"/>
          </w:tcPr>
          <w:p w14:paraId="185FFA7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A75"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5FFA76"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A77" w14:textId="77777777" w:rsidR="00A91885" w:rsidRDefault="009C4196">
            <w:pPr>
              <w:jc w:val="right"/>
              <w:textAlignment w:val="bottom"/>
            </w:pPr>
            <w:r>
              <w:rPr>
                <w:rFonts w:ascii="Arial" w:eastAsia="宋体" w:hAnsi="Arial" w:cs="Arial"/>
                <w:color w:val="000000"/>
                <w:sz w:val="18"/>
                <w:szCs w:val="18"/>
              </w:rPr>
              <w:t>294 </w:t>
            </w:r>
          </w:p>
        </w:tc>
        <w:tc>
          <w:tcPr>
            <w:tcW w:w="0" w:type="auto"/>
            <w:shd w:val="clear" w:color="auto" w:fill="E2E2E2"/>
            <w:tcMar>
              <w:top w:w="40" w:type="dxa"/>
              <w:left w:w="0" w:type="dxa"/>
              <w:bottom w:w="40" w:type="dxa"/>
              <w:right w:w="20" w:type="dxa"/>
            </w:tcMar>
            <w:vAlign w:val="bottom"/>
          </w:tcPr>
          <w:p w14:paraId="185FFA7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A79"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5FFA7A"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A7B" w14:textId="77777777" w:rsidR="00A91885" w:rsidRDefault="009C4196">
            <w:pPr>
              <w:jc w:val="right"/>
              <w:textAlignment w:val="bottom"/>
            </w:pPr>
            <w:r>
              <w:rPr>
                <w:rFonts w:ascii="Arial" w:eastAsia="宋体" w:hAnsi="Arial" w:cs="Arial"/>
                <w:color w:val="000000"/>
                <w:sz w:val="18"/>
                <w:szCs w:val="18"/>
              </w:rPr>
              <w:t>(1,875)</w:t>
            </w:r>
          </w:p>
        </w:tc>
        <w:tc>
          <w:tcPr>
            <w:tcW w:w="0" w:type="auto"/>
            <w:shd w:val="clear" w:color="auto" w:fill="E2E2E2"/>
            <w:tcMar>
              <w:top w:w="40" w:type="dxa"/>
              <w:left w:w="0" w:type="dxa"/>
              <w:bottom w:w="40" w:type="dxa"/>
              <w:right w:w="20" w:type="dxa"/>
            </w:tcMar>
            <w:vAlign w:val="bottom"/>
          </w:tcPr>
          <w:p w14:paraId="185FFA7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A7D"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5FFA7E"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5FFA7F" w14:textId="77777777" w:rsidR="00A91885" w:rsidRDefault="009C4196">
            <w:pPr>
              <w:jc w:val="right"/>
              <w:textAlignment w:val="bottom"/>
            </w:pPr>
            <w:r>
              <w:rPr>
                <w:rFonts w:ascii="Arial" w:eastAsia="宋体" w:hAnsi="Arial" w:cs="Arial"/>
                <w:color w:val="000000"/>
                <w:sz w:val="18"/>
                <w:szCs w:val="18"/>
              </w:rPr>
              <w:t>862 </w:t>
            </w:r>
          </w:p>
        </w:tc>
        <w:tc>
          <w:tcPr>
            <w:tcW w:w="0" w:type="auto"/>
            <w:shd w:val="clear" w:color="auto" w:fill="E2E2E2"/>
            <w:tcMar>
              <w:top w:w="40" w:type="dxa"/>
              <w:left w:w="0" w:type="dxa"/>
              <w:bottom w:w="40" w:type="dxa"/>
              <w:right w:w="20" w:type="dxa"/>
            </w:tcMar>
            <w:vAlign w:val="bottom"/>
          </w:tcPr>
          <w:p w14:paraId="185FFA80" w14:textId="77777777" w:rsidR="00A91885" w:rsidRDefault="00A91885">
            <w:pPr>
              <w:jc w:val="right"/>
              <w:rPr>
                <w:rFonts w:ascii="宋体"/>
              </w:rPr>
            </w:pPr>
          </w:p>
        </w:tc>
      </w:tr>
      <w:tr w:rsidR="00A91885" w14:paraId="185FFA8E" w14:textId="77777777">
        <w:tc>
          <w:tcPr>
            <w:tcW w:w="0" w:type="auto"/>
            <w:gridSpan w:val="3"/>
            <w:shd w:val="clear" w:color="auto" w:fill="FFFFFF"/>
            <w:tcMar>
              <w:top w:w="40" w:type="dxa"/>
              <w:left w:w="515" w:type="dxa"/>
              <w:bottom w:w="40" w:type="dxa"/>
              <w:right w:w="20" w:type="dxa"/>
            </w:tcMar>
            <w:vAlign w:val="bottom"/>
          </w:tcPr>
          <w:p w14:paraId="185FFA82" w14:textId="77777777" w:rsidR="00A91885" w:rsidRDefault="009C4196">
            <w:pPr>
              <w:textAlignment w:val="bottom"/>
            </w:pPr>
            <w:r>
              <w:rPr>
                <w:rFonts w:ascii="Arial" w:eastAsia="宋体" w:hAnsi="Arial" w:cs="Arial"/>
                <w:color w:val="000000"/>
                <w:sz w:val="18"/>
                <w:szCs w:val="18"/>
              </w:rPr>
              <w:t>Income (loss) from discontinued operations, net of income taxes</w:t>
            </w:r>
          </w:p>
        </w:tc>
        <w:tc>
          <w:tcPr>
            <w:tcW w:w="0" w:type="auto"/>
            <w:gridSpan w:val="2"/>
            <w:shd w:val="clear" w:color="auto" w:fill="FFFFFF"/>
            <w:tcMar>
              <w:top w:w="40" w:type="dxa"/>
              <w:left w:w="20" w:type="dxa"/>
              <w:bottom w:w="40" w:type="dxa"/>
              <w:right w:w="0" w:type="dxa"/>
            </w:tcMar>
            <w:vAlign w:val="bottom"/>
          </w:tcPr>
          <w:p w14:paraId="185FFA83" w14:textId="77777777" w:rsidR="00A91885" w:rsidRDefault="009C4196">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185FFA8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A8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A86" w14:textId="77777777" w:rsidR="00A91885" w:rsidRDefault="009C4196">
            <w:pPr>
              <w:jc w:val="right"/>
              <w:textAlignment w:val="bottom"/>
            </w:pPr>
            <w:r>
              <w:rPr>
                <w:rFonts w:ascii="Arial" w:eastAsia="宋体" w:hAnsi="Arial" w:cs="Arial"/>
                <w:color w:val="000000"/>
                <w:sz w:val="18"/>
                <w:szCs w:val="18"/>
              </w:rPr>
              <w:t>10,440 </w:t>
            </w:r>
          </w:p>
        </w:tc>
        <w:tc>
          <w:tcPr>
            <w:tcW w:w="0" w:type="auto"/>
            <w:shd w:val="clear" w:color="auto" w:fill="FFFFFF"/>
            <w:tcMar>
              <w:top w:w="40" w:type="dxa"/>
              <w:left w:w="0" w:type="dxa"/>
              <w:bottom w:w="40" w:type="dxa"/>
              <w:right w:w="20" w:type="dxa"/>
            </w:tcMar>
            <w:vAlign w:val="bottom"/>
          </w:tcPr>
          <w:p w14:paraId="185FFA8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A8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A89" w14:textId="77777777" w:rsidR="00A91885" w:rsidRDefault="009C4196">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185FFA8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A8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A8C" w14:textId="77777777" w:rsidR="00A91885" w:rsidRDefault="009C4196">
            <w:pPr>
              <w:jc w:val="right"/>
              <w:textAlignment w:val="bottom"/>
            </w:pPr>
            <w:r>
              <w:rPr>
                <w:rFonts w:ascii="Arial" w:eastAsia="宋体" w:hAnsi="Arial" w:cs="Arial"/>
                <w:color w:val="000000"/>
                <w:sz w:val="18"/>
                <w:szCs w:val="18"/>
              </w:rPr>
              <w:t>10,513 </w:t>
            </w:r>
          </w:p>
        </w:tc>
        <w:tc>
          <w:tcPr>
            <w:tcW w:w="0" w:type="auto"/>
            <w:shd w:val="clear" w:color="auto" w:fill="FFFFFF"/>
            <w:tcMar>
              <w:top w:w="40" w:type="dxa"/>
              <w:left w:w="0" w:type="dxa"/>
              <w:bottom w:w="40" w:type="dxa"/>
              <w:right w:w="20" w:type="dxa"/>
            </w:tcMar>
            <w:vAlign w:val="bottom"/>
          </w:tcPr>
          <w:p w14:paraId="185FFA8D" w14:textId="77777777" w:rsidR="00A91885" w:rsidRDefault="00A91885">
            <w:pPr>
              <w:jc w:val="right"/>
              <w:rPr>
                <w:rFonts w:ascii="宋体"/>
              </w:rPr>
            </w:pPr>
          </w:p>
        </w:tc>
      </w:tr>
      <w:tr w:rsidR="00A91885" w14:paraId="185FFA9F" w14:textId="77777777">
        <w:tc>
          <w:tcPr>
            <w:tcW w:w="0" w:type="auto"/>
            <w:gridSpan w:val="3"/>
            <w:shd w:val="clear" w:color="auto" w:fill="E2E2E2"/>
            <w:tcMar>
              <w:top w:w="40" w:type="dxa"/>
              <w:left w:w="20" w:type="dxa"/>
              <w:bottom w:w="40" w:type="dxa"/>
              <w:right w:w="20" w:type="dxa"/>
            </w:tcMar>
            <w:vAlign w:val="bottom"/>
          </w:tcPr>
          <w:p w14:paraId="185FFA8F" w14:textId="77777777" w:rsidR="00A91885" w:rsidRDefault="009C4196">
            <w:pPr>
              <w:textAlignment w:val="bottom"/>
            </w:pPr>
            <w:r>
              <w:rPr>
                <w:rFonts w:ascii="Arial" w:eastAsia="宋体" w:hAnsi="Arial" w:cs="Arial"/>
                <w:color w:val="000000"/>
                <w:sz w:val="18"/>
                <w:szCs w:val="18"/>
              </w:rPr>
              <w:t>Net income (loss)</w:t>
            </w:r>
          </w:p>
        </w:tc>
        <w:tc>
          <w:tcPr>
            <w:tcW w:w="0" w:type="auto"/>
            <w:tcBorders>
              <w:top w:val="single" w:sz="8" w:space="0" w:color="000000"/>
            </w:tcBorders>
            <w:shd w:val="clear" w:color="auto" w:fill="E2E2E2"/>
            <w:tcMar>
              <w:top w:w="40" w:type="dxa"/>
              <w:left w:w="20" w:type="dxa"/>
              <w:bottom w:w="40" w:type="dxa"/>
              <w:right w:w="0" w:type="dxa"/>
            </w:tcMar>
            <w:vAlign w:val="bottom"/>
          </w:tcPr>
          <w:p w14:paraId="185FFA9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5FFA91" w14:textId="77777777" w:rsidR="00A91885" w:rsidRDefault="009C4196">
            <w:pPr>
              <w:jc w:val="right"/>
              <w:textAlignment w:val="bottom"/>
            </w:pPr>
            <w:r>
              <w:rPr>
                <w:rFonts w:ascii="Arial" w:eastAsia="宋体" w:hAnsi="Arial" w:cs="Arial"/>
                <w:color w:val="000000"/>
                <w:sz w:val="18"/>
                <w:szCs w:val="18"/>
              </w:rPr>
              <w:t>(531)</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A9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A93"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5FFA9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5FFA95" w14:textId="77777777" w:rsidR="00A91885" w:rsidRDefault="009C4196">
            <w:pPr>
              <w:jc w:val="right"/>
              <w:textAlignment w:val="bottom"/>
            </w:pPr>
            <w:r>
              <w:rPr>
                <w:rFonts w:ascii="Arial" w:eastAsia="宋体" w:hAnsi="Arial" w:cs="Arial"/>
                <w:color w:val="000000"/>
                <w:sz w:val="18"/>
                <w:szCs w:val="18"/>
              </w:rPr>
              <w:t>10,734 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A9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A97"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5FFA9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5FFA99" w14:textId="77777777" w:rsidR="00A91885" w:rsidRDefault="009C4196">
            <w:pPr>
              <w:jc w:val="right"/>
              <w:textAlignment w:val="bottom"/>
            </w:pPr>
            <w:r>
              <w:rPr>
                <w:rFonts w:ascii="Arial" w:eastAsia="宋体" w:hAnsi="Arial" w:cs="Arial"/>
                <w:color w:val="000000"/>
                <w:sz w:val="18"/>
                <w:szCs w:val="18"/>
              </w:rPr>
              <w:t>(1,872)</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A9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A9B"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5FFA9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5FFA9D" w14:textId="77777777" w:rsidR="00A91885" w:rsidRDefault="009C4196">
            <w:pPr>
              <w:jc w:val="right"/>
              <w:textAlignment w:val="bottom"/>
            </w:pPr>
            <w:r>
              <w:rPr>
                <w:rFonts w:ascii="Arial" w:eastAsia="宋体" w:hAnsi="Arial" w:cs="Arial"/>
                <w:color w:val="000000"/>
                <w:sz w:val="18"/>
                <w:szCs w:val="18"/>
              </w:rPr>
              <w:t>11,375 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A9E" w14:textId="77777777" w:rsidR="00A91885" w:rsidRDefault="00A91885">
            <w:pPr>
              <w:jc w:val="right"/>
              <w:rPr>
                <w:rFonts w:ascii="宋体"/>
              </w:rPr>
            </w:pPr>
          </w:p>
        </w:tc>
      </w:tr>
      <w:tr w:rsidR="00A91885" w14:paraId="185FFAA8" w14:textId="77777777">
        <w:tc>
          <w:tcPr>
            <w:tcW w:w="0" w:type="auto"/>
            <w:gridSpan w:val="3"/>
            <w:shd w:val="clear" w:color="auto" w:fill="FFFFFF"/>
            <w:tcMar>
              <w:top w:w="40" w:type="dxa"/>
              <w:left w:w="20" w:type="dxa"/>
              <w:bottom w:w="40" w:type="dxa"/>
              <w:right w:w="20" w:type="dxa"/>
            </w:tcMar>
            <w:vAlign w:val="bottom"/>
          </w:tcPr>
          <w:p w14:paraId="185FFAA0" w14:textId="77777777" w:rsidR="00A91885" w:rsidRDefault="009C4196">
            <w:pPr>
              <w:textAlignment w:val="bottom"/>
            </w:pPr>
            <w:r>
              <w:rPr>
                <w:rFonts w:ascii="Arial" w:eastAsia="宋体" w:hAnsi="Arial" w:cs="Arial"/>
                <w:color w:val="000000"/>
                <w:sz w:val="18"/>
                <w:szCs w:val="18"/>
              </w:rPr>
              <w:t>Denominator:</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AA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AA2"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AA3"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AA4"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AA5"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AA6"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AA7" w14:textId="77777777" w:rsidR="00A91885" w:rsidRDefault="00A91885">
            <w:pPr>
              <w:rPr>
                <w:rFonts w:ascii="宋体"/>
              </w:rPr>
            </w:pPr>
          </w:p>
        </w:tc>
      </w:tr>
      <w:tr w:rsidR="00A91885" w14:paraId="185FFAB5" w14:textId="77777777">
        <w:tc>
          <w:tcPr>
            <w:tcW w:w="0" w:type="auto"/>
            <w:gridSpan w:val="3"/>
            <w:shd w:val="clear" w:color="auto" w:fill="E2E2E2"/>
            <w:tcMar>
              <w:top w:w="40" w:type="dxa"/>
              <w:left w:w="515" w:type="dxa"/>
              <w:bottom w:w="40" w:type="dxa"/>
              <w:right w:w="20" w:type="dxa"/>
            </w:tcMar>
            <w:vAlign w:val="bottom"/>
          </w:tcPr>
          <w:p w14:paraId="185FFAA9" w14:textId="77777777" w:rsidR="00A91885" w:rsidRDefault="009C4196">
            <w:pPr>
              <w:textAlignment w:val="bottom"/>
            </w:pPr>
            <w:r>
              <w:rPr>
                <w:rFonts w:ascii="Arial" w:eastAsia="宋体" w:hAnsi="Arial" w:cs="Arial"/>
                <w:color w:val="000000"/>
                <w:sz w:val="18"/>
                <w:szCs w:val="18"/>
              </w:rPr>
              <w:t>Weighted average shares of common stock - basic</w:t>
            </w:r>
          </w:p>
        </w:tc>
        <w:tc>
          <w:tcPr>
            <w:tcW w:w="0" w:type="auto"/>
            <w:gridSpan w:val="2"/>
            <w:shd w:val="clear" w:color="auto" w:fill="E2E2E2"/>
            <w:tcMar>
              <w:top w:w="40" w:type="dxa"/>
              <w:left w:w="20" w:type="dxa"/>
              <w:bottom w:w="40" w:type="dxa"/>
              <w:right w:w="0" w:type="dxa"/>
            </w:tcMar>
            <w:vAlign w:val="bottom"/>
          </w:tcPr>
          <w:p w14:paraId="185FFAAA" w14:textId="77777777" w:rsidR="00A91885" w:rsidRDefault="009C4196">
            <w:pPr>
              <w:jc w:val="right"/>
              <w:textAlignment w:val="bottom"/>
            </w:pPr>
            <w:r>
              <w:rPr>
                <w:rFonts w:ascii="Arial" w:eastAsia="宋体" w:hAnsi="Arial" w:cs="Arial"/>
                <w:color w:val="000000"/>
                <w:sz w:val="18"/>
                <w:szCs w:val="18"/>
              </w:rPr>
              <w:t>556 </w:t>
            </w:r>
          </w:p>
        </w:tc>
        <w:tc>
          <w:tcPr>
            <w:tcW w:w="0" w:type="auto"/>
            <w:shd w:val="clear" w:color="auto" w:fill="E2E2E2"/>
            <w:tcMar>
              <w:top w:w="40" w:type="dxa"/>
              <w:left w:w="0" w:type="dxa"/>
              <w:bottom w:w="40" w:type="dxa"/>
              <w:right w:w="20" w:type="dxa"/>
            </w:tcMar>
            <w:vAlign w:val="bottom"/>
          </w:tcPr>
          <w:p w14:paraId="185FFAA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AAC"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AAD" w14:textId="77777777" w:rsidR="00A91885" w:rsidRDefault="009C4196">
            <w:pPr>
              <w:jc w:val="right"/>
              <w:textAlignment w:val="bottom"/>
            </w:pPr>
            <w:r>
              <w:rPr>
                <w:rFonts w:ascii="Arial" w:eastAsia="宋体" w:hAnsi="Arial" w:cs="Arial"/>
                <w:color w:val="000000"/>
                <w:sz w:val="18"/>
                <w:szCs w:val="18"/>
              </w:rPr>
              <w:t>674 </w:t>
            </w:r>
          </w:p>
        </w:tc>
        <w:tc>
          <w:tcPr>
            <w:tcW w:w="0" w:type="auto"/>
            <w:shd w:val="clear" w:color="auto" w:fill="E2E2E2"/>
            <w:tcMar>
              <w:top w:w="40" w:type="dxa"/>
              <w:left w:w="0" w:type="dxa"/>
              <w:bottom w:w="40" w:type="dxa"/>
              <w:right w:w="20" w:type="dxa"/>
            </w:tcMar>
            <w:vAlign w:val="bottom"/>
          </w:tcPr>
          <w:p w14:paraId="185FFAA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AAF"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AB0" w14:textId="77777777" w:rsidR="00A91885" w:rsidRDefault="009C4196">
            <w:pPr>
              <w:jc w:val="right"/>
              <w:textAlignment w:val="bottom"/>
            </w:pPr>
            <w:r>
              <w:rPr>
                <w:rFonts w:ascii="Arial" w:eastAsia="宋体" w:hAnsi="Arial" w:cs="Arial"/>
                <w:color w:val="000000"/>
                <w:sz w:val="18"/>
                <w:szCs w:val="18"/>
              </w:rPr>
              <w:t>571 </w:t>
            </w:r>
          </w:p>
        </w:tc>
        <w:tc>
          <w:tcPr>
            <w:tcW w:w="0" w:type="auto"/>
            <w:shd w:val="clear" w:color="auto" w:fill="E2E2E2"/>
            <w:tcMar>
              <w:top w:w="40" w:type="dxa"/>
              <w:left w:w="0" w:type="dxa"/>
              <w:bottom w:w="40" w:type="dxa"/>
              <w:right w:w="20" w:type="dxa"/>
            </w:tcMar>
            <w:vAlign w:val="bottom"/>
          </w:tcPr>
          <w:p w14:paraId="185FFAB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AB2"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AB3" w14:textId="77777777" w:rsidR="00A91885" w:rsidRDefault="009C4196">
            <w:pPr>
              <w:jc w:val="right"/>
              <w:textAlignment w:val="bottom"/>
            </w:pPr>
            <w:r>
              <w:rPr>
                <w:rFonts w:ascii="Arial" w:eastAsia="宋体" w:hAnsi="Arial" w:cs="Arial"/>
                <w:color w:val="000000"/>
                <w:sz w:val="18"/>
                <w:szCs w:val="18"/>
              </w:rPr>
              <w:t>678 </w:t>
            </w:r>
          </w:p>
        </w:tc>
        <w:tc>
          <w:tcPr>
            <w:tcW w:w="0" w:type="auto"/>
            <w:shd w:val="clear" w:color="auto" w:fill="E2E2E2"/>
            <w:tcMar>
              <w:top w:w="40" w:type="dxa"/>
              <w:left w:w="0" w:type="dxa"/>
              <w:bottom w:w="40" w:type="dxa"/>
              <w:right w:w="20" w:type="dxa"/>
            </w:tcMar>
            <w:vAlign w:val="bottom"/>
          </w:tcPr>
          <w:p w14:paraId="185FFAB4" w14:textId="77777777" w:rsidR="00A91885" w:rsidRDefault="00A91885">
            <w:pPr>
              <w:jc w:val="right"/>
              <w:rPr>
                <w:rFonts w:ascii="宋体"/>
              </w:rPr>
            </w:pPr>
          </w:p>
        </w:tc>
      </w:tr>
      <w:tr w:rsidR="00A91885" w14:paraId="185FFAC2" w14:textId="77777777">
        <w:tc>
          <w:tcPr>
            <w:tcW w:w="0" w:type="auto"/>
            <w:gridSpan w:val="3"/>
            <w:shd w:val="clear" w:color="auto" w:fill="FFFFFF"/>
            <w:tcMar>
              <w:top w:w="40" w:type="dxa"/>
              <w:left w:w="875" w:type="dxa"/>
              <w:bottom w:w="40" w:type="dxa"/>
              <w:right w:w="20" w:type="dxa"/>
            </w:tcMar>
            <w:vAlign w:val="bottom"/>
          </w:tcPr>
          <w:p w14:paraId="185FFAB6" w14:textId="77777777" w:rsidR="00A91885" w:rsidRDefault="009C4196">
            <w:pPr>
              <w:textAlignment w:val="bottom"/>
            </w:pPr>
            <w:r>
              <w:rPr>
                <w:rFonts w:ascii="Arial" w:eastAsia="宋体" w:hAnsi="Arial" w:cs="Arial"/>
                <w:color w:val="000000"/>
                <w:sz w:val="18"/>
                <w:szCs w:val="18"/>
              </w:rPr>
              <w:t>Dilutive effect of equity incentive awards</w:t>
            </w:r>
          </w:p>
        </w:tc>
        <w:tc>
          <w:tcPr>
            <w:tcW w:w="0" w:type="auto"/>
            <w:gridSpan w:val="2"/>
            <w:shd w:val="clear" w:color="auto" w:fill="FFFFFF"/>
            <w:tcMar>
              <w:top w:w="40" w:type="dxa"/>
              <w:left w:w="20" w:type="dxa"/>
              <w:bottom w:w="40" w:type="dxa"/>
              <w:right w:w="0" w:type="dxa"/>
            </w:tcMar>
            <w:vAlign w:val="bottom"/>
          </w:tcPr>
          <w:p w14:paraId="185FFAB7"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AB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AB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ABA" w14:textId="77777777" w:rsidR="00A91885" w:rsidRDefault="009C4196">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185FFAB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AB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ABD"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AB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AB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AC0" w14:textId="77777777" w:rsidR="00A91885" w:rsidRDefault="009C4196">
            <w:pPr>
              <w:jc w:val="right"/>
              <w:textAlignment w:val="bottom"/>
            </w:pPr>
            <w:r>
              <w:rPr>
                <w:rFonts w:ascii="Arial" w:eastAsia="宋体" w:hAnsi="Arial" w:cs="Arial"/>
                <w:color w:val="000000"/>
                <w:sz w:val="18"/>
                <w:szCs w:val="18"/>
              </w:rPr>
              <w:t>11 </w:t>
            </w:r>
          </w:p>
        </w:tc>
        <w:tc>
          <w:tcPr>
            <w:tcW w:w="0" w:type="auto"/>
            <w:shd w:val="clear" w:color="auto" w:fill="FFFFFF"/>
            <w:tcMar>
              <w:top w:w="40" w:type="dxa"/>
              <w:left w:w="0" w:type="dxa"/>
              <w:bottom w:w="40" w:type="dxa"/>
              <w:right w:w="20" w:type="dxa"/>
            </w:tcMar>
            <w:vAlign w:val="bottom"/>
          </w:tcPr>
          <w:p w14:paraId="185FFAC1" w14:textId="77777777" w:rsidR="00A91885" w:rsidRDefault="00A91885">
            <w:pPr>
              <w:jc w:val="right"/>
              <w:rPr>
                <w:rFonts w:ascii="宋体"/>
              </w:rPr>
            </w:pPr>
          </w:p>
        </w:tc>
      </w:tr>
      <w:tr w:rsidR="00A91885" w14:paraId="185FFACF" w14:textId="77777777">
        <w:tc>
          <w:tcPr>
            <w:tcW w:w="0" w:type="auto"/>
            <w:gridSpan w:val="3"/>
            <w:shd w:val="clear" w:color="auto" w:fill="E2E2E2"/>
            <w:tcMar>
              <w:top w:w="40" w:type="dxa"/>
              <w:left w:w="515" w:type="dxa"/>
              <w:bottom w:w="40" w:type="dxa"/>
              <w:right w:w="20" w:type="dxa"/>
            </w:tcMar>
            <w:vAlign w:val="bottom"/>
          </w:tcPr>
          <w:p w14:paraId="185FFAC3" w14:textId="77777777" w:rsidR="00A91885" w:rsidRDefault="009C4196">
            <w:pPr>
              <w:textAlignment w:val="bottom"/>
            </w:pPr>
            <w:r>
              <w:rPr>
                <w:rFonts w:ascii="Arial" w:eastAsia="宋体" w:hAnsi="Arial" w:cs="Arial"/>
                <w:color w:val="000000"/>
                <w:sz w:val="18"/>
                <w:szCs w:val="18"/>
              </w:rPr>
              <w:t>Weighted average shares of common stock - diluted</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AC4" w14:textId="77777777" w:rsidR="00A91885" w:rsidRDefault="009C4196">
            <w:pPr>
              <w:jc w:val="right"/>
              <w:textAlignment w:val="bottom"/>
            </w:pPr>
            <w:r>
              <w:rPr>
                <w:rFonts w:ascii="Arial" w:eastAsia="宋体" w:hAnsi="Arial" w:cs="Arial"/>
                <w:color w:val="000000"/>
                <w:sz w:val="18"/>
                <w:szCs w:val="18"/>
              </w:rPr>
              <w:t>556 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AC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AC6"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AC7" w14:textId="77777777" w:rsidR="00A91885" w:rsidRDefault="009C4196">
            <w:pPr>
              <w:jc w:val="right"/>
              <w:textAlignment w:val="bottom"/>
            </w:pPr>
            <w:r>
              <w:rPr>
                <w:rFonts w:ascii="Arial" w:eastAsia="宋体" w:hAnsi="Arial" w:cs="Arial"/>
                <w:color w:val="000000"/>
                <w:sz w:val="18"/>
                <w:szCs w:val="18"/>
              </w:rPr>
              <w:t>685 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AC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AC9"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ACA" w14:textId="77777777" w:rsidR="00A91885" w:rsidRDefault="009C4196">
            <w:pPr>
              <w:jc w:val="right"/>
              <w:textAlignment w:val="bottom"/>
            </w:pPr>
            <w:r>
              <w:rPr>
                <w:rFonts w:ascii="Arial" w:eastAsia="宋体" w:hAnsi="Arial" w:cs="Arial"/>
                <w:color w:val="000000"/>
                <w:sz w:val="18"/>
                <w:szCs w:val="18"/>
              </w:rPr>
              <w:t>571 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AC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ACC"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5FFACD" w14:textId="77777777" w:rsidR="00A91885" w:rsidRDefault="009C4196">
            <w:pPr>
              <w:jc w:val="right"/>
              <w:textAlignment w:val="bottom"/>
            </w:pPr>
            <w:r>
              <w:rPr>
                <w:rFonts w:ascii="Arial" w:eastAsia="宋体" w:hAnsi="Arial" w:cs="Arial"/>
                <w:color w:val="000000"/>
                <w:sz w:val="18"/>
                <w:szCs w:val="18"/>
              </w:rPr>
              <w:t>689 </w:t>
            </w:r>
          </w:p>
        </w:tc>
        <w:tc>
          <w:tcPr>
            <w:tcW w:w="0" w:type="auto"/>
            <w:tcBorders>
              <w:top w:val="single" w:sz="8" w:space="0" w:color="000000"/>
            </w:tcBorders>
            <w:shd w:val="clear" w:color="auto" w:fill="E2E2E2"/>
            <w:tcMar>
              <w:top w:w="40" w:type="dxa"/>
              <w:left w:w="0" w:type="dxa"/>
              <w:bottom w:w="40" w:type="dxa"/>
              <w:right w:w="20" w:type="dxa"/>
            </w:tcMar>
            <w:vAlign w:val="bottom"/>
          </w:tcPr>
          <w:p w14:paraId="185FFACE" w14:textId="77777777" w:rsidR="00A91885" w:rsidRDefault="00A91885">
            <w:pPr>
              <w:jc w:val="right"/>
              <w:rPr>
                <w:rFonts w:ascii="宋体"/>
              </w:rPr>
            </w:pPr>
          </w:p>
        </w:tc>
      </w:tr>
      <w:tr w:rsidR="00A91885" w14:paraId="185FFAD8" w14:textId="77777777">
        <w:trPr>
          <w:trHeight w:val="280"/>
        </w:trPr>
        <w:tc>
          <w:tcPr>
            <w:tcW w:w="0" w:type="auto"/>
            <w:gridSpan w:val="3"/>
            <w:shd w:val="clear" w:color="auto" w:fill="FFFFFF"/>
            <w:tcMar>
              <w:top w:w="0" w:type="dxa"/>
              <w:left w:w="20" w:type="dxa"/>
              <w:bottom w:w="0" w:type="dxa"/>
              <w:right w:w="20" w:type="dxa"/>
            </w:tcMar>
            <w:vAlign w:val="bottom"/>
          </w:tcPr>
          <w:p w14:paraId="185FFAD0"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AD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AD2"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AD3"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AD4"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AD5"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AD6"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AD7" w14:textId="77777777" w:rsidR="00A91885" w:rsidRDefault="00A91885">
            <w:pPr>
              <w:rPr>
                <w:rFonts w:ascii="宋体"/>
              </w:rPr>
            </w:pPr>
          </w:p>
        </w:tc>
      </w:tr>
      <w:tr w:rsidR="00A91885" w14:paraId="185FFAE1" w14:textId="77777777">
        <w:trPr>
          <w:hidden/>
        </w:trPr>
        <w:tc>
          <w:tcPr>
            <w:tcW w:w="0" w:type="auto"/>
            <w:gridSpan w:val="3"/>
            <w:shd w:val="clear" w:color="auto" w:fill="auto"/>
            <w:vAlign w:val="bottom"/>
          </w:tcPr>
          <w:p w14:paraId="185FFAD9" w14:textId="77777777" w:rsidR="00A91885" w:rsidRDefault="00A91885">
            <w:pPr>
              <w:rPr>
                <w:rFonts w:ascii="宋体"/>
                <w:vanish/>
              </w:rPr>
            </w:pPr>
          </w:p>
        </w:tc>
        <w:tc>
          <w:tcPr>
            <w:tcW w:w="0" w:type="auto"/>
            <w:gridSpan w:val="3"/>
            <w:shd w:val="clear" w:color="auto" w:fill="auto"/>
            <w:vAlign w:val="bottom"/>
          </w:tcPr>
          <w:p w14:paraId="185FFADA" w14:textId="77777777" w:rsidR="00A91885" w:rsidRDefault="00A91885">
            <w:pPr>
              <w:rPr>
                <w:rFonts w:ascii="宋体"/>
                <w:vanish/>
              </w:rPr>
            </w:pPr>
          </w:p>
        </w:tc>
        <w:tc>
          <w:tcPr>
            <w:tcW w:w="0" w:type="auto"/>
            <w:gridSpan w:val="3"/>
            <w:shd w:val="clear" w:color="auto" w:fill="auto"/>
            <w:vAlign w:val="bottom"/>
          </w:tcPr>
          <w:p w14:paraId="185FFADB" w14:textId="77777777" w:rsidR="00A91885" w:rsidRDefault="00A91885">
            <w:pPr>
              <w:rPr>
                <w:rFonts w:ascii="宋体"/>
                <w:vanish/>
              </w:rPr>
            </w:pPr>
          </w:p>
        </w:tc>
        <w:tc>
          <w:tcPr>
            <w:tcW w:w="0" w:type="auto"/>
            <w:gridSpan w:val="3"/>
            <w:shd w:val="clear" w:color="auto" w:fill="auto"/>
            <w:vAlign w:val="bottom"/>
          </w:tcPr>
          <w:p w14:paraId="185FFADC" w14:textId="77777777" w:rsidR="00A91885" w:rsidRDefault="00A91885">
            <w:pPr>
              <w:rPr>
                <w:rFonts w:ascii="宋体"/>
                <w:vanish/>
              </w:rPr>
            </w:pPr>
          </w:p>
        </w:tc>
        <w:tc>
          <w:tcPr>
            <w:tcW w:w="0" w:type="auto"/>
            <w:gridSpan w:val="3"/>
            <w:shd w:val="clear" w:color="auto" w:fill="auto"/>
            <w:vAlign w:val="bottom"/>
          </w:tcPr>
          <w:p w14:paraId="185FFADD" w14:textId="77777777" w:rsidR="00A91885" w:rsidRDefault="00A91885">
            <w:pPr>
              <w:rPr>
                <w:rFonts w:ascii="宋体"/>
                <w:vanish/>
              </w:rPr>
            </w:pPr>
          </w:p>
        </w:tc>
        <w:tc>
          <w:tcPr>
            <w:tcW w:w="0" w:type="auto"/>
            <w:gridSpan w:val="3"/>
            <w:shd w:val="clear" w:color="auto" w:fill="auto"/>
            <w:vAlign w:val="bottom"/>
          </w:tcPr>
          <w:p w14:paraId="185FFADE" w14:textId="77777777" w:rsidR="00A91885" w:rsidRDefault="00A91885">
            <w:pPr>
              <w:rPr>
                <w:rFonts w:ascii="宋体"/>
                <w:vanish/>
              </w:rPr>
            </w:pPr>
          </w:p>
        </w:tc>
        <w:tc>
          <w:tcPr>
            <w:tcW w:w="0" w:type="auto"/>
            <w:gridSpan w:val="3"/>
            <w:shd w:val="clear" w:color="auto" w:fill="auto"/>
            <w:vAlign w:val="bottom"/>
          </w:tcPr>
          <w:p w14:paraId="185FFADF" w14:textId="77777777" w:rsidR="00A91885" w:rsidRDefault="00A91885">
            <w:pPr>
              <w:rPr>
                <w:rFonts w:ascii="宋体"/>
                <w:vanish/>
              </w:rPr>
            </w:pPr>
          </w:p>
        </w:tc>
        <w:tc>
          <w:tcPr>
            <w:tcW w:w="0" w:type="auto"/>
            <w:gridSpan w:val="3"/>
            <w:shd w:val="clear" w:color="auto" w:fill="auto"/>
            <w:vAlign w:val="bottom"/>
          </w:tcPr>
          <w:p w14:paraId="185FFAE0" w14:textId="77777777" w:rsidR="00A91885" w:rsidRDefault="00A91885">
            <w:pPr>
              <w:rPr>
                <w:rFonts w:ascii="宋体"/>
                <w:vanish/>
              </w:rPr>
            </w:pPr>
          </w:p>
        </w:tc>
      </w:tr>
      <w:tr w:rsidR="00A91885" w14:paraId="185FFAEA" w14:textId="77777777">
        <w:tc>
          <w:tcPr>
            <w:tcW w:w="0" w:type="auto"/>
            <w:gridSpan w:val="3"/>
            <w:shd w:val="clear" w:color="auto" w:fill="E2E2E2"/>
            <w:tcMar>
              <w:top w:w="40" w:type="dxa"/>
              <w:left w:w="20" w:type="dxa"/>
              <w:bottom w:w="40" w:type="dxa"/>
              <w:right w:w="20" w:type="dxa"/>
            </w:tcMar>
            <w:vAlign w:val="bottom"/>
          </w:tcPr>
          <w:p w14:paraId="185FFAE2" w14:textId="77777777" w:rsidR="00A91885" w:rsidRDefault="009C4196">
            <w:pPr>
              <w:textAlignment w:val="bottom"/>
            </w:pPr>
            <w:r>
              <w:rPr>
                <w:rFonts w:ascii="Arial" w:eastAsia="宋体" w:hAnsi="Arial" w:cs="Arial"/>
                <w:color w:val="000000"/>
                <w:sz w:val="18"/>
                <w:szCs w:val="18"/>
              </w:rPr>
              <w:t>Income (loss) per share - basic:</w:t>
            </w:r>
          </w:p>
        </w:tc>
        <w:tc>
          <w:tcPr>
            <w:tcW w:w="0" w:type="auto"/>
            <w:gridSpan w:val="3"/>
            <w:shd w:val="clear" w:color="auto" w:fill="E2E2E2"/>
            <w:tcMar>
              <w:top w:w="0" w:type="dxa"/>
              <w:left w:w="20" w:type="dxa"/>
              <w:bottom w:w="0" w:type="dxa"/>
              <w:right w:w="20" w:type="dxa"/>
            </w:tcMar>
            <w:vAlign w:val="bottom"/>
          </w:tcPr>
          <w:p w14:paraId="185FFAE3"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AE4"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AE5"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AE6"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AE7"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AE8"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AE9" w14:textId="77777777" w:rsidR="00A91885" w:rsidRDefault="00A91885">
            <w:pPr>
              <w:rPr>
                <w:rFonts w:ascii="宋体"/>
              </w:rPr>
            </w:pPr>
          </w:p>
        </w:tc>
      </w:tr>
      <w:tr w:rsidR="00A91885" w14:paraId="185FFAFB" w14:textId="77777777">
        <w:tc>
          <w:tcPr>
            <w:tcW w:w="0" w:type="auto"/>
            <w:gridSpan w:val="3"/>
            <w:shd w:val="clear" w:color="auto" w:fill="FFFFFF"/>
            <w:tcMar>
              <w:top w:w="40" w:type="dxa"/>
              <w:left w:w="515" w:type="dxa"/>
              <w:bottom w:w="40" w:type="dxa"/>
              <w:right w:w="20" w:type="dxa"/>
            </w:tcMar>
            <w:vAlign w:val="bottom"/>
          </w:tcPr>
          <w:p w14:paraId="185FFAEB" w14:textId="77777777" w:rsidR="00A91885" w:rsidRDefault="009C4196">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185FFAEC"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AED" w14:textId="77777777" w:rsidR="00A91885" w:rsidRDefault="009C4196">
            <w:pPr>
              <w:jc w:val="right"/>
              <w:textAlignment w:val="bottom"/>
            </w:pPr>
            <w:r>
              <w:rPr>
                <w:rFonts w:ascii="Arial" w:eastAsia="宋体" w:hAnsi="Arial" w:cs="Arial"/>
                <w:color w:val="000000"/>
                <w:sz w:val="18"/>
                <w:szCs w:val="18"/>
              </w:rPr>
              <w:t>(0.96)</w:t>
            </w:r>
          </w:p>
        </w:tc>
        <w:tc>
          <w:tcPr>
            <w:tcW w:w="0" w:type="auto"/>
            <w:shd w:val="clear" w:color="auto" w:fill="FFFFFF"/>
            <w:tcMar>
              <w:top w:w="40" w:type="dxa"/>
              <w:left w:w="0" w:type="dxa"/>
              <w:bottom w:w="40" w:type="dxa"/>
              <w:right w:w="20" w:type="dxa"/>
            </w:tcMar>
            <w:vAlign w:val="bottom"/>
          </w:tcPr>
          <w:p w14:paraId="185FFAE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AEF"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AF0"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AF1" w14:textId="77777777" w:rsidR="00A91885" w:rsidRDefault="009C4196">
            <w:pPr>
              <w:jc w:val="right"/>
              <w:textAlignment w:val="bottom"/>
            </w:pPr>
            <w:r>
              <w:rPr>
                <w:rFonts w:ascii="Arial" w:eastAsia="宋体" w:hAnsi="Arial" w:cs="Arial"/>
                <w:color w:val="000000"/>
                <w:sz w:val="18"/>
                <w:szCs w:val="18"/>
              </w:rPr>
              <w:t>0.44 </w:t>
            </w:r>
          </w:p>
        </w:tc>
        <w:tc>
          <w:tcPr>
            <w:tcW w:w="0" w:type="auto"/>
            <w:shd w:val="clear" w:color="auto" w:fill="FFFFFF"/>
            <w:tcMar>
              <w:top w:w="40" w:type="dxa"/>
              <w:left w:w="0" w:type="dxa"/>
              <w:bottom w:w="40" w:type="dxa"/>
              <w:right w:w="20" w:type="dxa"/>
            </w:tcMar>
            <w:vAlign w:val="bottom"/>
          </w:tcPr>
          <w:p w14:paraId="185FFAF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AF3"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AF4"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AF5" w14:textId="77777777" w:rsidR="00A91885" w:rsidRDefault="009C4196">
            <w:pPr>
              <w:jc w:val="right"/>
              <w:textAlignment w:val="bottom"/>
            </w:pPr>
            <w:r>
              <w:rPr>
                <w:rFonts w:ascii="Arial" w:eastAsia="宋体" w:hAnsi="Arial" w:cs="Arial"/>
                <w:color w:val="000000"/>
                <w:sz w:val="18"/>
                <w:szCs w:val="18"/>
              </w:rPr>
              <w:t>(3.28)</w:t>
            </w:r>
          </w:p>
        </w:tc>
        <w:tc>
          <w:tcPr>
            <w:tcW w:w="0" w:type="auto"/>
            <w:shd w:val="clear" w:color="auto" w:fill="FFFFFF"/>
            <w:tcMar>
              <w:top w:w="40" w:type="dxa"/>
              <w:left w:w="0" w:type="dxa"/>
              <w:bottom w:w="40" w:type="dxa"/>
              <w:right w:w="20" w:type="dxa"/>
            </w:tcMar>
            <w:vAlign w:val="bottom"/>
          </w:tcPr>
          <w:p w14:paraId="185FFAF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AF7"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AF8"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AF9" w14:textId="77777777" w:rsidR="00A91885" w:rsidRDefault="009C4196">
            <w:pPr>
              <w:jc w:val="right"/>
              <w:textAlignment w:val="bottom"/>
            </w:pPr>
            <w:r>
              <w:rPr>
                <w:rFonts w:ascii="Arial" w:eastAsia="宋体" w:hAnsi="Arial" w:cs="Arial"/>
                <w:color w:val="000000"/>
                <w:sz w:val="18"/>
                <w:szCs w:val="18"/>
              </w:rPr>
              <w:t>1.27 </w:t>
            </w:r>
          </w:p>
        </w:tc>
        <w:tc>
          <w:tcPr>
            <w:tcW w:w="0" w:type="auto"/>
            <w:shd w:val="clear" w:color="auto" w:fill="FFFFFF"/>
            <w:tcMar>
              <w:top w:w="40" w:type="dxa"/>
              <w:left w:w="0" w:type="dxa"/>
              <w:bottom w:w="40" w:type="dxa"/>
              <w:right w:w="20" w:type="dxa"/>
            </w:tcMar>
            <w:vAlign w:val="bottom"/>
          </w:tcPr>
          <w:p w14:paraId="185FFAFA" w14:textId="77777777" w:rsidR="00A91885" w:rsidRDefault="00A91885">
            <w:pPr>
              <w:jc w:val="right"/>
              <w:rPr>
                <w:rFonts w:ascii="宋体"/>
              </w:rPr>
            </w:pPr>
          </w:p>
        </w:tc>
      </w:tr>
      <w:tr w:rsidR="00A91885" w14:paraId="185FFB08" w14:textId="77777777">
        <w:tc>
          <w:tcPr>
            <w:tcW w:w="0" w:type="auto"/>
            <w:gridSpan w:val="3"/>
            <w:shd w:val="clear" w:color="auto" w:fill="E2E2E2"/>
            <w:tcMar>
              <w:top w:w="40" w:type="dxa"/>
              <w:left w:w="515" w:type="dxa"/>
              <w:bottom w:w="40" w:type="dxa"/>
              <w:right w:w="20" w:type="dxa"/>
            </w:tcMar>
            <w:vAlign w:val="bottom"/>
          </w:tcPr>
          <w:p w14:paraId="185FFAFC" w14:textId="77777777" w:rsidR="00A91885" w:rsidRDefault="009C4196">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185FFAFD" w14:textId="77777777" w:rsidR="00A91885" w:rsidRDefault="009C4196">
            <w:pPr>
              <w:jc w:val="right"/>
              <w:textAlignment w:val="bottom"/>
            </w:pPr>
            <w:r>
              <w:rPr>
                <w:rFonts w:ascii="Arial" w:eastAsia="宋体" w:hAnsi="Arial" w:cs="Arial"/>
                <w:color w:val="000000"/>
                <w:sz w:val="18"/>
                <w:szCs w:val="18"/>
              </w:rPr>
              <w:t>0.01 </w:t>
            </w:r>
          </w:p>
        </w:tc>
        <w:tc>
          <w:tcPr>
            <w:tcW w:w="0" w:type="auto"/>
            <w:shd w:val="clear" w:color="auto" w:fill="E2E2E2"/>
            <w:tcMar>
              <w:top w:w="40" w:type="dxa"/>
              <w:left w:w="0" w:type="dxa"/>
              <w:bottom w:w="40" w:type="dxa"/>
              <w:right w:w="20" w:type="dxa"/>
            </w:tcMar>
            <w:vAlign w:val="bottom"/>
          </w:tcPr>
          <w:p w14:paraId="185FFAF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AFF"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B00" w14:textId="77777777" w:rsidR="00A91885" w:rsidRDefault="009C4196">
            <w:pPr>
              <w:jc w:val="right"/>
              <w:textAlignment w:val="bottom"/>
            </w:pPr>
            <w:r>
              <w:rPr>
                <w:rFonts w:ascii="Arial" w:eastAsia="宋体" w:hAnsi="Arial" w:cs="Arial"/>
                <w:color w:val="000000"/>
                <w:sz w:val="18"/>
                <w:szCs w:val="18"/>
              </w:rPr>
              <w:t>15.48 </w:t>
            </w:r>
          </w:p>
        </w:tc>
        <w:tc>
          <w:tcPr>
            <w:tcW w:w="0" w:type="auto"/>
            <w:shd w:val="clear" w:color="auto" w:fill="E2E2E2"/>
            <w:tcMar>
              <w:top w:w="40" w:type="dxa"/>
              <w:left w:w="0" w:type="dxa"/>
              <w:bottom w:w="40" w:type="dxa"/>
              <w:right w:w="20" w:type="dxa"/>
            </w:tcMar>
            <w:vAlign w:val="bottom"/>
          </w:tcPr>
          <w:p w14:paraId="185FFB0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B02"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B03" w14:textId="77777777" w:rsidR="00A91885" w:rsidRDefault="009C4196">
            <w:pPr>
              <w:jc w:val="right"/>
              <w:textAlignment w:val="bottom"/>
            </w:pPr>
            <w:r>
              <w:rPr>
                <w:rFonts w:ascii="Arial" w:eastAsia="宋体" w:hAnsi="Arial" w:cs="Arial"/>
                <w:color w:val="000000"/>
                <w:sz w:val="18"/>
                <w:szCs w:val="18"/>
              </w:rPr>
              <w:t>0.01 </w:t>
            </w:r>
          </w:p>
        </w:tc>
        <w:tc>
          <w:tcPr>
            <w:tcW w:w="0" w:type="auto"/>
            <w:shd w:val="clear" w:color="auto" w:fill="E2E2E2"/>
            <w:tcMar>
              <w:top w:w="40" w:type="dxa"/>
              <w:left w:w="0" w:type="dxa"/>
              <w:bottom w:w="40" w:type="dxa"/>
              <w:right w:w="20" w:type="dxa"/>
            </w:tcMar>
            <w:vAlign w:val="bottom"/>
          </w:tcPr>
          <w:p w14:paraId="185FFB0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B0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B06" w14:textId="77777777" w:rsidR="00A91885" w:rsidRDefault="009C4196">
            <w:pPr>
              <w:jc w:val="right"/>
              <w:textAlignment w:val="bottom"/>
            </w:pPr>
            <w:r>
              <w:rPr>
                <w:rFonts w:ascii="Arial" w:eastAsia="宋体" w:hAnsi="Arial" w:cs="Arial"/>
                <w:color w:val="000000"/>
                <w:sz w:val="18"/>
                <w:szCs w:val="18"/>
              </w:rPr>
              <w:t>15.52 </w:t>
            </w:r>
          </w:p>
        </w:tc>
        <w:tc>
          <w:tcPr>
            <w:tcW w:w="0" w:type="auto"/>
            <w:shd w:val="clear" w:color="auto" w:fill="E2E2E2"/>
            <w:tcMar>
              <w:top w:w="40" w:type="dxa"/>
              <w:left w:w="0" w:type="dxa"/>
              <w:bottom w:w="40" w:type="dxa"/>
              <w:right w:w="20" w:type="dxa"/>
            </w:tcMar>
            <w:vAlign w:val="bottom"/>
          </w:tcPr>
          <w:p w14:paraId="185FFB07" w14:textId="77777777" w:rsidR="00A91885" w:rsidRDefault="00A91885">
            <w:pPr>
              <w:jc w:val="right"/>
              <w:rPr>
                <w:rFonts w:ascii="宋体"/>
              </w:rPr>
            </w:pPr>
          </w:p>
        </w:tc>
      </w:tr>
      <w:tr w:rsidR="00A91885" w14:paraId="185FFB19" w14:textId="77777777">
        <w:tc>
          <w:tcPr>
            <w:tcW w:w="0" w:type="auto"/>
            <w:gridSpan w:val="3"/>
            <w:shd w:val="clear" w:color="auto" w:fill="FFFFFF"/>
            <w:tcMar>
              <w:top w:w="40" w:type="dxa"/>
              <w:left w:w="20" w:type="dxa"/>
              <w:bottom w:w="40" w:type="dxa"/>
              <w:right w:w="20" w:type="dxa"/>
            </w:tcMar>
            <w:vAlign w:val="bottom"/>
          </w:tcPr>
          <w:p w14:paraId="185FFB09" w14:textId="77777777" w:rsidR="00A91885" w:rsidRDefault="009C4196">
            <w:pPr>
              <w:textAlignment w:val="bottom"/>
            </w:pPr>
            <w:r>
              <w:rPr>
                <w:rFonts w:ascii="Arial" w:eastAsia="宋体" w:hAnsi="Arial" w:cs="Arial"/>
                <w:color w:val="000000"/>
                <w:sz w:val="18"/>
                <w:szCs w:val="18"/>
              </w:rPr>
              <w:t>Net income (loss) per share - basic</w:t>
            </w:r>
          </w:p>
        </w:tc>
        <w:tc>
          <w:tcPr>
            <w:tcW w:w="0" w:type="auto"/>
            <w:tcBorders>
              <w:top w:val="single" w:sz="8" w:space="0" w:color="000000"/>
            </w:tcBorders>
            <w:shd w:val="clear" w:color="auto" w:fill="FFFFFF"/>
            <w:tcMar>
              <w:top w:w="40" w:type="dxa"/>
              <w:left w:w="20" w:type="dxa"/>
              <w:bottom w:w="40" w:type="dxa"/>
              <w:right w:w="0" w:type="dxa"/>
            </w:tcMar>
            <w:vAlign w:val="bottom"/>
          </w:tcPr>
          <w:p w14:paraId="185FFB0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B0B" w14:textId="77777777" w:rsidR="00A91885" w:rsidRDefault="009C4196">
            <w:pPr>
              <w:jc w:val="right"/>
              <w:textAlignment w:val="bottom"/>
            </w:pPr>
            <w:r>
              <w:rPr>
                <w:rFonts w:ascii="Arial" w:eastAsia="宋体" w:hAnsi="Arial" w:cs="Arial"/>
                <w:color w:val="000000"/>
                <w:sz w:val="18"/>
                <w:szCs w:val="18"/>
              </w:rPr>
              <w:t>(0.95)</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B0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B0D"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5FFB0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B0F" w14:textId="77777777" w:rsidR="00A91885" w:rsidRDefault="009C4196">
            <w:pPr>
              <w:jc w:val="right"/>
              <w:textAlignment w:val="bottom"/>
            </w:pPr>
            <w:r>
              <w:rPr>
                <w:rFonts w:ascii="Arial" w:eastAsia="宋体" w:hAnsi="Arial" w:cs="Arial"/>
                <w:color w:val="000000"/>
                <w:sz w:val="18"/>
                <w:szCs w:val="18"/>
              </w:rPr>
              <w:t>15.92 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B1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B11"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5FFB1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B13" w14:textId="77777777" w:rsidR="00A91885" w:rsidRDefault="009C4196">
            <w:pPr>
              <w:jc w:val="right"/>
              <w:textAlignment w:val="bottom"/>
            </w:pPr>
            <w:r>
              <w:rPr>
                <w:rFonts w:ascii="Arial" w:eastAsia="宋体" w:hAnsi="Arial" w:cs="Arial"/>
                <w:color w:val="000000"/>
                <w:sz w:val="18"/>
                <w:szCs w:val="18"/>
              </w:rPr>
              <w:t>(3.27)</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B1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B15"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5FFB1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B17" w14:textId="77777777" w:rsidR="00A91885" w:rsidRDefault="009C4196">
            <w:pPr>
              <w:jc w:val="right"/>
              <w:textAlignment w:val="bottom"/>
            </w:pPr>
            <w:r>
              <w:rPr>
                <w:rFonts w:ascii="Arial" w:eastAsia="宋体" w:hAnsi="Arial" w:cs="Arial"/>
                <w:color w:val="000000"/>
                <w:sz w:val="18"/>
                <w:szCs w:val="18"/>
              </w:rPr>
              <w:t>16.79 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B18" w14:textId="77777777" w:rsidR="00A91885" w:rsidRDefault="00A91885">
            <w:pPr>
              <w:jc w:val="right"/>
              <w:rPr>
                <w:rFonts w:ascii="宋体"/>
              </w:rPr>
            </w:pPr>
          </w:p>
        </w:tc>
      </w:tr>
      <w:tr w:rsidR="00A91885" w14:paraId="185FFB22" w14:textId="77777777">
        <w:tc>
          <w:tcPr>
            <w:tcW w:w="0" w:type="auto"/>
            <w:gridSpan w:val="3"/>
            <w:shd w:val="clear" w:color="auto" w:fill="E2E2E2"/>
            <w:tcMar>
              <w:top w:w="40" w:type="dxa"/>
              <w:left w:w="20" w:type="dxa"/>
              <w:bottom w:w="40" w:type="dxa"/>
              <w:right w:w="20" w:type="dxa"/>
            </w:tcMar>
            <w:vAlign w:val="bottom"/>
          </w:tcPr>
          <w:p w14:paraId="185FFB1A" w14:textId="77777777" w:rsidR="00A91885" w:rsidRDefault="009C4196">
            <w:pPr>
              <w:textAlignment w:val="bottom"/>
            </w:pPr>
            <w:r>
              <w:rPr>
                <w:rFonts w:ascii="Arial" w:eastAsia="宋体" w:hAnsi="Arial" w:cs="Arial"/>
                <w:color w:val="000000"/>
                <w:sz w:val="18"/>
                <w:szCs w:val="18"/>
              </w:rPr>
              <w:t>Income (loss) per share - diluted:</w:t>
            </w: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B1B"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B1C"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B1D"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B1E"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B1F"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5FFB20"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5FFB21" w14:textId="77777777" w:rsidR="00A91885" w:rsidRDefault="00A91885">
            <w:pPr>
              <w:rPr>
                <w:rFonts w:ascii="宋体"/>
              </w:rPr>
            </w:pPr>
          </w:p>
        </w:tc>
      </w:tr>
      <w:tr w:rsidR="00A91885" w14:paraId="185FFB33" w14:textId="77777777">
        <w:tc>
          <w:tcPr>
            <w:tcW w:w="0" w:type="auto"/>
            <w:gridSpan w:val="3"/>
            <w:shd w:val="clear" w:color="auto" w:fill="FFFFFF"/>
            <w:tcMar>
              <w:top w:w="40" w:type="dxa"/>
              <w:left w:w="515" w:type="dxa"/>
              <w:bottom w:w="40" w:type="dxa"/>
              <w:right w:w="20" w:type="dxa"/>
            </w:tcMar>
            <w:vAlign w:val="bottom"/>
          </w:tcPr>
          <w:p w14:paraId="185FFB23" w14:textId="77777777" w:rsidR="00A91885" w:rsidRDefault="009C4196">
            <w:pPr>
              <w:textAlignment w:val="bottom"/>
            </w:pPr>
            <w:r>
              <w:rPr>
                <w:rFonts w:ascii="Arial" w:eastAsia="宋体" w:hAnsi="Arial" w:cs="Arial"/>
                <w:color w:val="000000"/>
                <w:sz w:val="18"/>
                <w:szCs w:val="18"/>
              </w:rPr>
              <w:t>Continuing operations</w:t>
            </w:r>
          </w:p>
        </w:tc>
        <w:tc>
          <w:tcPr>
            <w:tcW w:w="0" w:type="auto"/>
            <w:shd w:val="clear" w:color="auto" w:fill="FFFFFF"/>
            <w:tcMar>
              <w:top w:w="40" w:type="dxa"/>
              <w:left w:w="20" w:type="dxa"/>
              <w:bottom w:w="40" w:type="dxa"/>
              <w:right w:w="0" w:type="dxa"/>
            </w:tcMar>
            <w:vAlign w:val="bottom"/>
          </w:tcPr>
          <w:p w14:paraId="185FFB24"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B25" w14:textId="77777777" w:rsidR="00A91885" w:rsidRDefault="009C4196">
            <w:pPr>
              <w:jc w:val="right"/>
              <w:textAlignment w:val="bottom"/>
            </w:pPr>
            <w:r>
              <w:rPr>
                <w:rFonts w:ascii="Arial" w:eastAsia="宋体" w:hAnsi="Arial" w:cs="Arial"/>
                <w:color w:val="000000"/>
                <w:sz w:val="18"/>
                <w:szCs w:val="18"/>
              </w:rPr>
              <w:t>(0.96)</w:t>
            </w:r>
          </w:p>
        </w:tc>
        <w:tc>
          <w:tcPr>
            <w:tcW w:w="0" w:type="auto"/>
            <w:shd w:val="clear" w:color="auto" w:fill="FFFFFF"/>
            <w:tcMar>
              <w:top w:w="40" w:type="dxa"/>
              <w:left w:w="0" w:type="dxa"/>
              <w:bottom w:w="40" w:type="dxa"/>
              <w:right w:w="20" w:type="dxa"/>
            </w:tcMar>
            <w:vAlign w:val="bottom"/>
          </w:tcPr>
          <w:p w14:paraId="185FFB2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B27"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B28"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B29" w14:textId="77777777" w:rsidR="00A91885" w:rsidRDefault="009C4196">
            <w:pPr>
              <w:jc w:val="right"/>
              <w:textAlignment w:val="bottom"/>
            </w:pPr>
            <w:r>
              <w:rPr>
                <w:rFonts w:ascii="Arial" w:eastAsia="宋体" w:hAnsi="Arial" w:cs="Arial"/>
                <w:color w:val="000000"/>
                <w:sz w:val="18"/>
                <w:szCs w:val="18"/>
              </w:rPr>
              <w:t>0.43 </w:t>
            </w:r>
          </w:p>
        </w:tc>
        <w:tc>
          <w:tcPr>
            <w:tcW w:w="0" w:type="auto"/>
            <w:shd w:val="clear" w:color="auto" w:fill="FFFFFF"/>
            <w:tcMar>
              <w:top w:w="40" w:type="dxa"/>
              <w:left w:w="0" w:type="dxa"/>
              <w:bottom w:w="40" w:type="dxa"/>
              <w:right w:w="20" w:type="dxa"/>
            </w:tcMar>
            <w:vAlign w:val="bottom"/>
          </w:tcPr>
          <w:p w14:paraId="185FFB2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B2B"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B2C"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B2D" w14:textId="77777777" w:rsidR="00A91885" w:rsidRDefault="009C4196">
            <w:pPr>
              <w:jc w:val="right"/>
              <w:textAlignment w:val="bottom"/>
            </w:pPr>
            <w:r>
              <w:rPr>
                <w:rFonts w:ascii="Arial" w:eastAsia="宋体" w:hAnsi="Arial" w:cs="Arial"/>
                <w:color w:val="000000"/>
                <w:sz w:val="18"/>
                <w:szCs w:val="18"/>
              </w:rPr>
              <w:t>(3.28)</w:t>
            </w:r>
          </w:p>
        </w:tc>
        <w:tc>
          <w:tcPr>
            <w:tcW w:w="0" w:type="auto"/>
            <w:shd w:val="clear" w:color="auto" w:fill="FFFFFF"/>
            <w:tcMar>
              <w:top w:w="40" w:type="dxa"/>
              <w:left w:w="0" w:type="dxa"/>
              <w:bottom w:w="40" w:type="dxa"/>
              <w:right w:w="20" w:type="dxa"/>
            </w:tcMar>
            <w:vAlign w:val="bottom"/>
          </w:tcPr>
          <w:p w14:paraId="185FFB2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B2F"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B30"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B31" w14:textId="77777777" w:rsidR="00A91885" w:rsidRDefault="009C4196">
            <w:pPr>
              <w:jc w:val="right"/>
              <w:textAlignment w:val="bottom"/>
            </w:pPr>
            <w:r>
              <w:rPr>
                <w:rFonts w:ascii="Arial" w:eastAsia="宋体" w:hAnsi="Arial" w:cs="Arial"/>
                <w:color w:val="000000"/>
                <w:sz w:val="18"/>
                <w:szCs w:val="18"/>
              </w:rPr>
              <w:t>1.25 </w:t>
            </w:r>
          </w:p>
        </w:tc>
        <w:tc>
          <w:tcPr>
            <w:tcW w:w="0" w:type="auto"/>
            <w:shd w:val="clear" w:color="auto" w:fill="FFFFFF"/>
            <w:tcMar>
              <w:top w:w="40" w:type="dxa"/>
              <w:left w:w="0" w:type="dxa"/>
              <w:bottom w:w="40" w:type="dxa"/>
              <w:right w:w="20" w:type="dxa"/>
            </w:tcMar>
            <w:vAlign w:val="bottom"/>
          </w:tcPr>
          <w:p w14:paraId="185FFB32" w14:textId="77777777" w:rsidR="00A91885" w:rsidRDefault="00A91885">
            <w:pPr>
              <w:jc w:val="right"/>
              <w:rPr>
                <w:rFonts w:ascii="宋体"/>
              </w:rPr>
            </w:pPr>
          </w:p>
        </w:tc>
      </w:tr>
      <w:tr w:rsidR="00A91885" w14:paraId="185FFB40" w14:textId="77777777">
        <w:tc>
          <w:tcPr>
            <w:tcW w:w="0" w:type="auto"/>
            <w:gridSpan w:val="3"/>
            <w:shd w:val="clear" w:color="auto" w:fill="E2E2E2"/>
            <w:tcMar>
              <w:top w:w="40" w:type="dxa"/>
              <w:left w:w="515" w:type="dxa"/>
              <w:bottom w:w="40" w:type="dxa"/>
              <w:right w:w="20" w:type="dxa"/>
            </w:tcMar>
            <w:vAlign w:val="bottom"/>
          </w:tcPr>
          <w:p w14:paraId="185FFB34" w14:textId="77777777" w:rsidR="00A91885" w:rsidRDefault="009C4196">
            <w:pPr>
              <w:textAlignment w:val="bottom"/>
            </w:pPr>
            <w:r>
              <w:rPr>
                <w:rFonts w:ascii="Arial" w:eastAsia="宋体" w:hAnsi="Arial" w:cs="Arial"/>
                <w:color w:val="000000"/>
                <w:sz w:val="18"/>
                <w:szCs w:val="18"/>
              </w:rPr>
              <w:t>Discontinued operations</w:t>
            </w:r>
          </w:p>
        </w:tc>
        <w:tc>
          <w:tcPr>
            <w:tcW w:w="0" w:type="auto"/>
            <w:gridSpan w:val="2"/>
            <w:shd w:val="clear" w:color="auto" w:fill="E2E2E2"/>
            <w:tcMar>
              <w:top w:w="40" w:type="dxa"/>
              <w:left w:w="20" w:type="dxa"/>
              <w:bottom w:w="40" w:type="dxa"/>
              <w:right w:w="0" w:type="dxa"/>
            </w:tcMar>
            <w:vAlign w:val="bottom"/>
          </w:tcPr>
          <w:p w14:paraId="185FFB35" w14:textId="77777777" w:rsidR="00A91885" w:rsidRDefault="009C4196">
            <w:pPr>
              <w:jc w:val="right"/>
              <w:textAlignment w:val="bottom"/>
            </w:pPr>
            <w:r>
              <w:rPr>
                <w:rFonts w:ascii="Arial" w:eastAsia="宋体" w:hAnsi="Arial" w:cs="Arial"/>
                <w:color w:val="000000"/>
                <w:sz w:val="18"/>
                <w:szCs w:val="18"/>
              </w:rPr>
              <w:t>0.01 </w:t>
            </w:r>
          </w:p>
        </w:tc>
        <w:tc>
          <w:tcPr>
            <w:tcW w:w="0" w:type="auto"/>
            <w:shd w:val="clear" w:color="auto" w:fill="E2E2E2"/>
            <w:tcMar>
              <w:top w:w="40" w:type="dxa"/>
              <w:left w:w="0" w:type="dxa"/>
              <w:bottom w:w="40" w:type="dxa"/>
              <w:right w:w="20" w:type="dxa"/>
            </w:tcMar>
            <w:vAlign w:val="bottom"/>
          </w:tcPr>
          <w:p w14:paraId="185FFB3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B37"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B38" w14:textId="77777777" w:rsidR="00A91885" w:rsidRDefault="009C4196">
            <w:pPr>
              <w:jc w:val="right"/>
              <w:textAlignment w:val="bottom"/>
            </w:pPr>
            <w:r>
              <w:rPr>
                <w:rFonts w:ascii="Arial" w:eastAsia="宋体" w:hAnsi="Arial" w:cs="Arial"/>
                <w:color w:val="000000"/>
                <w:sz w:val="18"/>
                <w:szCs w:val="18"/>
              </w:rPr>
              <w:t>15.25 </w:t>
            </w:r>
          </w:p>
        </w:tc>
        <w:tc>
          <w:tcPr>
            <w:tcW w:w="0" w:type="auto"/>
            <w:shd w:val="clear" w:color="auto" w:fill="E2E2E2"/>
            <w:tcMar>
              <w:top w:w="40" w:type="dxa"/>
              <w:left w:w="0" w:type="dxa"/>
              <w:bottom w:w="40" w:type="dxa"/>
              <w:right w:w="20" w:type="dxa"/>
            </w:tcMar>
            <w:vAlign w:val="bottom"/>
          </w:tcPr>
          <w:p w14:paraId="185FFB39"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B3A"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B3B" w14:textId="77777777" w:rsidR="00A91885" w:rsidRDefault="009C4196">
            <w:pPr>
              <w:jc w:val="right"/>
              <w:textAlignment w:val="bottom"/>
            </w:pPr>
            <w:r>
              <w:rPr>
                <w:rFonts w:ascii="Arial" w:eastAsia="宋体" w:hAnsi="Arial" w:cs="Arial"/>
                <w:color w:val="000000"/>
                <w:sz w:val="18"/>
                <w:szCs w:val="18"/>
              </w:rPr>
              <w:t>0.01 </w:t>
            </w:r>
          </w:p>
        </w:tc>
        <w:tc>
          <w:tcPr>
            <w:tcW w:w="0" w:type="auto"/>
            <w:shd w:val="clear" w:color="auto" w:fill="E2E2E2"/>
            <w:tcMar>
              <w:top w:w="40" w:type="dxa"/>
              <w:left w:w="0" w:type="dxa"/>
              <w:bottom w:w="40" w:type="dxa"/>
              <w:right w:w="20" w:type="dxa"/>
            </w:tcMar>
            <w:vAlign w:val="bottom"/>
          </w:tcPr>
          <w:p w14:paraId="185FFB3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B3D"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B3E" w14:textId="77777777" w:rsidR="00A91885" w:rsidRDefault="009C4196">
            <w:pPr>
              <w:jc w:val="right"/>
              <w:textAlignment w:val="bottom"/>
            </w:pPr>
            <w:r>
              <w:rPr>
                <w:rFonts w:ascii="Arial" w:eastAsia="宋体" w:hAnsi="Arial" w:cs="Arial"/>
                <w:color w:val="000000"/>
                <w:sz w:val="18"/>
                <w:szCs w:val="18"/>
              </w:rPr>
              <w:t>15.27 </w:t>
            </w:r>
          </w:p>
        </w:tc>
        <w:tc>
          <w:tcPr>
            <w:tcW w:w="0" w:type="auto"/>
            <w:shd w:val="clear" w:color="auto" w:fill="E2E2E2"/>
            <w:tcMar>
              <w:top w:w="40" w:type="dxa"/>
              <w:left w:w="0" w:type="dxa"/>
              <w:bottom w:w="40" w:type="dxa"/>
              <w:right w:w="20" w:type="dxa"/>
            </w:tcMar>
            <w:vAlign w:val="bottom"/>
          </w:tcPr>
          <w:p w14:paraId="185FFB3F" w14:textId="77777777" w:rsidR="00A91885" w:rsidRDefault="00A91885">
            <w:pPr>
              <w:jc w:val="right"/>
              <w:rPr>
                <w:rFonts w:ascii="宋体"/>
              </w:rPr>
            </w:pPr>
          </w:p>
        </w:tc>
      </w:tr>
      <w:tr w:rsidR="00A91885" w14:paraId="185FFB51" w14:textId="77777777">
        <w:tc>
          <w:tcPr>
            <w:tcW w:w="0" w:type="auto"/>
            <w:gridSpan w:val="3"/>
            <w:shd w:val="clear" w:color="auto" w:fill="FFFFFF"/>
            <w:tcMar>
              <w:top w:w="40" w:type="dxa"/>
              <w:left w:w="20" w:type="dxa"/>
              <w:bottom w:w="40" w:type="dxa"/>
              <w:right w:w="20" w:type="dxa"/>
            </w:tcMar>
            <w:vAlign w:val="bottom"/>
          </w:tcPr>
          <w:p w14:paraId="185FFB41" w14:textId="77777777" w:rsidR="00A91885" w:rsidRDefault="009C4196">
            <w:pPr>
              <w:textAlignment w:val="bottom"/>
            </w:pPr>
            <w:r>
              <w:rPr>
                <w:rFonts w:ascii="Arial" w:eastAsia="宋体" w:hAnsi="Arial" w:cs="Arial"/>
                <w:color w:val="000000"/>
                <w:sz w:val="18"/>
                <w:szCs w:val="18"/>
              </w:rPr>
              <w:t>Net income (loss) per share - diluted</w:t>
            </w:r>
          </w:p>
        </w:tc>
        <w:tc>
          <w:tcPr>
            <w:tcW w:w="0" w:type="auto"/>
            <w:tcBorders>
              <w:top w:val="single" w:sz="8" w:space="0" w:color="000000"/>
            </w:tcBorders>
            <w:shd w:val="clear" w:color="auto" w:fill="FFFFFF"/>
            <w:tcMar>
              <w:top w:w="40" w:type="dxa"/>
              <w:left w:w="20" w:type="dxa"/>
              <w:bottom w:w="40" w:type="dxa"/>
              <w:right w:w="0" w:type="dxa"/>
            </w:tcMar>
            <w:vAlign w:val="bottom"/>
          </w:tcPr>
          <w:p w14:paraId="185FFB4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B43" w14:textId="77777777" w:rsidR="00A91885" w:rsidRDefault="009C4196">
            <w:pPr>
              <w:jc w:val="right"/>
              <w:textAlignment w:val="bottom"/>
            </w:pPr>
            <w:r>
              <w:rPr>
                <w:rFonts w:ascii="Arial" w:eastAsia="宋体" w:hAnsi="Arial" w:cs="Arial"/>
                <w:color w:val="000000"/>
                <w:sz w:val="18"/>
                <w:szCs w:val="18"/>
              </w:rPr>
              <w:t>(0.95)</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B4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B45"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5FFB4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B47" w14:textId="77777777" w:rsidR="00A91885" w:rsidRDefault="009C4196">
            <w:pPr>
              <w:jc w:val="right"/>
              <w:textAlignment w:val="bottom"/>
            </w:pPr>
            <w:r>
              <w:rPr>
                <w:rFonts w:ascii="Arial" w:eastAsia="宋体" w:hAnsi="Arial" w:cs="Arial"/>
                <w:color w:val="000000"/>
                <w:sz w:val="18"/>
                <w:szCs w:val="18"/>
              </w:rPr>
              <w:t>15.68 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B4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B49"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5FFB4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B4B" w14:textId="77777777" w:rsidR="00A91885" w:rsidRDefault="009C4196">
            <w:pPr>
              <w:jc w:val="right"/>
              <w:textAlignment w:val="bottom"/>
            </w:pPr>
            <w:r>
              <w:rPr>
                <w:rFonts w:ascii="Arial" w:eastAsia="宋体" w:hAnsi="Arial" w:cs="Arial"/>
                <w:color w:val="000000"/>
                <w:sz w:val="18"/>
                <w:szCs w:val="18"/>
              </w:rPr>
              <w:t>(3.27)</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B4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B4D"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5FFB4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5FFB4F" w14:textId="77777777" w:rsidR="00A91885" w:rsidRDefault="009C4196">
            <w:pPr>
              <w:jc w:val="right"/>
              <w:textAlignment w:val="bottom"/>
            </w:pPr>
            <w:r>
              <w:rPr>
                <w:rFonts w:ascii="Arial" w:eastAsia="宋体" w:hAnsi="Arial" w:cs="Arial"/>
                <w:color w:val="000000"/>
                <w:sz w:val="18"/>
                <w:szCs w:val="18"/>
              </w:rPr>
              <w:t>16.52 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B50" w14:textId="77777777" w:rsidR="00A91885" w:rsidRDefault="00A91885">
            <w:pPr>
              <w:jc w:val="right"/>
              <w:rPr>
                <w:rFonts w:ascii="宋体"/>
              </w:rPr>
            </w:pPr>
          </w:p>
        </w:tc>
      </w:tr>
      <w:tr w:rsidR="00A91885" w14:paraId="185FFB5E" w14:textId="77777777">
        <w:tc>
          <w:tcPr>
            <w:tcW w:w="0" w:type="auto"/>
            <w:gridSpan w:val="3"/>
            <w:shd w:val="clear" w:color="auto" w:fill="E2E2E2"/>
            <w:tcMar>
              <w:top w:w="40" w:type="dxa"/>
              <w:left w:w="20" w:type="dxa"/>
              <w:bottom w:w="40" w:type="dxa"/>
              <w:right w:w="20" w:type="dxa"/>
            </w:tcMar>
            <w:vAlign w:val="bottom"/>
          </w:tcPr>
          <w:p w14:paraId="185FFB52" w14:textId="77777777" w:rsidR="00A91885" w:rsidRDefault="009C4196">
            <w:pPr>
              <w:textAlignment w:val="bottom"/>
            </w:pPr>
            <w:r>
              <w:rPr>
                <w:rFonts w:ascii="Arial" w:eastAsia="宋体" w:hAnsi="Arial" w:cs="Arial"/>
                <w:color w:val="000000"/>
                <w:sz w:val="18"/>
                <w:szCs w:val="18"/>
              </w:rPr>
              <w:t>Common stock equivalents excluded from income (loss) per diluted share because their effect would have been anti-dilutive</w:t>
            </w: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185FFB53" w14:textId="77777777" w:rsidR="00A91885" w:rsidRDefault="009C4196">
            <w:pPr>
              <w:jc w:val="right"/>
              <w:textAlignment w:val="bottom"/>
            </w:pPr>
            <w:r>
              <w:rPr>
                <w:rFonts w:ascii="Arial" w:eastAsia="宋体" w:hAnsi="Arial" w:cs="Arial"/>
                <w:color w:val="000000"/>
                <w:sz w:val="18"/>
                <w:szCs w:val="18"/>
              </w:rPr>
              <w:t>16 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185FFB5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B55" w14:textId="77777777" w:rsidR="00A91885" w:rsidRDefault="00A91885">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185FFB56" w14:textId="77777777" w:rsidR="00A91885" w:rsidRDefault="009C4196">
            <w:pPr>
              <w:jc w:val="right"/>
              <w:textAlignment w:val="bottom"/>
            </w:pPr>
            <w:r>
              <w:rPr>
                <w:rFonts w:ascii="Arial" w:eastAsia="宋体" w:hAnsi="Arial" w:cs="Arial"/>
                <w:color w:val="000000"/>
                <w:sz w:val="18"/>
                <w:szCs w:val="18"/>
              </w:rPr>
              <w:t>8 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185FFB5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B58" w14:textId="77777777" w:rsidR="00A91885" w:rsidRDefault="00A91885">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185FFB59" w14:textId="77777777" w:rsidR="00A91885" w:rsidRDefault="009C4196">
            <w:pPr>
              <w:jc w:val="right"/>
              <w:textAlignment w:val="bottom"/>
            </w:pPr>
            <w:r>
              <w:rPr>
                <w:rFonts w:ascii="Arial" w:eastAsia="宋体" w:hAnsi="Arial" w:cs="Arial"/>
                <w:color w:val="000000"/>
                <w:sz w:val="18"/>
                <w:szCs w:val="18"/>
              </w:rPr>
              <w:t>16 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185FFB5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B5B" w14:textId="77777777" w:rsidR="00A91885" w:rsidRDefault="00A91885">
            <w:pPr>
              <w:rPr>
                <w:rFonts w:ascii="宋体"/>
              </w:rPr>
            </w:pPr>
          </w:p>
        </w:tc>
        <w:tc>
          <w:tcPr>
            <w:tcW w:w="0" w:type="auto"/>
            <w:gridSpan w:val="2"/>
            <w:tcBorders>
              <w:top w:val="double" w:sz="6" w:space="0" w:color="000000"/>
              <w:bottom w:val="double" w:sz="6" w:space="0" w:color="000000"/>
            </w:tcBorders>
            <w:shd w:val="clear" w:color="auto" w:fill="E2E2E2"/>
            <w:tcMar>
              <w:top w:w="40" w:type="dxa"/>
              <w:left w:w="20" w:type="dxa"/>
              <w:bottom w:w="40" w:type="dxa"/>
              <w:right w:w="0" w:type="dxa"/>
            </w:tcMar>
            <w:vAlign w:val="bottom"/>
          </w:tcPr>
          <w:p w14:paraId="185FFB5C" w14:textId="77777777" w:rsidR="00A91885" w:rsidRDefault="009C4196">
            <w:pPr>
              <w:jc w:val="right"/>
              <w:textAlignment w:val="bottom"/>
            </w:pPr>
            <w:r>
              <w:rPr>
                <w:rFonts w:ascii="Arial" w:eastAsia="宋体" w:hAnsi="Arial" w:cs="Arial"/>
                <w:color w:val="000000"/>
                <w:sz w:val="18"/>
                <w:szCs w:val="18"/>
              </w:rPr>
              <w:t>9 </w:t>
            </w:r>
          </w:p>
        </w:tc>
        <w:tc>
          <w:tcPr>
            <w:tcW w:w="0" w:type="auto"/>
            <w:tcBorders>
              <w:top w:val="double" w:sz="6" w:space="0" w:color="000000"/>
              <w:bottom w:val="double" w:sz="6" w:space="0" w:color="000000"/>
            </w:tcBorders>
            <w:shd w:val="clear" w:color="auto" w:fill="E2E2E2"/>
            <w:tcMar>
              <w:top w:w="40" w:type="dxa"/>
              <w:left w:w="0" w:type="dxa"/>
              <w:bottom w:w="40" w:type="dxa"/>
              <w:right w:w="20" w:type="dxa"/>
            </w:tcMar>
            <w:vAlign w:val="bottom"/>
          </w:tcPr>
          <w:p w14:paraId="185FFB5D" w14:textId="77777777" w:rsidR="00A91885" w:rsidRDefault="00A91885">
            <w:pPr>
              <w:jc w:val="right"/>
              <w:rPr>
                <w:rFonts w:ascii="宋体"/>
              </w:rPr>
            </w:pPr>
          </w:p>
        </w:tc>
      </w:tr>
    </w:tbl>
    <w:p w14:paraId="185FFB5F" w14:textId="77777777" w:rsidR="00A91885" w:rsidRDefault="00A91885"/>
    <w:p w14:paraId="185FFB60" w14:textId="77777777" w:rsidR="00A91885" w:rsidRDefault="00A91885">
      <w:pPr>
        <w:jc w:val="center"/>
      </w:pPr>
    </w:p>
    <w:p w14:paraId="185FFB61" w14:textId="77777777" w:rsidR="00A91885" w:rsidRDefault="009C4196">
      <w:pPr>
        <w:jc w:val="center"/>
      </w:pPr>
      <w:r>
        <w:rPr>
          <w:rFonts w:ascii="Arial" w:eastAsia="宋体" w:hAnsi="Arial" w:cs="Arial"/>
          <w:color w:val="000000"/>
          <w:sz w:val="20"/>
          <w:szCs w:val="20"/>
        </w:rPr>
        <w:t>12</w:t>
      </w:r>
    </w:p>
    <w:p w14:paraId="185FFB62" w14:textId="77777777" w:rsidR="00A91885" w:rsidRDefault="009C4196">
      <w:r>
        <w:pict w14:anchorId="1860218F">
          <v:rect id="_x0000_i1036" style="width:415.3pt;height:1.5pt" o:hralign="center" o:hrstd="t" o:hr="t" fillcolor="#a0a0a0" stroked="f"/>
        </w:pict>
      </w:r>
    </w:p>
    <w:p w14:paraId="185FFB63" w14:textId="77777777" w:rsidR="00A91885" w:rsidRDefault="009C4196">
      <w:hyperlink r:id="rId96" w:anchor="ieb971428a625452486c65ae24899afca_7" w:history="1">
        <w:r>
          <w:rPr>
            <w:rStyle w:val="a5"/>
            <w:rFonts w:ascii="Arial" w:eastAsia="宋体" w:hAnsi="Arial" w:cs="Arial"/>
            <w:sz w:val="18"/>
            <w:szCs w:val="18"/>
          </w:rPr>
          <w:t>Table of Contents</w:t>
        </w:r>
      </w:hyperlink>
    </w:p>
    <w:p w14:paraId="185FFB64" w14:textId="77777777" w:rsidR="00A91885" w:rsidRDefault="009C4196">
      <w:pPr>
        <w:jc w:val="center"/>
      </w:pPr>
      <w:r>
        <w:rPr>
          <w:rFonts w:ascii="Arial" w:eastAsia="宋体" w:hAnsi="Arial" w:cs="Arial"/>
          <w:b/>
          <w:bCs/>
          <w:color w:val="000000"/>
          <w:sz w:val="20"/>
          <w:szCs w:val="20"/>
        </w:rPr>
        <w:t>eBay Inc.</w:t>
      </w:r>
    </w:p>
    <w:p w14:paraId="185FFB65" w14:textId="77777777" w:rsidR="00A91885" w:rsidRDefault="009C4196">
      <w:pPr>
        <w:spacing w:before="80"/>
        <w:jc w:val="center"/>
      </w:pPr>
      <w:r>
        <w:rPr>
          <w:rFonts w:ascii="Arial" w:eastAsia="宋体" w:hAnsi="Arial" w:cs="Arial"/>
          <w:b/>
          <w:bCs/>
          <w:color w:val="000000"/>
          <w:sz w:val="20"/>
          <w:szCs w:val="20"/>
        </w:rPr>
        <w:t>NOTES TO CONDE</w:t>
      </w:r>
      <w:r>
        <w:rPr>
          <w:rFonts w:ascii="Arial" w:eastAsia="宋体" w:hAnsi="Arial" w:cs="Arial"/>
          <w:b/>
          <w:bCs/>
          <w:color w:val="000000"/>
          <w:sz w:val="20"/>
          <w:szCs w:val="20"/>
        </w:rPr>
        <w:t>NSED CONSOLIDATED FINANCIAL STATEMENTS—(Continued)</w:t>
      </w:r>
    </w:p>
    <w:p w14:paraId="185FFB66" w14:textId="77777777" w:rsidR="00A91885" w:rsidRDefault="009C4196">
      <w:pPr>
        <w:jc w:val="both"/>
      </w:pPr>
      <w:r>
        <w:rPr>
          <w:rFonts w:ascii="Arial" w:eastAsia="宋体" w:hAnsi="Arial" w:cs="Arial"/>
          <w:b/>
          <w:bCs/>
          <w:color w:val="000000"/>
          <w:sz w:val="20"/>
          <w:szCs w:val="20"/>
        </w:rPr>
        <w:t>Note 3 — Discontinued Operations</w:t>
      </w:r>
    </w:p>
    <w:p w14:paraId="185FFB67" w14:textId="77777777" w:rsidR="00A91885" w:rsidRDefault="00A91885">
      <w:pPr>
        <w:ind w:firstLine="90"/>
      </w:pPr>
    </w:p>
    <w:p w14:paraId="185FFB68" w14:textId="77777777" w:rsidR="00A91885" w:rsidRDefault="009C4196">
      <w:pPr>
        <w:ind w:firstLine="270"/>
      </w:pPr>
      <w:r>
        <w:rPr>
          <w:rFonts w:ascii="Arial" w:eastAsia="宋体" w:hAnsi="Arial" w:cs="Arial"/>
          <w:b/>
          <w:bCs/>
          <w:i/>
          <w:iCs/>
          <w:color w:val="000000"/>
          <w:sz w:val="20"/>
          <w:szCs w:val="20"/>
        </w:rPr>
        <w:t>Classifieds</w:t>
      </w:r>
    </w:p>
    <w:p w14:paraId="185FFB69" w14:textId="77777777" w:rsidR="00A91885" w:rsidRDefault="00A91885">
      <w:pPr>
        <w:ind w:firstLine="90"/>
      </w:pPr>
    </w:p>
    <w:p w14:paraId="185FFB6A" w14:textId="77777777" w:rsidR="00A91885" w:rsidRDefault="009C4196">
      <w:pPr>
        <w:ind w:firstLine="540"/>
        <w:jc w:val="both"/>
      </w:pPr>
      <w:r>
        <w:rPr>
          <w:rFonts w:ascii="Arial" w:eastAsia="宋体" w:hAnsi="Arial" w:cs="Arial"/>
          <w:color w:val="000000"/>
          <w:sz w:val="20"/>
          <w:szCs w:val="20"/>
        </w:rPr>
        <w:t>On June 24, 2021, we completed the previously announced transfer of our Classifieds business to Adevinta for $2.5 billion in cash, subject to certain adjustments, and approximately 540 million shares in Adevinta which represented an equity interest of 44%.</w:t>
      </w:r>
      <w:r>
        <w:rPr>
          <w:rFonts w:ascii="Arial" w:eastAsia="宋体" w:hAnsi="Arial" w:cs="Arial"/>
          <w:color w:val="000000"/>
          <w:sz w:val="20"/>
          <w:szCs w:val="20"/>
        </w:rPr>
        <w:t xml:space="preserve"> Together, the total consideration received under the definitive agreement was valued at approximately $13.3 billion, based on the closing trading price of Adevinta’s outstanding shares at the Oslo Stock Exchange on June 24, 2021. The transfer resulted in </w:t>
      </w:r>
      <w:r>
        <w:rPr>
          <w:rFonts w:ascii="Arial" w:eastAsia="宋体" w:hAnsi="Arial" w:cs="Arial"/>
          <w:color w:val="000000"/>
          <w:sz w:val="20"/>
          <w:szCs w:val="20"/>
        </w:rPr>
        <w:t xml:space="preserve">a pre-tax gain of $12.5 billion and related income tax expense of $2.1 billion, both within income from discontinued operations. The results of our Classifieds business have been presented as discontinued operations in our consolidated statement of income </w:t>
      </w:r>
      <w:r>
        <w:rPr>
          <w:rFonts w:ascii="Arial" w:eastAsia="宋体" w:hAnsi="Arial" w:cs="Arial"/>
          <w:color w:val="000000"/>
          <w:sz w:val="20"/>
          <w:szCs w:val="20"/>
        </w:rPr>
        <w:t xml:space="preserve">for all periods presented through June 24, 2021 as the transfer represented a strategic shift in our business that had a major effect on our operations and financial results. </w:t>
      </w:r>
    </w:p>
    <w:p w14:paraId="185FFB6B" w14:textId="77777777" w:rsidR="00A91885" w:rsidRDefault="00A91885">
      <w:pPr>
        <w:ind w:firstLine="540"/>
        <w:jc w:val="both"/>
      </w:pPr>
    </w:p>
    <w:p w14:paraId="185FFB6C" w14:textId="77777777" w:rsidR="00A91885" w:rsidRDefault="009C4196">
      <w:pPr>
        <w:ind w:firstLine="540"/>
        <w:jc w:val="both"/>
      </w:pPr>
      <w:r>
        <w:rPr>
          <w:rFonts w:ascii="Arial" w:eastAsia="宋体" w:hAnsi="Arial" w:cs="Arial"/>
          <w:color w:val="000000"/>
          <w:sz w:val="20"/>
          <w:szCs w:val="20"/>
        </w:rPr>
        <w:t>In addition, upon closing we entered into a transition service agreement (“TSA”</w:t>
      </w:r>
      <w:r>
        <w:rPr>
          <w:rFonts w:ascii="Arial" w:eastAsia="宋体" w:hAnsi="Arial" w:cs="Arial"/>
          <w:color w:val="000000"/>
          <w:sz w:val="20"/>
          <w:szCs w:val="20"/>
        </w:rPr>
        <w:t xml:space="preserve">) with Adevinta to support the operations of Classifieds after the divestiture for fees of $29 million. This agreement terminated during the second quarter of 2022. </w:t>
      </w:r>
    </w:p>
    <w:p w14:paraId="185FFB6D" w14:textId="77777777" w:rsidR="00A91885" w:rsidRDefault="00A91885">
      <w:pPr>
        <w:ind w:firstLine="540"/>
        <w:jc w:val="both"/>
      </w:pPr>
    </w:p>
    <w:p w14:paraId="185FFB6E" w14:textId="77777777" w:rsidR="00A91885" w:rsidRDefault="009C4196">
      <w:pPr>
        <w:ind w:firstLine="270"/>
        <w:jc w:val="both"/>
      </w:pPr>
      <w:r>
        <w:rPr>
          <w:rFonts w:ascii="Arial" w:eastAsia="宋体" w:hAnsi="Arial" w:cs="Arial"/>
          <w:b/>
          <w:bCs/>
          <w:i/>
          <w:iCs/>
          <w:color w:val="000000"/>
          <w:sz w:val="20"/>
          <w:szCs w:val="20"/>
        </w:rPr>
        <w:t>eBay Korea</w:t>
      </w:r>
    </w:p>
    <w:p w14:paraId="185FFB6F" w14:textId="77777777" w:rsidR="00A91885" w:rsidRDefault="00A91885">
      <w:pPr>
        <w:ind w:firstLine="90"/>
      </w:pPr>
    </w:p>
    <w:p w14:paraId="185FFB70" w14:textId="77777777" w:rsidR="00A91885" w:rsidRDefault="009C4196">
      <w:pPr>
        <w:ind w:firstLine="540"/>
        <w:jc w:val="both"/>
      </w:pPr>
      <w:r>
        <w:rPr>
          <w:rFonts w:ascii="Arial" w:eastAsia="宋体" w:hAnsi="Arial" w:cs="Arial"/>
          <w:color w:val="000000"/>
          <w:sz w:val="20"/>
          <w:szCs w:val="20"/>
        </w:rPr>
        <w:t>On November 14, 2021, we completed the previously announced sale of 80.01% of</w:t>
      </w:r>
      <w:r>
        <w:rPr>
          <w:rFonts w:ascii="Arial" w:eastAsia="宋体" w:hAnsi="Arial" w:cs="Arial"/>
          <w:color w:val="000000"/>
          <w:sz w:val="20"/>
          <w:szCs w:val="20"/>
        </w:rPr>
        <w:t xml:space="preserve"> the outstanding equity interests of eBay Korea to Emart, pursuant to the terms and conditions of the securities purchase agreement, in exchange for approximately $3.0 billion of gross cash proceeds as of the transaction close date, subject to certain adju</w:t>
      </w:r>
      <w:r>
        <w:rPr>
          <w:rFonts w:ascii="Arial" w:eastAsia="宋体" w:hAnsi="Arial" w:cs="Arial"/>
          <w:color w:val="000000"/>
          <w:sz w:val="20"/>
          <w:szCs w:val="20"/>
        </w:rPr>
        <w:t>stments. The sale resulted in a pre-tax gain of $3.2 billion inclusive of a $81 million currency translation adjustment and a $44 million gain on the net investment hedge settled in the fourth quarter of 2021, as well as income tax expense of $369 million.</w:t>
      </w:r>
      <w:r>
        <w:rPr>
          <w:rFonts w:ascii="Arial" w:eastAsia="宋体" w:hAnsi="Arial" w:cs="Arial"/>
          <w:color w:val="000000"/>
          <w:sz w:val="20"/>
          <w:szCs w:val="20"/>
        </w:rPr>
        <w:t xml:space="preserve"> The results of our eBay Korea business have been presented as discontinued operations in our condensed consolidated statement of income for all periods presented through November 14, 2021 as the transfer represented a strategic shift in our business that </w:t>
      </w:r>
      <w:r>
        <w:rPr>
          <w:rFonts w:ascii="Arial" w:eastAsia="宋体" w:hAnsi="Arial" w:cs="Arial"/>
          <w:color w:val="000000"/>
          <w:sz w:val="20"/>
          <w:szCs w:val="20"/>
        </w:rPr>
        <w:t xml:space="preserve">had a major effect on our operations and financial results. </w:t>
      </w:r>
    </w:p>
    <w:p w14:paraId="185FFB71" w14:textId="77777777" w:rsidR="00A91885" w:rsidRDefault="00A91885">
      <w:pPr>
        <w:ind w:firstLine="540"/>
        <w:jc w:val="both"/>
      </w:pPr>
    </w:p>
    <w:p w14:paraId="185FFB72" w14:textId="77777777" w:rsidR="00A91885" w:rsidRDefault="009C4196">
      <w:pPr>
        <w:ind w:firstLine="540"/>
        <w:jc w:val="both"/>
      </w:pPr>
      <w:r>
        <w:rPr>
          <w:rFonts w:ascii="Arial" w:eastAsia="宋体" w:hAnsi="Arial" w:cs="Arial"/>
          <w:color w:val="000000"/>
          <w:sz w:val="20"/>
          <w:szCs w:val="20"/>
        </w:rPr>
        <w:t>In addition, upon closing we entered into a transition service agreement with eBay Korea to support the operations of eBay Korea after the divestiture for immaterial fees. This agreement commenc</w:t>
      </w:r>
      <w:r>
        <w:rPr>
          <w:rFonts w:ascii="Arial" w:eastAsia="宋体" w:hAnsi="Arial" w:cs="Arial"/>
          <w:color w:val="000000"/>
          <w:sz w:val="20"/>
          <w:szCs w:val="20"/>
        </w:rPr>
        <w:t>ed with the close of the transaction and is currently expected to terminate during the fourth quarter of 2022.</w:t>
      </w:r>
    </w:p>
    <w:p w14:paraId="185FFB73" w14:textId="77777777" w:rsidR="00A91885" w:rsidRDefault="00A91885">
      <w:pPr>
        <w:ind w:firstLine="540"/>
        <w:jc w:val="both"/>
      </w:pPr>
    </w:p>
    <w:p w14:paraId="185FFB74" w14:textId="77777777" w:rsidR="00A91885" w:rsidRDefault="009C4196">
      <w:pPr>
        <w:ind w:firstLine="270"/>
        <w:jc w:val="both"/>
      </w:pPr>
      <w:r>
        <w:rPr>
          <w:rFonts w:ascii="Arial" w:eastAsia="宋体" w:hAnsi="Arial" w:cs="Arial"/>
          <w:b/>
          <w:bCs/>
          <w:i/>
          <w:iCs/>
          <w:color w:val="000000"/>
          <w:sz w:val="20"/>
          <w:szCs w:val="20"/>
        </w:rPr>
        <w:t>Discontinued operations</w:t>
      </w:r>
    </w:p>
    <w:p w14:paraId="185FFB75" w14:textId="77777777" w:rsidR="00A91885" w:rsidRDefault="00A91885">
      <w:pPr>
        <w:ind w:firstLine="270"/>
        <w:jc w:val="both"/>
      </w:pPr>
    </w:p>
    <w:p w14:paraId="185FFB76" w14:textId="77777777" w:rsidR="00A91885" w:rsidRDefault="009C4196">
      <w:pPr>
        <w:spacing w:after="120"/>
        <w:ind w:firstLine="540"/>
        <w:jc w:val="both"/>
      </w:pPr>
      <w:r>
        <w:rPr>
          <w:rFonts w:ascii="Arial" w:eastAsia="宋体" w:hAnsi="Arial" w:cs="Arial"/>
          <w:color w:val="000000"/>
          <w:sz w:val="20"/>
          <w:szCs w:val="20"/>
        </w:rPr>
        <w:t>The following table presents financial results from discontinued operations, net of income taxes in our condensed conso</w:t>
      </w:r>
      <w:r>
        <w:rPr>
          <w:rFonts w:ascii="Arial" w:eastAsia="宋体" w:hAnsi="Arial" w:cs="Arial"/>
          <w:color w:val="000000"/>
          <w:sz w:val="20"/>
          <w:szCs w:val="20"/>
        </w:rPr>
        <w:t>lidated statement of income for the periods indicated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430"/>
        <w:gridCol w:w="37"/>
        <w:gridCol w:w="122"/>
        <w:gridCol w:w="719"/>
        <w:gridCol w:w="37"/>
        <w:gridCol w:w="36"/>
        <w:gridCol w:w="36"/>
        <w:gridCol w:w="36"/>
        <w:gridCol w:w="121"/>
        <w:gridCol w:w="719"/>
        <w:gridCol w:w="36"/>
        <w:gridCol w:w="36"/>
        <w:gridCol w:w="36"/>
        <w:gridCol w:w="36"/>
        <w:gridCol w:w="122"/>
        <w:gridCol w:w="719"/>
        <w:gridCol w:w="36"/>
        <w:gridCol w:w="36"/>
        <w:gridCol w:w="36"/>
        <w:gridCol w:w="36"/>
        <w:gridCol w:w="121"/>
        <w:gridCol w:w="719"/>
        <w:gridCol w:w="36"/>
      </w:tblGrid>
      <w:tr w:rsidR="00A91885" w14:paraId="185FFB8F" w14:textId="77777777">
        <w:trPr>
          <w:jc w:val="center"/>
        </w:trPr>
        <w:tc>
          <w:tcPr>
            <w:tcW w:w="50" w:type="pct"/>
            <w:shd w:val="clear" w:color="auto" w:fill="auto"/>
            <w:vAlign w:val="bottom"/>
          </w:tcPr>
          <w:p w14:paraId="185FFB77" w14:textId="77777777" w:rsidR="00A91885" w:rsidRDefault="00A91885">
            <w:pPr>
              <w:rPr>
                <w:rFonts w:ascii="宋体"/>
              </w:rPr>
            </w:pPr>
          </w:p>
        </w:tc>
        <w:tc>
          <w:tcPr>
            <w:tcW w:w="2722" w:type="pct"/>
            <w:shd w:val="clear" w:color="auto" w:fill="auto"/>
            <w:vAlign w:val="bottom"/>
          </w:tcPr>
          <w:p w14:paraId="185FFB78" w14:textId="77777777" w:rsidR="00A91885" w:rsidRDefault="00A91885">
            <w:pPr>
              <w:rPr>
                <w:rFonts w:ascii="宋体"/>
              </w:rPr>
            </w:pPr>
          </w:p>
        </w:tc>
        <w:tc>
          <w:tcPr>
            <w:tcW w:w="5" w:type="pct"/>
            <w:shd w:val="clear" w:color="auto" w:fill="auto"/>
            <w:vAlign w:val="bottom"/>
          </w:tcPr>
          <w:p w14:paraId="185FFB79" w14:textId="77777777" w:rsidR="00A91885" w:rsidRDefault="00A91885">
            <w:pPr>
              <w:rPr>
                <w:rFonts w:ascii="宋体"/>
              </w:rPr>
            </w:pPr>
          </w:p>
        </w:tc>
        <w:tc>
          <w:tcPr>
            <w:tcW w:w="50" w:type="pct"/>
            <w:shd w:val="clear" w:color="auto" w:fill="auto"/>
            <w:vAlign w:val="bottom"/>
          </w:tcPr>
          <w:p w14:paraId="185FFB7A" w14:textId="77777777" w:rsidR="00A91885" w:rsidRDefault="00A91885">
            <w:pPr>
              <w:rPr>
                <w:rFonts w:ascii="宋体"/>
              </w:rPr>
            </w:pPr>
          </w:p>
        </w:tc>
        <w:tc>
          <w:tcPr>
            <w:tcW w:w="478" w:type="pct"/>
            <w:shd w:val="clear" w:color="auto" w:fill="auto"/>
            <w:vAlign w:val="bottom"/>
          </w:tcPr>
          <w:p w14:paraId="185FFB7B" w14:textId="77777777" w:rsidR="00A91885" w:rsidRDefault="00A91885">
            <w:pPr>
              <w:rPr>
                <w:rFonts w:ascii="宋体"/>
              </w:rPr>
            </w:pPr>
          </w:p>
        </w:tc>
        <w:tc>
          <w:tcPr>
            <w:tcW w:w="5" w:type="pct"/>
            <w:shd w:val="clear" w:color="auto" w:fill="auto"/>
            <w:vAlign w:val="bottom"/>
          </w:tcPr>
          <w:p w14:paraId="185FFB7C" w14:textId="77777777" w:rsidR="00A91885" w:rsidRDefault="00A91885">
            <w:pPr>
              <w:rPr>
                <w:rFonts w:ascii="宋体"/>
              </w:rPr>
            </w:pPr>
          </w:p>
        </w:tc>
        <w:tc>
          <w:tcPr>
            <w:tcW w:w="5" w:type="pct"/>
            <w:shd w:val="clear" w:color="auto" w:fill="auto"/>
            <w:vAlign w:val="bottom"/>
          </w:tcPr>
          <w:p w14:paraId="185FFB7D" w14:textId="77777777" w:rsidR="00A91885" w:rsidRDefault="00A91885">
            <w:pPr>
              <w:rPr>
                <w:rFonts w:ascii="宋体"/>
              </w:rPr>
            </w:pPr>
          </w:p>
        </w:tc>
        <w:tc>
          <w:tcPr>
            <w:tcW w:w="19" w:type="pct"/>
            <w:shd w:val="clear" w:color="auto" w:fill="auto"/>
            <w:vAlign w:val="bottom"/>
          </w:tcPr>
          <w:p w14:paraId="185FFB7E" w14:textId="77777777" w:rsidR="00A91885" w:rsidRDefault="00A91885">
            <w:pPr>
              <w:rPr>
                <w:rFonts w:ascii="宋体"/>
              </w:rPr>
            </w:pPr>
          </w:p>
        </w:tc>
        <w:tc>
          <w:tcPr>
            <w:tcW w:w="5" w:type="pct"/>
            <w:shd w:val="clear" w:color="auto" w:fill="auto"/>
            <w:vAlign w:val="bottom"/>
          </w:tcPr>
          <w:p w14:paraId="185FFB7F" w14:textId="77777777" w:rsidR="00A91885" w:rsidRDefault="00A91885">
            <w:pPr>
              <w:rPr>
                <w:rFonts w:ascii="宋体"/>
              </w:rPr>
            </w:pPr>
          </w:p>
        </w:tc>
        <w:tc>
          <w:tcPr>
            <w:tcW w:w="50" w:type="pct"/>
            <w:shd w:val="clear" w:color="auto" w:fill="auto"/>
            <w:vAlign w:val="bottom"/>
          </w:tcPr>
          <w:p w14:paraId="185FFB80" w14:textId="77777777" w:rsidR="00A91885" w:rsidRDefault="00A91885">
            <w:pPr>
              <w:rPr>
                <w:rFonts w:ascii="宋体"/>
              </w:rPr>
            </w:pPr>
          </w:p>
        </w:tc>
        <w:tc>
          <w:tcPr>
            <w:tcW w:w="478" w:type="pct"/>
            <w:shd w:val="clear" w:color="auto" w:fill="auto"/>
            <w:vAlign w:val="bottom"/>
          </w:tcPr>
          <w:p w14:paraId="185FFB81" w14:textId="77777777" w:rsidR="00A91885" w:rsidRDefault="00A91885">
            <w:pPr>
              <w:rPr>
                <w:rFonts w:ascii="宋体"/>
              </w:rPr>
            </w:pPr>
          </w:p>
        </w:tc>
        <w:tc>
          <w:tcPr>
            <w:tcW w:w="5" w:type="pct"/>
            <w:shd w:val="clear" w:color="auto" w:fill="auto"/>
            <w:vAlign w:val="bottom"/>
          </w:tcPr>
          <w:p w14:paraId="185FFB82" w14:textId="77777777" w:rsidR="00A91885" w:rsidRDefault="00A91885">
            <w:pPr>
              <w:rPr>
                <w:rFonts w:ascii="宋体"/>
              </w:rPr>
            </w:pPr>
          </w:p>
        </w:tc>
        <w:tc>
          <w:tcPr>
            <w:tcW w:w="5" w:type="pct"/>
            <w:shd w:val="clear" w:color="auto" w:fill="auto"/>
            <w:vAlign w:val="bottom"/>
          </w:tcPr>
          <w:p w14:paraId="185FFB83" w14:textId="77777777" w:rsidR="00A91885" w:rsidRDefault="00A91885">
            <w:pPr>
              <w:rPr>
                <w:rFonts w:ascii="宋体"/>
              </w:rPr>
            </w:pPr>
          </w:p>
        </w:tc>
        <w:tc>
          <w:tcPr>
            <w:tcW w:w="19" w:type="pct"/>
            <w:shd w:val="clear" w:color="auto" w:fill="auto"/>
            <w:vAlign w:val="bottom"/>
          </w:tcPr>
          <w:p w14:paraId="185FFB84" w14:textId="77777777" w:rsidR="00A91885" w:rsidRDefault="00A91885">
            <w:pPr>
              <w:rPr>
                <w:rFonts w:ascii="宋体"/>
              </w:rPr>
            </w:pPr>
          </w:p>
        </w:tc>
        <w:tc>
          <w:tcPr>
            <w:tcW w:w="5" w:type="pct"/>
            <w:shd w:val="clear" w:color="auto" w:fill="auto"/>
            <w:vAlign w:val="bottom"/>
          </w:tcPr>
          <w:p w14:paraId="185FFB85" w14:textId="77777777" w:rsidR="00A91885" w:rsidRDefault="00A91885">
            <w:pPr>
              <w:rPr>
                <w:rFonts w:ascii="宋体"/>
              </w:rPr>
            </w:pPr>
          </w:p>
        </w:tc>
        <w:tc>
          <w:tcPr>
            <w:tcW w:w="50" w:type="pct"/>
            <w:shd w:val="clear" w:color="auto" w:fill="auto"/>
            <w:vAlign w:val="bottom"/>
          </w:tcPr>
          <w:p w14:paraId="185FFB86" w14:textId="77777777" w:rsidR="00A91885" w:rsidRDefault="00A91885">
            <w:pPr>
              <w:rPr>
                <w:rFonts w:ascii="宋体"/>
              </w:rPr>
            </w:pPr>
          </w:p>
        </w:tc>
        <w:tc>
          <w:tcPr>
            <w:tcW w:w="478" w:type="pct"/>
            <w:shd w:val="clear" w:color="auto" w:fill="auto"/>
            <w:vAlign w:val="bottom"/>
          </w:tcPr>
          <w:p w14:paraId="185FFB87" w14:textId="77777777" w:rsidR="00A91885" w:rsidRDefault="00A91885">
            <w:pPr>
              <w:rPr>
                <w:rFonts w:ascii="宋体"/>
              </w:rPr>
            </w:pPr>
          </w:p>
        </w:tc>
        <w:tc>
          <w:tcPr>
            <w:tcW w:w="5" w:type="pct"/>
            <w:shd w:val="clear" w:color="auto" w:fill="auto"/>
            <w:vAlign w:val="bottom"/>
          </w:tcPr>
          <w:p w14:paraId="185FFB88" w14:textId="77777777" w:rsidR="00A91885" w:rsidRDefault="00A91885">
            <w:pPr>
              <w:rPr>
                <w:rFonts w:ascii="宋体"/>
              </w:rPr>
            </w:pPr>
          </w:p>
        </w:tc>
        <w:tc>
          <w:tcPr>
            <w:tcW w:w="5" w:type="pct"/>
            <w:shd w:val="clear" w:color="auto" w:fill="auto"/>
            <w:vAlign w:val="bottom"/>
          </w:tcPr>
          <w:p w14:paraId="185FFB89" w14:textId="77777777" w:rsidR="00A91885" w:rsidRDefault="00A91885">
            <w:pPr>
              <w:rPr>
                <w:rFonts w:ascii="宋体"/>
              </w:rPr>
            </w:pPr>
          </w:p>
        </w:tc>
        <w:tc>
          <w:tcPr>
            <w:tcW w:w="19" w:type="pct"/>
            <w:shd w:val="clear" w:color="auto" w:fill="auto"/>
            <w:vAlign w:val="bottom"/>
          </w:tcPr>
          <w:p w14:paraId="185FFB8A" w14:textId="77777777" w:rsidR="00A91885" w:rsidRDefault="00A91885">
            <w:pPr>
              <w:rPr>
                <w:rFonts w:ascii="宋体"/>
              </w:rPr>
            </w:pPr>
          </w:p>
        </w:tc>
        <w:tc>
          <w:tcPr>
            <w:tcW w:w="5" w:type="pct"/>
            <w:shd w:val="clear" w:color="auto" w:fill="auto"/>
            <w:vAlign w:val="bottom"/>
          </w:tcPr>
          <w:p w14:paraId="185FFB8B" w14:textId="77777777" w:rsidR="00A91885" w:rsidRDefault="00A91885">
            <w:pPr>
              <w:rPr>
                <w:rFonts w:ascii="宋体"/>
              </w:rPr>
            </w:pPr>
          </w:p>
        </w:tc>
        <w:tc>
          <w:tcPr>
            <w:tcW w:w="50" w:type="pct"/>
            <w:shd w:val="clear" w:color="auto" w:fill="auto"/>
            <w:vAlign w:val="bottom"/>
          </w:tcPr>
          <w:p w14:paraId="185FFB8C" w14:textId="77777777" w:rsidR="00A91885" w:rsidRDefault="00A91885">
            <w:pPr>
              <w:rPr>
                <w:rFonts w:ascii="宋体"/>
              </w:rPr>
            </w:pPr>
          </w:p>
        </w:tc>
        <w:tc>
          <w:tcPr>
            <w:tcW w:w="478" w:type="pct"/>
            <w:shd w:val="clear" w:color="auto" w:fill="auto"/>
            <w:vAlign w:val="bottom"/>
          </w:tcPr>
          <w:p w14:paraId="185FFB8D" w14:textId="77777777" w:rsidR="00A91885" w:rsidRDefault="00A91885">
            <w:pPr>
              <w:rPr>
                <w:rFonts w:ascii="宋体"/>
              </w:rPr>
            </w:pPr>
          </w:p>
        </w:tc>
        <w:tc>
          <w:tcPr>
            <w:tcW w:w="5" w:type="pct"/>
            <w:shd w:val="clear" w:color="auto" w:fill="auto"/>
            <w:vAlign w:val="bottom"/>
          </w:tcPr>
          <w:p w14:paraId="185FFB8E" w14:textId="77777777" w:rsidR="00A91885" w:rsidRDefault="00A91885">
            <w:pPr>
              <w:rPr>
                <w:rFonts w:ascii="宋体"/>
              </w:rPr>
            </w:pPr>
          </w:p>
        </w:tc>
      </w:tr>
      <w:tr w:rsidR="00A91885" w14:paraId="185FFB94" w14:textId="77777777">
        <w:trPr>
          <w:jc w:val="center"/>
        </w:trPr>
        <w:tc>
          <w:tcPr>
            <w:tcW w:w="0" w:type="auto"/>
            <w:gridSpan w:val="3"/>
            <w:shd w:val="clear" w:color="auto" w:fill="auto"/>
            <w:tcMar>
              <w:top w:w="40" w:type="dxa"/>
              <w:left w:w="20" w:type="dxa"/>
              <w:bottom w:w="40" w:type="dxa"/>
              <w:right w:w="20" w:type="dxa"/>
            </w:tcMar>
            <w:vAlign w:val="bottom"/>
          </w:tcPr>
          <w:p w14:paraId="185FFB90" w14:textId="77777777" w:rsidR="00A91885" w:rsidRDefault="009C4196">
            <w:pPr>
              <w:textAlignment w:val="bottom"/>
            </w:pPr>
            <w:r>
              <w:rPr>
                <w:rFonts w:ascii="Arial" w:eastAsia="宋体" w:hAnsi="Arial" w:cs="Arial"/>
                <w:b/>
                <w:bCs/>
                <w:color w:val="000000"/>
                <w:sz w:val="17"/>
                <w:szCs w:val="17"/>
              </w:rPr>
              <w:t> </w:t>
            </w:r>
          </w:p>
        </w:tc>
        <w:tc>
          <w:tcPr>
            <w:tcW w:w="0" w:type="auto"/>
            <w:gridSpan w:val="9"/>
            <w:shd w:val="clear" w:color="auto" w:fill="auto"/>
            <w:tcMar>
              <w:top w:w="40" w:type="dxa"/>
              <w:left w:w="20" w:type="dxa"/>
              <w:bottom w:w="40" w:type="dxa"/>
              <w:right w:w="20" w:type="dxa"/>
            </w:tcMar>
            <w:vAlign w:val="bottom"/>
          </w:tcPr>
          <w:p w14:paraId="185FFB91"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5FFB92"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5FFB93"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5FFB9D" w14:textId="77777777">
        <w:trPr>
          <w:jc w:val="center"/>
        </w:trPr>
        <w:tc>
          <w:tcPr>
            <w:tcW w:w="0" w:type="auto"/>
            <w:gridSpan w:val="3"/>
            <w:shd w:val="clear" w:color="auto" w:fill="auto"/>
            <w:tcMar>
              <w:top w:w="40" w:type="dxa"/>
              <w:left w:w="20" w:type="dxa"/>
              <w:bottom w:w="40" w:type="dxa"/>
              <w:right w:w="20" w:type="dxa"/>
            </w:tcMar>
            <w:vAlign w:val="bottom"/>
          </w:tcPr>
          <w:p w14:paraId="185FFB95" w14:textId="77777777" w:rsidR="00A91885" w:rsidRDefault="009C4196">
            <w:pPr>
              <w:textAlignment w:val="bottom"/>
            </w:pPr>
            <w:r>
              <w:rPr>
                <w:rFonts w:ascii="Arial" w:eastAsia="宋体" w:hAnsi="Arial" w:cs="Arial"/>
                <w:b/>
                <w:bCs/>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B96"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B97"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B98" w14:textId="77777777" w:rsidR="00A91885" w:rsidRDefault="009C4196">
            <w:pPr>
              <w:jc w:val="center"/>
              <w:textAlignment w:val="bottom"/>
            </w:pPr>
            <w:r>
              <w:rPr>
                <w:rFonts w:ascii="Arial" w:eastAsia="宋体" w:hAnsi="Arial" w:cs="Arial"/>
                <w:b/>
                <w:bCs/>
                <w:color w:val="000000"/>
                <w:sz w:val="17"/>
                <w:szCs w:val="17"/>
              </w:rPr>
              <w:t xml:space="preserve">2021 </w:t>
            </w:r>
            <w:r>
              <w:rPr>
                <w:rFonts w:ascii="Arial" w:eastAsia="宋体" w:hAnsi="Arial" w:cs="Arial"/>
                <w:b/>
                <w:bCs/>
                <w:color w:val="000000"/>
                <w:sz w:val="11"/>
                <w:szCs w:val="11"/>
              </w:rPr>
              <w:t>(1)</w:t>
            </w:r>
          </w:p>
        </w:tc>
        <w:tc>
          <w:tcPr>
            <w:tcW w:w="0" w:type="auto"/>
            <w:gridSpan w:val="3"/>
            <w:shd w:val="clear" w:color="auto" w:fill="auto"/>
            <w:tcMar>
              <w:top w:w="0" w:type="dxa"/>
              <w:left w:w="20" w:type="dxa"/>
              <w:bottom w:w="0" w:type="dxa"/>
              <w:right w:w="20" w:type="dxa"/>
            </w:tcMar>
            <w:vAlign w:val="bottom"/>
          </w:tcPr>
          <w:p w14:paraId="185FFB99"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B9A"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B9B"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B9C" w14:textId="77777777" w:rsidR="00A91885" w:rsidRDefault="009C4196">
            <w:pPr>
              <w:jc w:val="center"/>
              <w:textAlignment w:val="bottom"/>
            </w:pPr>
            <w:r>
              <w:rPr>
                <w:rFonts w:ascii="Arial" w:eastAsia="宋体" w:hAnsi="Arial" w:cs="Arial"/>
                <w:b/>
                <w:bCs/>
                <w:color w:val="000000"/>
                <w:sz w:val="17"/>
                <w:szCs w:val="17"/>
              </w:rPr>
              <w:t xml:space="preserve">2021 </w:t>
            </w:r>
            <w:r>
              <w:rPr>
                <w:rFonts w:ascii="Arial" w:eastAsia="宋体" w:hAnsi="Arial" w:cs="Arial"/>
                <w:b/>
                <w:bCs/>
                <w:color w:val="000000"/>
                <w:sz w:val="11"/>
                <w:szCs w:val="11"/>
              </w:rPr>
              <w:t>(1)</w:t>
            </w:r>
          </w:p>
        </w:tc>
      </w:tr>
      <w:tr w:rsidR="00A91885" w14:paraId="185FFBAE" w14:textId="77777777">
        <w:trPr>
          <w:jc w:val="center"/>
        </w:trPr>
        <w:tc>
          <w:tcPr>
            <w:tcW w:w="0" w:type="auto"/>
            <w:gridSpan w:val="3"/>
            <w:shd w:val="clear" w:color="auto" w:fill="E1E1E1"/>
            <w:tcMar>
              <w:top w:w="40" w:type="dxa"/>
              <w:left w:w="20" w:type="dxa"/>
              <w:bottom w:w="40" w:type="dxa"/>
              <w:right w:w="20" w:type="dxa"/>
            </w:tcMar>
            <w:vAlign w:val="bottom"/>
          </w:tcPr>
          <w:p w14:paraId="185FFB9E" w14:textId="77777777" w:rsidR="00A91885" w:rsidRDefault="009C4196">
            <w:pPr>
              <w:textAlignment w:val="bottom"/>
            </w:pPr>
            <w:r>
              <w:rPr>
                <w:rFonts w:ascii="Arial" w:eastAsia="宋体" w:hAnsi="Arial" w:cs="Arial"/>
                <w:color w:val="000000"/>
                <w:sz w:val="18"/>
                <w:szCs w:val="18"/>
              </w:rPr>
              <w:t>Classifieds income from discontinued operations, net of income taxes</w:t>
            </w:r>
          </w:p>
        </w:tc>
        <w:tc>
          <w:tcPr>
            <w:tcW w:w="0" w:type="auto"/>
            <w:tcBorders>
              <w:top w:val="single" w:sz="8" w:space="0" w:color="000000"/>
            </w:tcBorders>
            <w:shd w:val="clear" w:color="auto" w:fill="E1E1E1"/>
            <w:tcMar>
              <w:top w:w="40" w:type="dxa"/>
              <w:left w:w="20" w:type="dxa"/>
              <w:bottom w:w="40" w:type="dxa"/>
              <w:right w:w="0" w:type="dxa"/>
            </w:tcMar>
            <w:vAlign w:val="bottom"/>
          </w:tcPr>
          <w:p w14:paraId="185FFB9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5FFBA0" w14:textId="77777777" w:rsidR="00A91885" w:rsidRDefault="009C4196">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BA1"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BA2"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5FFBA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5FFBA4" w14:textId="77777777" w:rsidR="00A91885" w:rsidRDefault="009C4196">
            <w:pPr>
              <w:jc w:val="right"/>
              <w:textAlignment w:val="bottom"/>
            </w:pPr>
            <w:r>
              <w:rPr>
                <w:rFonts w:ascii="Arial" w:eastAsia="宋体" w:hAnsi="Arial" w:cs="Arial"/>
                <w:color w:val="000000"/>
                <w:sz w:val="18"/>
                <w:szCs w:val="18"/>
              </w:rPr>
              <w:t>10,428 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BA5"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BA6"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5FFBA7"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5FFBA8" w14:textId="77777777" w:rsidR="00A91885" w:rsidRDefault="009C4196">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BA9"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BAA"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5FFBAB"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5FFBAC" w14:textId="77777777" w:rsidR="00A91885" w:rsidRDefault="009C4196">
            <w:pPr>
              <w:jc w:val="right"/>
              <w:textAlignment w:val="bottom"/>
            </w:pPr>
            <w:r>
              <w:rPr>
                <w:rFonts w:ascii="Arial" w:eastAsia="宋体" w:hAnsi="Arial" w:cs="Arial"/>
                <w:color w:val="000000"/>
                <w:sz w:val="18"/>
                <w:szCs w:val="18"/>
              </w:rPr>
              <w:t>10,500 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BAD" w14:textId="77777777" w:rsidR="00A91885" w:rsidRDefault="00A91885">
            <w:pPr>
              <w:jc w:val="right"/>
              <w:rPr>
                <w:rFonts w:ascii="宋体"/>
              </w:rPr>
            </w:pPr>
          </w:p>
        </w:tc>
      </w:tr>
      <w:tr w:rsidR="00A91885" w14:paraId="185FFBBB" w14:textId="77777777">
        <w:trPr>
          <w:jc w:val="center"/>
        </w:trPr>
        <w:tc>
          <w:tcPr>
            <w:tcW w:w="0" w:type="auto"/>
            <w:gridSpan w:val="3"/>
            <w:shd w:val="clear" w:color="auto" w:fill="FFFFFF"/>
            <w:tcMar>
              <w:top w:w="40" w:type="dxa"/>
              <w:left w:w="200" w:type="dxa"/>
              <w:bottom w:w="40" w:type="dxa"/>
              <w:right w:w="20" w:type="dxa"/>
            </w:tcMar>
            <w:vAlign w:val="bottom"/>
          </w:tcPr>
          <w:p w14:paraId="185FFBAF" w14:textId="77777777" w:rsidR="00A91885" w:rsidRDefault="009C4196">
            <w:pPr>
              <w:ind w:hanging="180"/>
              <w:textAlignment w:val="bottom"/>
            </w:pPr>
            <w:r>
              <w:rPr>
                <w:rFonts w:ascii="Arial" w:eastAsia="宋体" w:hAnsi="Arial" w:cs="Arial"/>
                <w:color w:val="000000"/>
                <w:sz w:val="18"/>
                <w:szCs w:val="18"/>
              </w:rPr>
              <w:t>eBay Korea income (loss) from discontinued operations, net of income taxes</w:t>
            </w:r>
          </w:p>
        </w:tc>
        <w:tc>
          <w:tcPr>
            <w:tcW w:w="0" w:type="auto"/>
            <w:gridSpan w:val="2"/>
            <w:shd w:val="clear" w:color="auto" w:fill="FFFFFF"/>
            <w:tcMar>
              <w:top w:w="40" w:type="dxa"/>
              <w:left w:w="20" w:type="dxa"/>
              <w:bottom w:w="40" w:type="dxa"/>
              <w:right w:w="0" w:type="dxa"/>
            </w:tcMar>
            <w:vAlign w:val="bottom"/>
          </w:tcPr>
          <w:p w14:paraId="185FFBB0"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BB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BB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BB3" w14:textId="77777777" w:rsidR="00A91885" w:rsidRDefault="009C4196">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185FFBB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BB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BB6"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185FFBB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BB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BB9" w14:textId="77777777" w:rsidR="00A91885" w:rsidRDefault="009C4196">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185FFBBA" w14:textId="77777777" w:rsidR="00A91885" w:rsidRDefault="00A91885">
            <w:pPr>
              <w:jc w:val="right"/>
              <w:rPr>
                <w:rFonts w:ascii="宋体"/>
              </w:rPr>
            </w:pPr>
          </w:p>
        </w:tc>
      </w:tr>
      <w:tr w:rsidR="00A91885" w14:paraId="185FFBC8" w14:textId="77777777">
        <w:trPr>
          <w:jc w:val="center"/>
        </w:trPr>
        <w:tc>
          <w:tcPr>
            <w:tcW w:w="0" w:type="auto"/>
            <w:gridSpan w:val="3"/>
            <w:shd w:val="clear" w:color="auto" w:fill="E1E1E1"/>
            <w:tcMar>
              <w:top w:w="40" w:type="dxa"/>
              <w:left w:w="20" w:type="dxa"/>
              <w:bottom w:w="40" w:type="dxa"/>
              <w:right w:w="20" w:type="dxa"/>
            </w:tcMar>
            <w:vAlign w:val="bottom"/>
          </w:tcPr>
          <w:p w14:paraId="185FFBBC" w14:textId="77777777" w:rsidR="00A91885" w:rsidRDefault="009C4196">
            <w:pPr>
              <w:ind w:hanging="180"/>
              <w:textAlignment w:val="bottom"/>
            </w:pPr>
            <w:r>
              <w:rPr>
                <w:rFonts w:ascii="Arial" w:eastAsia="宋体" w:hAnsi="Arial" w:cs="Arial"/>
                <w:color w:val="000000"/>
                <w:sz w:val="18"/>
                <w:szCs w:val="18"/>
              </w:rPr>
              <w:t>StubHub income from discontinued operations, net of income taxes</w:t>
            </w:r>
          </w:p>
        </w:tc>
        <w:tc>
          <w:tcPr>
            <w:tcW w:w="0" w:type="auto"/>
            <w:gridSpan w:val="2"/>
            <w:shd w:val="clear" w:color="auto" w:fill="E1E1E1"/>
            <w:tcMar>
              <w:top w:w="40" w:type="dxa"/>
              <w:left w:w="20" w:type="dxa"/>
              <w:bottom w:w="40" w:type="dxa"/>
              <w:right w:w="0" w:type="dxa"/>
            </w:tcMar>
            <w:vAlign w:val="bottom"/>
          </w:tcPr>
          <w:p w14:paraId="185FFBBD"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5FFBBE"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BBF"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BC0" w14:textId="77777777" w:rsidR="00A91885" w:rsidRDefault="009C4196">
            <w:pPr>
              <w:jc w:val="right"/>
              <w:textAlignment w:val="bottom"/>
            </w:pPr>
            <w:r>
              <w:rPr>
                <w:rFonts w:ascii="Arial" w:eastAsia="宋体" w:hAnsi="Arial" w:cs="Arial"/>
                <w:color w:val="000000"/>
                <w:sz w:val="18"/>
                <w:szCs w:val="18"/>
              </w:rPr>
              <w:t>9 </w:t>
            </w:r>
          </w:p>
        </w:tc>
        <w:tc>
          <w:tcPr>
            <w:tcW w:w="0" w:type="auto"/>
            <w:shd w:val="clear" w:color="auto" w:fill="E1E1E1"/>
            <w:tcMar>
              <w:top w:w="40" w:type="dxa"/>
              <w:left w:w="0" w:type="dxa"/>
              <w:bottom w:w="40" w:type="dxa"/>
              <w:right w:w="20" w:type="dxa"/>
            </w:tcMar>
            <w:vAlign w:val="bottom"/>
          </w:tcPr>
          <w:p w14:paraId="185FFBC1"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BC2"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BC3"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5FFBC4"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BC5"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BC6" w14:textId="77777777" w:rsidR="00A91885" w:rsidRDefault="009C4196">
            <w:pPr>
              <w:jc w:val="right"/>
              <w:textAlignment w:val="bottom"/>
            </w:pPr>
            <w:r>
              <w:rPr>
                <w:rFonts w:ascii="Arial" w:eastAsia="宋体" w:hAnsi="Arial" w:cs="Arial"/>
                <w:color w:val="000000"/>
                <w:sz w:val="18"/>
                <w:szCs w:val="18"/>
              </w:rPr>
              <w:t>9 </w:t>
            </w:r>
          </w:p>
        </w:tc>
        <w:tc>
          <w:tcPr>
            <w:tcW w:w="0" w:type="auto"/>
            <w:shd w:val="clear" w:color="auto" w:fill="E1E1E1"/>
            <w:tcMar>
              <w:top w:w="40" w:type="dxa"/>
              <w:left w:w="0" w:type="dxa"/>
              <w:bottom w:w="40" w:type="dxa"/>
              <w:right w:w="20" w:type="dxa"/>
            </w:tcMar>
            <w:vAlign w:val="bottom"/>
          </w:tcPr>
          <w:p w14:paraId="185FFBC7" w14:textId="77777777" w:rsidR="00A91885" w:rsidRDefault="00A91885">
            <w:pPr>
              <w:jc w:val="right"/>
              <w:rPr>
                <w:rFonts w:ascii="宋体"/>
              </w:rPr>
            </w:pPr>
          </w:p>
        </w:tc>
      </w:tr>
      <w:tr w:rsidR="00A91885" w14:paraId="185FFBD1" w14:textId="77777777">
        <w:trPr>
          <w:jc w:val="center"/>
          <w:hidden/>
        </w:trPr>
        <w:tc>
          <w:tcPr>
            <w:tcW w:w="0" w:type="auto"/>
            <w:gridSpan w:val="3"/>
            <w:shd w:val="clear" w:color="auto" w:fill="auto"/>
            <w:vAlign w:val="bottom"/>
          </w:tcPr>
          <w:p w14:paraId="185FFBC9" w14:textId="77777777" w:rsidR="00A91885" w:rsidRDefault="00A91885">
            <w:pPr>
              <w:rPr>
                <w:rFonts w:ascii="宋体"/>
                <w:vanish/>
              </w:rPr>
            </w:pPr>
          </w:p>
        </w:tc>
        <w:tc>
          <w:tcPr>
            <w:tcW w:w="0" w:type="auto"/>
            <w:gridSpan w:val="3"/>
            <w:shd w:val="clear" w:color="auto" w:fill="auto"/>
            <w:vAlign w:val="bottom"/>
          </w:tcPr>
          <w:p w14:paraId="185FFBCA" w14:textId="77777777" w:rsidR="00A91885" w:rsidRDefault="00A91885">
            <w:pPr>
              <w:rPr>
                <w:rFonts w:ascii="宋体"/>
                <w:vanish/>
              </w:rPr>
            </w:pPr>
          </w:p>
        </w:tc>
        <w:tc>
          <w:tcPr>
            <w:tcW w:w="0" w:type="auto"/>
            <w:gridSpan w:val="3"/>
            <w:shd w:val="clear" w:color="auto" w:fill="auto"/>
            <w:vAlign w:val="bottom"/>
          </w:tcPr>
          <w:p w14:paraId="185FFBCB" w14:textId="77777777" w:rsidR="00A91885" w:rsidRDefault="00A91885">
            <w:pPr>
              <w:rPr>
                <w:rFonts w:ascii="宋体"/>
                <w:vanish/>
              </w:rPr>
            </w:pPr>
          </w:p>
        </w:tc>
        <w:tc>
          <w:tcPr>
            <w:tcW w:w="0" w:type="auto"/>
            <w:gridSpan w:val="3"/>
            <w:shd w:val="clear" w:color="auto" w:fill="auto"/>
            <w:vAlign w:val="bottom"/>
          </w:tcPr>
          <w:p w14:paraId="185FFBCC" w14:textId="77777777" w:rsidR="00A91885" w:rsidRDefault="00A91885">
            <w:pPr>
              <w:rPr>
                <w:rFonts w:ascii="宋体"/>
                <w:vanish/>
              </w:rPr>
            </w:pPr>
          </w:p>
        </w:tc>
        <w:tc>
          <w:tcPr>
            <w:tcW w:w="0" w:type="auto"/>
            <w:gridSpan w:val="3"/>
            <w:shd w:val="clear" w:color="auto" w:fill="auto"/>
            <w:vAlign w:val="bottom"/>
          </w:tcPr>
          <w:p w14:paraId="185FFBCD" w14:textId="77777777" w:rsidR="00A91885" w:rsidRDefault="00A91885">
            <w:pPr>
              <w:rPr>
                <w:rFonts w:ascii="宋体"/>
                <w:vanish/>
              </w:rPr>
            </w:pPr>
          </w:p>
        </w:tc>
        <w:tc>
          <w:tcPr>
            <w:tcW w:w="0" w:type="auto"/>
            <w:gridSpan w:val="3"/>
            <w:shd w:val="clear" w:color="auto" w:fill="auto"/>
            <w:vAlign w:val="bottom"/>
          </w:tcPr>
          <w:p w14:paraId="185FFBCE" w14:textId="77777777" w:rsidR="00A91885" w:rsidRDefault="00A91885">
            <w:pPr>
              <w:rPr>
                <w:rFonts w:ascii="宋体"/>
                <w:vanish/>
              </w:rPr>
            </w:pPr>
          </w:p>
        </w:tc>
        <w:tc>
          <w:tcPr>
            <w:tcW w:w="0" w:type="auto"/>
            <w:gridSpan w:val="3"/>
            <w:shd w:val="clear" w:color="auto" w:fill="auto"/>
            <w:vAlign w:val="bottom"/>
          </w:tcPr>
          <w:p w14:paraId="185FFBCF" w14:textId="77777777" w:rsidR="00A91885" w:rsidRDefault="00A91885">
            <w:pPr>
              <w:rPr>
                <w:rFonts w:ascii="宋体"/>
                <w:vanish/>
              </w:rPr>
            </w:pPr>
          </w:p>
        </w:tc>
        <w:tc>
          <w:tcPr>
            <w:tcW w:w="0" w:type="auto"/>
            <w:gridSpan w:val="3"/>
            <w:shd w:val="clear" w:color="auto" w:fill="auto"/>
            <w:vAlign w:val="bottom"/>
          </w:tcPr>
          <w:p w14:paraId="185FFBD0" w14:textId="77777777" w:rsidR="00A91885" w:rsidRDefault="00A91885">
            <w:pPr>
              <w:rPr>
                <w:rFonts w:ascii="宋体"/>
                <w:vanish/>
              </w:rPr>
            </w:pPr>
          </w:p>
        </w:tc>
      </w:tr>
      <w:tr w:rsidR="00A91885" w14:paraId="185FFBE2" w14:textId="77777777">
        <w:trPr>
          <w:jc w:val="center"/>
        </w:trPr>
        <w:tc>
          <w:tcPr>
            <w:tcW w:w="0" w:type="auto"/>
            <w:gridSpan w:val="3"/>
            <w:shd w:val="clear" w:color="auto" w:fill="FFFFFF"/>
            <w:tcMar>
              <w:top w:w="40" w:type="dxa"/>
              <w:left w:w="380" w:type="dxa"/>
              <w:bottom w:w="40" w:type="dxa"/>
              <w:right w:w="20" w:type="dxa"/>
            </w:tcMar>
            <w:vAlign w:val="bottom"/>
          </w:tcPr>
          <w:p w14:paraId="185FFBD2" w14:textId="77777777" w:rsidR="00A91885" w:rsidRDefault="009C4196">
            <w:pPr>
              <w:textAlignment w:val="bottom"/>
            </w:pPr>
            <w:r>
              <w:rPr>
                <w:rFonts w:ascii="Arial" w:eastAsia="宋体" w:hAnsi="Arial" w:cs="Arial"/>
                <w:color w:val="000000"/>
                <w:sz w:val="18"/>
                <w:szCs w:val="18"/>
              </w:rPr>
              <w:t>Income (loss) from discontinued operations, net of income taxes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5FFBD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5FFBD4" w14:textId="77777777" w:rsidR="00A91885" w:rsidRDefault="009C4196">
            <w:pPr>
              <w:jc w:val="right"/>
              <w:textAlignment w:val="bottom"/>
            </w:pPr>
            <w:r>
              <w:rPr>
                <w:rFonts w:ascii="Arial" w:eastAsia="宋体" w:hAnsi="Arial" w:cs="Arial"/>
                <w:color w:val="000000"/>
                <w:sz w:val="18"/>
                <w:szCs w:val="18"/>
              </w:rPr>
              <w:t>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5FFBD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BD6"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5FFBD7"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5FFBD8" w14:textId="77777777" w:rsidR="00A91885" w:rsidRDefault="009C4196">
            <w:pPr>
              <w:jc w:val="right"/>
              <w:textAlignment w:val="bottom"/>
            </w:pPr>
            <w:r>
              <w:rPr>
                <w:rFonts w:ascii="Arial" w:eastAsia="宋体" w:hAnsi="Arial" w:cs="Arial"/>
                <w:color w:val="000000"/>
                <w:sz w:val="18"/>
                <w:szCs w:val="18"/>
              </w:rPr>
              <w:t>10,440 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5FFBD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BDA"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5FFBDB"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5FFBDC" w14:textId="77777777" w:rsidR="00A91885" w:rsidRDefault="009C4196">
            <w:pPr>
              <w:jc w:val="right"/>
              <w:textAlignment w:val="bottom"/>
            </w:pPr>
            <w:r>
              <w:rPr>
                <w:rFonts w:ascii="Arial" w:eastAsia="宋体" w:hAnsi="Arial" w:cs="Arial"/>
                <w:color w:val="000000"/>
                <w:sz w:val="18"/>
                <w:szCs w:val="18"/>
              </w:rPr>
              <w:t>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5FFBD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BDE"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5FFBD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5FFBE0" w14:textId="77777777" w:rsidR="00A91885" w:rsidRDefault="009C4196">
            <w:pPr>
              <w:jc w:val="right"/>
              <w:textAlignment w:val="bottom"/>
            </w:pPr>
            <w:r>
              <w:rPr>
                <w:rFonts w:ascii="Arial" w:eastAsia="宋体" w:hAnsi="Arial" w:cs="Arial"/>
                <w:color w:val="000000"/>
                <w:sz w:val="18"/>
                <w:szCs w:val="18"/>
              </w:rPr>
              <w:t>10,513 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5FFBE1" w14:textId="77777777" w:rsidR="00A91885" w:rsidRDefault="00A91885">
            <w:pPr>
              <w:jc w:val="right"/>
              <w:rPr>
                <w:rFonts w:ascii="宋体"/>
              </w:rPr>
            </w:pPr>
          </w:p>
        </w:tc>
      </w:tr>
    </w:tbl>
    <w:p w14:paraId="185FFBE3" w14:textId="77777777" w:rsidR="00A91885" w:rsidRDefault="009C4196">
      <w:pPr>
        <w:spacing w:before="60"/>
        <w:ind w:hanging="180"/>
        <w:jc w:val="both"/>
      </w:pPr>
      <w:r>
        <w:rPr>
          <w:rFonts w:ascii="Arial" w:eastAsia="宋体" w:hAnsi="Arial" w:cs="Arial"/>
          <w:color w:val="000000"/>
          <w:sz w:val="13"/>
          <w:szCs w:val="13"/>
        </w:rPr>
        <w:t>(1)</w:t>
      </w:r>
      <w:r>
        <w:rPr>
          <w:rFonts w:ascii="Arial" w:eastAsia="宋体" w:hAnsi="Arial" w:cs="Arial"/>
          <w:color w:val="000000"/>
          <w:sz w:val="16"/>
          <w:szCs w:val="16"/>
        </w:rPr>
        <w:t xml:space="preserve"> Includes Classifieds financial results through the transaction close on June 24, 2021 and includes t</w:t>
      </w:r>
      <w:r>
        <w:rPr>
          <w:rFonts w:ascii="Arial" w:eastAsia="宋体" w:hAnsi="Arial" w:cs="Arial"/>
          <w:color w:val="000000"/>
          <w:sz w:val="16"/>
          <w:szCs w:val="16"/>
        </w:rPr>
        <w:t>he gain on sale recorded for the Classifieds transaction.</w:t>
      </w:r>
    </w:p>
    <w:p w14:paraId="185FFBE4" w14:textId="77777777" w:rsidR="00A91885" w:rsidRDefault="00A91885">
      <w:pPr>
        <w:spacing w:after="60"/>
        <w:ind w:hanging="180"/>
        <w:jc w:val="both"/>
      </w:pPr>
    </w:p>
    <w:p w14:paraId="185FFBE5" w14:textId="77777777" w:rsidR="00A91885" w:rsidRDefault="00A91885">
      <w:pPr>
        <w:spacing w:after="60"/>
        <w:ind w:hanging="180"/>
        <w:jc w:val="both"/>
      </w:pPr>
    </w:p>
    <w:p w14:paraId="185FFBE6" w14:textId="77777777" w:rsidR="00A91885" w:rsidRDefault="00A91885">
      <w:pPr>
        <w:jc w:val="center"/>
      </w:pPr>
    </w:p>
    <w:p w14:paraId="185FFBE7" w14:textId="77777777" w:rsidR="00A91885" w:rsidRDefault="009C4196">
      <w:pPr>
        <w:jc w:val="center"/>
      </w:pPr>
      <w:r>
        <w:rPr>
          <w:rFonts w:ascii="Arial" w:eastAsia="宋体" w:hAnsi="Arial" w:cs="Arial"/>
          <w:color w:val="000000"/>
          <w:sz w:val="20"/>
          <w:szCs w:val="20"/>
        </w:rPr>
        <w:t>13</w:t>
      </w:r>
    </w:p>
    <w:p w14:paraId="185FFBE8" w14:textId="77777777" w:rsidR="00A91885" w:rsidRDefault="009C4196">
      <w:r>
        <w:pict w14:anchorId="18602190">
          <v:rect id="_x0000_i1037" style="width:415.3pt;height:1.5pt" o:hralign="center" o:hrstd="t" o:hr="t" fillcolor="#a0a0a0" stroked="f"/>
        </w:pict>
      </w:r>
    </w:p>
    <w:p w14:paraId="185FFBE9" w14:textId="77777777" w:rsidR="00A91885" w:rsidRDefault="009C4196">
      <w:hyperlink r:id="rId97" w:anchor="ieb971428a625452486c65ae24899afca_7" w:history="1">
        <w:r>
          <w:rPr>
            <w:rStyle w:val="a5"/>
            <w:rFonts w:ascii="Arial" w:eastAsia="宋体" w:hAnsi="Arial" w:cs="Arial"/>
            <w:sz w:val="18"/>
            <w:szCs w:val="18"/>
          </w:rPr>
          <w:t>Table of Contents</w:t>
        </w:r>
      </w:hyperlink>
    </w:p>
    <w:p w14:paraId="185FFBEA" w14:textId="77777777" w:rsidR="00A91885" w:rsidRDefault="009C4196">
      <w:pPr>
        <w:jc w:val="center"/>
      </w:pPr>
      <w:r>
        <w:rPr>
          <w:rFonts w:ascii="Arial" w:eastAsia="宋体" w:hAnsi="Arial" w:cs="Arial"/>
          <w:b/>
          <w:bCs/>
          <w:color w:val="000000"/>
          <w:sz w:val="20"/>
          <w:szCs w:val="20"/>
        </w:rPr>
        <w:t>eBay Inc.</w:t>
      </w:r>
    </w:p>
    <w:p w14:paraId="185FFBEB"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5FFBEC" w14:textId="77777777" w:rsidR="00A91885" w:rsidRDefault="009C4196">
      <w:pPr>
        <w:spacing w:after="120"/>
        <w:ind w:firstLine="540"/>
        <w:jc w:val="both"/>
      </w:pPr>
      <w:r>
        <w:rPr>
          <w:rFonts w:ascii="Arial" w:eastAsia="宋体" w:hAnsi="Arial" w:cs="Arial"/>
          <w:color w:val="000000"/>
          <w:sz w:val="20"/>
          <w:szCs w:val="20"/>
        </w:rPr>
        <w:t>The follow</w:t>
      </w:r>
      <w:r>
        <w:rPr>
          <w:rFonts w:ascii="Arial" w:eastAsia="宋体" w:hAnsi="Arial" w:cs="Arial"/>
          <w:color w:val="000000"/>
          <w:sz w:val="20"/>
          <w:szCs w:val="20"/>
        </w:rPr>
        <w:t>ing table presents cash flows for discontinued operations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430"/>
        <w:gridCol w:w="37"/>
        <w:gridCol w:w="121"/>
        <w:gridCol w:w="719"/>
        <w:gridCol w:w="36"/>
        <w:gridCol w:w="36"/>
        <w:gridCol w:w="36"/>
        <w:gridCol w:w="36"/>
        <w:gridCol w:w="121"/>
        <w:gridCol w:w="720"/>
        <w:gridCol w:w="36"/>
        <w:gridCol w:w="36"/>
        <w:gridCol w:w="36"/>
        <w:gridCol w:w="36"/>
        <w:gridCol w:w="121"/>
        <w:gridCol w:w="720"/>
        <w:gridCol w:w="36"/>
        <w:gridCol w:w="36"/>
        <w:gridCol w:w="36"/>
        <w:gridCol w:w="36"/>
        <w:gridCol w:w="121"/>
        <w:gridCol w:w="720"/>
        <w:gridCol w:w="36"/>
      </w:tblGrid>
      <w:tr w:rsidR="00A91885" w14:paraId="185FFC05" w14:textId="77777777">
        <w:tc>
          <w:tcPr>
            <w:tcW w:w="50" w:type="pct"/>
            <w:shd w:val="clear" w:color="auto" w:fill="auto"/>
            <w:vAlign w:val="bottom"/>
          </w:tcPr>
          <w:p w14:paraId="185FFBED" w14:textId="77777777" w:rsidR="00A91885" w:rsidRDefault="00A91885">
            <w:pPr>
              <w:rPr>
                <w:rFonts w:ascii="宋体"/>
              </w:rPr>
            </w:pPr>
          </w:p>
        </w:tc>
        <w:tc>
          <w:tcPr>
            <w:tcW w:w="2722" w:type="pct"/>
            <w:shd w:val="clear" w:color="auto" w:fill="auto"/>
            <w:vAlign w:val="bottom"/>
          </w:tcPr>
          <w:p w14:paraId="185FFBEE" w14:textId="77777777" w:rsidR="00A91885" w:rsidRDefault="00A91885">
            <w:pPr>
              <w:rPr>
                <w:rFonts w:ascii="宋体"/>
              </w:rPr>
            </w:pPr>
          </w:p>
        </w:tc>
        <w:tc>
          <w:tcPr>
            <w:tcW w:w="5" w:type="pct"/>
            <w:shd w:val="clear" w:color="auto" w:fill="auto"/>
            <w:vAlign w:val="bottom"/>
          </w:tcPr>
          <w:p w14:paraId="185FFBEF" w14:textId="77777777" w:rsidR="00A91885" w:rsidRDefault="00A91885">
            <w:pPr>
              <w:rPr>
                <w:rFonts w:ascii="宋体"/>
              </w:rPr>
            </w:pPr>
          </w:p>
        </w:tc>
        <w:tc>
          <w:tcPr>
            <w:tcW w:w="50" w:type="pct"/>
            <w:shd w:val="clear" w:color="auto" w:fill="auto"/>
            <w:vAlign w:val="bottom"/>
          </w:tcPr>
          <w:p w14:paraId="185FFBF0" w14:textId="77777777" w:rsidR="00A91885" w:rsidRDefault="00A91885">
            <w:pPr>
              <w:rPr>
                <w:rFonts w:ascii="宋体"/>
              </w:rPr>
            </w:pPr>
          </w:p>
        </w:tc>
        <w:tc>
          <w:tcPr>
            <w:tcW w:w="478" w:type="pct"/>
            <w:shd w:val="clear" w:color="auto" w:fill="auto"/>
            <w:vAlign w:val="bottom"/>
          </w:tcPr>
          <w:p w14:paraId="185FFBF1" w14:textId="77777777" w:rsidR="00A91885" w:rsidRDefault="00A91885">
            <w:pPr>
              <w:rPr>
                <w:rFonts w:ascii="宋体"/>
              </w:rPr>
            </w:pPr>
          </w:p>
        </w:tc>
        <w:tc>
          <w:tcPr>
            <w:tcW w:w="5" w:type="pct"/>
            <w:shd w:val="clear" w:color="auto" w:fill="auto"/>
            <w:vAlign w:val="bottom"/>
          </w:tcPr>
          <w:p w14:paraId="185FFBF2" w14:textId="77777777" w:rsidR="00A91885" w:rsidRDefault="00A91885">
            <w:pPr>
              <w:rPr>
                <w:rFonts w:ascii="宋体"/>
              </w:rPr>
            </w:pPr>
          </w:p>
        </w:tc>
        <w:tc>
          <w:tcPr>
            <w:tcW w:w="5" w:type="pct"/>
            <w:shd w:val="clear" w:color="auto" w:fill="auto"/>
            <w:vAlign w:val="bottom"/>
          </w:tcPr>
          <w:p w14:paraId="185FFBF3" w14:textId="77777777" w:rsidR="00A91885" w:rsidRDefault="00A91885">
            <w:pPr>
              <w:rPr>
                <w:rFonts w:ascii="宋体"/>
              </w:rPr>
            </w:pPr>
          </w:p>
        </w:tc>
        <w:tc>
          <w:tcPr>
            <w:tcW w:w="19" w:type="pct"/>
            <w:shd w:val="clear" w:color="auto" w:fill="auto"/>
            <w:vAlign w:val="bottom"/>
          </w:tcPr>
          <w:p w14:paraId="185FFBF4" w14:textId="77777777" w:rsidR="00A91885" w:rsidRDefault="00A91885">
            <w:pPr>
              <w:rPr>
                <w:rFonts w:ascii="宋体"/>
              </w:rPr>
            </w:pPr>
          </w:p>
        </w:tc>
        <w:tc>
          <w:tcPr>
            <w:tcW w:w="5" w:type="pct"/>
            <w:shd w:val="clear" w:color="auto" w:fill="auto"/>
            <w:vAlign w:val="bottom"/>
          </w:tcPr>
          <w:p w14:paraId="185FFBF5" w14:textId="77777777" w:rsidR="00A91885" w:rsidRDefault="00A91885">
            <w:pPr>
              <w:rPr>
                <w:rFonts w:ascii="宋体"/>
              </w:rPr>
            </w:pPr>
          </w:p>
        </w:tc>
        <w:tc>
          <w:tcPr>
            <w:tcW w:w="50" w:type="pct"/>
            <w:shd w:val="clear" w:color="auto" w:fill="auto"/>
            <w:vAlign w:val="bottom"/>
          </w:tcPr>
          <w:p w14:paraId="185FFBF6" w14:textId="77777777" w:rsidR="00A91885" w:rsidRDefault="00A91885">
            <w:pPr>
              <w:rPr>
                <w:rFonts w:ascii="宋体"/>
              </w:rPr>
            </w:pPr>
          </w:p>
        </w:tc>
        <w:tc>
          <w:tcPr>
            <w:tcW w:w="478" w:type="pct"/>
            <w:shd w:val="clear" w:color="auto" w:fill="auto"/>
            <w:vAlign w:val="bottom"/>
          </w:tcPr>
          <w:p w14:paraId="185FFBF7" w14:textId="77777777" w:rsidR="00A91885" w:rsidRDefault="00A91885">
            <w:pPr>
              <w:rPr>
                <w:rFonts w:ascii="宋体"/>
              </w:rPr>
            </w:pPr>
          </w:p>
        </w:tc>
        <w:tc>
          <w:tcPr>
            <w:tcW w:w="5" w:type="pct"/>
            <w:shd w:val="clear" w:color="auto" w:fill="auto"/>
            <w:vAlign w:val="bottom"/>
          </w:tcPr>
          <w:p w14:paraId="185FFBF8" w14:textId="77777777" w:rsidR="00A91885" w:rsidRDefault="00A91885">
            <w:pPr>
              <w:rPr>
                <w:rFonts w:ascii="宋体"/>
              </w:rPr>
            </w:pPr>
          </w:p>
        </w:tc>
        <w:tc>
          <w:tcPr>
            <w:tcW w:w="5" w:type="pct"/>
            <w:shd w:val="clear" w:color="auto" w:fill="auto"/>
            <w:vAlign w:val="bottom"/>
          </w:tcPr>
          <w:p w14:paraId="185FFBF9" w14:textId="77777777" w:rsidR="00A91885" w:rsidRDefault="00A91885">
            <w:pPr>
              <w:rPr>
                <w:rFonts w:ascii="宋体"/>
              </w:rPr>
            </w:pPr>
          </w:p>
        </w:tc>
        <w:tc>
          <w:tcPr>
            <w:tcW w:w="19" w:type="pct"/>
            <w:shd w:val="clear" w:color="auto" w:fill="auto"/>
            <w:vAlign w:val="bottom"/>
          </w:tcPr>
          <w:p w14:paraId="185FFBFA" w14:textId="77777777" w:rsidR="00A91885" w:rsidRDefault="00A91885">
            <w:pPr>
              <w:rPr>
                <w:rFonts w:ascii="宋体"/>
              </w:rPr>
            </w:pPr>
          </w:p>
        </w:tc>
        <w:tc>
          <w:tcPr>
            <w:tcW w:w="5" w:type="pct"/>
            <w:shd w:val="clear" w:color="auto" w:fill="auto"/>
            <w:vAlign w:val="bottom"/>
          </w:tcPr>
          <w:p w14:paraId="185FFBFB" w14:textId="77777777" w:rsidR="00A91885" w:rsidRDefault="00A91885">
            <w:pPr>
              <w:rPr>
                <w:rFonts w:ascii="宋体"/>
              </w:rPr>
            </w:pPr>
          </w:p>
        </w:tc>
        <w:tc>
          <w:tcPr>
            <w:tcW w:w="50" w:type="pct"/>
            <w:shd w:val="clear" w:color="auto" w:fill="auto"/>
            <w:vAlign w:val="bottom"/>
          </w:tcPr>
          <w:p w14:paraId="185FFBFC" w14:textId="77777777" w:rsidR="00A91885" w:rsidRDefault="00A91885">
            <w:pPr>
              <w:rPr>
                <w:rFonts w:ascii="宋体"/>
              </w:rPr>
            </w:pPr>
          </w:p>
        </w:tc>
        <w:tc>
          <w:tcPr>
            <w:tcW w:w="478" w:type="pct"/>
            <w:shd w:val="clear" w:color="auto" w:fill="auto"/>
            <w:vAlign w:val="bottom"/>
          </w:tcPr>
          <w:p w14:paraId="185FFBFD" w14:textId="77777777" w:rsidR="00A91885" w:rsidRDefault="00A91885">
            <w:pPr>
              <w:rPr>
                <w:rFonts w:ascii="宋体"/>
              </w:rPr>
            </w:pPr>
          </w:p>
        </w:tc>
        <w:tc>
          <w:tcPr>
            <w:tcW w:w="5" w:type="pct"/>
            <w:shd w:val="clear" w:color="auto" w:fill="auto"/>
            <w:vAlign w:val="bottom"/>
          </w:tcPr>
          <w:p w14:paraId="185FFBFE" w14:textId="77777777" w:rsidR="00A91885" w:rsidRDefault="00A91885">
            <w:pPr>
              <w:rPr>
                <w:rFonts w:ascii="宋体"/>
              </w:rPr>
            </w:pPr>
          </w:p>
        </w:tc>
        <w:tc>
          <w:tcPr>
            <w:tcW w:w="5" w:type="pct"/>
            <w:shd w:val="clear" w:color="auto" w:fill="auto"/>
            <w:vAlign w:val="bottom"/>
          </w:tcPr>
          <w:p w14:paraId="185FFBFF" w14:textId="77777777" w:rsidR="00A91885" w:rsidRDefault="00A91885">
            <w:pPr>
              <w:rPr>
                <w:rFonts w:ascii="宋体"/>
              </w:rPr>
            </w:pPr>
          </w:p>
        </w:tc>
        <w:tc>
          <w:tcPr>
            <w:tcW w:w="19" w:type="pct"/>
            <w:shd w:val="clear" w:color="auto" w:fill="auto"/>
            <w:vAlign w:val="bottom"/>
          </w:tcPr>
          <w:p w14:paraId="185FFC00" w14:textId="77777777" w:rsidR="00A91885" w:rsidRDefault="00A91885">
            <w:pPr>
              <w:rPr>
                <w:rFonts w:ascii="宋体"/>
              </w:rPr>
            </w:pPr>
          </w:p>
        </w:tc>
        <w:tc>
          <w:tcPr>
            <w:tcW w:w="5" w:type="pct"/>
            <w:shd w:val="clear" w:color="auto" w:fill="auto"/>
            <w:vAlign w:val="bottom"/>
          </w:tcPr>
          <w:p w14:paraId="185FFC01" w14:textId="77777777" w:rsidR="00A91885" w:rsidRDefault="00A91885">
            <w:pPr>
              <w:rPr>
                <w:rFonts w:ascii="宋体"/>
              </w:rPr>
            </w:pPr>
          </w:p>
        </w:tc>
        <w:tc>
          <w:tcPr>
            <w:tcW w:w="50" w:type="pct"/>
            <w:shd w:val="clear" w:color="auto" w:fill="auto"/>
            <w:vAlign w:val="bottom"/>
          </w:tcPr>
          <w:p w14:paraId="185FFC02" w14:textId="77777777" w:rsidR="00A91885" w:rsidRDefault="00A91885">
            <w:pPr>
              <w:rPr>
                <w:rFonts w:ascii="宋体"/>
              </w:rPr>
            </w:pPr>
          </w:p>
        </w:tc>
        <w:tc>
          <w:tcPr>
            <w:tcW w:w="478" w:type="pct"/>
            <w:shd w:val="clear" w:color="auto" w:fill="auto"/>
            <w:vAlign w:val="bottom"/>
          </w:tcPr>
          <w:p w14:paraId="185FFC03" w14:textId="77777777" w:rsidR="00A91885" w:rsidRDefault="00A91885">
            <w:pPr>
              <w:rPr>
                <w:rFonts w:ascii="宋体"/>
              </w:rPr>
            </w:pPr>
          </w:p>
        </w:tc>
        <w:tc>
          <w:tcPr>
            <w:tcW w:w="5" w:type="pct"/>
            <w:shd w:val="clear" w:color="auto" w:fill="auto"/>
            <w:vAlign w:val="bottom"/>
          </w:tcPr>
          <w:p w14:paraId="185FFC04" w14:textId="77777777" w:rsidR="00A91885" w:rsidRDefault="00A91885">
            <w:pPr>
              <w:rPr>
                <w:rFonts w:ascii="宋体"/>
              </w:rPr>
            </w:pPr>
          </w:p>
        </w:tc>
      </w:tr>
      <w:tr w:rsidR="00A91885" w14:paraId="185FFC0A" w14:textId="77777777">
        <w:tc>
          <w:tcPr>
            <w:tcW w:w="0" w:type="auto"/>
            <w:gridSpan w:val="3"/>
            <w:shd w:val="clear" w:color="auto" w:fill="auto"/>
            <w:tcMar>
              <w:top w:w="40" w:type="dxa"/>
              <w:left w:w="20" w:type="dxa"/>
              <w:bottom w:w="40" w:type="dxa"/>
              <w:right w:w="20" w:type="dxa"/>
            </w:tcMar>
            <w:vAlign w:val="bottom"/>
          </w:tcPr>
          <w:p w14:paraId="185FFC06" w14:textId="77777777" w:rsidR="00A91885" w:rsidRDefault="009C4196">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185FFC07"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5FFC08"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5FFC09"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5FFC13" w14:textId="77777777">
        <w:tc>
          <w:tcPr>
            <w:tcW w:w="0" w:type="auto"/>
            <w:gridSpan w:val="3"/>
            <w:shd w:val="clear" w:color="auto" w:fill="auto"/>
            <w:tcMar>
              <w:top w:w="40" w:type="dxa"/>
              <w:left w:w="20" w:type="dxa"/>
              <w:bottom w:w="40" w:type="dxa"/>
              <w:right w:w="20" w:type="dxa"/>
            </w:tcMar>
            <w:vAlign w:val="bottom"/>
          </w:tcPr>
          <w:p w14:paraId="185FFC0B" w14:textId="77777777" w:rsidR="00A91885" w:rsidRDefault="009C4196">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C0C"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C0D"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C0E" w14:textId="77777777" w:rsidR="00A91885" w:rsidRDefault="009C4196">
            <w:pPr>
              <w:jc w:val="center"/>
              <w:textAlignment w:val="bottom"/>
            </w:pPr>
            <w:r>
              <w:rPr>
                <w:rFonts w:ascii="Arial" w:eastAsia="宋体" w:hAnsi="Arial" w:cs="Arial"/>
                <w:b/>
                <w:bCs/>
                <w:color w:val="000000"/>
                <w:sz w:val="17"/>
                <w:szCs w:val="17"/>
              </w:rPr>
              <w:t xml:space="preserve">2021 </w:t>
            </w:r>
            <w:r>
              <w:rPr>
                <w:rFonts w:ascii="Arial" w:eastAsia="宋体" w:hAnsi="Arial" w:cs="Arial"/>
                <w:b/>
                <w:bCs/>
                <w:color w:val="000000"/>
                <w:sz w:val="11"/>
                <w:szCs w:val="11"/>
              </w:rPr>
              <w:t>(1)</w:t>
            </w:r>
          </w:p>
        </w:tc>
        <w:tc>
          <w:tcPr>
            <w:tcW w:w="0" w:type="auto"/>
            <w:gridSpan w:val="3"/>
            <w:shd w:val="clear" w:color="auto" w:fill="auto"/>
            <w:tcMar>
              <w:top w:w="0" w:type="dxa"/>
              <w:left w:w="20" w:type="dxa"/>
              <w:bottom w:w="0" w:type="dxa"/>
              <w:right w:w="20" w:type="dxa"/>
            </w:tcMar>
            <w:vAlign w:val="bottom"/>
          </w:tcPr>
          <w:p w14:paraId="185FFC0F"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C10"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C11"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C12" w14:textId="77777777" w:rsidR="00A91885" w:rsidRDefault="009C4196">
            <w:pPr>
              <w:jc w:val="center"/>
              <w:textAlignment w:val="bottom"/>
            </w:pPr>
            <w:r>
              <w:rPr>
                <w:rFonts w:ascii="Arial" w:eastAsia="宋体" w:hAnsi="Arial" w:cs="Arial"/>
                <w:b/>
                <w:bCs/>
                <w:color w:val="000000"/>
                <w:sz w:val="17"/>
                <w:szCs w:val="17"/>
              </w:rPr>
              <w:t xml:space="preserve">2021 </w:t>
            </w:r>
            <w:r>
              <w:rPr>
                <w:rFonts w:ascii="Arial" w:eastAsia="宋体" w:hAnsi="Arial" w:cs="Arial"/>
                <w:b/>
                <w:bCs/>
                <w:color w:val="000000"/>
                <w:sz w:val="11"/>
                <w:szCs w:val="11"/>
              </w:rPr>
              <w:t>(1)</w:t>
            </w:r>
          </w:p>
        </w:tc>
      </w:tr>
      <w:tr w:rsidR="00A91885" w14:paraId="185FFC24" w14:textId="77777777">
        <w:tc>
          <w:tcPr>
            <w:tcW w:w="0" w:type="auto"/>
            <w:gridSpan w:val="3"/>
            <w:shd w:val="clear" w:color="auto" w:fill="DBDBDB"/>
            <w:tcMar>
              <w:top w:w="40" w:type="dxa"/>
              <w:left w:w="20" w:type="dxa"/>
              <w:bottom w:w="40" w:type="dxa"/>
              <w:right w:w="20" w:type="dxa"/>
            </w:tcMar>
            <w:vAlign w:val="bottom"/>
          </w:tcPr>
          <w:p w14:paraId="185FFC14" w14:textId="77777777" w:rsidR="00A91885" w:rsidRDefault="009C4196">
            <w:pPr>
              <w:ind w:hanging="180"/>
              <w:textAlignment w:val="bottom"/>
            </w:pPr>
            <w:r>
              <w:rPr>
                <w:rFonts w:ascii="Arial" w:eastAsia="宋体" w:hAnsi="Arial" w:cs="Arial"/>
                <w:color w:val="000000"/>
                <w:sz w:val="18"/>
                <w:szCs w:val="18"/>
              </w:rPr>
              <w:t xml:space="preserve">Classifieds net cash provided by (used in) discontinued operating activities </w:t>
            </w:r>
          </w:p>
        </w:tc>
        <w:tc>
          <w:tcPr>
            <w:tcW w:w="0" w:type="auto"/>
            <w:tcBorders>
              <w:top w:val="single" w:sz="8" w:space="0" w:color="000000"/>
            </w:tcBorders>
            <w:shd w:val="clear" w:color="auto" w:fill="DBDBDB"/>
            <w:tcMar>
              <w:top w:w="40" w:type="dxa"/>
              <w:left w:w="20" w:type="dxa"/>
              <w:bottom w:w="40" w:type="dxa"/>
              <w:right w:w="0" w:type="dxa"/>
            </w:tcMar>
            <w:vAlign w:val="bottom"/>
          </w:tcPr>
          <w:p w14:paraId="185FFC1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5FFC16"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BDBDB"/>
            <w:tcMar>
              <w:top w:w="40" w:type="dxa"/>
              <w:left w:w="0" w:type="dxa"/>
              <w:bottom w:w="40" w:type="dxa"/>
              <w:right w:w="20" w:type="dxa"/>
            </w:tcMar>
            <w:vAlign w:val="bottom"/>
          </w:tcPr>
          <w:p w14:paraId="185FFC17"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5FFC18"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5FFC1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5FFC1A" w14:textId="77777777" w:rsidR="00A91885" w:rsidRDefault="009C4196">
            <w:pPr>
              <w:jc w:val="right"/>
              <w:textAlignment w:val="bottom"/>
            </w:pPr>
            <w:r>
              <w:rPr>
                <w:rFonts w:ascii="Arial" w:eastAsia="宋体" w:hAnsi="Arial" w:cs="Arial"/>
                <w:color w:val="000000"/>
                <w:sz w:val="18"/>
                <w:szCs w:val="18"/>
              </w:rPr>
              <w:t>41 </w:t>
            </w:r>
          </w:p>
        </w:tc>
        <w:tc>
          <w:tcPr>
            <w:tcW w:w="0" w:type="auto"/>
            <w:tcBorders>
              <w:top w:val="single" w:sz="8" w:space="0" w:color="000000"/>
            </w:tcBorders>
            <w:shd w:val="clear" w:color="auto" w:fill="DBDBDB"/>
            <w:tcMar>
              <w:top w:w="40" w:type="dxa"/>
              <w:left w:w="0" w:type="dxa"/>
              <w:bottom w:w="40" w:type="dxa"/>
              <w:right w:w="20" w:type="dxa"/>
            </w:tcMar>
            <w:vAlign w:val="bottom"/>
          </w:tcPr>
          <w:p w14:paraId="185FFC1B"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5FFC1C"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5FFC1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5FFC1E" w14:textId="77777777" w:rsidR="00A91885" w:rsidRDefault="009C4196">
            <w:pPr>
              <w:jc w:val="right"/>
              <w:textAlignment w:val="bottom"/>
            </w:pPr>
            <w:r>
              <w:rPr>
                <w:rFonts w:ascii="Arial" w:eastAsia="宋体" w:hAnsi="Arial" w:cs="Arial"/>
                <w:color w:val="000000"/>
                <w:sz w:val="18"/>
                <w:szCs w:val="18"/>
              </w:rPr>
              <w:t>(1)</w:t>
            </w:r>
          </w:p>
        </w:tc>
        <w:tc>
          <w:tcPr>
            <w:tcW w:w="0" w:type="auto"/>
            <w:tcBorders>
              <w:top w:val="single" w:sz="8" w:space="0" w:color="000000"/>
            </w:tcBorders>
            <w:shd w:val="clear" w:color="auto" w:fill="DBDBDB"/>
            <w:tcMar>
              <w:top w:w="40" w:type="dxa"/>
              <w:left w:w="0" w:type="dxa"/>
              <w:bottom w:w="40" w:type="dxa"/>
              <w:right w:w="20" w:type="dxa"/>
            </w:tcMar>
            <w:vAlign w:val="bottom"/>
          </w:tcPr>
          <w:p w14:paraId="185FFC1F"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5FFC20"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5FFC2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5FFC22" w14:textId="77777777" w:rsidR="00A91885" w:rsidRDefault="009C4196">
            <w:pPr>
              <w:jc w:val="right"/>
              <w:textAlignment w:val="bottom"/>
            </w:pPr>
            <w:r>
              <w:rPr>
                <w:rFonts w:ascii="Arial" w:eastAsia="宋体" w:hAnsi="Arial" w:cs="Arial"/>
                <w:color w:val="000000"/>
                <w:sz w:val="18"/>
                <w:szCs w:val="18"/>
              </w:rPr>
              <w:t>145 </w:t>
            </w:r>
          </w:p>
        </w:tc>
        <w:tc>
          <w:tcPr>
            <w:tcW w:w="0" w:type="auto"/>
            <w:tcBorders>
              <w:top w:val="single" w:sz="8" w:space="0" w:color="000000"/>
            </w:tcBorders>
            <w:shd w:val="clear" w:color="auto" w:fill="DBDBDB"/>
            <w:tcMar>
              <w:top w:w="40" w:type="dxa"/>
              <w:left w:w="0" w:type="dxa"/>
              <w:bottom w:w="40" w:type="dxa"/>
              <w:right w:w="20" w:type="dxa"/>
            </w:tcMar>
            <w:vAlign w:val="bottom"/>
          </w:tcPr>
          <w:p w14:paraId="185FFC23" w14:textId="77777777" w:rsidR="00A91885" w:rsidRDefault="00A91885">
            <w:pPr>
              <w:jc w:val="right"/>
              <w:rPr>
                <w:rFonts w:ascii="宋体"/>
              </w:rPr>
            </w:pPr>
          </w:p>
        </w:tc>
      </w:tr>
      <w:tr w:rsidR="00A91885" w14:paraId="185FFC31" w14:textId="77777777">
        <w:tc>
          <w:tcPr>
            <w:tcW w:w="0" w:type="auto"/>
            <w:gridSpan w:val="3"/>
            <w:shd w:val="clear" w:color="auto" w:fill="FFFFFF"/>
            <w:tcMar>
              <w:top w:w="40" w:type="dxa"/>
              <w:left w:w="20" w:type="dxa"/>
              <w:bottom w:w="40" w:type="dxa"/>
              <w:right w:w="20" w:type="dxa"/>
            </w:tcMar>
            <w:vAlign w:val="bottom"/>
          </w:tcPr>
          <w:p w14:paraId="185FFC25" w14:textId="77777777" w:rsidR="00A91885" w:rsidRDefault="009C4196">
            <w:pPr>
              <w:ind w:hanging="180"/>
              <w:textAlignment w:val="bottom"/>
            </w:pPr>
            <w:r>
              <w:rPr>
                <w:rFonts w:ascii="Arial" w:eastAsia="宋体" w:hAnsi="Arial" w:cs="Arial"/>
                <w:color w:val="000000"/>
                <w:sz w:val="18"/>
                <w:szCs w:val="18"/>
              </w:rPr>
              <w:t xml:space="preserve">eBay Korea net cash provided by (used in) discontinued operating activities </w:t>
            </w:r>
          </w:p>
        </w:tc>
        <w:tc>
          <w:tcPr>
            <w:tcW w:w="0" w:type="auto"/>
            <w:gridSpan w:val="2"/>
            <w:shd w:val="clear" w:color="auto" w:fill="FFFFFF"/>
            <w:tcMar>
              <w:top w:w="40" w:type="dxa"/>
              <w:left w:w="20" w:type="dxa"/>
              <w:bottom w:w="40" w:type="dxa"/>
              <w:right w:w="0" w:type="dxa"/>
            </w:tcMar>
            <w:vAlign w:val="bottom"/>
          </w:tcPr>
          <w:p w14:paraId="185FFC26" w14:textId="77777777" w:rsidR="00A91885" w:rsidRDefault="009C4196">
            <w:pPr>
              <w:jc w:val="right"/>
              <w:textAlignment w:val="bottom"/>
            </w:pPr>
            <w:r>
              <w:rPr>
                <w:rFonts w:ascii="Arial" w:eastAsia="宋体" w:hAnsi="Arial" w:cs="Arial"/>
                <w:color w:val="000000"/>
                <w:sz w:val="18"/>
                <w:szCs w:val="18"/>
              </w:rPr>
              <w:t>(349)</w:t>
            </w:r>
          </w:p>
        </w:tc>
        <w:tc>
          <w:tcPr>
            <w:tcW w:w="0" w:type="auto"/>
            <w:shd w:val="clear" w:color="auto" w:fill="FFFFFF"/>
            <w:tcMar>
              <w:top w:w="40" w:type="dxa"/>
              <w:left w:w="0" w:type="dxa"/>
              <w:bottom w:w="40" w:type="dxa"/>
              <w:right w:w="20" w:type="dxa"/>
            </w:tcMar>
            <w:vAlign w:val="bottom"/>
          </w:tcPr>
          <w:p w14:paraId="185FFC2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C2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C29" w14:textId="77777777" w:rsidR="00A91885" w:rsidRDefault="009C4196">
            <w:pPr>
              <w:jc w:val="right"/>
              <w:textAlignment w:val="bottom"/>
            </w:pPr>
            <w:r>
              <w:rPr>
                <w:rFonts w:ascii="Arial" w:eastAsia="宋体" w:hAnsi="Arial" w:cs="Arial"/>
                <w:color w:val="000000"/>
                <w:sz w:val="18"/>
                <w:szCs w:val="18"/>
              </w:rPr>
              <w:t>17 </w:t>
            </w:r>
          </w:p>
        </w:tc>
        <w:tc>
          <w:tcPr>
            <w:tcW w:w="0" w:type="auto"/>
            <w:shd w:val="clear" w:color="auto" w:fill="FFFFFF"/>
            <w:tcMar>
              <w:top w:w="40" w:type="dxa"/>
              <w:left w:w="0" w:type="dxa"/>
              <w:bottom w:w="40" w:type="dxa"/>
              <w:right w:w="20" w:type="dxa"/>
            </w:tcMar>
            <w:vAlign w:val="bottom"/>
          </w:tcPr>
          <w:p w14:paraId="185FFC2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C2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C2C" w14:textId="77777777" w:rsidR="00A91885" w:rsidRDefault="009C4196">
            <w:pPr>
              <w:jc w:val="right"/>
              <w:textAlignment w:val="bottom"/>
            </w:pPr>
            <w:r>
              <w:rPr>
                <w:rFonts w:ascii="Arial" w:eastAsia="宋体" w:hAnsi="Arial" w:cs="Arial"/>
                <w:color w:val="000000"/>
                <w:sz w:val="18"/>
                <w:szCs w:val="18"/>
              </w:rPr>
              <w:t>(364)</w:t>
            </w:r>
          </w:p>
        </w:tc>
        <w:tc>
          <w:tcPr>
            <w:tcW w:w="0" w:type="auto"/>
            <w:shd w:val="clear" w:color="auto" w:fill="FFFFFF"/>
            <w:tcMar>
              <w:top w:w="40" w:type="dxa"/>
              <w:left w:w="0" w:type="dxa"/>
              <w:bottom w:w="40" w:type="dxa"/>
              <w:right w:w="20" w:type="dxa"/>
            </w:tcMar>
            <w:vAlign w:val="bottom"/>
          </w:tcPr>
          <w:p w14:paraId="185FFC2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C2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C2F" w14:textId="77777777" w:rsidR="00A91885" w:rsidRDefault="009C4196">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185FFC30" w14:textId="77777777" w:rsidR="00A91885" w:rsidRDefault="00A91885">
            <w:pPr>
              <w:jc w:val="right"/>
              <w:rPr>
                <w:rFonts w:ascii="宋体"/>
              </w:rPr>
            </w:pPr>
          </w:p>
        </w:tc>
      </w:tr>
      <w:tr w:rsidR="00A91885" w14:paraId="185FFC3A" w14:textId="77777777">
        <w:trPr>
          <w:hidden/>
        </w:trPr>
        <w:tc>
          <w:tcPr>
            <w:tcW w:w="0" w:type="auto"/>
            <w:gridSpan w:val="3"/>
            <w:shd w:val="clear" w:color="auto" w:fill="auto"/>
            <w:vAlign w:val="bottom"/>
          </w:tcPr>
          <w:p w14:paraId="185FFC32" w14:textId="77777777" w:rsidR="00A91885" w:rsidRDefault="00A91885">
            <w:pPr>
              <w:rPr>
                <w:rFonts w:ascii="宋体"/>
                <w:vanish/>
              </w:rPr>
            </w:pPr>
          </w:p>
        </w:tc>
        <w:tc>
          <w:tcPr>
            <w:tcW w:w="0" w:type="auto"/>
            <w:gridSpan w:val="3"/>
            <w:shd w:val="clear" w:color="auto" w:fill="auto"/>
            <w:vAlign w:val="bottom"/>
          </w:tcPr>
          <w:p w14:paraId="185FFC33" w14:textId="77777777" w:rsidR="00A91885" w:rsidRDefault="00A91885">
            <w:pPr>
              <w:rPr>
                <w:rFonts w:ascii="宋体"/>
                <w:vanish/>
              </w:rPr>
            </w:pPr>
          </w:p>
        </w:tc>
        <w:tc>
          <w:tcPr>
            <w:tcW w:w="0" w:type="auto"/>
            <w:gridSpan w:val="3"/>
            <w:shd w:val="clear" w:color="auto" w:fill="auto"/>
            <w:vAlign w:val="bottom"/>
          </w:tcPr>
          <w:p w14:paraId="185FFC34" w14:textId="77777777" w:rsidR="00A91885" w:rsidRDefault="00A91885">
            <w:pPr>
              <w:rPr>
                <w:rFonts w:ascii="宋体"/>
                <w:vanish/>
              </w:rPr>
            </w:pPr>
          </w:p>
        </w:tc>
        <w:tc>
          <w:tcPr>
            <w:tcW w:w="0" w:type="auto"/>
            <w:gridSpan w:val="3"/>
            <w:shd w:val="clear" w:color="auto" w:fill="auto"/>
            <w:vAlign w:val="bottom"/>
          </w:tcPr>
          <w:p w14:paraId="185FFC35" w14:textId="77777777" w:rsidR="00A91885" w:rsidRDefault="00A91885">
            <w:pPr>
              <w:rPr>
                <w:rFonts w:ascii="宋体"/>
                <w:vanish/>
              </w:rPr>
            </w:pPr>
          </w:p>
        </w:tc>
        <w:tc>
          <w:tcPr>
            <w:tcW w:w="0" w:type="auto"/>
            <w:gridSpan w:val="3"/>
            <w:shd w:val="clear" w:color="auto" w:fill="auto"/>
            <w:vAlign w:val="bottom"/>
          </w:tcPr>
          <w:p w14:paraId="185FFC36" w14:textId="77777777" w:rsidR="00A91885" w:rsidRDefault="00A91885">
            <w:pPr>
              <w:rPr>
                <w:rFonts w:ascii="宋体"/>
                <w:vanish/>
              </w:rPr>
            </w:pPr>
          </w:p>
        </w:tc>
        <w:tc>
          <w:tcPr>
            <w:tcW w:w="0" w:type="auto"/>
            <w:gridSpan w:val="3"/>
            <w:shd w:val="clear" w:color="auto" w:fill="auto"/>
            <w:vAlign w:val="bottom"/>
          </w:tcPr>
          <w:p w14:paraId="185FFC37" w14:textId="77777777" w:rsidR="00A91885" w:rsidRDefault="00A91885">
            <w:pPr>
              <w:rPr>
                <w:rFonts w:ascii="宋体"/>
                <w:vanish/>
              </w:rPr>
            </w:pPr>
          </w:p>
        </w:tc>
        <w:tc>
          <w:tcPr>
            <w:tcW w:w="0" w:type="auto"/>
            <w:gridSpan w:val="3"/>
            <w:shd w:val="clear" w:color="auto" w:fill="auto"/>
            <w:vAlign w:val="bottom"/>
          </w:tcPr>
          <w:p w14:paraId="185FFC38" w14:textId="77777777" w:rsidR="00A91885" w:rsidRDefault="00A91885">
            <w:pPr>
              <w:rPr>
                <w:rFonts w:ascii="宋体"/>
                <w:vanish/>
              </w:rPr>
            </w:pPr>
          </w:p>
        </w:tc>
        <w:tc>
          <w:tcPr>
            <w:tcW w:w="0" w:type="auto"/>
            <w:gridSpan w:val="3"/>
            <w:shd w:val="clear" w:color="auto" w:fill="auto"/>
            <w:vAlign w:val="bottom"/>
          </w:tcPr>
          <w:p w14:paraId="185FFC39" w14:textId="77777777" w:rsidR="00A91885" w:rsidRDefault="00A91885">
            <w:pPr>
              <w:rPr>
                <w:rFonts w:ascii="宋体"/>
                <w:vanish/>
              </w:rPr>
            </w:pPr>
          </w:p>
        </w:tc>
      </w:tr>
      <w:tr w:rsidR="00A91885" w14:paraId="185FFC4B" w14:textId="77777777">
        <w:tc>
          <w:tcPr>
            <w:tcW w:w="0" w:type="auto"/>
            <w:gridSpan w:val="3"/>
            <w:shd w:val="clear" w:color="auto" w:fill="DBDBDB"/>
            <w:tcMar>
              <w:top w:w="40" w:type="dxa"/>
              <w:left w:w="380" w:type="dxa"/>
              <w:bottom w:w="40" w:type="dxa"/>
              <w:right w:w="20" w:type="dxa"/>
            </w:tcMar>
            <w:vAlign w:val="bottom"/>
          </w:tcPr>
          <w:p w14:paraId="185FFC3B" w14:textId="77777777" w:rsidR="00A91885" w:rsidRDefault="009C4196">
            <w:pPr>
              <w:textAlignment w:val="bottom"/>
            </w:pPr>
            <w:r>
              <w:rPr>
                <w:rFonts w:ascii="Arial" w:eastAsia="宋体" w:hAnsi="Arial" w:cs="Arial"/>
                <w:color w:val="000000"/>
                <w:sz w:val="18"/>
                <w:szCs w:val="18"/>
              </w:rPr>
              <w:t>Net cash provided by (used in) discontinued operating activities</w:t>
            </w:r>
          </w:p>
        </w:tc>
        <w:tc>
          <w:tcPr>
            <w:tcW w:w="0" w:type="auto"/>
            <w:tcBorders>
              <w:top w:val="single" w:sz="8" w:space="0" w:color="000000"/>
            </w:tcBorders>
            <w:shd w:val="clear" w:color="auto" w:fill="DBDBDB"/>
            <w:tcMar>
              <w:top w:w="40" w:type="dxa"/>
              <w:left w:w="20" w:type="dxa"/>
              <w:bottom w:w="40" w:type="dxa"/>
              <w:right w:w="0" w:type="dxa"/>
            </w:tcMar>
            <w:vAlign w:val="bottom"/>
          </w:tcPr>
          <w:p w14:paraId="185FFC3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5FFC3D" w14:textId="77777777" w:rsidR="00A91885" w:rsidRDefault="009C4196">
            <w:pPr>
              <w:jc w:val="right"/>
              <w:textAlignment w:val="bottom"/>
            </w:pPr>
            <w:r>
              <w:rPr>
                <w:rFonts w:ascii="Arial" w:eastAsia="宋体" w:hAnsi="Arial" w:cs="Arial"/>
                <w:color w:val="000000"/>
                <w:sz w:val="18"/>
                <w:szCs w:val="18"/>
              </w:rPr>
              <w:t>(349)</w:t>
            </w:r>
          </w:p>
        </w:tc>
        <w:tc>
          <w:tcPr>
            <w:tcW w:w="0" w:type="auto"/>
            <w:tcBorders>
              <w:top w:val="single" w:sz="8" w:space="0" w:color="000000"/>
            </w:tcBorders>
            <w:shd w:val="clear" w:color="auto" w:fill="DBDBDB"/>
            <w:tcMar>
              <w:top w:w="40" w:type="dxa"/>
              <w:left w:w="0" w:type="dxa"/>
              <w:bottom w:w="40" w:type="dxa"/>
              <w:right w:w="20" w:type="dxa"/>
            </w:tcMar>
            <w:vAlign w:val="bottom"/>
          </w:tcPr>
          <w:p w14:paraId="185FFC3E"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5FFC3F"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5FFC4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5FFC41" w14:textId="77777777" w:rsidR="00A91885" w:rsidRDefault="009C4196">
            <w:pPr>
              <w:jc w:val="right"/>
              <w:textAlignment w:val="bottom"/>
            </w:pPr>
            <w:r>
              <w:rPr>
                <w:rFonts w:ascii="Arial" w:eastAsia="宋体" w:hAnsi="Arial" w:cs="Arial"/>
                <w:color w:val="000000"/>
                <w:sz w:val="18"/>
                <w:szCs w:val="18"/>
              </w:rPr>
              <w:t>58 </w:t>
            </w:r>
          </w:p>
        </w:tc>
        <w:tc>
          <w:tcPr>
            <w:tcW w:w="0" w:type="auto"/>
            <w:tcBorders>
              <w:top w:val="single" w:sz="8" w:space="0" w:color="000000"/>
            </w:tcBorders>
            <w:shd w:val="clear" w:color="auto" w:fill="DBDBDB"/>
            <w:tcMar>
              <w:top w:w="40" w:type="dxa"/>
              <w:left w:w="0" w:type="dxa"/>
              <w:bottom w:w="40" w:type="dxa"/>
              <w:right w:w="20" w:type="dxa"/>
            </w:tcMar>
            <w:vAlign w:val="bottom"/>
          </w:tcPr>
          <w:p w14:paraId="185FFC42"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5FFC43"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5FFC4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5FFC45" w14:textId="77777777" w:rsidR="00A91885" w:rsidRDefault="009C4196">
            <w:pPr>
              <w:jc w:val="right"/>
              <w:textAlignment w:val="bottom"/>
            </w:pPr>
            <w:r>
              <w:rPr>
                <w:rFonts w:ascii="Arial" w:eastAsia="宋体" w:hAnsi="Arial" w:cs="Arial"/>
                <w:color w:val="000000"/>
                <w:sz w:val="18"/>
                <w:szCs w:val="18"/>
              </w:rPr>
              <w:t>(365)</w:t>
            </w:r>
          </w:p>
        </w:tc>
        <w:tc>
          <w:tcPr>
            <w:tcW w:w="0" w:type="auto"/>
            <w:tcBorders>
              <w:top w:val="single" w:sz="8" w:space="0" w:color="000000"/>
            </w:tcBorders>
            <w:shd w:val="clear" w:color="auto" w:fill="DBDBDB"/>
            <w:tcMar>
              <w:top w:w="40" w:type="dxa"/>
              <w:left w:w="0" w:type="dxa"/>
              <w:bottom w:w="40" w:type="dxa"/>
              <w:right w:w="20" w:type="dxa"/>
            </w:tcMar>
            <w:vAlign w:val="bottom"/>
          </w:tcPr>
          <w:p w14:paraId="185FFC46"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5FFC47"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5FFC4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5FFC49" w14:textId="77777777" w:rsidR="00A91885" w:rsidRDefault="009C4196">
            <w:pPr>
              <w:jc w:val="right"/>
              <w:textAlignment w:val="bottom"/>
            </w:pPr>
            <w:r>
              <w:rPr>
                <w:rFonts w:ascii="Arial" w:eastAsia="宋体" w:hAnsi="Arial" w:cs="Arial"/>
                <w:color w:val="000000"/>
                <w:sz w:val="18"/>
                <w:szCs w:val="18"/>
              </w:rPr>
              <w:t>152 </w:t>
            </w:r>
          </w:p>
        </w:tc>
        <w:tc>
          <w:tcPr>
            <w:tcW w:w="0" w:type="auto"/>
            <w:tcBorders>
              <w:top w:val="single" w:sz="8" w:space="0" w:color="000000"/>
            </w:tcBorders>
            <w:shd w:val="clear" w:color="auto" w:fill="DBDBDB"/>
            <w:tcMar>
              <w:top w:w="40" w:type="dxa"/>
              <w:left w:w="0" w:type="dxa"/>
              <w:bottom w:w="40" w:type="dxa"/>
              <w:right w:w="20" w:type="dxa"/>
            </w:tcMar>
            <w:vAlign w:val="bottom"/>
          </w:tcPr>
          <w:p w14:paraId="185FFC4A" w14:textId="77777777" w:rsidR="00A91885" w:rsidRDefault="00A91885">
            <w:pPr>
              <w:jc w:val="right"/>
              <w:rPr>
                <w:rFonts w:ascii="宋体"/>
              </w:rPr>
            </w:pPr>
          </w:p>
        </w:tc>
      </w:tr>
      <w:tr w:rsidR="00A91885" w14:paraId="185FFC54" w14:textId="77777777">
        <w:trPr>
          <w:trHeight w:val="180"/>
        </w:trPr>
        <w:tc>
          <w:tcPr>
            <w:tcW w:w="0" w:type="auto"/>
            <w:gridSpan w:val="3"/>
            <w:shd w:val="clear" w:color="auto" w:fill="FFFFFF"/>
            <w:tcMar>
              <w:top w:w="0" w:type="dxa"/>
              <w:left w:w="20" w:type="dxa"/>
              <w:bottom w:w="0" w:type="dxa"/>
              <w:right w:w="20" w:type="dxa"/>
            </w:tcMar>
            <w:vAlign w:val="bottom"/>
          </w:tcPr>
          <w:p w14:paraId="185FFC4C"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C4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C4E"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C4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C50"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C5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C52"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C53" w14:textId="77777777" w:rsidR="00A91885" w:rsidRDefault="00A91885">
            <w:pPr>
              <w:rPr>
                <w:rFonts w:ascii="宋体"/>
              </w:rPr>
            </w:pPr>
          </w:p>
        </w:tc>
      </w:tr>
      <w:tr w:rsidR="00A91885" w14:paraId="185FFC65" w14:textId="77777777">
        <w:tc>
          <w:tcPr>
            <w:tcW w:w="0" w:type="auto"/>
            <w:gridSpan w:val="3"/>
            <w:shd w:val="clear" w:color="auto" w:fill="DBDBDB"/>
            <w:tcMar>
              <w:top w:w="40" w:type="dxa"/>
              <w:left w:w="20" w:type="dxa"/>
              <w:bottom w:w="40" w:type="dxa"/>
              <w:right w:w="20" w:type="dxa"/>
            </w:tcMar>
            <w:vAlign w:val="bottom"/>
          </w:tcPr>
          <w:p w14:paraId="185FFC55" w14:textId="77777777" w:rsidR="00A91885" w:rsidRDefault="009C4196">
            <w:pPr>
              <w:ind w:hanging="180"/>
              <w:textAlignment w:val="bottom"/>
            </w:pPr>
            <w:r>
              <w:rPr>
                <w:rFonts w:ascii="Arial" w:eastAsia="宋体" w:hAnsi="Arial" w:cs="Arial"/>
                <w:color w:val="000000"/>
                <w:sz w:val="18"/>
                <w:szCs w:val="18"/>
              </w:rPr>
              <w:t xml:space="preserve">Classifieds net cash provided by discontinued investing activities </w:t>
            </w:r>
          </w:p>
        </w:tc>
        <w:tc>
          <w:tcPr>
            <w:tcW w:w="0" w:type="auto"/>
            <w:shd w:val="clear" w:color="auto" w:fill="DBDBDB"/>
            <w:tcMar>
              <w:top w:w="40" w:type="dxa"/>
              <w:left w:w="20" w:type="dxa"/>
              <w:bottom w:w="40" w:type="dxa"/>
              <w:right w:w="0" w:type="dxa"/>
            </w:tcMar>
            <w:vAlign w:val="bottom"/>
          </w:tcPr>
          <w:p w14:paraId="185FFC56"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85FFC57"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185FFC58"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5FFC59" w14:textId="77777777" w:rsidR="00A91885" w:rsidRDefault="00A91885">
            <w:pPr>
              <w:rPr>
                <w:rFonts w:ascii="宋体"/>
              </w:rPr>
            </w:pPr>
          </w:p>
        </w:tc>
        <w:tc>
          <w:tcPr>
            <w:tcW w:w="0" w:type="auto"/>
            <w:shd w:val="clear" w:color="auto" w:fill="DBDBDB"/>
            <w:tcMar>
              <w:top w:w="40" w:type="dxa"/>
              <w:left w:w="20" w:type="dxa"/>
              <w:bottom w:w="40" w:type="dxa"/>
              <w:right w:w="0" w:type="dxa"/>
            </w:tcMar>
            <w:vAlign w:val="bottom"/>
          </w:tcPr>
          <w:p w14:paraId="185FFC5A"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85FFC5B" w14:textId="77777777" w:rsidR="00A91885" w:rsidRDefault="009C4196">
            <w:pPr>
              <w:jc w:val="right"/>
              <w:textAlignment w:val="bottom"/>
            </w:pPr>
            <w:r>
              <w:rPr>
                <w:rFonts w:ascii="Arial" w:eastAsia="宋体" w:hAnsi="Arial" w:cs="Arial"/>
                <w:color w:val="000000"/>
                <w:sz w:val="18"/>
                <w:szCs w:val="18"/>
              </w:rPr>
              <w:t>2,454 </w:t>
            </w:r>
          </w:p>
        </w:tc>
        <w:tc>
          <w:tcPr>
            <w:tcW w:w="0" w:type="auto"/>
            <w:shd w:val="clear" w:color="auto" w:fill="DBDBDB"/>
            <w:tcMar>
              <w:top w:w="40" w:type="dxa"/>
              <w:left w:w="0" w:type="dxa"/>
              <w:bottom w:w="40" w:type="dxa"/>
              <w:right w:w="20" w:type="dxa"/>
            </w:tcMar>
            <w:vAlign w:val="bottom"/>
          </w:tcPr>
          <w:p w14:paraId="185FFC5C"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5FFC5D" w14:textId="77777777" w:rsidR="00A91885" w:rsidRDefault="00A91885">
            <w:pPr>
              <w:rPr>
                <w:rFonts w:ascii="宋体"/>
              </w:rPr>
            </w:pPr>
          </w:p>
        </w:tc>
        <w:tc>
          <w:tcPr>
            <w:tcW w:w="0" w:type="auto"/>
            <w:shd w:val="clear" w:color="auto" w:fill="DBDBDB"/>
            <w:tcMar>
              <w:top w:w="40" w:type="dxa"/>
              <w:left w:w="20" w:type="dxa"/>
              <w:bottom w:w="40" w:type="dxa"/>
              <w:right w:w="0" w:type="dxa"/>
            </w:tcMar>
            <w:vAlign w:val="bottom"/>
          </w:tcPr>
          <w:p w14:paraId="185FFC5E"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85FFC5F"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185FFC60"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5FFC61" w14:textId="77777777" w:rsidR="00A91885" w:rsidRDefault="00A91885">
            <w:pPr>
              <w:rPr>
                <w:rFonts w:ascii="宋体"/>
              </w:rPr>
            </w:pPr>
          </w:p>
        </w:tc>
        <w:tc>
          <w:tcPr>
            <w:tcW w:w="0" w:type="auto"/>
            <w:shd w:val="clear" w:color="auto" w:fill="DBDBDB"/>
            <w:tcMar>
              <w:top w:w="40" w:type="dxa"/>
              <w:left w:w="20" w:type="dxa"/>
              <w:bottom w:w="40" w:type="dxa"/>
              <w:right w:w="0" w:type="dxa"/>
            </w:tcMar>
            <w:vAlign w:val="bottom"/>
          </w:tcPr>
          <w:p w14:paraId="185FFC62"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85FFC63" w14:textId="77777777" w:rsidR="00A91885" w:rsidRDefault="009C4196">
            <w:pPr>
              <w:jc w:val="right"/>
              <w:textAlignment w:val="bottom"/>
            </w:pPr>
            <w:r>
              <w:rPr>
                <w:rFonts w:ascii="Arial" w:eastAsia="宋体" w:hAnsi="Arial" w:cs="Arial"/>
                <w:color w:val="000000"/>
                <w:sz w:val="18"/>
                <w:szCs w:val="18"/>
              </w:rPr>
              <w:t>2,453 </w:t>
            </w:r>
          </w:p>
        </w:tc>
        <w:tc>
          <w:tcPr>
            <w:tcW w:w="0" w:type="auto"/>
            <w:shd w:val="clear" w:color="auto" w:fill="DBDBDB"/>
            <w:tcMar>
              <w:top w:w="40" w:type="dxa"/>
              <w:left w:w="0" w:type="dxa"/>
              <w:bottom w:w="40" w:type="dxa"/>
              <w:right w:w="20" w:type="dxa"/>
            </w:tcMar>
            <w:vAlign w:val="bottom"/>
          </w:tcPr>
          <w:p w14:paraId="185FFC64" w14:textId="77777777" w:rsidR="00A91885" w:rsidRDefault="00A91885">
            <w:pPr>
              <w:jc w:val="right"/>
              <w:rPr>
                <w:rFonts w:ascii="宋体"/>
              </w:rPr>
            </w:pPr>
          </w:p>
        </w:tc>
      </w:tr>
      <w:tr w:rsidR="00A91885" w14:paraId="185FFC72" w14:textId="77777777">
        <w:tc>
          <w:tcPr>
            <w:tcW w:w="0" w:type="auto"/>
            <w:gridSpan w:val="3"/>
            <w:shd w:val="clear" w:color="auto" w:fill="FFFFFF"/>
            <w:tcMar>
              <w:top w:w="40" w:type="dxa"/>
              <w:left w:w="20" w:type="dxa"/>
              <w:bottom w:w="40" w:type="dxa"/>
              <w:right w:w="20" w:type="dxa"/>
            </w:tcMar>
            <w:vAlign w:val="bottom"/>
          </w:tcPr>
          <w:p w14:paraId="185FFC66" w14:textId="77777777" w:rsidR="00A91885" w:rsidRDefault="009C4196">
            <w:pPr>
              <w:textAlignment w:val="bottom"/>
            </w:pPr>
            <w:r>
              <w:rPr>
                <w:rFonts w:ascii="Arial" w:eastAsia="宋体" w:hAnsi="Arial" w:cs="Arial"/>
                <w:color w:val="000000"/>
                <w:sz w:val="18"/>
                <w:szCs w:val="18"/>
              </w:rPr>
              <w:t xml:space="preserve">eBay Korea net cash used in discontinued investing activities </w:t>
            </w:r>
          </w:p>
        </w:tc>
        <w:tc>
          <w:tcPr>
            <w:tcW w:w="0" w:type="auto"/>
            <w:gridSpan w:val="2"/>
            <w:shd w:val="clear" w:color="auto" w:fill="FFFFFF"/>
            <w:tcMar>
              <w:top w:w="40" w:type="dxa"/>
              <w:left w:w="20" w:type="dxa"/>
              <w:bottom w:w="40" w:type="dxa"/>
              <w:right w:w="0" w:type="dxa"/>
            </w:tcMar>
            <w:vAlign w:val="bottom"/>
          </w:tcPr>
          <w:p w14:paraId="185FFC67"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C6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C6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C6A" w14:textId="77777777" w:rsidR="00A91885" w:rsidRDefault="009C4196">
            <w:pPr>
              <w:jc w:val="right"/>
              <w:textAlignment w:val="bottom"/>
            </w:pPr>
            <w:r>
              <w:rPr>
                <w:rFonts w:ascii="Arial" w:eastAsia="宋体" w:hAnsi="Arial" w:cs="Arial"/>
                <w:color w:val="000000"/>
                <w:sz w:val="18"/>
                <w:szCs w:val="18"/>
              </w:rPr>
              <w:t>(8)</w:t>
            </w:r>
          </w:p>
        </w:tc>
        <w:tc>
          <w:tcPr>
            <w:tcW w:w="0" w:type="auto"/>
            <w:shd w:val="clear" w:color="auto" w:fill="FFFFFF"/>
            <w:tcMar>
              <w:top w:w="40" w:type="dxa"/>
              <w:left w:w="0" w:type="dxa"/>
              <w:bottom w:w="40" w:type="dxa"/>
              <w:right w:w="20" w:type="dxa"/>
            </w:tcMar>
            <w:vAlign w:val="bottom"/>
          </w:tcPr>
          <w:p w14:paraId="185FFC6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C6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C6D"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C6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C6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C70" w14:textId="77777777" w:rsidR="00A91885" w:rsidRDefault="009C4196">
            <w:pPr>
              <w:jc w:val="right"/>
              <w:textAlignment w:val="bottom"/>
            </w:pPr>
            <w:r>
              <w:rPr>
                <w:rFonts w:ascii="Arial" w:eastAsia="宋体" w:hAnsi="Arial" w:cs="Arial"/>
                <w:color w:val="000000"/>
                <w:sz w:val="18"/>
                <w:szCs w:val="18"/>
              </w:rPr>
              <w:t>(9)</w:t>
            </w:r>
          </w:p>
        </w:tc>
        <w:tc>
          <w:tcPr>
            <w:tcW w:w="0" w:type="auto"/>
            <w:shd w:val="clear" w:color="auto" w:fill="FFFFFF"/>
            <w:tcMar>
              <w:top w:w="40" w:type="dxa"/>
              <w:left w:w="0" w:type="dxa"/>
              <w:bottom w:w="40" w:type="dxa"/>
              <w:right w:w="20" w:type="dxa"/>
            </w:tcMar>
            <w:vAlign w:val="bottom"/>
          </w:tcPr>
          <w:p w14:paraId="185FFC71" w14:textId="77777777" w:rsidR="00A91885" w:rsidRDefault="00A91885">
            <w:pPr>
              <w:jc w:val="right"/>
              <w:rPr>
                <w:rFonts w:ascii="宋体"/>
              </w:rPr>
            </w:pPr>
          </w:p>
        </w:tc>
      </w:tr>
      <w:tr w:rsidR="00A91885" w14:paraId="185FFC7B" w14:textId="77777777">
        <w:trPr>
          <w:hidden/>
        </w:trPr>
        <w:tc>
          <w:tcPr>
            <w:tcW w:w="0" w:type="auto"/>
            <w:gridSpan w:val="3"/>
            <w:shd w:val="clear" w:color="auto" w:fill="auto"/>
            <w:vAlign w:val="bottom"/>
          </w:tcPr>
          <w:p w14:paraId="185FFC73" w14:textId="77777777" w:rsidR="00A91885" w:rsidRDefault="00A91885">
            <w:pPr>
              <w:rPr>
                <w:rFonts w:ascii="宋体"/>
                <w:vanish/>
              </w:rPr>
            </w:pPr>
          </w:p>
        </w:tc>
        <w:tc>
          <w:tcPr>
            <w:tcW w:w="0" w:type="auto"/>
            <w:gridSpan w:val="3"/>
            <w:shd w:val="clear" w:color="auto" w:fill="auto"/>
            <w:vAlign w:val="bottom"/>
          </w:tcPr>
          <w:p w14:paraId="185FFC74" w14:textId="77777777" w:rsidR="00A91885" w:rsidRDefault="00A91885">
            <w:pPr>
              <w:rPr>
                <w:rFonts w:ascii="宋体"/>
                <w:vanish/>
              </w:rPr>
            </w:pPr>
          </w:p>
        </w:tc>
        <w:tc>
          <w:tcPr>
            <w:tcW w:w="0" w:type="auto"/>
            <w:gridSpan w:val="3"/>
            <w:shd w:val="clear" w:color="auto" w:fill="auto"/>
            <w:vAlign w:val="bottom"/>
          </w:tcPr>
          <w:p w14:paraId="185FFC75" w14:textId="77777777" w:rsidR="00A91885" w:rsidRDefault="00A91885">
            <w:pPr>
              <w:rPr>
                <w:rFonts w:ascii="宋体"/>
                <w:vanish/>
              </w:rPr>
            </w:pPr>
          </w:p>
        </w:tc>
        <w:tc>
          <w:tcPr>
            <w:tcW w:w="0" w:type="auto"/>
            <w:gridSpan w:val="3"/>
            <w:shd w:val="clear" w:color="auto" w:fill="auto"/>
            <w:vAlign w:val="bottom"/>
          </w:tcPr>
          <w:p w14:paraId="185FFC76" w14:textId="77777777" w:rsidR="00A91885" w:rsidRDefault="00A91885">
            <w:pPr>
              <w:rPr>
                <w:rFonts w:ascii="宋体"/>
                <w:vanish/>
              </w:rPr>
            </w:pPr>
          </w:p>
        </w:tc>
        <w:tc>
          <w:tcPr>
            <w:tcW w:w="0" w:type="auto"/>
            <w:gridSpan w:val="3"/>
            <w:shd w:val="clear" w:color="auto" w:fill="auto"/>
            <w:vAlign w:val="bottom"/>
          </w:tcPr>
          <w:p w14:paraId="185FFC77" w14:textId="77777777" w:rsidR="00A91885" w:rsidRDefault="00A91885">
            <w:pPr>
              <w:rPr>
                <w:rFonts w:ascii="宋体"/>
                <w:vanish/>
              </w:rPr>
            </w:pPr>
          </w:p>
        </w:tc>
        <w:tc>
          <w:tcPr>
            <w:tcW w:w="0" w:type="auto"/>
            <w:gridSpan w:val="3"/>
            <w:shd w:val="clear" w:color="auto" w:fill="auto"/>
            <w:vAlign w:val="bottom"/>
          </w:tcPr>
          <w:p w14:paraId="185FFC78" w14:textId="77777777" w:rsidR="00A91885" w:rsidRDefault="00A91885">
            <w:pPr>
              <w:rPr>
                <w:rFonts w:ascii="宋体"/>
                <w:vanish/>
              </w:rPr>
            </w:pPr>
          </w:p>
        </w:tc>
        <w:tc>
          <w:tcPr>
            <w:tcW w:w="0" w:type="auto"/>
            <w:gridSpan w:val="3"/>
            <w:shd w:val="clear" w:color="auto" w:fill="auto"/>
            <w:vAlign w:val="bottom"/>
          </w:tcPr>
          <w:p w14:paraId="185FFC79" w14:textId="77777777" w:rsidR="00A91885" w:rsidRDefault="00A91885">
            <w:pPr>
              <w:rPr>
                <w:rFonts w:ascii="宋体"/>
                <w:vanish/>
              </w:rPr>
            </w:pPr>
          </w:p>
        </w:tc>
        <w:tc>
          <w:tcPr>
            <w:tcW w:w="0" w:type="auto"/>
            <w:gridSpan w:val="3"/>
            <w:shd w:val="clear" w:color="auto" w:fill="auto"/>
            <w:vAlign w:val="bottom"/>
          </w:tcPr>
          <w:p w14:paraId="185FFC7A" w14:textId="77777777" w:rsidR="00A91885" w:rsidRDefault="00A91885">
            <w:pPr>
              <w:rPr>
                <w:rFonts w:ascii="宋体"/>
                <w:vanish/>
              </w:rPr>
            </w:pPr>
          </w:p>
        </w:tc>
      </w:tr>
      <w:tr w:rsidR="00A91885" w14:paraId="185FFC8C" w14:textId="77777777">
        <w:tc>
          <w:tcPr>
            <w:tcW w:w="0" w:type="auto"/>
            <w:gridSpan w:val="3"/>
            <w:shd w:val="clear" w:color="auto" w:fill="DBDBDB"/>
            <w:tcMar>
              <w:top w:w="40" w:type="dxa"/>
              <w:left w:w="380" w:type="dxa"/>
              <w:bottom w:w="40" w:type="dxa"/>
              <w:right w:w="20" w:type="dxa"/>
            </w:tcMar>
            <w:vAlign w:val="bottom"/>
          </w:tcPr>
          <w:p w14:paraId="185FFC7C" w14:textId="77777777" w:rsidR="00A91885" w:rsidRDefault="009C4196">
            <w:pPr>
              <w:textAlignment w:val="bottom"/>
            </w:pPr>
            <w:r>
              <w:rPr>
                <w:rFonts w:ascii="Arial" w:eastAsia="宋体" w:hAnsi="Arial" w:cs="Arial"/>
                <w:color w:val="000000"/>
                <w:sz w:val="18"/>
                <w:szCs w:val="18"/>
              </w:rPr>
              <w:t>Net cash provided by (used in) discontinued investing activities</w:t>
            </w:r>
          </w:p>
        </w:tc>
        <w:tc>
          <w:tcPr>
            <w:tcW w:w="0" w:type="auto"/>
            <w:tcBorders>
              <w:top w:val="single" w:sz="8" w:space="0" w:color="000000"/>
            </w:tcBorders>
            <w:shd w:val="clear" w:color="auto" w:fill="DBDBDB"/>
            <w:tcMar>
              <w:top w:w="40" w:type="dxa"/>
              <w:left w:w="20" w:type="dxa"/>
              <w:bottom w:w="40" w:type="dxa"/>
              <w:right w:w="0" w:type="dxa"/>
            </w:tcMar>
            <w:vAlign w:val="bottom"/>
          </w:tcPr>
          <w:p w14:paraId="185FFC7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5FFC7E"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BDBDB"/>
            <w:tcMar>
              <w:top w:w="40" w:type="dxa"/>
              <w:left w:w="0" w:type="dxa"/>
              <w:bottom w:w="40" w:type="dxa"/>
              <w:right w:w="20" w:type="dxa"/>
            </w:tcMar>
            <w:vAlign w:val="bottom"/>
          </w:tcPr>
          <w:p w14:paraId="185FFC7F"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5FFC80"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5FFC8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5FFC82" w14:textId="77777777" w:rsidR="00A91885" w:rsidRDefault="009C4196">
            <w:pPr>
              <w:jc w:val="right"/>
              <w:textAlignment w:val="bottom"/>
            </w:pPr>
            <w:r>
              <w:rPr>
                <w:rFonts w:ascii="Arial" w:eastAsia="宋体" w:hAnsi="Arial" w:cs="Arial"/>
                <w:color w:val="000000"/>
                <w:sz w:val="18"/>
                <w:szCs w:val="18"/>
              </w:rPr>
              <w:t>2,446 </w:t>
            </w:r>
          </w:p>
        </w:tc>
        <w:tc>
          <w:tcPr>
            <w:tcW w:w="0" w:type="auto"/>
            <w:tcBorders>
              <w:top w:val="single" w:sz="8" w:space="0" w:color="000000"/>
            </w:tcBorders>
            <w:shd w:val="clear" w:color="auto" w:fill="DBDBDB"/>
            <w:tcMar>
              <w:top w:w="40" w:type="dxa"/>
              <w:left w:w="0" w:type="dxa"/>
              <w:bottom w:w="40" w:type="dxa"/>
              <w:right w:w="20" w:type="dxa"/>
            </w:tcMar>
            <w:vAlign w:val="bottom"/>
          </w:tcPr>
          <w:p w14:paraId="185FFC83"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5FFC84"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5FFC8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5FFC86"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DBDBDB"/>
            <w:tcMar>
              <w:top w:w="40" w:type="dxa"/>
              <w:left w:w="0" w:type="dxa"/>
              <w:bottom w:w="40" w:type="dxa"/>
              <w:right w:w="20" w:type="dxa"/>
            </w:tcMar>
            <w:vAlign w:val="bottom"/>
          </w:tcPr>
          <w:p w14:paraId="185FFC87"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5FFC88"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5FFC8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5FFC8A" w14:textId="77777777" w:rsidR="00A91885" w:rsidRDefault="009C4196">
            <w:pPr>
              <w:jc w:val="right"/>
              <w:textAlignment w:val="bottom"/>
            </w:pPr>
            <w:r>
              <w:rPr>
                <w:rFonts w:ascii="Arial" w:eastAsia="宋体" w:hAnsi="Arial" w:cs="Arial"/>
                <w:color w:val="000000"/>
                <w:sz w:val="18"/>
                <w:szCs w:val="18"/>
              </w:rPr>
              <w:t>2,444 </w:t>
            </w:r>
          </w:p>
        </w:tc>
        <w:tc>
          <w:tcPr>
            <w:tcW w:w="0" w:type="auto"/>
            <w:tcBorders>
              <w:top w:val="single" w:sz="8" w:space="0" w:color="000000"/>
            </w:tcBorders>
            <w:shd w:val="clear" w:color="auto" w:fill="DBDBDB"/>
            <w:tcMar>
              <w:top w:w="40" w:type="dxa"/>
              <w:left w:w="0" w:type="dxa"/>
              <w:bottom w:w="40" w:type="dxa"/>
              <w:right w:w="20" w:type="dxa"/>
            </w:tcMar>
            <w:vAlign w:val="bottom"/>
          </w:tcPr>
          <w:p w14:paraId="185FFC8B" w14:textId="77777777" w:rsidR="00A91885" w:rsidRDefault="00A91885">
            <w:pPr>
              <w:jc w:val="right"/>
              <w:rPr>
                <w:rFonts w:ascii="宋体"/>
              </w:rPr>
            </w:pPr>
          </w:p>
        </w:tc>
      </w:tr>
      <w:tr w:rsidR="00A91885" w14:paraId="185FFC95" w14:textId="77777777">
        <w:trPr>
          <w:trHeight w:val="180"/>
        </w:trPr>
        <w:tc>
          <w:tcPr>
            <w:tcW w:w="0" w:type="auto"/>
            <w:gridSpan w:val="3"/>
            <w:shd w:val="clear" w:color="auto" w:fill="FFFFFF"/>
            <w:tcMar>
              <w:top w:w="0" w:type="dxa"/>
              <w:left w:w="20" w:type="dxa"/>
              <w:bottom w:w="0" w:type="dxa"/>
              <w:right w:w="20" w:type="dxa"/>
            </w:tcMar>
            <w:vAlign w:val="bottom"/>
          </w:tcPr>
          <w:p w14:paraId="185FFC8D"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C8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C8F"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C90"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C91"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C92"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C93"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5FFC94" w14:textId="77777777" w:rsidR="00A91885" w:rsidRDefault="00A91885">
            <w:pPr>
              <w:rPr>
                <w:rFonts w:ascii="宋体"/>
              </w:rPr>
            </w:pPr>
          </w:p>
        </w:tc>
      </w:tr>
      <w:tr w:rsidR="00A91885" w14:paraId="185FFC9E" w14:textId="77777777">
        <w:trPr>
          <w:hidden/>
        </w:trPr>
        <w:tc>
          <w:tcPr>
            <w:tcW w:w="0" w:type="auto"/>
            <w:gridSpan w:val="3"/>
            <w:shd w:val="clear" w:color="auto" w:fill="auto"/>
            <w:vAlign w:val="bottom"/>
          </w:tcPr>
          <w:p w14:paraId="185FFC96" w14:textId="77777777" w:rsidR="00A91885" w:rsidRDefault="00A91885">
            <w:pPr>
              <w:rPr>
                <w:rFonts w:ascii="宋体"/>
                <w:vanish/>
              </w:rPr>
            </w:pPr>
          </w:p>
        </w:tc>
        <w:tc>
          <w:tcPr>
            <w:tcW w:w="0" w:type="auto"/>
            <w:gridSpan w:val="3"/>
            <w:shd w:val="clear" w:color="auto" w:fill="auto"/>
            <w:vAlign w:val="bottom"/>
          </w:tcPr>
          <w:p w14:paraId="185FFC97" w14:textId="77777777" w:rsidR="00A91885" w:rsidRDefault="00A91885">
            <w:pPr>
              <w:rPr>
                <w:rFonts w:ascii="宋体"/>
                <w:vanish/>
              </w:rPr>
            </w:pPr>
          </w:p>
        </w:tc>
        <w:tc>
          <w:tcPr>
            <w:tcW w:w="0" w:type="auto"/>
            <w:gridSpan w:val="3"/>
            <w:shd w:val="clear" w:color="auto" w:fill="auto"/>
            <w:vAlign w:val="bottom"/>
          </w:tcPr>
          <w:p w14:paraId="185FFC98" w14:textId="77777777" w:rsidR="00A91885" w:rsidRDefault="00A91885">
            <w:pPr>
              <w:rPr>
                <w:rFonts w:ascii="宋体"/>
                <w:vanish/>
              </w:rPr>
            </w:pPr>
          </w:p>
        </w:tc>
        <w:tc>
          <w:tcPr>
            <w:tcW w:w="0" w:type="auto"/>
            <w:gridSpan w:val="3"/>
            <w:shd w:val="clear" w:color="auto" w:fill="auto"/>
            <w:vAlign w:val="bottom"/>
          </w:tcPr>
          <w:p w14:paraId="185FFC99" w14:textId="77777777" w:rsidR="00A91885" w:rsidRDefault="00A91885">
            <w:pPr>
              <w:rPr>
                <w:rFonts w:ascii="宋体"/>
                <w:vanish/>
              </w:rPr>
            </w:pPr>
          </w:p>
        </w:tc>
        <w:tc>
          <w:tcPr>
            <w:tcW w:w="0" w:type="auto"/>
            <w:gridSpan w:val="3"/>
            <w:shd w:val="clear" w:color="auto" w:fill="auto"/>
            <w:vAlign w:val="bottom"/>
          </w:tcPr>
          <w:p w14:paraId="185FFC9A" w14:textId="77777777" w:rsidR="00A91885" w:rsidRDefault="00A91885">
            <w:pPr>
              <w:rPr>
                <w:rFonts w:ascii="宋体"/>
                <w:vanish/>
              </w:rPr>
            </w:pPr>
          </w:p>
        </w:tc>
        <w:tc>
          <w:tcPr>
            <w:tcW w:w="0" w:type="auto"/>
            <w:gridSpan w:val="3"/>
            <w:shd w:val="clear" w:color="auto" w:fill="auto"/>
            <w:vAlign w:val="bottom"/>
          </w:tcPr>
          <w:p w14:paraId="185FFC9B" w14:textId="77777777" w:rsidR="00A91885" w:rsidRDefault="00A91885">
            <w:pPr>
              <w:rPr>
                <w:rFonts w:ascii="宋体"/>
                <w:vanish/>
              </w:rPr>
            </w:pPr>
          </w:p>
        </w:tc>
        <w:tc>
          <w:tcPr>
            <w:tcW w:w="0" w:type="auto"/>
            <w:gridSpan w:val="3"/>
            <w:shd w:val="clear" w:color="auto" w:fill="auto"/>
            <w:vAlign w:val="bottom"/>
          </w:tcPr>
          <w:p w14:paraId="185FFC9C" w14:textId="77777777" w:rsidR="00A91885" w:rsidRDefault="00A91885">
            <w:pPr>
              <w:rPr>
                <w:rFonts w:ascii="宋体"/>
                <w:vanish/>
              </w:rPr>
            </w:pPr>
          </w:p>
        </w:tc>
        <w:tc>
          <w:tcPr>
            <w:tcW w:w="0" w:type="auto"/>
            <w:gridSpan w:val="3"/>
            <w:shd w:val="clear" w:color="auto" w:fill="auto"/>
            <w:vAlign w:val="bottom"/>
          </w:tcPr>
          <w:p w14:paraId="185FFC9D" w14:textId="77777777" w:rsidR="00A91885" w:rsidRDefault="00A91885">
            <w:pPr>
              <w:rPr>
                <w:rFonts w:ascii="宋体"/>
                <w:vanish/>
              </w:rPr>
            </w:pPr>
          </w:p>
        </w:tc>
      </w:tr>
      <w:tr w:rsidR="00A91885" w14:paraId="185FFCAF" w14:textId="77777777">
        <w:tc>
          <w:tcPr>
            <w:tcW w:w="0" w:type="auto"/>
            <w:gridSpan w:val="3"/>
            <w:shd w:val="clear" w:color="auto" w:fill="DBDBDB"/>
            <w:tcMar>
              <w:top w:w="40" w:type="dxa"/>
              <w:left w:w="20" w:type="dxa"/>
              <w:bottom w:w="40" w:type="dxa"/>
              <w:right w:w="20" w:type="dxa"/>
            </w:tcMar>
            <w:vAlign w:val="bottom"/>
          </w:tcPr>
          <w:p w14:paraId="185FFC9F" w14:textId="77777777" w:rsidR="00A91885" w:rsidRDefault="009C4196">
            <w:pPr>
              <w:ind w:hanging="180"/>
              <w:textAlignment w:val="bottom"/>
            </w:pPr>
            <w:r>
              <w:rPr>
                <w:rFonts w:ascii="Arial" w:eastAsia="宋体" w:hAnsi="Arial" w:cs="Arial"/>
                <w:color w:val="000000"/>
                <w:sz w:val="18"/>
                <w:szCs w:val="18"/>
              </w:rPr>
              <w:t xml:space="preserve">eBay Korea net cash provided by (used in) discontinued financing activities </w:t>
            </w:r>
          </w:p>
        </w:tc>
        <w:tc>
          <w:tcPr>
            <w:tcW w:w="0" w:type="auto"/>
            <w:shd w:val="clear" w:color="auto" w:fill="DBDBDB"/>
            <w:tcMar>
              <w:top w:w="40" w:type="dxa"/>
              <w:left w:w="20" w:type="dxa"/>
              <w:bottom w:w="40" w:type="dxa"/>
              <w:right w:w="0" w:type="dxa"/>
            </w:tcMar>
            <w:vAlign w:val="bottom"/>
          </w:tcPr>
          <w:p w14:paraId="185FFCA0"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85FFCA1"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185FFCA2"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5FFCA3" w14:textId="77777777" w:rsidR="00A91885" w:rsidRDefault="00A91885">
            <w:pPr>
              <w:rPr>
                <w:rFonts w:ascii="宋体"/>
              </w:rPr>
            </w:pPr>
          </w:p>
        </w:tc>
        <w:tc>
          <w:tcPr>
            <w:tcW w:w="0" w:type="auto"/>
            <w:shd w:val="clear" w:color="auto" w:fill="DBDBDB"/>
            <w:tcMar>
              <w:top w:w="40" w:type="dxa"/>
              <w:left w:w="20" w:type="dxa"/>
              <w:bottom w:w="40" w:type="dxa"/>
              <w:right w:w="0" w:type="dxa"/>
            </w:tcMar>
            <w:vAlign w:val="bottom"/>
          </w:tcPr>
          <w:p w14:paraId="185FFCA4"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85FFCA5" w14:textId="77777777" w:rsidR="00A91885" w:rsidRDefault="009C4196">
            <w:pPr>
              <w:jc w:val="right"/>
              <w:textAlignment w:val="bottom"/>
            </w:pPr>
            <w:r>
              <w:rPr>
                <w:rFonts w:ascii="Arial" w:eastAsia="宋体" w:hAnsi="Arial" w:cs="Arial"/>
                <w:color w:val="000000"/>
                <w:sz w:val="18"/>
                <w:szCs w:val="18"/>
              </w:rPr>
              <w:t>6 </w:t>
            </w:r>
          </w:p>
        </w:tc>
        <w:tc>
          <w:tcPr>
            <w:tcW w:w="0" w:type="auto"/>
            <w:shd w:val="clear" w:color="auto" w:fill="DBDBDB"/>
            <w:tcMar>
              <w:top w:w="40" w:type="dxa"/>
              <w:left w:w="0" w:type="dxa"/>
              <w:bottom w:w="40" w:type="dxa"/>
              <w:right w:w="20" w:type="dxa"/>
            </w:tcMar>
            <w:vAlign w:val="bottom"/>
          </w:tcPr>
          <w:p w14:paraId="185FFCA6"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5FFCA7" w14:textId="77777777" w:rsidR="00A91885" w:rsidRDefault="00A91885">
            <w:pPr>
              <w:rPr>
                <w:rFonts w:ascii="宋体"/>
              </w:rPr>
            </w:pPr>
          </w:p>
        </w:tc>
        <w:tc>
          <w:tcPr>
            <w:tcW w:w="0" w:type="auto"/>
            <w:shd w:val="clear" w:color="auto" w:fill="DBDBDB"/>
            <w:tcMar>
              <w:top w:w="40" w:type="dxa"/>
              <w:left w:w="20" w:type="dxa"/>
              <w:bottom w:w="40" w:type="dxa"/>
              <w:right w:w="0" w:type="dxa"/>
            </w:tcMar>
            <w:vAlign w:val="bottom"/>
          </w:tcPr>
          <w:p w14:paraId="185FFCA8"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85FFCA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185FFCAA"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5FFCAB" w14:textId="77777777" w:rsidR="00A91885" w:rsidRDefault="00A91885">
            <w:pPr>
              <w:rPr>
                <w:rFonts w:ascii="宋体"/>
              </w:rPr>
            </w:pPr>
          </w:p>
        </w:tc>
        <w:tc>
          <w:tcPr>
            <w:tcW w:w="0" w:type="auto"/>
            <w:shd w:val="clear" w:color="auto" w:fill="DBDBDB"/>
            <w:tcMar>
              <w:top w:w="40" w:type="dxa"/>
              <w:left w:w="20" w:type="dxa"/>
              <w:bottom w:w="40" w:type="dxa"/>
              <w:right w:w="0" w:type="dxa"/>
            </w:tcMar>
            <w:vAlign w:val="bottom"/>
          </w:tcPr>
          <w:p w14:paraId="185FFCAC"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85FFCAD" w14:textId="77777777" w:rsidR="00A91885" w:rsidRDefault="009C4196">
            <w:pPr>
              <w:jc w:val="right"/>
              <w:textAlignment w:val="bottom"/>
            </w:pPr>
            <w:r>
              <w:rPr>
                <w:rFonts w:ascii="Arial" w:eastAsia="宋体" w:hAnsi="Arial" w:cs="Arial"/>
                <w:color w:val="000000"/>
                <w:sz w:val="18"/>
                <w:szCs w:val="18"/>
              </w:rPr>
              <w:t>(62)</w:t>
            </w:r>
          </w:p>
        </w:tc>
        <w:tc>
          <w:tcPr>
            <w:tcW w:w="0" w:type="auto"/>
            <w:shd w:val="clear" w:color="auto" w:fill="DBDBDB"/>
            <w:tcMar>
              <w:top w:w="40" w:type="dxa"/>
              <w:left w:w="0" w:type="dxa"/>
              <w:bottom w:w="40" w:type="dxa"/>
              <w:right w:w="20" w:type="dxa"/>
            </w:tcMar>
            <w:vAlign w:val="bottom"/>
          </w:tcPr>
          <w:p w14:paraId="185FFCAE" w14:textId="77777777" w:rsidR="00A91885" w:rsidRDefault="00A91885">
            <w:pPr>
              <w:jc w:val="right"/>
              <w:rPr>
                <w:rFonts w:ascii="宋体"/>
              </w:rPr>
            </w:pPr>
          </w:p>
        </w:tc>
      </w:tr>
      <w:tr w:rsidR="00A91885" w14:paraId="185FFCC0" w14:textId="77777777">
        <w:tc>
          <w:tcPr>
            <w:tcW w:w="0" w:type="auto"/>
            <w:gridSpan w:val="3"/>
            <w:shd w:val="clear" w:color="auto" w:fill="FFFFFF"/>
            <w:tcMar>
              <w:top w:w="40" w:type="dxa"/>
              <w:left w:w="380" w:type="dxa"/>
              <w:bottom w:w="40" w:type="dxa"/>
              <w:right w:w="20" w:type="dxa"/>
            </w:tcMar>
            <w:vAlign w:val="bottom"/>
          </w:tcPr>
          <w:p w14:paraId="185FFCB0" w14:textId="77777777" w:rsidR="00A91885" w:rsidRDefault="009C4196">
            <w:pPr>
              <w:textAlignment w:val="bottom"/>
            </w:pPr>
            <w:r>
              <w:rPr>
                <w:rFonts w:ascii="Arial" w:eastAsia="宋体" w:hAnsi="Arial" w:cs="Arial"/>
                <w:color w:val="000000"/>
                <w:sz w:val="18"/>
                <w:szCs w:val="18"/>
              </w:rPr>
              <w:t>Net cash provided by (used in) discontinued financing activities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5FFCB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5FFCB2"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5FFCB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CB4"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5FFCB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5FFCB6" w14:textId="77777777" w:rsidR="00A91885" w:rsidRDefault="009C4196">
            <w:pPr>
              <w:jc w:val="right"/>
              <w:textAlignment w:val="bottom"/>
            </w:pPr>
            <w:r>
              <w:rPr>
                <w:rFonts w:ascii="Arial" w:eastAsia="宋体" w:hAnsi="Arial" w:cs="Arial"/>
                <w:color w:val="000000"/>
                <w:sz w:val="18"/>
                <w:szCs w:val="18"/>
              </w:rPr>
              <w:t>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5FFCB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CB8"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5FFCB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5FFCBA"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5FFCB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CBC"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5FFCB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5FFCBE" w14:textId="77777777" w:rsidR="00A91885" w:rsidRDefault="009C4196">
            <w:pPr>
              <w:jc w:val="right"/>
              <w:textAlignment w:val="bottom"/>
            </w:pPr>
            <w:r>
              <w:rPr>
                <w:rFonts w:ascii="Arial" w:eastAsia="宋体" w:hAnsi="Arial" w:cs="Arial"/>
                <w:color w:val="000000"/>
                <w:sz w:val="18"/>
                <w:szCs w:val="18"/>
              </w:rPr>
              <w:t>(62)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5FFCBF" w14:textId="77777777" w:rsidR="00A91885" w:rsidRDefault="00A91885">
            <w:pPr>
              <w:jc w:val="right"/>
              <w:rPr>
                <w:rFonts w:ascii="宋体"/>
              </w:rPr>
            </w:pPr>
          </w:p>
        </w:tc>
      </w:tr>
    </w:tbl>
    <w:p w14:paraId="185FFCC1" w14:textId="77777777" w:rsidR="00A91885" w:rsidRDefault="009C4196">
      <w:pPr>
        <w:spacing w:after="60"/>
        <w:ind w:hanging="180"/>
        <w:jc w:val="both"/>
      </w:pPr>
      <w:r>
        <w:rPr>
          <w:rFonts w:ascii="Arial" w:eastAsia="宋体" w:hAnsi="Arial" w:cs="Arial"/>
          <w:color w:val="000000"/>
          <w:sz w:val="13"/>
          <w:szCs w:val="13"/>
        </w:rPr>
        <w:t>(1)</w:t>
      </w:r>
      <w:r>
        <w:rPr>
          <w:rFonts w:ascii="Arial" w:eastAsia="宋体" w:hAnsi="Arial" w:cs="Arial"/>
          <w:color w:val="000000"/>
          <w:sz w:val="16"/>
          <w:szCs w:val="16"/>
        </w:rPr>
        <w:t xml:space="preserve"> Includes Classifieds financial results through the transaction close on June 24, 2021 and includes the</w:t>
      </w:r>
      <w:r>
        <w:rPr>
          <w:rFonts w:ascii="Arial" w:eastAsia="宋体" w:hAnsi="Arial" w:cs="Arial"/>
          <w:color w:val="000000"/>
          <w:sz w:val="16"/>
          <w:szCs w:val="16"/>
        </w:rPr>
        <w:t xml:space="preserve"> gain on sale recorded for the Classifieds transaction.</w:t>
      </w:r>
    </w:p>
    <w:p w14:paraId="185FFCC2" w14:textId="77777777" w:rsidR="00A91885" w:rsidRDefault="00A91885">
      <w:pPr>
        <w:ind w:firstLine="540"/>
        <w:jc w:val="both"/>
      </w:pPr>
    </w:p>
    <w:p w14:paraId="185FFCC3" w14:textId="77777777" w:rsidR="00A91885" w:rsidRDefault="009C4196">
      <w:pPr>
        <w:ind w:firstLine="540"/>
        <w:jc w:val="both"/>
      </w:pPr>
      <w:r>
        <w:rPr>
          <w:rFonts w:ascii="Arial" w:eastAsia="宋体" w:hAnsi="Arial" w:cs="Arial"/>
          <w:color w:val="000000"/>
          <w:sz w:val="20"/>
          <w:szCs w:val="20"/>
        </w:rPr>
        <w:t>During the three and six months ended June 30, 2022, we paid income taxes of $348 million related to discontinued operating activities of eBay Korea.</w:t>
      </w:r>
    </w:p>
    <w:p w14:paraId="185FFCC4" w14:textId="77777777" w:rsidR="00A91885" w:rsidRDefault="00A91885">
      <w:pPr>
        <w:ind w:hanging="180"/>
        <w:jc w:val="both"/>
      </w:pPr>
    </w:p>
    <w:p w14:paraId="185FFCC5" w14:textId="77777777" w:rsidR="00A91885" w:rsidRDefault="009C4196">
      <w:pPr>
        <w:ind w:firstLine="270"/>
      </w:pPr>
      <w:r>
        <w:rPr>
          <w:rFonts w:ascii="Arial" w:eastAsia="宋体" w:hAnsi="Arial" w:cs="Arial"/>
          <w:b/>
          <w:bCs/>
          <w:i/>
          <w:iCs/>
          <w:color w:val="000000"/>
          <w:sz w:val="20"/>
          <w:szCs w:val="20"/>
        </w:rPr>
        <w:t>Classifieds</w:t>
      </w:r>
    </w:p>
    <w:p w14:paraId="185FFCC6" w14:textId="77777777" w:rsidR="00A91885" w:rsidRDefault="00A91885">
      <w:pPr>
        <w:ind w:firstLine="270"/>
        <w:jc w:val="both"/>
      </w:pPr>
    </w:p>
    <w:p w14:paraId="185FFCC7" w14:textId="77777777" w:rsidR="00A91885" w:rsidRDefault="009C4196">
      <w:pPr>
        <w:ind w:firstLine="540"/>
        <w:jc w:val="both"/>
      </w:pPr>
      <w:r>
        <w:rPr>
          <w:rFonts w:ascii="Arial" w:eastAsia="宋体" w:hAnsi="Arial" w:cs="Arial"/>
          <w:color w:val="000000"/>
          <w:sz w:val="20"/>
          <w:szCs w:val="20"/>
        </w:rPr>
        <w:t>The financial results of Classified</w:t>
      </w:r>
      <w:r>
        <w:rPr>
          <w:rFonts w:ascii="Arial" w:eastAsia="宋体" w:hAnsi="Arial" w:cs="Arial"/>
          <w:color w:val="000000"/>
          <w:sz w:val="20"/>
          <w:szCs w:val="20"/>
        </w:rPr>
        <w:t>s were presented as income (loss) from discontinued operations, net of income taxes on our condensed consolidated statement of income through June 24, 2021, when the transfer of Classifieds was completed. The periods presented below include the impact of i</w:t>
      </w:r>
      <w:r>
        <w:rPr>
          <w:rFonts w:ascii="Arial" w:eastAsia="宋体" w:hAnsi="Arial" w:cs="Arial"/>
          <w:color w:val="000000"/>
          <w:sz w:val="20"/>
          <w:szCs w:val="20"/>
        </w:rPr>
        <w:t xml:space="preserve">ntercompany revenue agreements through June 24, 2021. The impact of these intercompany revenue agreements to net revenues and cost of net revenues was $3 million and $5 million for the three and six months ended June 30, 2021, respectively. The continuing </w:t>
      </w:r>
      <w:r>
        <w:rPr>
          <w:rFonts w:ascii="Arial" w:eastAsia="宋体" w:hAnsi="Arial" w:cs="Arial"/>
          <w:color w:val="000000"/>
          <w:sz w:val="20"/>
          <w:szCs w:val="20"/>
        </w:rPr>
        <w:t xml:space="preserve">revenue and cash flows are not considered to be material. </w:t>
      </w:r>
    </w:p>
    <w:p w14:paraId="185FFCC8" w14:textId="77777777" w:rsidR="00A91885" w:rsidRDefault="00A91885">
      <w:pPr>
        <w:ind w:firstLine="540"/>
        <w:jc w:val="both"/>
      </w:pPr>
    </w:p>
    <w:p w14:paraId="185FFCC9" w14:textId="77777777" w:rsidR="00A91885" w:rsidRDefault="009C4196">
      <w:pPr>
        <w:spacing w:after="120"/>
        <w:ind w:firstLine="540"/>
        <w:jc w:val="both"/>
      </w:pPr>
      <w:r>
        <w:rPr>
          <w:rFonts w:ascii="Arial" w:eastAsia="宋体" w:hAnsi="Arial" w:cs="Arial"/>
          <w:color w:val="000000"/>
          <w:sz w:val="20"/>
          <w:szCs w:val="20"/>
        </w:rPr>
        <w:t>The following table presents the financial results of Classifieds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426"/>
        <w:gridCol w:w="39"/>
        <w:gridCol w:w="122"/>
        <w:gridCol w:w="718"/>
        <w:gridCol w:w="37"/>
        <w:gridCol w:w="36"/>
        <w:gridCol w:w="36"/>
        <w:gridCol w:w="36"/>
        <w:gridCol w:w="121"/>
        <w:gridCol w:w="719"/>
        <w:gridCol w:w="36"/>
        <w:gridCol w:w="36"/>
        <w:gridCol w:w="36"/>
        <w:gridCol w:w="36"/>
        <w:gridCol w:w="122"/>
        <w:gridCol w:w="719"/>
        <w:gridCol w:w="37"/>
        <w:gridCol w:w="36"/>
        <w:gridCol w:w="36"/>
        <w:gridCol w:w="36"/>
        <w:gridCol w:w="121"/>
        <w:gridCol w:w="719"/>
        <w:gridCol w:w="36"/>
      </w:tblGrid>
      <w:tr w:rsidR="00A91885" w14:paraId="185FFCE2" w14:textId="77777777">
        <w:tc>
          <w:tcPr>
            <w:tcW w:w="50" w:type="pct"/>
            <w:shd w:val="clear" w:color="auto" w:fill="auto"/>
            <w:vAlign w:val="bottom"/>
          </w:tcPr>
          <w:p w14:paraId="185FFCCA" w14:textId="77777777" w:rsidR="00A91885" w:rsidRDefault="00A91885">
            <w:pPr>
              <w:rPr>
                <w:rFonts w:ascii="宋体"/>
              </w:rPr>
            </w:pPr>
          </w:p>
        </w:tc>
        <w:tc>
          <w:tcPr>
            <w:tcW w:w="2722" w:type="pct"/>
            <w:shd w:val="clear" w:color="auto" w:fill="auto"/>
            <w:vAlign w:val="bottom"/>
          </w:tcPr>
          <w:p w14:paraId="185FFCCB" w14:textId="77777777" w:rsidR="00A91885" w:rsidRDefault="00A91885">
            <w:pPr>
              <w:rPr>
                <w:rFonts w:ascii="宋体"/>
              </w:rPr>
            </w:pPr>
          </w:p>
        </w:tc>
        <w:tc>
          <w:tcPr>
            <w:tcW w:w="5" w:type="pct"/>
            <w:shd w:val="clear" w:color="auto" w:fill="auto"/>
            <w:vAlign w:val="bottom"/>
          </w:tcPr>
          <w:p w14:paraId="185FFCCC" w14:textId="77777777" w:rsidR="00A91885" w:rsidRDefault="00A91885">
            <w:pPr>
              <w:rPr>
                <w:rFonts w:ascii="宋体"/>
              </w:rPr>
            </w:pPr>
          </w:p>
        </w:tc>
        <w:tc>
          <w:tcPr>
            <w:tcW w:w="50" w:type="pct"/>
            <w:shd w:val="clear" w:color="auto" w:fill="auto"/>
            <w:vAlign w:val="bottom"/>
          </w:tcPr>
          <w:p w14:paraId="185FFCCD" w14:textId="77777777" w:rsidR="00A91885" w:rsidRDefault="00A91885">
            <w:pPr>
              <w:rPr>
                <w:rFonts w:ascii="宋体"/>
              </w:rPr>
            </w:pPr>
          </w:p>
        </w:tc>
        <w:tc>
          <w:tcPr>
            <w:tcW w:w="478" w:type="pct"/>
            <w:shd w:val="clear" w:color="auto" w:fill="auto"/>
            <w:vAlign w:val="bottom"/>
          </w:tcPr>
          <w:p w14:paraId="185FFCCE" w14:textId="77777777" w:rsidR="00A91885" w:rsidRDefault="00A91885">
            <w:pPr>
              <w:rPr>
                <w:rFonts w:ascii="宋体"/>
              </w:rPr>
            </w:pPr>
          </w:p>
        </w:tc>
        <w:tc>
          <w:tcPr>
            <w:tcW w:w="5" w:type="pct"/>
            <w:shd w:val="clear" w:color="auto" w:fill="auto"/>
            <w:vAlign w:val="bottom"/>
          </w:tcPr>
          <w:p w14:paraId="185FFCCF" w14:textId="77777777" w:rsidR="00A91885" w:rsidRDefault="00A91885">
            <w:pPr>
              <w:rPr>
                <w:rFonts w:ascii="宋体"/>
              </w:rPr>
            </w:pPr>
          </w:p>
        </w:tc>
        <w:tc>
          <w:tcPr>
            <w:tcW w:w="5" w:type="pct"/>
            <w:shd w:val="clear" w:color="auto" w:fill="auto"/>
            <w:vAlign w:val="bottom"/>
          </w:tcPr>
          <w:p w14:paraId="185FFCD0" w14:textId="77777777" w:rsidR="00A91885" w:rsidRDefault="00A91885">
            <w:pPr>
              <w:rPr>
                <w:rFonts w:ascii="宋体"/>
              </w:rPr>
            </w:pPr>
          </w:p>
        </w:tc>
        <w:tc>
          <w:tcPr>
            <w:tcW w:w="19" w:type="pct"/>
            <w:shd w:val="clear" w:color="auto" w:fill="auto"/>
            <w:vAlign w:val="bottom"/>
          </w:tcPr>
          <w:p w14:paraId="185FFCD1" w14:textId="77777777" w:rsidR="00A91885" w:rsidRDefault="00A91885">
            <w:pPr>
              <w:rPr>
                <w:rFonts w:ascii="宋体"/>
              </w:rPr>
            </w:pPr>
          </w:p>
        </w:tc>
        <w:tc>
          <w:tcPr>
            <w:tcW w:w="5" w:type="pct"/>
            <w:shd w:val="clear" w:color="auto" w:fill="auto"/>
            <w:vAlign w:val="bottom"/>
          </w:tcPr>
          <w:p w14:paraId="185FFCD2" w14:textId="77777777" w:rsidR="00A91885" w:rsidRDefault="00A91885">
            <w:pPr>
              <w:rPr>
                <w:rFonts w:ascii="宋体"/>
              </w:rPr>
            </w:pPr>
          </w:p>
        </w:tc>
        <w:tc>
          <w:tcPr>
            <w:tcW w:w="50" w:type="pct"/>
            <w:shd w:val="clear" w:color="auto" w:fill="auto"/>
            <w:vAlign w:val="bottom"/>
          </w:tcPr>
          <w:p w14:paraId="185FFCD3" w14:textId="77777777" w:rsidR="00A91885" w:rsidRDefault="00A91885">
            <w:pPr>
              <w:rPr>
                <w:rFonts w:ascii="宋体"/>
              </w:rPr>
            </w:pPr>
          </w:p>
        </w:tc>
        <w:tc>
          <w:tcPr>
            <w:tcW w:w="478" w:type="pct"/>
            <w:shd w:val="clear" w:color="auto" w:fill="auto"/>
            <w:vAlign w:val="bottom"/>
          </w:tcPr>
          <w:p w14:paraId="185FFCD4" w14:textId="77777777" w:rsidR="00A91885" w:rsidRDefault="00A91885">
            <w:pPr>
              <w:rPr>
                <w:rFonts w:ascii="宋体"/>
              </w:rPr>
            </w:pPr>
          </w:p>
        </w:tc>
        <w:tc>
          <w:tcPr>
            <w:tcW w:w="5" w:type="pct"/>
            <w:shd w:val="clear" w:color="auto" w:fill="auto"/>
            <w:vAlign w:val="bottom"/>
          </w:tcPr>
          <w:p w14:paraId="185FFCD5" w14:textId="77777777" w:rsidR="00A91885" w:rsidRDefault="00A91885">
            <w:pPr>
              <w:rPr>
                <w:rFonts w:ascii="宋体"/>
              </w:rPr>
            </w:pPr>
          </w:p>
        </w:tc>
        <w:tc>
          <w:tcPr>
            <w:tcW w:w="5" w:type="pct"/>
            <w:shd w:val="clear" w:color="auto" w:fill="auto"/>
            <w:vAlign w:val="bottom"/>
          </w:tcPr>
          <w:p w14:paraId="185FFCD6" w14:textId="77777777" w:rsidR="00A91885" w:rsidRDefault="00A91885">
            <w:pPr>
              <w:rPr>
                <w:rFonts w:ascii="宋体"/>
              </w:rPr>
            </w:pPr>
          </w:p>
        </w:tc>
        <w:tc>
          <w:tcPr>
            <w:tcW w:w="19" w:type="pct"/>
            <w:shd w:val="clear" w:color="auto" w:fill="auto"/>
            <w:vAlign w:val="bottom"/>
          </w:tcPr>
          <w:p w14:paraId="185FFCD7" w14:textId="77777777" w:rsidR="00A91885" w:rsidRDefault="00A91885">
            <w:pPr>
              <w:rPr>
                <w:rFonts w:ascii="宋体"/>
              </w:rPr>
            </w:pPr>
          </w:p>
        </w:tc>
        <w:tc>
          <w:tcPr>
            <w:tcW w:w="5" w:type="pct"/>
            <w:shd w:val="clear" w:color="auto" w:fill="auto"/>
            <w:vAlign w:val="bottom"/>
          </w:tcPr>
          <w:p w14:paraId="185FFCD8" w14:textId="77777777" w:rsidR="00A91885" w:rsidRDefault="00A91885">
            <w:pPr>
              <w:rPr>
                <w:rFonts w:ascii="宋体"/>
              </w:rPr>
            </w:pPr>
          </w:p>
        </w:tc>
        <w:tc>
          <w:tcPr>
            <w:tcW w:w="50" w:type="pct"/>
            <w:shd w:val="clear" w:color="auto" w:fill="auto"/>
            <w:vAlign w:val="bottom"/>
          </w:tcPr>
          <w:p w14:paraId="185FFCD9" w14:textId="77777777" w:rsidR="00A91885" w:rsidRDefault="00A91885">
            <w:pPr>
              <w:rPr>
                <w:rFonts w:ascii="宋体"/>
              </w:rPr>
            </w:pPr>
          </w:p>
        </w:tc>
        <w:tc>
          <w:tcPr>
            <w:tcW w:w="478" w:type="pct"/>
            <w:shd w:val="clear" w:color="auto" w:fill="auto"/>
            <w:vAlign w:val="bottom"/>
          </w:tcPr>
          <w:p w14:paraId="185FFCDA" w14:textId="77777777" w:rsidR="00A91885" w:rsidRDefault="00A91885">
            <w:pPr>
              <w:rPr>
                <w:rFonts w:ascii="宋体"/>
              </w:rPr>
            </w:pPr>
          </w:p>
        </w:tc>
        <w:tc>
          <w:tcPr>
            <w:tcW w:w="5" w:type="pct"/>
            <w:shd w:val="clear" w:color="auto" w:fill="auto"/>
            <w:vAlign w:val="bottom"/>
          </w:tcPr>
          <w:p w14:paraId="185FFCDB" w14:textId="77777777" w:rsidR="00A91885" w:rsidRDefault="00A91885">
            <w:pPr>
              <w:rPr>
                <w:rFonts w:ascii="宋体"/>
              </w:rPr>
            </w:pPr>
          </w:p>
        </w:tc>
        <w:tc>
          <w:tcPr>
            <w:tcW w:w="5" w:type="pct"/>
            <w:shd w:val="clear" w:color="auto" w:fill="auto"/>
            <w:vAlign w:val="bottom"/>
          </w:tcPr>
          <w:p w14:paraId="185FFCDC" w14:textId="77777777" w:rsidR="00A91885" w:rsidRDefault="00A91885">
            <w:pPr>
              <w:rPr>
                <w:rFonts w:ascii="宋体"/>
              </w:rPr>
            </w:pPr>
          </w:p>
        </w:tc>
        <w:tc>
          <w:tcPr>
            <w:tcW w:w="19" w:type="pct"/>
            <w:shd w:val="clear" w:color="auto" w:fill="auto"/>
            <w:vAlign w:val="bottom"/>
          </w:tcPr>
          <w:p w14:paraId="185FFCDD" w14:textId="77777777" w:rsidR="00A91885" w:rsidRDefault="00A91885">
            <w:pPr>
              <w:rPr>
                <w:rFonts w:ascii="宋体"/>
              </w:rPr>
            </w:pPr>
          </w:p>
        </w:tc>
        <w:tc>
          <w:tcPr>
            <w:tcW w:w="5" w:type="pct"/>
            <w:shd w:val="clear" w:color="auto" w:fill="auto"/>
            <w:vAlign w:val="bottom"/>
          </w:tcPr>
          <w:p w14:paraId="185FFCDE" w14:textId="77777777" w:rsidR="00A91885" w:rsidRDefault="00A91885">
            <w:pPr>
              <w:rPr>
                <w:rFonts w:ascii="宋体"/>
              </w:rPr>
            </w:pPr>
          </w:p>
        </w:tc>
        <w:tc>
          <w:tcPr>
            <w:tcW w:w="50" w:type="pct"/>
            <w:shd w:val="clear" w:color="auto" w:fill="auto"/>
            <w:vAlign w:val="bottom"/>
          </w:tcPr>
          <w:p w14:paraId="185FFCDF" w14:textId="77777777" w:rsidR="00A91885" w:rsidRDefault="00A91885">
            <w:pPr>
              <w:rPr>
                <w:rFonts w:ascii="宋体"/>
              </w:rPr>
            </w:pPr>
          </w:p>
        </w:tc>
        <w:tc>
          <w:tcPr>
            <w:tcW w:w="478" w:type="pct"/>
            <w:shd w:val="clear" w:color="auto" w:fill="auto"/>
            <w:vAlign w:val="bottom"/>
          </w:tcPr>
          <w:p w14:paraId="185FFCE0" w14:textId="77777777" w:rsidR="00A91885" w:rsidRDefault="00A91885">
            <w:pPr>
              <w:rPr>
                <w:rFonts w:ascii="宋体"/>
              </w:rPr>
            </w:pPr>
          </w:p>
        </w:tc>
        <w:tc>
          <w:tcPr>
            <w:tcW w:w="5" w:type="pct"/>
            <w:shd w:val="clear" w:color="auto" w:fill="auto"/>
            <w:vAlign w:val="bottom"/>
          </w:tcPr>
          <w:p w14:paraId="185FFCE1" w14:textId="77777777" w:rsidR="00A91885" w:rsidRDefault="00A91885">
            <w:pPr>
              <w:rPr>
                <w:rFonts w:ascii="宋体"/>
              </w:rPr>
            </w:pPr>
          </w:p>
        </w:tc>
      </w:tr>
      <w:tr w:rsidR="00A91885" w14:paraId="185FFCE7" w14:textId="77777777">
        <w:tc>
          <w:tcPr>
            <w:tcW w:w="0" w:type="auto"/>
            <w:gridSpan w:val="3"/>
            <w:shd w:val="clear" w:color="auto" w:fill="auto"/>
            <w:tcMar>
              <w:top w:w="40" w:type="dxa"/>
              <w:left w:w="20" w:type="dxa"/>
              <w:bottom w:w="40" w:type="dxa"/>
              <w:right w:w="20" w:type="dxa"/>
            </w:tcMar>
            <w:vAlign w:val="bottom"/>
          </w:tcPr>
          <w:p w14:paraId="185FFCE3" w14:textId="77777777" w:rsidR="00A91885" w:rsidRDefault="009C4196">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185FFCE4"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5FFCE5"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5FFCE6"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5FFCF0" w14:textId="77777777">
        <w:tc>
          <w:tcPr>
            <w:tcW w:w="0" w:type="auto"/>
            <w:gridSpan w:val="3"/>
            <w:shd w:val="clear" w:color="auto" w:fill="auto"/>
            <w:tcMar>
              <w:top w:w="40" w:type="dxa"/>
              <w:left w:w="20" w:type="dxa"/>
              <w:bottom w:w="40" w:type="dxa"/>
              <w:right w:w="20" w:type="dxa"/>
            </w:tcMar>
            <w:vAlign w:val="bottom"/>
          </w:tcPr>
          <w:p w14:paraId="185FFCE8" w14:textId="77777777" w:rsidR="00A91885" w:rsidRDefault="009C4196">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CE9"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CEA"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CEB" w14:textId="77777777" w:rsidR="00A91885" w:rsidRDefault="009C4196">
            <w:pPr>
              <w:jc w:val="center"/>
              <w:textAlignment w:val="bottom"/>
            </w:pPr>
            <w:r>
              <w:rPr>
                <w:rFonts w:ascii="Arial" w:eastAsia="宋体" w:hAnsi="Arial" w:cs="Arial"/>
                <w:b/>
                <w:bCs/>
                <w:color w:val="000000"/>
                <w:sz w:val="17"/>
                <w:szCs w:val="17"/>
              </w:rPr>
              <w:t xml:space="preserve">2021 </w:t>
            </w:r>
            <w:r>
              <w:rPr>
                <w:rFonts w:ascii="Arial" w:eastAsia="宋体" w:hAnsi="Arial" w:cs="Arial"/>
                <w:b/>
                <w:bCs/>
                <w:color w:val="000000"/>
                <w:sz w:val="11"/>
                <w:szCs w:val="11"/>
              </w:rPr>
              <w:t>(1)</w:t>
            </w:r>
          </w:p>
        </w:tc>
        <w:tc>
          <w:tcPr>
            <w:tcW w:w="0" w:type="auto"/>
            <w:gridSpan w:val="3"/>
            <w:shd w:val="clear" w:color="auto" w:fill="auto"/>
            <w:tcMar>
              <w:top w:w="0" w:type="dxa"/>
              <w:left w:w="20" w:type="dxa"/>
              <w:bottom w:w="0" w:type="dxa"/>
              <w:right w:w="20" w:type="dxa"/>
            </w:tcMar>
            <w:vAlign w:val="bottom"/>
          </w:tcPr>
          <w:p w14:paraId="185FFCEC"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CED"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CEE"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CEF" w14:textId="77777777" w:rsidR="00A91885" w:rsidRDefault="009C4196">
            <w:pPr>
              <w:jc w:val="center"/>
              <w:textAlignment w:val="bottom"/>
            </w:pPr>
            <w:r>
              <w:rPr>
                <w:rFonts w:ascii="Arial" w:eastAsia="宋体" w:hAnsi="Arial" w:cs="Arial"/>
                <w:b/>
                <w:bCs/>
                <w:color w:val="000000"/>
                <w:sz w:val="17"/>
                <w:szCs w:val="17"/>
              </w:rPr>
              <w:t xml:space="preserve">2021 </w:t>
            </w:r>
            <w:r>
              <w:rPr>
                <w:rFonts w:ascii="Arial" w:eastAsia="宋体" w:hAnsi="Arial" w:cs="Arial"/>
                <w:b/>
                <w:bCs/>
                <w:color w:val="000000"/>
                <w:sz w:val="11"/>
                <w:szCs w:val="11"/>
              </w:rPr>
              <w:t>(1)</w:t>
            </w:r>
          </w:p>
        </w:tc>
      </w:tr>
      <w:tr w:rsidR="00A91885" w14:paraId="185FFD01" w14:textId="77777777">
        <w:tc>
          <w:tcPr>
            <w:tcW w:w="0" w:type="auto"/>
            <w:gridSpan w:val="3"/>
            <w:shd w:val="clear" w:color="auto" w:fill="E1E1E1"/>
            <w:tcMar>
              <w:top w:w="40" w:type="dxa"/>
              <w:left w:w="20" w:type="dxa"/>
              <w:bottom w:w="40" w:type="dxa"/>
              <w:right w:w="20" w:type="dxa"/>
            </w:tcMar>
            <w:vAlign w:val="bottom"/>
          </w:tcPr>
          <w:p w14:paraId="185FFCF1" w14:textId="77777777" w:rsidR="00A91885" w:rsidRDefault="009C4196">
            <w:pPr>
              <w:textAlignment w:val="bottom"/>
            </w:pPr>
            <w:r>
              <w:rPr>
                <w:rFonts w:ascii="Arial" w:eastAsia="宋体" w:hAnsi="Arial" w:cs="Arial"/>
                <w:color w:val="000000"/>
                <w:sz w:val="18"/>
                <w:szCs w:val="18"/>
              </w:rPr>
              <w:t>Net revenues</w:t>
            </w:r>
          </w:p>
        </w:tc>
        <w:tc>
          <w:tcPr>
            <w:tcW w:w="0" w:type="auto"/>
            <w:tcBorders>
              <w:top w:val="single" w:sz="8" w:space="0" w:color="000000"/>
            </w:tcBorders>
            <w:shd w:val="clear" w:color="auto" w:fill="E1E1E1"/>
            <w:tcMar>
              <w:top w:w="40" w:type="dxa"/>
              <w:left w:w="20" w:type="dxa"/>
              <w:bottom w:w="40" w:type="dxa"/>
              <w:right w:w="0" w:type="dxa"/>
            </w:tcMar>
            <w:vAlign w:val="bottom"/>
          </w:tcPr>
          <w:p w14:paraId="185FFCF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5FFCF3"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CF4"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CF5"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5FFCF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5FFCF7" w14:textId="77777777" w:rsidR="00A91885" w:rsidRDefault="009C4196">
            <w:pPr>
              <w:jc w:val="right"/>
              <w:textAlignment w:val="bottom"/>
            </w:pPr>
            <w:r>
              <w:rPr>
                <w:rFonts w:ascii="Arial" w:eastAsia="宋体" w:hAnsi="Arial" w:cs="Arial"/>
                <w:color w:val="000000"/>
                <w:sz w:val="18"/>
                <w:szCs w:val="18"/>
              </w:rPr>
              <w:t>289 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CF8"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CF9"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5FFCF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5FFCFB"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CFC"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CFD"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5FFCF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5FFCFF" w14:textId="77777777" w:rsidR="00A91885" w:rsidRDefault="009C4196">
            <w:pPr>
              <w:jc w:val="right"/>
              <w:textAlignment w:val="bottom"/>
            </w:pPr>
            <w:r>
              <w:rPr>
                <w:rFonts w:ascii="Arial" w:eastAsia="宋体" w:hAnsi="Arial" w:cs="Arial"/>
                <w:color w:val="000000"/>
                <w:sz w:val="18"/>
                <w:szCs w:val="18"/>
              </w:rPr>
              <w:t>565 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D00" w14:textId="77777777" w:rsidR="00A91885" w:rsidRDefault="00A91885">
            <w:pPr>
              <w:jc w:val="right"/>
              <w:rPr>
                <w:rFonts w:ascii="宋体"/>
              </w:rPr>
            </w:pPr>
          </w:p>
        </w:tc>
      </w:tr>
      <w:tr w:rsidR="00A91885" w14:paraId="185FFD0E" w14:textId="77777777">
        <w:tc>
          <w:tcPr>
            <w:tcW w:w="0" w:type="auto"/>
            <w:gridSpan w:val="3"/>
            <w:shd w:val="clear" w:color="auto" w:fill="FFFFFF"/>
            <w:tcMar>
              <w:top w:w="40" w:type="dxa"/>
              <w:left w:w="20" w:type="dxa"/>
              <w:bottom w:w="40" w:type="dxa"/>
              <w:right w:w="20" w:type="dxa"/>
            </w:tcMar>
            <w:vAlign w:val="bottom"/>
          </w:tcPr>
          <w:p w14:paraId="185FFD02" w14:textId="77777777" w:rsidR="00A91885" w:rsidRDefault="009C4196">
            <w:pPr>
              <w:textAlignment w:val="bottom"/>
            </w:pPr>
            <w:r>
              <w:rPr>
                <w:rFonts w:ascii="Arial" w:eastAsia="宋体" w:hAnsi="Arial" w:cs="Arial"/>
                <w:color w:val="000000"/>
                <w:sz w:val="18"/>
                <w:szCs w:val="18"/>
              </w:rPr>
              <w:t>Cost of net revenues</w:t>
            </w:r>
          </w:p>
        </w:tc>
        <w:tc>
          <w:tcPr>
            <w:tcW w:w="0" w:type="auto"/>
            <w:gridSpan w:val="2"/>
            <w:shd w:val="clear" w:color="auto" w:fill="FFFFFF"/>
            <w:tcMar>
              <w:top w:w="40" w:type="dxa"/>
              <w:left w:w="20" w:type="dxa"/>
              <w:bottom w:w="40" w:type="dxa"/>
              <w:right w:w="0" w:type="dxa"/>
            </w:tcMar>
            <w:vAlign w:val="bottom"/>
          </w:tcPr>
          <w:p w14:paraId="185FFD03"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D0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0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06" w14:textId="77777777" w:rsidR="00A91885" w:rsidRDefault="009C4196">
            <w:pPr>
              <w:jc w:val="right"/>
              <w:textAlignment w:val="bottom"/>
            </w:pPr>
            <w:r>
              <w:rPr>
                <w:rFonts w:ascii="Arial" w:eastAsia="宋体" w:hAnsi="Arial" w:cs="Arial"/>
                <w:color w:val="000000"/>
                <w:sz w:val="18"/>
                <w:szCs w:val="18"/>
              </w:rPr>
              <w:t>33 </w:t>
            </w:r>
          </w:p>
        </w:tc>
        <w:tc>
          <w:tcPr>
            <w:tcW w:w="0" w:type="auto"/>
            <w:shd w:val="clear" w:color="auto" w:fill="FFFFFF"/>
            <w:tcMar>
              <w:top w:w="40" w:type="dxa"/>
              <w:left w:w="0" w:type="dxa"/>
              <w:bottom w:w="40" w:type="dxa"/>
              <w:right w:w="20" w:type="dxa"/>
            </w:tcMar>
            <w:vAlign w:val="bottom"/>
          </w:tcPr>
          <w:p w14:paraId="185FFD0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0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0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D0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0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0C" w14:textId="77777777" w:rsidR="00A91885" w:rsidRDefault="009C4196">
            <w:pPr>
              <w:jc w:val="right"/>
              <w:textAlignment w:val="bottom"/>
            </w:pPr>
            <w:r>
              <w:rPr>
                <w:rFonts w:ascii="Arial" w:eastAsia="宋体" w:hAnsi="Arial" w:cs="Arial"/>
                <w:color w:val="000000"/>
                <w:sz w:val="18"/>
                <w:szCs w:val="18"/>
              </w:rPr>
              <w:t>63 </w:t>
            </w:r>
          </w:p>
        </w:tc>
        <w:tc>
          <w:tcPr>
            <w:tcW w:w="0" w:type="auto"/>
            <w:shd w:val="clear" w:color="auto" w:fill="FFFFFF"/>
            <w:tcMar>
              <w:top w:w="40" w:type="dxa"/>
              <w:left w:w="0" w:type="dxa"/>
              <w:bottom w:w="40" w:type="dxa"/>
              <w:right w:w="20" w:type="dxa"/>
            </w:tcMar>
            <w:vAlign w:val="bottom"/>
          </w:tcPr>
          <w:p w14:paraId="185FFD0D" w14:textId="77777777" w:rsidR="00A91885" w:rsidRDefault="00A91885">
            <w:pPr>
              <w:jc w:val="right"/>
              <w:rPr>
                <w:rFonts w:ascii="宋体"/>
              </w:rPr>
            </w:pPr>
          </w:p>
        </w:tc>
      </w:tr>
      <w:tr w:rsidR="00A91885" w14:paraId="185FFD1B" w14:textId="77777777">
        <w:tc>
          <w:tcPr>
            <w:tcW w:w="0" w:type="auto"/>
            <w:gridSpan w:val="3"/>
            <w:shd w:val="clear" w:color="auto" w:fill="E1E1E1"/>
            <w:tcMar>
              <w:top w:w="40" w:type="dxa"/>
              <w:left w:w="875" w:type="dxa"/>
              <w:bottom w:w="40" w:type="dxa"/>
              <w:right w:w="20" w:type="dxa"/>
            </w:tcMar>
            <w:vAlign w:val="bottom"/>
          </w:tcPr>
          <w:p w14:paraId="185FFD0F" w14:textId="77777777" w:rsidR="00A91885" w:rsidRDefault="009C4196">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D10"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D11"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12"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D13" w14:textId="77777777" w:rsidR="00A91885" w:rsidRDefault="009C4196">
            <w:pPr>
              <w:jc w:val="right"/>
              <w:textAlignment w:val="bottom"/>
            </w:pPr>
            <w:r>
              <w:rPr>
                <w:rFonts w:ascii="Arial" w:eastAsia="宋体" w:hAnsi="Arial" w:cs="Arial"/>
                <w:color w:val="000000"/>
                <w:sz w:val="18"/>
                <w:szCs w:val="18"/>
              </w:rPr>
              <w:t>256 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D14"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15"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D16"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D17"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18"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D19" w14:textId="77777777" w:rsidR="00A91885" w:rsidRDefault="009C4196">
            <w:pPr>
              <w:jc w:val="right"/>
              <w:textAlignment w:val="bottom"/>
            </w:pPr>
            <w:r>
              <w:rPr>
                <w:rFonts w:ascii="Arial" w:eastAsia="宋体" w:hAnsi="Arial" w:cs="Arial"/>
                <w:color w:val="000000"/>
                <w:sz w:val="18"/>
                <w:szCs w:val="18"/>
              </w:rPr>
              <w:t>502 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D1A" w14:textId="77777777" w:rsidR="00A91885" w:rsidRDefault="00A91885">
            <w:pPr>
              <w:jc w:val="right"/>
              <w:rPr>
                <w:rFonts w:ascii="宋体"/>
              </w:rPr>
            </w:pPr>
          </w:p>
        </w:tc>
      </w:tr>
      <w:tr w:rsidR="00A91885" w14:paraId="185FFD24" w14:textId="77777777">
        <w:tc>
          <w:tcPr>
            <w:tcW w:w="0" w:type="auto"/>
            <w:gridSpan w:val="3"/>
            <w:shd w:val="clear" w:color="auto" w:fill="FFFFFF"/>
            <w:tcMar>
              <w:top w:w="40" w:type="dxa"/>
              <w:left w:w="20" w:type="dxa"/>
              <w:bottom w:w="40" w:type="dxa"/>
              <w:right w:w="20" w:type="dxa"/>
            </w:tcMar>
            <w:vAlign w:val="bottom"/>
          </w:tcPr>
          <w:p w14:paraId="185FFD1C" w14:textId="77777777" w:rsidR="00A91885" w:rsidRDefault="009C4196">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D1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D1E"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D1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D20"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D2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D22"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D23" w14:textId="77777777" w:rsidR="00A91885" w:rsidRDefault="00A91885">
            <w:pPr>
              <w:rPr>
                <w:rFonts w:ascii="宋体"/>
              </w:rPr>
            </w:pPr>
          </w:p>
        </w:tc>
      </w:tr>
      <w:tr w:rsidR="00A91885" w14:paraId="185FFD31" w14:textId="77777777">
        <w:tc>
          <w:tcPr>
            <w:tcW w:w="0" w:type="auto"/>
            <w:gridSpan w:val="3"/>
            <w:shd w:val="clear" w:color="auto" w:fill="E1E1E1"/>
            <w:tcMar>
              <w:top w:w="40" w:type="dxa"/>
              <w:left w:w="515" w:type="dxa"/>
              <w:bottom w:w="40" w:type="dxa"/>
              <w:right w:w="20" w:type="dxa"/>
            </w:tcMar>
            <w:vAlign w:val="bottom"/>
          </w:tcPr>
          <w:p w14:paraId="185FFD25" w14:textId="77777777" w:rsidR="00A91885" w:rsidRDefault="009C4196">
            <w:pPr>
              <w:textAlignment w:val="bottom"/>
            </w:pPr>
            <w:r>
              <w:rPr>
                <w:rFonts w:ascii="Arial" w:eastAsia="宋体" w:hAnsi="Arial" w:cs="Arial"/>
                <w:color w:val="000000"/>
                <w:sz w:val="18"/>
                <w:szCs w:val="18"/>
              </w:rPr>
              <w:t>Sales and marketing</w:t>
            </w:r>
          </w:p>
        </w:tc>
        <w:tc>
          <w:tcPr>
            <w:tcW w:w="0" w:type="auto"/>
            <w:gridSpan w:val="2"/>
            <w:shd w:val="clear" w:color="auto" w:fill="E1E1E1"/>
            <w:tcMar>
              <w:top w:w="40" w:type="dxa"/>
              <w:left w:w="20" w:type="dxa"/>
              <w:bottom w:w="40" w:type="dxa"/>
              <w:right w:w="0" w:type="dxa"/>
            </w:tcMar>
            <w:vAlign w:val="bottom"/>
          </w:tcPr>
          <w:p w14:paraId="185FFD26"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5FFD27"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28"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D29" w14:textId="77777777" w:rsidR="00A91885" w:rsidRDefault="009C4196">
            <w:pPr>
              <w:jc w:val="right"/>
              <w:textAlignment w:val="bottom"/>
            </w:pPr>
            <w:r>
              <w:rPr>
                <w:rFonts w:ascii="Arial" w:eastAsia="宋体" w:hAnsi="Arial" w:cs="Arial"/>
                <w:color w:val="000000"/>
                <w:sz w:val="18"/>
                <w:szCs w:val="18"/>
              </w:rPr>
              <w:t>96 </w:t>
            </w:r>
          </w:p>
        </w:tc>
        <w:tc>
          <w:tcPr>
            <w:tcW w:w="0" w:type="auto"/>
            <w:shd w:val="clear" w:color="auto" w:fill="E1E1E1"/>
            <w:tcMar>
              <w:top w:w="40" w:type="dxa"/>
              <w:left w:w="0" w:type="dxa"/>
              <w:bottom w:w="40" w:type="dxa"/>
              <w:right w:w="20" w:type="dxa"/>
            </w:tcMar>
            <w:vAlign w:val="bottom"/>
          </w:tcPr>
          <w:p w14:paraId="185FFD2A"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2B"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D2C"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5FFD2D"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2E"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D2F" w14:textId="77777777" w:rsidR="00A91885" w:rsidRDefault="009C4196">
            <w:pPr>
              <w:jc w:val="right"/>
              <w:textAlignment w:val="bottom"/>
            </w:pPr>
            <w:r>
              <w:rPr>
                <w:rFonts w:ascii="Arial" w:eastAsia="宋体" w:hAnsi="Arial" w:cs="Arial"/>
                <w:color w:val="000000"/>
                <w:sz w:val="18"/>
                <w:szCs w:val="18"/>
              </w:rPr>
              <w:t>183 </w:t>
            </w:r>
          </w:p>
        </w:tc>
        <w:tc>
          <w:tcPr>
            <w:tcW w:w="0" w:type="auto"/>
            <w:shd w:val="clear" w:color="auto" w:fill="E1E1E1"/>
            <w:tcMar>
              <w:top w:w="40" w:type="dxa"/>
              <w:left w:w="0" w:type="dxa"/>
              <w:bottom w:w="40" w:type="dxa"/>
              <w:right w:w="20" w:type="dxa"/>
            </w:tcMar>
            <w:vAlign w:val="bottom"/>
          </w:tcPr>
          <w:p w14:paraId="185FFD30" w14:textId="77777777" w:rsidR="00A91885" w:rsidRDefault="00A91885">
            <w:pPr>
              <w:jc w:val="right"/>
              <w:rPr>
                <w:rFonts w:ascii="宋体"/>
              </w:rPr>
            </w:pPr>
          </w:p>
        </w:tc>
      </w:tr>
      <w:tr w:rsidR="00A91885" w14:paraId="185FFD3E" w14:textId="77777777">
        <w:tc>
          <w:tcPr>
            <w:tcW w:w="0" w:type="auto"/>
            <w:gridSpan w:val="3"/>
            <w:shd w:val="clear" w:color="auto" w:fill="FFFFFF"/>
            <w:tcMar>
              <w:top w:w="40" w:type="dxa"/>
              <w:left w:w="515" w:type="dxa"/>
              <w:bottom w:w="40" w:type="dxa"/>
              <w:right w:w="20" w:type="dxa"/>
            </w:tcMar>
            <w:vAlign w:val="bottom"/>
          </w:tcPr>
          <w:p w14:paraId="185FFD32" w14:textId="77777777" w:rsidR="00A91885" w:rsidRDefault="009C4196">
            <w:pPr>
              <w:textAlignment w:val="bottom"/>
            </w:pPr>
            <w:r>
              <w:rPr>
                <w:rFonts w:ascii="Arial" w:eastAsia="宋体" w:hAnsi="Arial" w:cs="Arial"/>
                <w:color w:val="000000"/>
                <w:sz w:val="18"/>
                <w:szCs w:val="18"/>
              </w:rPr>
              <w:t>Product development</w:t>
            </w:r>
          </w:p>
        </w:tc>
        <w:tc>
          <w:tcPr>
            <w:tcW w:w="0" w:type="auto"/>
            <w:gridSpan w:val="2"/>
            <w:shd w:val="clear" w:color="auto" w:fill="FFFFFF"/>
            <w:tcMar>
              <w:top w:w="40" w:type="dxa"/>
              <w:left w:w="20" w:type="dxa"/>
              <w:bottom w:w="40" w:type="dxa"/>
              <w:right w:w="0" w:type="dxa"/>
            </w:tcMar>
            <w:vAlign w:val="bottom"/>
          </w:tcPr>
          <w:p w14:paraId="185FFD33"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D3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3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36" w14:textId="77777777" w:rsidR="00A91885" w:rsidRDefault="009C4196">
            <w:pPr>
              <w:jc w:val="right"/>
              <w:textAlignment w:val="bottom"/>
            </w:pPr>
            <w:r>
              <w:rPr>
                <w:rFonts w:ascii="Arial" w:eastAsia="宋体" w:hAnsi="Arial" w:cs="Arial"/>
                <w:color w:val="000000"/>
                <w:sz w:val="18"/>
                <w:szCs w:val="18"/>
              </w:rPr>
              <w:t>62 </w:t>
            </w:r>
          </w:p>
        </w:tc>
        <w:tc>
          <w:tcPr>
            <w:tcW w:w="0" w:type="auto"/>
            <w:shd w:val="clear" w:color="auto" w:fill="FFFFFF"/>
            <w:tcMar>
              <w:top w:w="40" w:type="dxa"/>
              <w:left w:w="0" w:type="dxa"/>
              <w:bottom w:w="40" w:type="dxa"/>
              <w:right w:w="20" w:type="dxa"/>
            </w:tcMar>
            <w:vAlign w:val="bottom"/>
          </w:tcPr>
          <w:p w14:paraId="185FFD3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3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3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D3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3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3C" w14:textId="77777777" w:rsidR="00A91885" w:rsidRDefault="009C4196">
            <w:pPr>
              <w:jc w:val="right"/>
              <w:textAlignment w:val="bottom"/>
            </w:pPr>
            <w:r>
              <w:rPr>
                <w:rFonts w:ascii="Arial" w:eastAsia="宋体" w:hAnsi="Arial" w:cs="Arial"/>
                <w:color w:val="000000"/>
                <w:sz w:val="18"/>
                <w:szCs w:val="18"/>
              </w:rPr>
              <w:t>105 </w:t>
            </w:r>
          </w:p>
        </w:tc>
        <w:tc>
          <w:tcPr>
            <w:tcW w:w="0" w:type="auto"/>
            <w:shd w:val="clear" w:color="auto" w:fill="FFFFFF"/>
            <w:tcMar>
              <w:top w:w="40" w:type="dxa"/>
              <w:left w:w="0" w:type="dxa"/>
              <w:bottom w:w="40" w:type="dxa"/>
              <w:right w:w="20" w:type="dxa"/>
            </w:tcMar>
            <w:vAlign w:val="bottom"/>
          </w:tcPr>
          <w:p w14:paraId="185FFD3D" w14:textId="77777777" w:rsidR="00A91885" w:rsidRDefault="00A91885">
            <w:pPr>
              <w:jc w:val="right"/>
              <w:rPr>
                <w:rFonts w:ascii="宋体"/>
              </w:rPr>
            </w:pPr>
          </w:p>
        </w:tc>
      </w:tr>
      <w:tr w:rsidR="00A91885" w14:paraId="185FFD4B" w14:textId="77777777">
        <w:tc>
          <w:tcPr>
            <w:tcW w:w="0" w:type="auto"/>
            <w:gridSpan w:val="3"/>
            <w:shd w:val="clear" w:color="auto" w:fill="E1E1E1"/>
            <w:tcMar>
              <w:top w:w="40" w:type="dxa"/>
              <w:left w:w="515" w:type="dxa"/>
              <w:bottom w:w="40" w:type="dxa"/>
              <w:right w:w="20" w:type="dxa"/>
            </w:tcMar>
            <w:vAlign w:val="bottom"/>
          </w:tcPr>
          <w:p w14:paraId="185FFD3F" w14:textId="77777777" w:rsidR="00A91885" w:rsidRDefault="009C4196">
            <w:pPr>
              <w:textAlignment w:val="bottom"/>
            </w:pPr>
            <w:r>
              <w:rPr>
                <w:rFonts w:ascii="Arial" w:eastAsia="宋体" w:hAnsi="Arial" w:cs="Arial"/>
                <w:color w:val="000000"/>
                <w:sz w:val="18"/>
                <w:szCs w:val="18"/>
              </w:rPr>
              <w:t>General and administrative</w:t>
            </w:r>
          </w:p>
        </w:tc>
        <w:tc>
          <w:tcPr>
            <w:tcW w:w="0" w:type="auto"/>
            <w:gridSpan w:val="2"/>
            <w:shd w:val="clear" w:color="auto" w:fill="E1E1E1"/>
            <w:tcMar>
              <w:top w:w="40" w:type="dxa"/>
              <w:left w:w="20" w:type="dxa"/>
              <w:bottom w:w="40" w:type="dxa"/>
              <w:right w:w="0" w:type="dxa"/>
            </w:tcMar>
            <w:vAlign w:val="bottom"/>
          </w:tcPr>
          <w:p w14:paraId="185FFD40" w14:textId="77777777" w:rsidR="00A91885" w:rsidRDefault="009C4196">
            <w:pPr>
              <w:jc w:val="right"/>
              <w:textAlignment w:val="bottom"/>
            </w:pPr>
            <w:r>
              <w:rPr>
                <w:rFonts w:ascii="Arial" w:eastAsia="宋体" w:hAnsi="Arial" w:cs="Arial"/>
                <w:color w:val="000000"/>
                <w:sz w:val="18"/>
                <w:szCs w:val="18"/>
              </w:rPr>
              <w:t>(7)</w:t>
            </w:r>
          </w:p>
        </w:tc>
        <w:tc>
          <w:tcPr>
            <w:tcW w:w="0" w:type="auto"/>
            <w:shd w:val="clear" w:color="auto" w:fill="E1E1E1"/>
            <w:tcMar>
              <w:top w:w="40" w:type="dxa"/>
              <w:left w:w="0" w:type="dxa"/>
              <w:bottom w:w="40" w:type="dxa"/>
              <w:right w:w="20" w:type="dxa"/>
            </w:tcMar>
            <w:vAlign w:val="bottom"/>
          </w:tcPr>
          <w:p w14:paraId="185FFD41"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42"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D43" w14:textId="77777777" w:rsidR="00A91885" w:rsidRDefault="009C4196">
            <w:pPr>
              <w:jc w:val="right"/>
              <w:textAlignment w:val="bottom"/>
            </w:pPr>
            <w:r>
              <w:rPr>
                <w:rFonts w:ascii="Arial" w:eastAsia="宋体" w:hAnsi="Arial" w:cs="Arial"/>
                <w:color w:val="000000"/>
                <w:sz w:val="18"/>
                <w:szCs w:val="18"/>
              </w:rPr>
              <w:t>40 </w:t>
            </w:r>
          </w:p>
        </w:tc>
        <w:tc>
          <w:tcPr>
            <w:tcW w:w="0" w:type="auto"/>
            <w:shd w:val="clear" w:color="auto" w:fill="E1E1E1"/>
            <w:tcMar>
              <w:top w:w="40" w:type="dxa"/>
              <w:left w:w="0" w:type="dxa"/>
              <w:bottom w:w="40" w:type="dxa"/>
              <w:right w:w="20" w:type="dxa"/>
            </w:tcMar>
            <w:vAlign w:val="bottom"/>
          </w:tcPr>
          <w:p w14:paraId="185FFD44"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45"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D46" w14:textId="77777777" w:rsidR="00A91885" w:rsidRDefault="009C4196">
            <w:pPr>
              <w:jc w:val="right"/>
              <w:textAlignment w:val="bottom"/>
            </w:pPr>
            <w:r>
              <w:rPr>
                <w:rFonts w:ascii="Arial" w:eastAsia="宋体" w:hAnsi="Arial" w:cs="Arial"/>
                <w:color w:val="000000"/>
                <w:sz w:val="18"/>
                <w:szCs w:val="18"/>
              </w:rPr>
              <w:t>(7)</w:t>
            </w:r>
          </w:p>
        </w:tc>
        <w:tc>
          <w:tcPr>
            <w:tcW w:w="0" w:type="auto"/>
            <w:shd w:val="clear" w:color="auto" w:fill="E1E1E1"/>
            <w:tcMar>
              <w:top w:w="40" w:type="dxa"/>
              <w:left w:w="0" w:type="dxa"/>
              <w:bottom w:w="40" w:type="dxa"/>
              <w:right w:w="20" w:type="dxa"/>
            </w:tcMar>
            <w:vAlign w:val="bottom"/>
          </w:tcPr>
          <w:p w14:paraId="185FFD47"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48"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D49" w14:textId="77777777" w:rsidR="00A91885" w:rsidRDefault="009C4196">
            <w:pPr>
              <w:jc w:val="right"/>
              <w:textAlignment w:val="bottom"/>
            </w:pPr>
            <w:r>
              <w:rPr>
                <w:rFonts w:ascii="Arial" w:eastAsia="宋体" w:hAnsi="Arial" w:cs="Arial"/>
                <w:color w:val="000000"/>
                <w:sz w:val="18"/>
                <w:szCs w:val="18"/>
              </w:rPr>
              <w:t>67 </w:t>
            </w:r>
          </w:p>
        </w:tc>
        <w:tc>
          <w:tcPr>
            <w:tcW w:w="0" w:type="auto"/>
            <w:shd w:val="clear" w:color="auto" w:fill="E1E1E1"/>
            <w:tcMar>
              <w:top w:w="40" w:type="dxa"/>
              <w:left w:w="0" w:type="dxa"/>
              <w:bottom w:w="40" w:type="dxa"/>
              <w:right w:w="20" w:type="dxa"/>
            </w:tcMar>
            <w:vAlign w:val="bottom"/>
          </w:tcPr>
          <w:p w14:paraId="185FFD4A" w14:textId="77777777" w:rsidR="00A91885" w:rsidRDefault="00A91885">
            <w:pPr>
              <w:jc w:val="right"/>
              <w:rPr>
                <w:rFonts w:ascii="宋体"/>
              </w:rPr>
            </w:pPr>
          </w:p>
        </w:tc>
      </w:tr>
      <w:tr w:rsidR="00A91885" w14:paraId="185FFD58" w14:textId="77777777">
        <w:tc>
          <w:tcPr>
            <w:tcW w:w="0" w:type="auto"/>
            <w:gridSpan w:val="3"/>
            <w:shd w:val="clear" w:color="auto" w:fill="FFFFFF"/>
            <w:tcMar>
              <w:top w:w="40" w:type="dxa"/>
              <w:left w:w="515" w:type="dxa"/>
              <w:bottom w:w="40" w:type="dxa"/>
              <w:right w:w="20" w:type="dxa"/>
            </w:tcMar>
            <w:vAlign w:val="bottom"/>
          </w:tcPr>
          <w:p w14:paraId="185FFD4C" w14:textId="77777777" w:rsidR="00A91885" w:rsidRDefault="009C4196">
            <w:pPr>
              <w:textAlignment w:val="bottom"/>
            </w:pPr>
            <w:r>
              <w:rPr>
                <w:rFonts w:ascii="Arial" w:eastAsia="宋体" w:hAnsi="Arial" w:cs="Arial"/>
                <w:color w:val="000000"/>
                <w:sz w:val="18"/>
                <w:szCs w:val="18"/>
              </w:rPr>
              <w:t>Provision for transaction losses</w:t>
            </w:r>
          </w:p>
        </w:tc>
        <w:tc>
          <w:tcPr>
            <w:tcW w:w="0" w:type="auto"/>
            <w:gridSpan w:val="2"/>
            <w:shd w:val="clear" w:color="auto" w:fill="FFFFFF"/>
            <w:tcMar>
              <w:top w:w="40" w:type="dxa"/>
              <w:left w:w="20" w:type="dxa"/>
              <w:bottom w:w="40" w:type="dxa"/>
              <w:right w:w="0" w:type="dxa"/>
            </w:tcMar>
            <w:vAlign w:val="bottom"/>
          </w:tcPr>
          <w:p w14:paraId="185FFD4D"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D4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4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50"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D5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5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53"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D5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5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56"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85FFD57" w14:textId="77777777" w:rsidR="00A91885" w:rsidRDefault="00A91885">
            <w:pPr>
              <w:jc w:val="right"/>
              <w:rPr>
                <w:rFonts w:ascii="宋体"/>
              </w:rPr>
            </w:pPr>
          </w:p>
        </w:tc>
      </w:tr>
      <w:tr w:rsidR="00A91885" w14:paraId="185FFD61" w14:textId="77777777">
        <w:trPr>
          <w:hidden/>
        </w:trPr>
        <w:tc>
          <w:tcPr>
            <w:tcW w:w="0" w:type="auto"/>
            <w:gridSpan w:val="3"/>
            <w:shd w:val="clear" w:color="auto" w:fill="auto"/>
            <w:vAlign w:val="bottom"/>
          </w:tcPr>
          <w:p w14:paraId="185FFD59" w14:textId="77777777" w:rsidR="00A91885" w:rsidRDefault="00A91885">
            <w:pPr>
              <w:rPr>
                <w:rFonts w:ascii="宋体"/>
                <w:vanish/>
              </w:rPr>
            </w:pPr>
          </w:p>
        </w:tc>
        <w:tc>
          <w:tcPr>
            <w:tcW w:w="0" w:type="auto"/>
            <w:gridSpan w:val="3"/>
            <w:shd w:val="clear" w:color="auto" w:fill="auto"/>
            <w:vAlign w:val="bottom"/>
          </w:tcPr>
          <w:p w14:paraId="185FFD5A" w14:textId="77777777" w:rsidR="00A91885" w:rsidRDefault="00A91885">
            <w:pPr>
              <w:rPr>
                <w:rFonts w:ascii="宋体"/>
                <w:vanish/>
              </w:rPr>
            </w:pPr>
          </w:p>
        </w:tc>
        <w:tc>
          <w:tcPr>
            <w:tcW w:w="0" w:type="auto"/>
            <w:gridSpan w:val="3"/>
            <w:shd w:val="clear" w:color="auto" w:fill="auto"/>
            <w:vAlign w:val="bottom"/>
          </w:tcPr>
          <w:p w14:paraId="185FFD5B" w14:textId="77777777" w:rsidR="00A91885" w:rsidRDefault="00A91885">
            <w:pPr>
              <w:rPr>
                <w:rFonts w:ascii="宋体"/>
                <w:vanish/>
              </w:rPr>
            </w:pPr>
          </w:p>
        </w:tc>
        <w:tc>
          <w:tcPr>
            <w:tcW w:w="0" w:type="auto"/>
            <w:gridSpan w:val="3"/>
            <w:shd w:val="clear" w:color="auto" w:fill="auto"/>
            <w:vAlign w:val="bottom"/>
          </w:tcPr>
          <w:p w14:paraId="185FFD5C" w14:textId="77777777" w:rsidR="00A91885" w:rsidRDefault="00A91885">
            <w:pPr>
              <w:rPr>
                <w:rFonts w:ascii="宋体"/>
                <w:vanish/>
              </w:rPr>
            </w:pPr>
          </w:p>
        </w:tc>
        <w:tc>
          <w:tcPr>
            <w:tcW w:w="0" w:type="auto"/>
            <w:gridSpan w:val="3"/>
            <w:shd w:val="clear" w:color="auto" w:fill="auto"/>
            <w:vAlign w:val="bottom"/>
          </w:tcPr>
          <w:p w14:paraId="185FFD5D" w14:textId="77777777" w:rsidR="00A91885" w:rsidRDefault="00A91885">
            <w:pPr>
              <w:rPr>
                <w:rFonts w:ascii="宋体"/>
                <w:vanish/>
              </w:rPr>
            </w:pPr>
          </w:p>
        </w:tc>
        <w:tc>
          <w:tcPr>
            <w:tcW w:w="0" w:type="auto"/>
            <w:gridSpan w:val="3"/>
            <w:shd w:val="clear" w:color="auto" w:fill="auto"/>
            <w:vAlign w:val="bottom"/>
          </w:tcPr>
          <w:p w14:paraId="185FFD5E" w14:textId="77777777" w:rsidR="00A91885" w:rsidRDefault="00A91885">
            <w:pPr>
              <w:rPr>
                <w:rFonts w:ascii="宋体"/>
                <w:vanish/>
              </w:rPr>
            </w:pPr>
          </w:p>
        </w:tc>
        <w:tc>
          <w:tcPr>
            <w:tcW w:w="0" w:type="auto"/>
            <w:gridSpan w:val="3"/>
            <w:shd w:val="clear" w:color="auto" w:fill="auto"/>
            <w:vAlign w:val="bottom"/>
          </w:tcPr>
          <w:p w14:paraId="185FFD5F" w14:textId="77777777" w:rsidR="00A91885" w:rsidRDefault="00A91885">
            <w:pPr>
              <w:rPr>
                <w:rFonts w:ascii="宋体"/>
                <w:vanish/>
              </w:rPr>
            </w:pPr>
          </w:p>
        </w:tc>
        <w:tc>
          <w:tcPr>
            <w:tcW w:w="0" w:type="auto"/>
            <w:gridSpan w:val="3"/>
            <w:shd w:val="clear" w:color="auto" w:fill="auto"/>
            <w:vAlign w:val="bottom"/>
          </w:tcPr>
          <w:p w14:paraId="185FFD60" w14:textId="77777777" w:rsidR="00A91885" w:rsidRDefault="00A91885">
            <w:pPr>
              <w:rPr>
                <w:rFonts w:ascii="宋体"/>
                <w:vanish/>
              </w:rPr>
            </w:pPr>
          </w:p>
        </w:tc>
      </w:tr>
      <w:tr w:rsidR="00A91885" w14:paraId="185FFD6E" w14:textId="77777777">
        <w:tc>
          <w:tcPr>
            <w:tcW w:w="0" w:type="auto"/>
            <w:gridSpan w:val="3"/>
            <w:shd w:val="clear" w:color="auto" w:fill="E1E1E1"/>
            <w:tcMar>
              <w:top w:w="40" w:type="dxa"/>
              <w:left w:w="875" w:type="dxa"/>
              <w:bottom w:w="40" w:type="dxa"/>
              <w:right w:w="20" w:type="dxa"/>
            </w:tcMar>
            <w:vAlign w:val="bottom"/>
          </w:tcPr>
          <w:p w14:paraId="185FFD62" w14:textId="77777777" w:rsidR="00A91885" w:rsidRDefault="009C4196">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D63" w14:textId="77777777" w:rsidR="00A91885" w:rsidRDefault="009C4196">
            <w:pPr>
              <w:jc w:val="right"/>
              <w:textAlignment w:val="bottom"/>
            </w:pPr>
            <w:r>
              <w:rPr>
                <w:rFonts w:ascii="Arial" w:eastAsia="宋体" w:hAnsi="Arial" w:cs="Arial"/>
                <w:color w:val="000000"/>
                <w:sz w:val="18"/>
                <w:szCs w:val="18"/>
              </w:rPr>
              <w:t>(7)</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D64"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65"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D66" w14:textId="77777777" w:rsidR="00A91885" w:rsidRDefault="009C4196">
            <w:pPr>
              <w:jc w:val="right"/>
              <w:textAlignment w:val="bottom"/>
            </w:pPr>
            <w:r>
              <w:rPr>
                <w:rFonts w:ascii="Arial" w:eastAsia="宋体" w:hAnsi="Arial" w:cs="Arial"/>
                <w:color w:val="000000"/>
                <w:sz w:val="18"/>
                <w:szCs w:val="18"/>
              </w:rPr>
              <w:t>198 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D67"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68"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D69" w14:textId="77777777" w:rsidR="00A91885" w:rsidRDefault="009C4196">
            <w:pPr>
              <w:jc w:val="right"/>
              <w:textAlignment w:val="bottom"/>
            </w:pPr>
            <w:r>
              <w:rPr>
                <w:rFonts w:ascii="Arial" w:eastAsia="宋体" w:hAnsi="Arial" w:cs="Arial"/>
                <w:color w:val="000000"/>
                <w:sz w:val="18"/>
                <w:szCs w:val="18"/>
              </w:rPr>
              <w:t>(7)</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D6A"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6B"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D6C" w14:textId="77777777" w:rsidR="00A91885" w:rsidRDefault="009C4196">
            <w:pPr>
              <w:jc w:val="right"/>
              <w:textAlignment w:val="bottom"/>
            </w:pPr>
            <w:r>
              <w:rPr>
                <w:rFonts w:ascii="Arial" w:eastAsia="宋体" w:hAnsi="Arial" w:cs="Arial"/>
                <w:color w:val="000000"/>
                <w:sz w:val="18"/>
                <w:szCs w:val="18"/>
              </w:rPr>
              <w:t>357 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D6D" w14:textId="77777777" w:rsidR="00A91885" w:rsidRDefault="00A91885">
            <w:pPr>
              <w:jc w:val="right"/>
              <w:rPr>
                <w:rFonts w:ascii="宋体"/>
              </w:rPr>
            </w:pPr>
          </w:p>
        </w:tc>
      </w:tr>
      <w:tr w:rsidR="00A91885" w14:paraId="185FFD7B" w14:textId="77777777">
        <w:tc>
          <w:tcPr>
            <w:tcW w:w="0" w:type="auto"/>
            <w:gridSpan w:val="3"/>
            <w:shd w:val="clear" w:color="auto" w:fill="FFFFFF"/>
            <w:tcMar>
              <w:top w:w="40" w:type="dxa"/>
              <w:left w:w="20" w:type="dxa"/>
              <w:bottom w:w="40" w:type="dxa"/>
              <w:right w:w="20" w:type="dxa"/>
            </w:tcMar>
            <w:vAlign w:val="bottom"/>
          </w:tcPr>
          <w:p w14:paraId="185FFD6F" w14:textId="77777777" w:rsidR="00A91885" w:rsidRDefault="009C4196">
            <w:pPr>
              <w:textAlignment w:val="bottom"/>
            </w:pPr>
            <w:r>
              <w:rPr>
                <w:rFonts w:ascii="Arial" w:eastAsia="宋体" w:hAnsi="Arial" w:cs="Arial"/>
                <w:color w:val="000000"/>
                <w:sz w:val="18"/>
                <w:szCs w:val="18"/>
              </w:rPr>
              <w:t>Income (loss) from operations of discontinued operations</w:t>
            </w:r>
          </w:p>
        </w:tc>
        <w:tc>
          <w:tcPr>
            <w:tcW w:w="0" w:type="auto"/>
            <w:gridSpan w:val="2"/>
            <w:shd w:val="clear" w:color="auto" w:fill="FFFFFF"/>
            <w:tcMar>
              <w:top w:w="40" w:type="dxa"/>
              <w:left w:w="20" w:type="dxa"/>
              <w:bottom w:w="40" w:type="dxa"/>
              <w:right w:w="0" w:type="dxa"/>
            </w:tcMar>
            <w:vAlign w:val="bottom"/>
          </w:tcPr>
          <w:p w14:paraId="185FFD70" w14:textId="77777777" w:rsidR="00A91885" w:rsidRDefault="009C4196">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185FFD7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7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73" w14:textId="77777777" w:rsidR="00A91885" w:rsidRDefault="009C4196">
            <w:pPr>
              <w:jc w:val="right"/>
              <w:textAlignment w:val="bottom"/>
            </w:pPr>
            <w:r>
              <w:rPr>
                <w:rFonts w:ascii="Arial" w:eastAsia="宋体" w:hAnsi="Arial" w:cs="Arial"/>
                <w:color w:val="000000"/>
                <w:sz w:val="18"/>
                <w:szCs w:val="18"/>
              </w:rPr>
              <w:t>58 </w:t>
            </w:r>
          </w:p>
        </w:tc>
        <w:tc>
          <w:tcPr>
            <w:tcW w:w="0" w:type="auto"/>
            <w:shd w:val="clear" w:color="auto" w:fill="FFFFFF"/>
            <w:tcMar>
              <w:top w:w="40" w:type="dxa"/>
              <w:left w:w="0" w:type="dxa"/>
              <w:bottom w:w="40" w:type="dxa"/>
              <w:right w:w="20" w:type="dxa"/>
            </w:tcMar>
            <w:vAlign w:val="bottom"/>
          </w:tcPr>
          <w:p w14:paraId="185FFD7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7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76" w14:textId="77777777" w:rsidR="00A91885" w:rsidRDefault="009C4196">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185FFD7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7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79" w14:textId="77777777" w:rsidR="00A91885" w:rsidRDefault="009C4196">
            <w:pPr>
              <w:jc w:val="right"/>
              <w:textAlignment w:val="bottom"/>
            </w:pPr>
            <w:r>
              <w:rPr>
                <w:rFonts w:ascii="Arial" w:eastAsia="宋体" w:hAnsi="Arial" w:cs="Arial"/>
                <w:color w:val="000000"/>
                <w:sz w:val="18"/>
                <w:szCs w:val="18"/>
              </w:rPr>
              <w:t>145 </w:t>
            </w:r>
          </w:p>
        </w:tc>
        <w:tc>
          <w:tcPr>
            <w:tcW w:w="0" w:type="auto"/>
            <w:shd w:val="clear" w:color="auto" w:fill="FFFFFF"/>
            <w:tcMar>
              <w:top w:w="40" w:type="dxa"/>
              <w:left w:w="0" w:type="dxa"/>
              <w:bottom w:w="40" w:type="dxa"/>
              <w:right w:w="20" w:type="dxa"/>
            </w:tcMar>
            <w:vAlign w:val="bottom"/>
          </w:tcPr>
          <w:p w14:paraId="185FFD7A" w14:textId="77777777" w:rsidR="00A91885" w:rsidRDefault="00A91885">
            <w:pPr>
              <w:jc w:val="right"/>
              <w:rPr>
                <w:rFonts w:ascii="宋体"/>
              </w:rPr>
            </w:pPr>
          </w:p>
        </w:tc>
      </w:tr>
      <w:tr w:rsidR="00A91885" w14:paraId="185FFD88" w14:textId="77777777">
        <w:tc>
          <w:tcPr>
            <w:tcW w:w="0" w:type="auto"/>
            <w:gridSpan w:val="3"/>
            <w:shd w:val="clear" w:color="auto" w:fill="E1E1E1"/>
            <w:tcMar>
              <w:top w:w="40" w:type="dxa"/>
              <w:left w:w="20" w:type="dxa"/>
              <w:bottom w:w="40" w:type="dxa"/>
              <w:right w:w="20" w:type="dxa"/>
            </w:tcMar>
            <w:vAlign w:val="bottom"/>
          </w:tcPr>
          <w:p w14:paraId="185FFD7C" w14:textId="77777777" w:rsidR="00A91885" w:rsidRDefault="009C4196">
            <w:pPr>
              <w:textAlignment w:val="bottom"/>
            </w:pPr>
            <w:r>
              <w:rPr>
                <w:rFonts w:ascii="Arial" w:eastAsia="宋体" w:hAnsi="Arial" w:cs="Arial"/>
                <w:color w:val="000000"/>
                <w:sz w:val="18"/>
                <w:szCs w:val="18"/>
              </w:rPr>
              <w:t>Interest and other, net</w:t>
            </w:r>
          </w:p>
        </w:tc>
        <w:tc>
          <w:tcPr>
            <w:tcW w:w="0" w:type="auto"/>
            <w:gridSpan w:val="2"/>
            <w:shd w:val="clear" w:color="auto" w:fill="E1E1E1"/>
            <w:tcMar>
              <w:top w:w="40" w:type="dxa"/>
              <w:left w:w="20" w:type="dxa"/>
              <w:bottom w:w="40" w:type="dxa"/>
              <w:right w:w="0" w:type="dxa"/>
            </w:tcMar>
            <w:vAlign w:val="bottom"/>
          </w:tcPr>
          <w:p w14:paraId="185FFD7D"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5FFD7E"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7F"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D80" w14:textId="77777777" w:rsidR="00A91885" w:rsidRDefault="009C4196">
            <w:pPr>
              <w:jc w:val="right"/>
              <w:textAlignment w:val="bottom"/>
            </w:pPr>
            <w:r>
              <w:rPr>
                <w:rFonts w:ascii="Arial" w:eastAsia="宋体" w:hAnsi="Arial" w:cs="Arial"/>
                <w:color w:val="000000"/>
                <w:sz w:val="18"/>
                <w:szCs w:val="18"/>
              </w:rPr>
              <w:t>(1)</w:t>
            </w:r>
          </w:p>
        </w:tc>
        <w:tc>
          <w:tcPr>
            <w:tcW w:w="0" w:type="auto"/>
            <w:shd w:val="clear" w:color="auto" w:fill="E1E1E1"/>
            <w:tcMar>
              <w:top w:w="40" w:type="dxa"/>
              <w:left w:w="0" w:type="dxa"/>
              <w:bottom w:w="40" w:type="dxa"/>
              <w:right w:w="20" w:type="dxa"/>
            </w:tcMar>
            <w:vAlign w:val="bottom"/>
          </w:tcPr>
          <w:p w14:paraId="185FFD81"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82"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D83"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5FFD84"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85"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D86"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5FFD87" w14:textId="77777777" w:rsidR="00A91885" w:rsidRDefault="00A91885">
            <w:pPr>
              <w:jc w:val="right"/>
              <w:rPr>
                <w:rFonts w:ascii="宋体"/>
              </w:rPr>
            </w:pPr>
          </w:p>
        </w:tc>
      </w:tr>
      <w:tr w:rsidR="00A91885" w14:paraId="185FFD95" w14:textId="77777777">
        <w:tc>
          <w:tcPr>
            <w:tcW w:w="0" w:type="auto"/>
            <w:gridSpan w:val="3"/>
            <w:shd w:val="clear" w:color="auto" w:fill="FFFFFF"/>
            <w:tcMar>
              <w:top w:w="40" w:type="dxa"/>
              <w:left w:w="20" w:type="dxa"/>
              <w:bottom w:w="40" w:type="dxa"/>
              <w:right w:w="20" w:type="dxa"/>
            </w:tcMar>
            <w:vAlign w:val="bottom"/>
          </w:tcPr>
          <w:p w14:paraId="185FFD89" w14:textId="77777777" w:rsidR="00A91885" w:rsidRDefault="009C4196">
            <w:pPr>
              <w:textAlignment w:val="bottom"/>
            </w:pPr>
            <w:r>
              <w:rPr>
                <w:rFonts w:ascii="Arial" w:eastAsia="宋体" w:hAnsi="Arial" w:cs="Arial"/>
                <w:color w:val="000000"/>
                <w:sz w:val="18"/>
                <w:szCs w:val="18"/>
              </w:rPr>
              <w:t>Pre-tax gain on sale</w:t>
            </w:r>
          </w:p>
        </w:tc>
        <w:tc>
          <w:tcPr>
            <w:tcW w:w="0" w:type="auto"/>
            <w:gridSpan w:val="2"/>
            <w:shd w:val="clear" w:color="auto" w:fill="FFFFFF"/>
            <w:tcMar>
              <w:top w:w="40" w:type="dxa"/>
              <w:left w:w="20" w:type="dxa"/>
              <w:bottom w:w="40" w:type="dxa"/>
              <w:right w:w="0" w:type="dxa"/>
            </w:tcMar>
            <w:vAlign w:val="bottom"/>
          </w:tcPr>
          <w:p w14:paraId="185FFD8A"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D8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8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8D" w14:textId="77777777" w:rsidR="00A91885" w:rsidRDefault="009C4196">
            <w:pPr>
              <w:jc w:val="right"/>
              <w:textAlignment w:val="bottom"/>
            </w:pPr>
            <w:r>
              <w:rPr>
                <w:rFonts w:ascii="Arial" w:eastAsia="宋体" w:hAnsi="Arial" w:cs="Arial"/>
                <w:color w:val="000000"/>
                <w:sz w:val="18"/>
                <w:szCs w:val="18"/>
              </w:rPr>
              <w:t>12,524 </w:t>
            </w:r>
          </w:p>
        </w:tc>
        <w:tc>
          <w:tcPr>
            <w:tcW w:w="0" w:type="auto"/>
            <w:shd w:val="clear" w:color="auto" w:fill="FFFFFF"/>
            <w:tcMar>
              <w:top w:w="40" w:type="dxa"/>
              <w:left w:w="0" w:type="dxa"/>
              <w:bottom w:w="40" w:type="dxa"/>
              <w:right w:w="20" w:type="dxa"/>
            </w:tcMar>
            <w:vAlign w:val="bottom"/>
          </w:tcPr>
          <w:p w14:paraId="185FFD8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8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90"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D9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9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93" w14:textId="77777777" w:rsidR="00A91885" w:rsidRDefault="009C4196">
            <w:pPr>
              <w:jc w:val="right"/>
              <w:textAlignment w:val="bottom"/>
            </w:pPr>
            <w:r>
              <w:rPr>
                <w:rFonts w:ascii="Arial" w:eastAsia="宋体" w:hAnsi="Arial" w:cs="Arial"/>
                <w:color w:val="000000"/>
                <w:sz w:val="18"/>
                <w:szCs w:val="18"/>
              </w:rPr>
              <w:t>12,524 </w:t>
            </w:r>
          </w:p>
        </w:tc>
        <w:tc>
          <w:tcPr>
            <w:tcW w:w="0" w:type="auto"/>
            <w:shd w:val="clear" w:color="auto" w:fill="FFFFFF"/>
            <w:tcMar>
              <w:top w:w="40" w:type="dxa"/>
              <w:left w:w="0" w:type="dxa"/>
              <w:bottom w:w="40" w:type="dxa"/>
              <w:right w:w="20" w:type="dxa"/>
            </w:tcMar>
            <w:vAlign w:val="bottom"/>
          </w:tcPr>
          <w:p w14:paraId="185FFD94" w14:textId="77777777" w:rsidR="00A91885" w:rsidRDefault="00A91885">
            <w:pPr>
              <w:jc w:val="right"/>
              <w:rPr>
                <w:rFonts w:ascii="宋体"/>
              </w:rPr>
            </w:pPr>
          </w:p>
        </w:tc>
      </w:tr>
      <w:tr w:rsidR="00A91885" w14:paraId="185FFDA2" w14:textId="77777777">
        <w:tc>
          <w:tcPr>
            <w:tcW w:w="0" w:type="auto"/>
            <w:gridSpan w:val="3"/>
            <w:shd w:val="clear" w:color="auto" w:fill="E1E1E1"/>
            <w:tcMar>
              <w:top w:w="40" w:type="dxa"/>
              <w:left w:w="20" w:type="dxa"/>
              <w:bottom w:w="40" w:type="dxa"/>
              <w:right w:w="20" w:type="dxa"/>
            </w:tcMar>
            <w:vAlign w:val="bottom"/>
          </w:tcPr>
          <w:p w14:paraId="185FFD96" w14:textId="77777777" w:rsidR="00A91885" w:rsidRDefault="009C4196">
            <w:pPr>
              <w:textAlignment w:val="bottom"/>
            </w:pPr>
            <w:r>
              <w:rPr>
                <w:rFonts w:ascii="Arial" w:eastAsia="宋体" w:hAnsi="Arial" w:cs="Arial"/>
                <w:color w:val="000000"/>
                <w:sz w:val="18"/>
                <w:szCs w:val="18"/>
              </w:rPr>
              <w:t>Income (loss) from discontinued operations before income taxes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D97" w14:textId="77777777" w:rsidR="00A91885" w:rsidRDefault="009C4196">
            <w:pPr>
              <w:jc w:val="right"/>
              <w:textAlignment w:val="bottom"/>
            </w:pPr>
            <w:r>
              <w:rPr>
                <w:rFonts w:ascii="Arial" w:eastAsia="宋体" w:hAnsi="Arial" w:cs="Arial"/>
                <w:color w:val="000000"/>
                <w:sz w:val="18"/>
                <w:szCs w:val="18"/>
              </w:rPr>
              <w:t>7 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D98"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99"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D9A" w14:textId="77777777" w:rsidR="00A91885" w:rsidRDefault="009C4196">
            <w:pPr>
              <w:jc w:val="right"/>
              <w:textAlignment w:val="bottom"/>
            </w:pPr>
            <w:r>
              <w:rPr>
                <w:rFonts w:ascii="Arial" w:eastAsia="宋体" w:hAnsi="Arial" w:cs="Arial"/>
                <w:color w:val="000000"/>
                <w:sz w:val="18"/>
                <w:szCs w:val="18"/>
              </w:rPr>
              <w:t>12,581 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D9B"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9C"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D9D" w14:textId="77777777" w:rsidR="00A91885" w:rsidRDefault="009C4196">
            <w:pPr>
              <w:jc w:val="right"/>
              <w:textAlignment w:val="bottom"/>
            </w:pPr>
            <w:r>
              <w:rPr>
                <w:rFonts w:ascii="Arial" w:eastAsia="宋体" w:hAnsi="Arial" w:cs="Arial"/>
                <w:color w:val="000000"/>
                <w:sz w:val="18"/>
                <w:szCs w:val="18"/>
              </w:rPr>
              <w:t>7 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D9E"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9F"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DA0" w14:textId="77777777" w:rsidR="00A91885" w:rsidRDefault="009C4196">
            <w:pPr>
              <w:jc w:val="right"/>
              <w:textAlignment w:val="bottom"/>
            </w:pPr>
            <w:r>
              <w:rPr>
                <w:rFonts w:ascii="Arial" w:eastAsia="宋体" w:hAnsi="Arial" w:cs="Arial"/>
                <w:color w:val="000000"/>
                <w:sz w:val="18"/>
                <w:szCs w:val="18"/>
              </w:rPr>
              <w:t>12,669 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DA1" w14:textId="77777777" w:rsidR="00A91885" w:rsidRDefault="00A91885">
            <w:pPr>
              <w:jc w:val="right"/>
              <w:rPr>
                <w:rFonts w:ascii="宋体"/>
              </w:rPr>
            </w:pPr>
          </w:p>
        </w:tc>
      </w:tr>
      <w:tr w:rsidR="00A91885" w14:paraId="185FFDAF" w14:textId="77777777">
        <w:tc>
          <w:tcPr>
            <w:tcW w:w="0" w:type="auto"/>
            <w:gridSpan w:val="3"/>
            <w:shd w:val="clear" w:color="auto" w:fill="FFFFFF"/>
            <w:tcMar>
              <w:top w:w="40" w:type="dxa"/>
              <w:left w:w="20" w:type="dxa"/>
              <w:bottom w:w="40" w:type="dxa"/>
              <w:right w:w="20" w:type="dxa"/>
            </w:tcMar>
            <w:vAlign w:val="bottom"/>
          </w:tcPr>
          <w:p w14:paraId="185FFDA3" w14:textId="77777777" w:rsidR="00A91885" w:rsidRDefault="009C4196">
            <w:pPr>
              <w:textAlignment w:val="bottom"/>
            </w:pPr>
            <w:r>
              <w:rPr>
                <w:rFonts w:ascii="Arial" w:eastAsia="宋体" w:hAnsi="Arial" w:cs="Arial"/>
                <w:color w:val="000000"/>
                <w:sz w:val="18"/>
                <w:szCs w:val="18"/>
              </w:rPr>
              <w:t>Income tax provision</w:t>
            </w:r>
          </w:p>
        </w:tc>
        <w:tc>
          <w:tcPr>
            <w:tcW w:w="0" w:type="auto"/>
            <w:gridSpan w:val="2"/>
            <w:shd w:val="clear" w:color="auto" w:fill="FFFFFF"/>
            <w:tcMar>
              <w:top w:w="40" w:type="dxa"/>
              <w:left w:w="20" w:type="dxa"/>
              <w:bottom w:w="40" w:type="dxa"/>
              <w:right w:w="0" w:type="dxa"/>
            </w:tcMar>
            <w:vAlign w:val="bottom"/>
          </w:tcPr>
          <w:p w14:paraId="185FFDA4"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185FFDA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A6"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A7" w14:textId="77777777" w:rsidR="00A91885" w:rsidRDefault="009C4196">
            <w:pPr>
              <w:jc w:val="right"/>
              <w:textAlignment w:val="bottom"/>
            </w:pPr>
            <w:r>
              <w:rPr>
                <w:rFonts w:ascii="Arial" w:eastAsia="宋体" w:hAnsi="Arial" w:cs="Arial"/>
                <w:color w:val="000000"/>
                <w:sz w:val="18"/>
                <w:szCs w:val="18"/>
              </w:rPr>
              <w:t>(2,153)</w:t>
            </w:r>
          </w:p>
        </w:tc>
        <w:tc>
          <w:tcPr>
            <w:tcW w:w="0" w:type="auto"/>
            <w:shd w:val="clear" w:color="auto" w:fill="FFFFFF"/>
            <w:tcMar>
              <w:top w:w="40" w:type="dxa"/>
              <w:left w:w="0" w:type="dxa"/>
              <w:bottom w:w="40" w:type="dxa"/>
              <w:right w:w="20" w:type="dxa"/>
            </w:tcMar>
            <w:vAlign w:val="bottom"/>
          </w:tcPr>
          <w:p w14:paraId="185FFDA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A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AA"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185FFDA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DA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DAD" w14:textId="77777777" w:rsidR="00A91885" w:rsidRDefault="009C4196">
            <w:pPr>
              <w:jc w:val="right"/>
              <w:textAlignment w:val="bottom"/>
            </w:pPr>
            <w:r>
              <w:rPr>
                <w:rFonts w:ascii="Arial" w:eastAsia="宋体" w:hAnsi="Arial" w:cs="Arial"/>
                <w:color w:val="000000"/>
                <w:sz w:val="18"/>
                <w:szCs w:val="18"/>
              </w:rPr>
              <w:t>(2,169)</w:t>
            </w:r>
          </w:p>
        </w:tc>
        <w:tc>
          <w:tcPr>
            <w:tcW w:w="0" w:type="auto"/>
            <w:shd w:val="clear" w:color="auto" w:fill="FFFFFF"/>
            <w:tcMar>
              <w:top w:w="40" w:type="dxa"/>
              <w:left w:w="0" w:type="dxa"/>
              <w:bottom w:w="40" w:type="dxa"/>
              <w:right w:w="20" w:type="dxa"/>
            </w:tcMar>
            <w:vAlign w:val="bottom"/>
          </w:tcPr>
          <w:p w14:paraId="185FFDAE" w14:textId="77777777" w:rsidR="00A91885" w:rsidRDefault="00A91885">
            <w:pPr>
              <w:jc w:val="right"/>
              <w:rPr>
                <w:rFonts w:ascii="宋体"/>
              </w:rPr>
            </w:pPr>
          </w:p>
        </w:tc>
      </w:tr>
      <w:tr w:rsidR="00A91885" w14:paraId="185FFDC0" w14:textId="77777777">
        <w:tc>
          <w:tcPr>
            <w:tcW w:w="0" w:type="auto"/>
            <w:gridSpan w:val="3"/>
            <w:shd w:val="clear" w:color="auto" w:fill="E1E1E1"/>
            <w:tcMar>
              <w:top w:w="40" w:type="dxa"/>
              <w:left w:w="20" w:type="dxa"/>
              <w:bottom w:w="40" w:type="dxa"/>
              <w:right w:w="20" w:type="dxa"/>
            </w:tcMar>
            <w:vAlign w:val="bottom"/>
          </w:tcPr>
          <w:p w14:paraId="185FFDB0" w14:textId="77777777" w:rsidR="00A91885" w:rsidRDefault="009C4196">
            <w:pPr>
              <w:textAlignment w:val="bottom"/>
            </w:pPr>
            <w:r>
              <w:rPr>
                <w:rFonts w:ascii="Arial" w:eastAsia="宋体" w:hAnsi="Arial" w:cs="Arial"/>
                <w:color w:val="000000"/>
                <w:sz w:val="18"/>
                <w:szCs w:val="18"/>
              </w:rPr>
              <w:t>Income (loss) from discontinued operations, net of income taxes</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5FFDB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5FFDB2" w14:textId="77777777" w:rsidR="00A91885" w:rsidRDefault="009C4196">
            <w:pPr>
              <w:jc w:val="right"/>
              <w:textAlignment w:val="bottom"/>
            </w:pPr>
            <w:r>
              <w:rPr>
                <w:rFonts w:ascii="Arial" w:eastAsia="宋体" w:hAnsi="Arial" w:cs="Arial"/>
                <w:color w:val="000000"/>
                <w:sz w:val="18"/>
                <w:szCs w:val="18"/>
              </w:rPr>
              <w:t>5 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5FFDB3"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B4" w14:textId="77777777" w:rsidR="00A91885" w:rsidRDefault="00A91885">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5FFDB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5FFDB6" w14:textId="77777777" w:rsidR="00A91885" w:rsidRDefault="009C4196">
            <w:pPr>
              <w:jc w:val="right"/>
              <w:textAlignment w:val="bottom"/>
            </w:pPr>
            <w:r>
              <w:rPr>
                <w:rFonts w:ascii="Arial" w:eastAsia="宋体" w:hAnsi="Arial" w:cs="Arial"/>
                <w:color w:val="000000"/>
                <w:sz w:val="18"/>
                <w:szCs w:val="18"/>
              </w:rPr>
              <w:t>10,428 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5FFDB7"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B8" w14:textId="77777777" w:rsidR="00A91885" w:rsidRDefault="00A91885">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5FFDB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5FFDBA" w14:textId="77777777" w:rsidR="00A91885" w:rsidRDefault="009C4196">
            <w:pPr>
              <w:jc w:val="right"/>
              <w:textAlignment w:val="bottom"/>
            </w:pPr>
            <w:r>
              <w:rPr>
                <w:rFonts w:ascii="Arial" w:eastAsia="宋体" w:hAnsi="Arial" w:cs="Arial"/>
                <w:color w:val="000000"/>
                <w:sz w:val="18"/>
                <w:szCs w:val="18"/>
              </w:rPr>
              <w:t>5 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5FFDBB"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BC" w14:textId="77777777" w:rsidR="00A91885" w:rsidRDefault="00A91885">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5FFDB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5FFDBE" w14:textId="77777777" w:rsidR="00A91885" w:rsidRDefault="009C4196">
            <w:pPr>
              <w:jc w:val="right"/>
              <w:textAlignment w:val="bottom"/>
            </w:pPr>
            <w:r>
              <w:rPr>
                <w:rFonts w:ascii="Arial" w:eastAsia="宋体" w:hAnsi="Arial" w:cs="Arial"/>
                <w:color w:val="000000"/>
                <w:sz w:val="18"/>
                <w:szCs w:val="18"/>
              </w:rPr>
              <w:t>10,500 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5FFDBF" w14:textId="77777777" w:rsidR="00A91885" w:rsidRDefault="00A91885">
            <w:pPr>
              <w:jc w:val="right"/>
              <w:rPr>
                <w:rFonts w:ascii="宋体"/>
              </w:rPr>
            </w:pPr>
          </w:p>
        </w:tc>
      </w:tr>
    </w:tbl>
    <w:p w14:paraId="185FFDC1" w14:textId="77777777" w:rsidR="00A91885" w:rsidRDefault="009C4196">
      <w:pPr>
        <w:ind w:hanging="180"/>
        <w:jc w:val="both"/>
      </w:pPr>
      <w:r>
        <w:rPr>
          <w:rFonts w:ascii="Arial" w:eastAsia="宋体" w:hAnsi="Arial" w:cs="Arial"/>
          <w:color w:val="000000"/>
          <w:sz w:val="13"/>
          <w:szCs w:val="13"/>
        </w:rPr>
        <w:t>(1)</w:t>
      </w:r>
      <w:r>
        <w:rPr>
          <w:rFonts w:ascii="Arial" w:eastAsia="宋体" w:hAnsi="Arial" w:cs="Arial"/>
          <w:color w:val="000000"/>
          <w:sz w:val="16"/>
          <w:szCs w:val="16"/>
        </w:rPr>
        <w:t xml:space="preserve"> Includes Classifieds financial results through the transaction close on June 24, 2021 and includes the gain</w:t>
      </w:r>
      <w:r>
        <w:rPr>
          <w:rFonts w:ascii="Arial" w:eastAsia="宋体" w:hAnsi="Arial" w:cs="Arial"/>
          <w:color w:val="000000"/>
          <w:sz w:val="16"/>
          <w:szCs w:val="16"/>
        </w:rPr>
        <w:t xml:space="preserve"> on sale recorded for the Classifieds transaction.</w:t>
      </w:r>
    </w:p>
    <w:p w14:paraId="185FFDC2" w14:textId="77777777" w:rsidR="00A91885" w:rsidRDefault="00A91885">
      <w:pPr>
        <w:ind w:hanging="180"/>
        <w:jc w:val="both"/>
      </w:pPr>
    </w:p>
    <w:p w14:paraId="185FFDC3" w14:textId="77777777" w:rsidR="00A91885" w:rsidRDefault="00A91885">
      <w:pPr>
        <w:jc w:val="center"/>
      </w:pPr>
    </w:p>
    <w:p w14:paraId="185FFDC4" w14:textId="77777777" w:rsidR="00A91885" w:rsidRDefault="009C4196">
      <w:pPr>
        <w:jc w:val="center"/>
      </w:pPr>
      <w:r>
        <w:rPr>
          <w:rFonts w:ascii="Arial" w:eastAsia="宋体" w:hAnsi="Arial" w:cs="Arial"/>
          <w:color w:val="000000"/>
          <w:sz w:val="20"/>
          <w:szCs w:val="20"/>
        </w:rPr>
        <w:t>14</w:t>
      </w:r>
    </w:p>
    <w:p w14:paraId="185FFDC5" w14:textId="77777777" w:rsidR="00A91885" w:rsidRDefault="009C4196">
      <w:r>
        <w:pict w14:anchorId="18602191">
          <v:rect id="_x0000_i1038" style="width:415.3pt;height:1.5pt" o:hralign="center" o:hrstd="t" o:hr="t" fillcolor="#a0a0a0" stroked="f"/>
        </w:pict>
      </w:r>
    </w:p>
    <w:p w14:paraId="185FFDC6" w14:textId="77777777" w:rsidR="00A91885" w:rsidRDefault="009C4196">
      <w:hyperlink r:id="rId98" w:anchor="ieb971428a625452486c65ae24899afca_7" w:history="1">
        <w:r>
          <w:rPr>
            <w:rStyle w:val="a5"/>
            <w:rFonts w:ascii="Arial" w:eastAsia="宋体" w:hAnsi="Arial" w:cs="Arial"/>
            <w:sz w:val="18"/>
            <w:szCs w:val="18"/>
          </w:rPr>
          <w:t>Table of Contents</w:t>
        </w:r>
      </w:hyperlink>
    </w:p>
    <w:p w14:paraId="185FFDC7" w14:textId="77777777" w:rsidR="00A91885" w:rsidRDefault="009C4196">
      <w:pPr>
        <w:jc w:val="center"/>
      </w:pPr>
      <w:r>
        <w:rPr>
          <w:rFonts w:ascii="Arial" w:eastAsia="宋体" w:hAnsi="Arial" w:cs="Arial"/>
          <w:b/>
          <w:bCs/>
          <w:color w:val="000000"/>
          <w:sz w:val="20"/>
          <w:szCs w:val="20"/>
        </w:rPr>
        <w:t>eBay Inc.</w:t>
      </w:r>
    </w:p>
    <w:p w14:paraId="185FFDC8"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5FFDC9" w14:textId="77777777" w:rsidR="00A91885" w:rsidRDefault="009C4196">
      <w:pPr>
        <w:spacing w:before="60"/>
        <w:ind w:firstLine="270"/>
        <w:jc w:val="both"/>
      </w:pPr>
      <w:r>
        <w:rPr>
          <w:rFonts w:ascii="Arial" w:eastAsia="宋体" w:hAnsi="Arial" w:cs="Arial"/>
          <w:b/>
          <w:bCs/>
          <w:i/>
          <w:iCs/>
          <w:color w:val="000000"/>
          <w:sz w:val="20"/>
          <w:szCs w:val="20"/>
        </w:rPr>
        <w:t xml:space="preserve">eBay </w:t>
      </w:r>
      <w:r>
        <w:rPr>
          <w:rFonts w:ascii="Arial" w:eastAsia="宋体" w:hAnsi="Arial" w:cs="Arial"/>
          <w:b/>
          <w:bCs/>
          <w:i/>
          <w:iCs/>
          <w:color w:val="000000"/>
          <w:sz w:val="20"/>
          <w:szCs w:val="20"/>
        </w:rPr>
        <w:t>Korea</w:t>
      </w:r>
    </w:p>
    <w:p w14:paraId="185FFDCA" w14:textId="77777777" w:rsidR="00A91885" w:rsidRDefault="00A91885">
      <w:pPr>
        <w:ind w:firstLine="270"/>
        <w:jc w:val="both"/>
      </w:pPr>
    </w:p>
    <w:p w14:paraId="185FFDCB" w14:textId="77777777" w:rsidR="00A91885" w:rsidRDefault="009C4196">
      <w:pPr>
        <w:spacing w:after="120"/>
        <w:ind w:firstLine="540"/>
        <w:jc w:val="both"/>
      </w:pPr>
      <w:r>
        <w:rPr>
          <w:rFonts w:ascii="Arial" w:eastAsia="宋体" w:hAnsi="Arial" w:cs="Arial"/>
          <w:color w:val="000000"/>
          <w:sz w:val="20"/>
          <w:szCs w:val="20"/>
        </w:rPr>
        <w:t>The financial results of eBay Korea were presented as income (loss) from discontinued operations, net of income taxes on our condensed consolidated statement of income through November 14, 2021, when the sale of eBay Korea was completed. The followi</w:t>
      </w:r>
      <w:r>
        <w:rPr>
          <w:rFonts w:ascii="Arial" w:eastAsia="宋体" w:hAnsi="Arial" w:cs="Arial"/>
          <w:color w:val="000000"/>
          <w:sz w:val="20"/>
          <w:szCs w:val="20"/>
        </w:rPr>
        <w:t>ng table presents the financial results of eBay Korea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426"/>
        <w:gridCol w:w="39"/>
        <w:gridCol w:w="122"/>
        <w:gridCol w:w="718"/>
        <w:gridCol w:w="37"/>
        <w:gridCol w:w="36"/>
        <w:gridCol w:w="36"/>
        <w:gridCol w:w="36"/>
        <w:gridCol w:w="121"/>
        <w:gridCol w:w="719"/>
        <w:gridCol w:w="36"/>
        <w:gridCol w:w="36"/>
        <w:gridCol w:w="36"/>
        <w:gridCol w:w="36"/>
        <w:gridCol w:w="122"/>
        <w:gridCol w:w="719"/>
        <w:gridCol w:w="37"/>
        <w:gridCol w:w="36"/>
        <w:gridCol w:w="36"/>
        <w:gridCol w:w="36"/>
        <w:gridCol w:w="121"/>
        <w:gridCol w:w="719"/>
        <w:gridCol w:w="36"/>
      </w:tblGrid>
      <w:tr w:rsidR="00A91885" w14:paraId="185FFDE4" w14:textId="77777777">
        <w:tc>
          <w:tcPr>
            <w:tcW w:w="50" w:type="pct"/>
            <w:shd w:val="clear" w:color="auto" w:fill="auto"/>
            <w:vAlign w:val="bottom"/>
          </w:tcPr>
          <w:p w14:paraId="185FFDCC" w14:textId="77777777" w:rsidR="00A91885" w:rsidRDefault="00A91885">
            <w:pPr>
              <w:rPr>
                <w:rFonts w:ascii="宋体"/>
              </w:rPr>
            </w:pPr>
          </w:p>
        </w:tc>
        <w:tc>
          <w:tcPr>
            <w:tcW w:w="2722" w:type="pct"/>
            <w:shd w:val="clear" w:color="auto" w:fill="auto"/>
            <w:vAlign w:val="bottom"/>
          </w:tcPr>
          <w:p w14:paraId="185FFDCD" w14:textId="77777777" w:rsidR="00A91885" w:rsidRDefault="00A91885">
            <w:pPr>
              <w:rPr>
                <w:rFonts w:ascii="宋体"/>
              </w:rPr>
            </w:pPr>
          </w:p>
        </w:tc>
        <w:tc>
          <w:tcPr>
            <w:tcW w:w="5" w:type="pct"/>
            <w:shd w:val="clear" w:color="auto" w:fill="auto"/>
            <w:vAlign w:val="bottom"/>
          </w:tcPr>
          <w:p w14:paraId="185FFDCE" w14:textId="77777777" w:rsidR="00A91885" w:rsidRDefault="00A91885">
            <w:pPr>
              <w:rPr>
                <w:rFonts w:ascii="宋体"/>
              </w:rPr>
            </w:pPr>
          </w:p>
        </w:tc>
        <w:tc>
          <w:tcPr>
            <w:tcW w:w="50" w:type="pct"/>
            <w:shd w:val="clear" w:color="auto" w:fill="auto"/>
            <w:vAlign w:val="bottom"/>
          </w:tcPr>
          <w:p w14:paraId="185FFDCF" w14:textId="77777777" w:rsidR="00A91885" w:rsidRDefault="00A91885">
            <w:pPr>
              <w:rPr>
                <w:rFonts w:ascii="宋体"/>
              </w:rPr>
            </w:pPr>
          </w:p>
        </w:tc>
        <w:tc>
          <w:tcPr>
            <w:tcW w:w="478" w:type="pct"/>
            <w:shd w:val="clear" w:color="auto" w:fill="auto"/>
            <w:vAlign w:val="bottom"/>
          </w:tcPr>
          <w:p w14:paraId="185FFDD0" w14:textId="77777777" w:rsidR="00A91885" w:rsidRDefault="00A91885">
            <w:pPr>
              <w:rPr>
                <w:rFonts w:ascii="宋体"/>
              </w:rPr>
            </w:pPr>
          </w:p>
        </w:tc>
        <w:tc>
          <w:tcPr>
            <w:tcW w:w="5" w:type="pct"/>
            <w:shd w:val="clear" w:color="auto" w:fill="auto"/>
            <w:vAlign w:val="bottom"/>
          </w:tcPr>
          <w:p w14:paraId="185FFDD1" w14:textId="77777777" w:rsidR="00A91885" w:rsidRDefault="00A91885">
            <w:pPr>
              <w:rPr>
                <w:rFonts w:ascii="宋体"/>
              </w:rPr>
            </w:pPr>
          </w:p>
        </w:tc>
        <w:tc>
          <w:tcPr>
            <w:tcW w:w="5" w:type="pct"/>
            <w:shd w:val="clear" w:color="auto" w:fill="auto"/>
            <w:vAlign w:val="bottom"/>
          </w:tcPr>
          <w:p w14:paraId="185FFDD2" w14:textId="77777777" w:rsidR="00A91885" w:rsidRDefault="00A91885">
            <w:pPr>
              <w:rPr>
                <w:rFonts w:ascii="宋体"/>
              </w:rPr>
            </w:pPr>
          </w:p>
        </w:tc>
        <w:tc>
          <w:tcPr>
            <w:tcW w:w="19" w:type="pct"/>
            <w:shd w:val="clear" w:color="auto" w:fill="auto"/>
            <w:vAlign w:val="bottom"/>
          </w:tcPr>
          <w:p w14:paraId="185FFDD3" w14:textId="77777777" w:rsidR="00A91885" w:rsidRDefault="00A91885">
            <w:pPr>
              <w:rPr>
                <w:rFonts w:ascii="宋体"/>
              </w:rPr>
            </w:pPr>
          </w:p>
        </w:tc>
        <w:tc>
          <w:tcPr>
            <w:tcW w:w="5" w:type="pct"/>
            <w:shd w:val="clear" w:color="auto" w:fill="auto"/>
            <w:vAlign w:val="bottom"/>
          </w:tcPr>
          <w:p w14:paraId="185FFDD4" w14:textId="77777777" w:rsidR="00A91885" w:rsidRDefault="00A91885">
            <w:pPr>
              <w:rPr>
                <w:rFonts w:ascii="宋体"/>
              </w:rPr>
            </w:pPr>
          </w:p>
        </w:tc>
        <w:tc>
          <w:tcPr>
            <w:tcW w:w="50" w:type="pct"/>
            <w:shd w:val="clear" w:color="auto" w:fill="auto"/>
            <w:vAlign w:val="bottom"/>
          </w:tcPr>
          <w:p w14:paraId="185FFDD5" w14:textId="77777777" w:rsidR="00A91885" w:rsidRDefault="00A91885">
            <w:pPr>
              <w:rPr>
                <w:rFonts w:ascii="宋体"/>
              </w:rPr>
            </w:pPr>
          </w:p>
        </w:tc>
        <w:tc>
          <w:tcPr>
            <w:tcW w:w="478" w:type="pct"/>
            <w:shd w:val="clear" w:color="auto" w:fill="auto"/>
            <w:vAlign w:val="bottom"/>
          </w:tcPr>
          <w:p w14:paraId="185FFDD6" w14:textId="77777777" w:rsidR="00A91885" w:rsidRDefault="00A91885">
            <w:pPr>
              <w:rPr>
                <w:rFonts w:ascii="宋体"/>
              </w:rPr>
            </w:pPr>
          </w:p>
        </w:tc>
        <w:tc>
          <w:tcPr>
            <w:tcW w:w="5" w:type="pct"/>
            <w:shd w:val="clear" w:color="auto" w:fill="auto"/>
            <w:vAlign w:val="bottom"/>
          </w:tcPr>
          <w:p w14:paraId="185FFDD7" w14:textId="77777777" w:rsidR="00A91885" w:rsidRDefault="00A91885">
            <w:pPr>
              <w:rPr>
                <w:rFonts w:ascii="宋体"/>
              </w:rPr>
            </w:pPr>
          </w:p>
        </w:tc>
        <w:tc>
          <w:tcPr>
            <w:tcW w:w="5" w:type="pct"/>
            <w:shd w:val="clear" w:color="auto" w:fill="auto"/>
            <w:vAlign w:val="bottom"/>
          </w:tcPr>
          <w:p w14:paraId="185FFDD8" w14:textId="77777777" w:rsidR="00A91885" w:rsidRDefault="00A91885">
            <w:pPr>
              <w:rPr>
                <w:rFonts w:ascii="宋体"/>
              </w:rPr>
            </w:pPr>
          </w:p>
        </w:tc>
        <w:tc>
          <w:tcPr>
            <w:tcW w:w="19" w:type="pct"/>
            <w:shd w:val="clear" w:color="auto" w:fill="auto"/>
            <w:vAlign w:val="bottom"/>
          </w:tcPr>
          <w:p w14:paraId="185FFDD9" w14:textId="77777777" w:rsidR="00A91885" w:rsidRDefault="00A91885">
            <w:pPr>
              <w:rPr>
                <w:rFonts w:ascii="宋体"/>
              </w:rPr>
            </w:pPr>
          </w:p>
        </w:tc>
        <w:tc>
          <w:tcPr>
            <w:tcW w:w="5" w:type="pct"/>
            <w:shd w:val="clear" w:color="auto" w:fill="auto"/>
            <w:vAlign w:val="bottom"/>
          </w:tcPr>
          <w:p w14:paraId="185FFDDA" w14:textId="77777777" w:rsidR="00A91885" w:rsidRDefault="00A91885">
            <w:pPr>
              <w:rPr>
                <w:rFonts w:ascii="宋体"/>
              </w:rPr>
            </w:pPr>
          </w:p>
        </w:tc>
        <w:tc>
          <w:tcPr>
            <w:tcW w:w="50" w:type="pct"/>
            <w:shd w:val="clear" w:color="auto" w:fill="auto"/>
            <w:vAlign w:val="bottom"/>
          </w:tcPr>
          <w:p w14:paraId="185FFDDB" w14:textId="77777777" w:rsidR="00A91885" w:rsidRDefault="00A91885">
            <w:pPr>
              <w:rPr>
                <w:rFonts w:ascii="宋体"/>
              </w:rPr>
            </w:pPr>
          </w:p>
        </w:tc>
        <w:tc>
          <w:tcPr>
            <w:tcW w:w="478" w:type="pct"/>
            <w:shd w:val="clear" w:color="auto" w:fill="auto"/>
            <w:vAlign w:val="bottom"/>
          </w:tcPr>
          <w:p w14:paraId="185FFDDC" w14:textId="77777777" w:rsidR="00A91885" w:rsidRDefault="00A91885">
            <w:pPr>
              <w:rPr>
                <w:rFonts w:ascii="宋体"/>
              </w:rPr>
            </w:pPr>
          </w:p>
        </w:tc>
        <w:tc>
          <w:tcPr>
            <w:tcW w:w="5" w:type="pct"/>
            <w:shd w:val="clear" w:color="auto" w:fill="auto"/>
            <w:vAlign w:val="bottom"/>
          </w:tcPr>
          <w:p w14:paraId="185FFDDD" w14:textId="77777777" w:rsidR="00A91885" w:rsidRDefault="00A91885">
            <w:pPr>
              <w:rPr>
                <w:rFonts w:ascii="宋体"/>
              </w:rPr>
            </w:pPr>
          </w:p>
        </w:tc>
        <w:tc>
          <w:tcPr>
            <w:tcW w:w="5" w:type="pct"/>
            <w:shd w:val="clear" w:color="auto" w:fill="auto"/>
            <w:vAlign w:val="bottom"/>
          </w:tcPr>
          <w:p w14:paraId="185FFDDE" w14:textId="77777777" w:rsidR="00A91885" w:rsidRDefault="00A91885">
            <w:pPr>
              <w:rPr>
                <w:rFonts w:ascii="宋体"/>
              </w:rPr>
            </w:pPr>
          </w:p>
        </w:tc>
        <w:tc>
          <w:tcPr>
            <w:tcW w:w="19" w:type="pct"/>
            <w:shd w:val="clear" w:color="auto" w:fill="auto"/>
            <w:vAlign w:val="bottom"/>
          </w:tcPr>
          <w:p w14:paraId="185FFDDF" w14:textId="77777777" w:rsidR="00A91885" w:rsidRDefault="00A91885">
            <w:pPr>
              <w:rPr>
                <w:rFonts w:ascii="宋体"/>
              </w:rPr>
            </w:pPr>
          </w:p>
        </w:tc>
        <w:tc>
          <w:tcPr>
            <w:tcW w:w="5" w:type="pct"/>
            <w:shd w:val="clear" w:color="auto" w:fill="auto"/>
            <w:vAlign w:val="bottom"/>
          </w:tcPr>
          <w:p w14:paraId="185FFDE0" w14:textId="77777777" w:rsidR="00A91885" w:rsidRDefault="00A91885">
            <w:pPr>
              <w:rPr>
                <w:rFonts w:ascii="宋体"/>
              </w:rPr>
            </w:pPr>
          </w:p>
        </w:tc>
        <w:tc>
          <w:tcPr>
            <w:tcW w:w="50" w:type="pct"/>
            <w:shd w:val="clear" w:color="auto" w:fill="auto"/>
            <w:vAlign w:val="bottom"/>
          </w:tcPr>
          <w:p w14:paraId="185FFDE1" w14:textId="77777777" w:rsidR="00A91885" w:rsidRDefault="00A91885">
            <w:pPr>
              <w:rPr>
                <w:rFonts w:ascii="宋体"/>
              </w:rPr>
            </w:pPr>
          </w:p>
        </w:tc>
        <w:tc>
          <w:tcPr>
            <w:tcW w:w="478" w:type="pct"/>
            <w:shd w:val="clear" w:color="auto" w:fill="auto"/>
            <w:vAlign w:val="bottom"/>
          </w:tcPr>
          <w:p w14:paraId="185FFDE2" w14:textId="77777777" w:rsidR="00A91885" w:rsidRDefault="00A91885">
            <w:pPr>
              <w:rPr>
                <w:rFonts w:ascii="宋体"/>
              </w:rPr>
            </w:pPr>
          </w:p>
        </w:tc>
        <w:tc>
          <w:tcPr>
            <w:tcW w:w="5" w:type="pct"/>
            <w:shd w:val="clear" w:color="auto" w:fill="auto"/>
            <w:vAlign w:val="bottom"/>
          </w:tcPr>
          <w:p w14:paraId="185FFDE3" w14:textId="77777777" w:rsidR="00A91885" w:rsidRDefault="00A91885">
            <w:pPr>
              <w:rPr>
                <w:rFonts w:ascii="宋体"/>
              </w:rPr>
            </w:pPr>
          </w:p>
        </w:tc>
      </w:tr>
      <w:tr w:rsidR="00A91885" w14:paraId="185FFDE9" w14:textId="77777777">
        <w:tc>
          <w:tcPr>
            <w:tcW w:w="0" w:type="auto"/>
            <w:gridSpan w:val="3"/>
            <w:shd w:val="clear" w:color="auto" w:fill="auto"/>
            <w:tcMar>
              <w:top w:w="40" w:type="dxa"/>
              <w:left w:w="20" w:type="dxa"/>
              <w:bottom w:w="40" w:type="dxa"/>
              <w:right w:w="20" w:type="dxa"/>
            </w:tcMar>
            <w:vAlign w:val="bottom"/>
          </w:tcPr>
          <w:p w14:paraId="185FFDE5" w14:textId="77777777" w:rsidR="00A91885" w:rsidRDefault="009C4196">
            <w:pPr>
              <w:textAlignment w:val="bottom"/>
            </w:pPr>
            <w:r>
              <w:rPr>
                <w:rFonts w:ascii="Arial" w:eastAsia="宋体" w:hAnsi="Arial" w:cs="Arial"/>
                <w:b/>
                <w:bCs/>
                <w:color w:val="000000"/>
                <w:sz w:val="18"/>
                <w:szCs w:val="18"/>
              </w:rPr>
              <w:t> </w:t>
            </w:r>
          </w:p>
        </w:tc>
        <w:tc>
          <w:tcPr>
            <w:tcW w:w="0" w:type="auto"/>
            <w:gridSpan w:val="9"/>
            <w:shd w:val="clear" w:color="auto" w:fill="auto"/>
            <w:tcMar>
              <w:top w:w="40" w:type="dxa"/>
              <w:left w:w="20" w:type="dxa"/>
              <w:bottom w:w="40" w:type="dxa"/>
              <w:right w:w="20" w:type="dxa"/>
            </w:tcMar>
            <w:vAlign w:val="bottom"/>
          </w:tcPr>
          <w:p w14:paraId="185FFDE6"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5FFDE7"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5FFDE8"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5FFDF2" w14:textId="77777777">
        <w:tc>
          <w:tcPr>
            <w:tcW w:w="0" w:type="auto"/>
            <w:gridSpan w:val="3"/>
            <w:shd w:val="clear" w:color="auto" w:fill="auto"/>
            <w:tcMar>
              <w:top w:w="40" w:type="dxa"/>
              <w:left w:w="20" w:type="dxa"/>
              <w:bottom w:w="40" w:type="dxa"/>
              <w:right w:w="20" w:type="dxa"/>
            </w:tcMar>
            <w:vAlign w:val="bottom"/>
          </w:tcPr>
          <w:p w14:paraId="185FFDEA" w14:textId="77777777" w:rsidR="00A91885" w:rsidRDefault="009C4196">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DEB"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DEC"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DED"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5FFDEE"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DEF"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DF0"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DF1"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5FFE03" w14:textId="77777777">
        <w:tc>
          <w:tcPr>
            <w:tcW w:w="0" w:type="auto"/>
            <w:gridSpan w:val="3"/>
            <w:shd w:val="clear" w:color="auto" w:fill="E1E1E1"/>
            <w:tcMar>
              <w:top w:w="40" w:type="dxa"/>
              <w:left w:w="20" w:type="dxa"/>
              <w:bottom w:w="40" w:type="dxa"/>
              <w:right w:w="20" w:type="dxa"/>
            </w:tcMar>
            <w:vAlign w:val="bottom"/>
          </w:tcPr>
          <w:p w14:paraId="185FFDF3" w14:textId="77777777" w:rsidR="00A91885" w:rsidRDefault="009C4196">
            <w:pPr>
              <w:textAlignment w:val="bottom"/>
            </w:pPr>
            <w:r>
              <w:rPr>
                <w:rFonts w:ascii="Arial" w:eastAsia="宋体" w:hAnsi="Arial" w:cs="Arial"/>
                <w:color w:val="000000"/>
                <w:sz w:val="18"/>
                <w:szCs w:val="18"/>
              </w:rPr>
              <w:t>Net revenues</w:t>
            </w:r>
          </w:p>
        </w:tc>
        <w:tc>
          <w:tcPr>
            <w:tcW w:w="0" w:type="auto"/>
            <w:tcBorders>
              <w:top w:val="single" w:sz="8" w:space="0" w:color="000000"/>
            </w:tcBorders>
            <w:shd w:val="clear" w:color="auto" w:fill="E1E1E1"/>
            <w:tcMar>
              <w:top w:w="40" w:type="dxa"/>
              <w:left w:w="20" w:type="dxa"/>
              <w:bottom w:w="40" w:type="dxa"/>
              <w:right w:w="0" w:type="dxa"/>
            </w:tcMar>
            <w:vAlign w:val="bottom"/>
          </w:tcPr>
          <w:p w14:paraId="185FFDF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5FFDF5"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DF6"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F7"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5FFDF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5FFDF9" w14:textId="77777777" w:rsidR="00A91885" w:rsidRDefault="009C4196">
            <w:pPr>
              <w:jc w:val="right"/>
              <w:textAlignment w:val="bottom"/>
            </w:pPr>
            <w:r>
              <w:rPr>
                <w:rFonts w:ascii="Arial" w:eastAsia="宋体" w:hAnsi="Arial" w:cs="Arial"/>
                <w:color w:val="000000"/>
                <w:sz w:val="18"/>
                <w:szCs w:val="18"/>
              </w:rPr>
              <w:t>398 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DFA"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FB"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5FFDF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5FFDFD"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DFE"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DFF"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5FFE0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5FFE01" w14:textId="77777777" w:rsidR="00A91885" w:rsidRDefault="009C4196">
            <w:pPr>
              <w:jc w:val="right"/>
              <w:textAlignment w:val="bottom"/>
            </w:pPr>
            <w:r>
              <w:rPr>
                <w:rFonts w:ascii="Arial" w:eastAsia="宋体" w:hAnsi="Arial" w:cs="Arial"/>
                <w:color w:val="000000"/>
                <w:sz w:val="18"/>
                <w:szCs w:val="18"/>
              </w:rPr>
              <w:t>783 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E02" w14:textId="77777777" w:rsidR="00A91885" w:rsidRDefault="00A91885">
            <w:pPr>
              <w:jc w:val="right"/>
              <w:rPr>
                <w:rFonts w:ascii="宋体"/>
              </w:rPr>
            </w:pPr>
          </w:p>
        </w:tc>
      </w:tr>
      <w:tr w:rsidR="00A91885" w14:paraId="185FFE10" w14:textId="77777777">
        <w:tc>
          <w:tcPr>
            <w:tcW w:w="0" w:type="auto"/>
            <w:gridSpan w:val="3"/>
            <w:shd w:val="clear" w:color="auto" w:fill="FFFFFF"/>
            <w:tcMar>
              <w:top w:w="40" w:type="dxa"/>
              <w:left w:w="20" w:type="dxa"/>
              <w:bottom w:w="40" w:type="dxa"/>
              <w:right w:w="20" w:type="dxa"/>
            </w:tcMar>
            <w:vAlign w:val="bottom"/>
          </w:tcPr>
          <w:p w14:paraId="185FFE04" w14:textId="77777777" w:rsidR="00A91885" w:rsidRDefault="009C4196">
            <w:pPr>
              <w:textAlignment w:val="bottom"/>
            </w:pPr>
            <w:r>
              <w:rPr>
                <w:rFonts w:ascii="Arial" w:eastAsia="宋体" w:hAnsi="Arial" w:cs="Arial"/>
                <w:color w:val="000000"/>
                <w:sz w:val="18"/>
                <w:szCs w:val="18"/>
              </w:rPr>
              <w:t>Cost of net revenues</w:t>
            </w:r>
          </w:p>
        </w:tc>
        <w:tc>
          <w:tcPr>
            <w:tcW w:w="0" w:type="auto"/>
            <w:gridSpan w:val="2"/>
            <w:shd w:val="clear" w:color="auto" w:fill="FFFFFF"/>
            <w:tcMar>
              <w:top w:w="40" w:type="dxa"/>
              <w:left w:w="20" w:type="dxa"/>
              <w:bottom w:w="40" w:type="dxa"/>
              <w:right w:w="0" w:type="dxa"/>
            </w:tcMar>
            <w:vAlign w:val="bottom"/>
          </w:tcPr>
          <w:p w14:paraId="185FFE05"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E0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E0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E08" w14:textId="77777777" w:rsidR="00A91885" w:rsidRDefault="009C4196">
            <w:pPr>
              <w:jc w:val="right"/>
              <w:textAlignment w:val="bottom"/>
            </w:pPr>
            <w:r>
              <w:rPr>
                <w:rFonts w:ascii="Arial" w:eastAsia="宋体" w:hAnsi="Arial" w:cs="Arial"/>
                <w:color w:val="000000"/>
                <w:sz w:val="18"/>
                <w:szCs w:val="18"/>
              </w:rPr>
              <w:t>229 </w:t>
            </w:r>
          </w:p>
        </w:tc>
        <w:tc>
          <w:tcPr>
            <w:tcW w:w="0" w:type="auto"/>
            <w:shd w:val="clear" w:color="auto" w:fill="FFFFFF"/>
            <w:tcMar>
              <w:top w:w="40" w:type="dxa"/>
              <w:left w:w="0" w:type="dxa"/>
              <w:bottom w:w="40" w:type="dxa"/>
              <w:right w:w="20" w:type="dxa"/>
            </w:tcMar>
            <w:vAlign w:val="bottom"/>
          </w:tcPr>
          <w:p w14:paraId="185FFE0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E0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E0B"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E0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E0D"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E0E" w14:textId="77777777" w:rsidR="00A91885" w:rsidRDefault="009C4196">
            <w:pPr>
              <w:jc w:val="right"/>
              <w:textAlignment w:val="bottom"/>
            </w:pPr>
            <w:r>
              <w:rPr>
                <w:rFonts w:ascii="Arial" w:eastAsia="宋体" w:hAnsi="Arial" w:cs="Arial"/>
                <w:color w:val="000000"/>
                <w:sz w:val="18"/>
                <w:szCs w:val="18"/>
              </w:rPr>
              <w:t>446 </w:t>
            </w:r>
          </w:p>
        </w:tc>
        <w:tc>
          <w:tcPr>
            <w:tcW w:w="0" w:type="auto"/>
            <w:shd w:val="clear" w:color="auto" w:fill="FFFFFF"/>
            <w:tcMar>
              <w:top w:w="40" w:type="dxa"/>
              <w:left w:w="0" w:type="dxa"/>
              <w:bottom w:w="40" w:type="dxa"/>
              <w:right w:w="20" w:type="dxa"/>
            </w:tcMar>
            <w:vAlign w:val="bottom"/>
          </w:tcPr>
          <w:p w14:paraId="185FFE0F" w14:textId="77777777" w:rsidR="00A91885" w:rsidRDefault="00A91885">
            <w:pPr>
              <w:jc w:val="right"/>
              <w:rPr>
                <w:rFonts w:ascii="宋体"/>
              </w:rPr>
            </w:pPr>
          </w:p>
        </w:tc>
      </w:tr>
      <w:tr w:rsidR="00A91885" w14:paraId="185FFE1D" w14:textId="77777777">
        <w:tc>
          <w:tcPr>
            <w:tcW w:w="0" w:type="auto"/>
            <w:gridSpan w:val="3"/>
            <w:shd w:val="clear" w:color="auto" w:fill="E1E1E1"/>
            <w:tcMar>
              <w:top w:w="40" w:type="dxa"/>
              <w:left w:w="875" w:type="dxa"/>
              <w:bottom w:w="40" w:type="dxa"/>
              <w:right w:w="20" w:type="dxa"/>
            </w:tcMar>
            <w:vAlign w:val="bottom"/>
          </w:tcPr>
          <w:p w14:paraId="185FFE11" w14:textId="77777777" w:rsidR="00A91885" w:rsidRDefault="009C4196">
            <w:pPr>
              <w:textAlignment w:val="bottom"/>
            </w:pPr>
            <w:r>
              <w:rPr>
                <w:rFonts w:ascii="Arial" w:eastAsia="宋体" w:hAnsi="Arial" w:cs="Arial"/>
                <w:color w:val="000000"/>
                <w:sz w:val="18"/>
                <w:szCs w:val="18"/>
              </w:rPr>
              <w:t>Gross profit</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E12"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E13"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14"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E15" w14:textId="77777777" w:rsidR="00A91885" w:rsidRDefault="009C4196">
            <w:pPr>
              <w:jc w:val="right"/>
              <w:textAlignment w:val="bottom"/>
            </w:pPr>
            <w:r>
              <w:rPr>
                <w:rFonts w:ascii="Arial" w:eastAsia="宋体" w:hAnsi="Arial" w:cs="Arial"/>
                <w:color w:val="000000"/>
                <w:sz w:val="18"/>
                <w:szCs w:val="18"/>
              </w:rPr>
              <w:t>169 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E16"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17"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E18"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E19"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1A"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E1B" w14:textId="77777777" w:rsidR="00A91885" w:rsidRDefault="009C4196">
            <w:pPr>
              <w:jc w:val="right"/>
              <w:textAlignment w:val="bottom"/>
            </w:pPr>
            <w:r>
              <w:rPr>
                <w:rFonts w:ascii="Arial" w:eastAsia="宋体" w:hAnsi="Arial" w:cs="Arial"/>
                <w:color w:val="000000"/>
                <w:sz w:val="18"/>
                <w:szCs w:val="18"/>
              </w:rPr>
              <w:t>337 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E1C" w14:textId="77777777" w:rsidR="00A91885" w:rsidRDefault="00A91885">
            <w:pPr>
              <w:jc w:val="right"/>
              <w:rPr>
                <w:rFonts w:ascii="宋体"/>
              </w:rPr>
            </w:pPr>
          </w:p>
        </w:tc>
      </w:tr>
      <w:tr w:rsidR="00A91885" w14:paraId="185FFE26" w14:textId="77777777">
        <w:tc>
          <w:tcPr>
            <w:tcW w:w="0" w:type="auto"/>
            <w:gridSpan w:val="3"/>
            <w:shd w:val="clear" w:color="auto" w:fill="FFFFFF"/>
            <w:tcMar>
              <w:top w:w="40" w:type="dxa"/>
              <w:left w:w="20" w:type="dxa"/>
              <w:bottom w:w="40" w:type="dxa"/>
              <w:right w:w="20" w:type="dxa"/>
            </w:tcMar>
            <w:vAlign w:val="bottom"/>
          </w:tcPr>
          <w:p w14:paraId="185FFE1E" w14:textId="77777777" w:rsidR="00A91885" w:rsidRDefault="009C4196">
            <w:pPr>
              <w:textAlignment w:val="bottom"/>
            </w:pPr>
            <w:r>
              <w:rPr>
                <w:rFonts w:ascii="Arial" w:eastAsia="宋体" w:hAnsi="Arial" w:cs="Arial"/>
                <w:color w:val="000000"/>
                <w:sz w:val="18"/>
                <w:szCs w:val="18"/>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E1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E20"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E2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E22"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E23"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E24"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5FFE25" w14:textId="77777777" w:rsidR="00A91885" w:rsidRDefault="00A91885">
            <w:pPr>
              <w:rPr>
                <w:rFonts w:ascii="宋体"/>
              </w:rPr>
            </w:pPr>
          </w:p>
        </w:tc>
      </w:tr>
      <w:tr w:rsidR="00A91885" w14:paraId="185FFE33" w14:textId="77777777">
        <w:tc>
          <w:tcPr>
            <w:tcW w:w="0" w:type="auto"/>
            <w:gridSpan w:val="3"/>
            <w:shd w:val="clear" w:color="auto" w:fill="E1E1E1"/>
            <w:tcMar>
              <w:top w:w="40" w:type="dxa"/>
              <w:left w:w="515" w:type="dxa"/>
              <w:bottom w:w="40" w:type="dxa"/>
              <w:right w:w="20" w:type="dxa"/>
            </w:tcMar>
            <w:vAlign w:val="bottom"/>
          </w:tcPr>
          <w:p w14:paraId="185FFE27" w14:textId="77777777" w:rsidR="00A91885" w:rsidRDefault="009C4196">
            <w:pPr>
              <w:textAlignment w:val="bottom"/>
            </w:pPr>
            <w:r>
              <w:rPr>
                <w:rFonts w:ascii="Arial" w:eastAsia="宋体" w:hAnsi="Arial" w:cs="Arial"/>
                <w:color w:val="000000"/>
                <w:sz w:val="18"/>
                <w:szCs w:val="18"/>
              </w:rPr>
              <w:t>Sales and marketing</w:t>
            </w:r>
          </w:p>
        </w:tc>
        <w:tc>
          <w:tcPr>
            <w:tcW w:w="0" w:type="auto"/>
            <w:gridSpan w:val="2"/>
            <w:shd w:val="clear" w:color="auto" w:fill="E1E1E1"/>
            <w:tcMar>
              <w:top w:w="40" w:type="dxa"/>
              <w:left w:w="20" w:type="dxa"/>
              <w:bottom w:w="40" w:type="dxa"/>
              <w:right w:w="0" w:type="dxa"/>
            </w:tcMar>
            <w:vAlign w:val="bottom"/>
          </w:tcPr>
          <w:p w14:paraId="185FFE28"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5FFE29"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2A"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E2B" w14:textId="77777777" w:rsidR="00A91885" w:rsidRDefault="009C4196">
            <w:pPr>
              <w:jc w:val="right"/>
              <w:textAlignment w:val="bottom"/>
            </w:pPr>
            <w:r>
              <w:rPr>
                <w:rFonts w:ascii="Arial" w:eastAsia="宋体" w:hAnsi="Arial" w:cs="Arial"/>
                <w:color w:val="000000"/>
                <w:sz w:val="18"/>
                <w:szCs w:val="18"/>
              </w:rPr>
              <w:t>141 </w:t>
            </w:r>
          </w:p>
        </w:tc>
        <w:tc>
          <w:tcPr>
            <w:tcW w:w="0" w:type="auto"/>
            <w:shd w:val="clear" w:color="auto" w:fill="E1E1E1"/>
            <w:tcMar>
              <w:top w:w="40" w:type="dxa"/>
              <w:left w:w="0" w:type="dxa"/>
              <w:bottom w:w="40" w:type="dxa"/>
              <w:right w:w="20" w:type="dxa"/>
            </w:tcMar>
            <w:vAlign w:val="bottom"/>
          </w:tcPr>
          <w:p w14:paraId="185FFE2C"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2D"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E2E"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5FFE2F"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30"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E31" w14:textId="77777777" w:rsidR="00A91885" w:rsidRDefault="009C4196">
            <w:pPr>
              <w:jc w:val="right"/>
              <w:textAlignment w:val="bottom"/>
            </w:pPr>
            <w:r>
              <w:rPr>
                <w:rFonts w:ascii="Arial" w:eastAsia="宋体" w:hAnsi="Arial" w:cs="Arial"/>
                <w:color w:val="000000"/>
                <w:sz w:val="18"/>
                <w:szCs w:val="18"/>
              </w:rPr>
              <w:t>282 </w:t>
            </w:r>
          </w:p>
        </w:tc>
        <w:tc>
          <w:tcPr>
            <w:tcW w:w="0" w:type="auto"/>
            <w:shd w:val="clear" w:color="auto" w:fill="E1E1E1"/>
            <w:tcMar>
              <w:top w:w="40" w:type="dxa"/>
              <w:left w:w="0" w:type="dxa"/>
              <w:bottom w:w="40" w:type="dxa"/>
              <w:right w:w="20" w:type="dxa"/>
            </w:tcMar>
            <w:vAlign w:val="bottom"/>
          </w:tcPr>
          <w:p w14:paraId="185FFE32" w14:textId="77777777" w:rsidR="00A91885" w:rsidRDefault="00A91885">
            <w:pPr>
              <w:jc w:val="right"/>
              <w:rPr>
                <w:rFonts w:ascii="宋体"/>
              </w:rPr>
            </w:pPr>
          </w:p>
        </w:tc>
      </w:tr>
      <w:tr w:rsidR="00A91885" w14:paraId="185FFE40" w14:textId="77777777">
        <w:tc>
          <w:tcPr>
            <w:tcW w:w="0" w:type="auto"/>
            <w:gridSpan w:val="3"/>
            <w:shd w:val="clear" w:color="auto" w:fill="FFFFFF"/>
            <w:tcMar>
              <w:top w:w="40" w:type="dxa"/>
              <w:left w:w="515" w:type="dxa"/>
              <w:bottom w:w="40" w:type="dxa"/>
              <w:right w:w="20" w:type="dxa"/>
            </w:tcMar>
            <w:vAlign w:val="bottom"/>
          </w:tcPr>
          <w:p w14:paraId="185FFE34" w14:textId="77777777" w:rsidR="00A91885" w:rsidRDefault="009C4196">
            <w:pPr>
              <w:textAlignment w:val="bottom"/>
            </w:pPr>
            <w:r>
              <w:rPr>
                <w:rFonts w:ascii="Arial" w:eastAsia="宋体" w:hAnsi="Arial" w:cs="Arial"/>
                <w:color w:val="000000"/>
                <w:sz w:val="18"/>
                <w:szCs w:val="18"/>
              </w:rPr>
              <w:t>Product development</w:t>
            </w:r>
          </w:p>
        </w:tc>
        <w:tc>
          <w:tcPr>
            <w:tcW w:w="0" w:type="auto"/>
            <w:gridSpan w:val="2"/>
            <w:shd w:val="clear" w:color="auto" w:fill="FFFFFF"/>
            <w:tcMar>
              <w:top w:w="40" w:type="dxa"/>
              <w:left w:w="20" w:type="dxa"/>
              <w:bottom w:w="40" w:type="dxa"/>
              <w:right w:w="0" w:type="dxa"/>
            </w:tcMar>
            <w:vAlign w:val="bottom"/>
          </w:tcPr>
          <w:p w14:paraId="185FFE35"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E3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E3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E38" w14:textId="77777777" w:rsidR="00A91885" w:rsidRDefault="009C4196">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185FFE3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E3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E3B"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E3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E3D"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E3E" w14:textId="77777777" w:rsidR="00A91885" w:rsidRDefault="009C4196">
            <w:pPr>
              <w:jc w:val="right"/>
              <w:textAlignment w:val="bottom"/>
            </w:pPr>
            <w:r>
              <w:rPr>
                <w:rFonts w:ascii="Arial" w:eastAsia="宋体" w:hAnsi="Arial" w:cs="Arial"/>
                <w:color w:val="000000"/>
                <w:sz w:val="18"/>
                <w:szCs w:val="18"/>
              </w:rPr>
              <w:t>29 </w:t>
            </w:r>
          </w:p>
        </w:tc>
        <w:tc>
          <w:tcPr>
            <w:tcW w:w="0" w:type="auto"/>
            <w:shd w:val="clear" w:color="auto" w:fill="FFFFFF"/>
            <w:tcMar>
              <w:top w:w="40" w:type="dxa"/>
              <w:left w:w="0" w:type="dxa"/>
              <w:bottom w:w="40" w:type="dxa"/>
              <w:right w:w="20" w:type="dxa"/>
            </w:tcMar>
            <w:vAlign w:val="bottom"/>
          </w:tcPr>
          <w:p w14:paraId="185FFE3F" w14:textId="77777777" w:rsidR="00A91885" w:rsidRDefault="00A91885">
            <w:pPr>
              <w:jc w:val="right"/>
              <w:rPr>
                <w:rFonts w:ascii="宋体"/>
              </w:rPr>
            </w:pPr>
          </w:p>
        </w:tc>
      </w:tr>
      <w:tr w:rsidR="00A91885" w14:paraId="185FFE4D" w14:textId="77777777">
        <w:tc>
          <w:tcPr>
            <w:tcW w:w="0" w:type="auto"/>
            <w:gridSpan w:val="3"/>
            <w:shd w:val="clear" w:color="auto" w:fill="E1E1E1"/>
            <w:tcMar>
              <w:top w:w="40" w:type="dxa"/>
              <w:left w:w="515" w:type="dxa"/>
              <w:bottom w:w="40" w:type="dxa"/>
              <w:right w:w="20" w:type="dxa"/>
            </w:tcMar>
            <w:vAlign w:val="bottom"/>
          </w:tcPr>
          <w:p w14:paraId="185FFE41" w14:textId="77777777" w:rsidR="00A91885" w:rsidRDefault="009C4196">
            <w:pPr>
              <w:textAlignment w:val="bottom"/>
            </w:pPr>
            <w:r>
              <w:rPr>
                <w:rFonts w:ascii="Arial" w:eastAsia="宋体" w:hAnsi="Arial" w:cs="Arial"/>
                <w:color w:val="000000"/>
                <w:sz w:val="18"/>
                <w:szCs w:val="18"/>
              </w:rPr>
              <w:t>General and administrative</w:t>
            </w:r>
          </w:p>
        </w:tc>
        <w:tc>
          <w:tcPr>
            <w:tcW w:w="0" w:type="auto"/>
            <w:gridSpan w:val="2"/>
            <w:shd w:val="clear" w:color="auto" w:fill="E1E1E1"/>
            <w:tcMar>
              <w:top w:w="40" w:type="dxa"/>
              <w:left w:w="20" w:type="dxa"/>
              <w:bottom w:w="40" w:type="dxa"/>
              <w:right w:w="0" w:type="dxa"/>
            </w:tcMar>
            <w:vAlign w:val="bottom"/>
          </w:tcPr>
          <w:p w14:paraId="185FFE42"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5FFE43"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44"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E45" w14:textId="77777777" w:rsidR="00A91885" w:rsidRDefault="009C4196">
            <w:pPr>
              <w:jc w:val="right"/>
              <w:textAlignment w:val="bottom"/>
            </w:pPr>
            <w:r>
              <w:rPr>
                <w:rFonts w:ascii="Arial" w:eastAsia="宋体" w:hAnsi="Arial" w:cs="Arial"/>
                <w:color w:val="000000"/>
                <w:sz w:val="18"/>
                <w:szCs w:val="18"/>
              </w:rPr>
              <w:t>9 </w:t>
            </w:r>
          </w:p>
        </w:tc>
        <w:tc>
          <w:tcPr>
            <w:tcW w:w="0" w:type="auto"/>
            <w:shd w:val="clear" w:color="auto" w:fill="E1E1E1"/>
            <w:tcMar>
              <w:top w:w="40" w:type="dxa"/>
              <w:left w:w="0" w:type="dxa"/>
              <w:bottom w:w="40" w:type="dxa"/>
              <w:right w:w="20" w:type="dxa"/>
            </w:tcMar>
            <w:vAlign w:val="bottom"/>
          </w:tcPr>
          <w:p w14:paraId="185FFE46"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47"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E48"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E1E1E1"/>
            <w:tcMar>
              <w:top w:w="40" w:type="dxa"/>
              <w:left w:w="0" w:type="dxa"/>
              <w:bottom w:w="40" w:type="dxa"/>
              <w:right w:w="20" w:type="dxa"/>
            </w:tcMar>
            <w:vAlign w:val="bottom"/>
          </w:tcPr>
          <w:p w14:paraId="185FFE49"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4A"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E4B" w14:textId="77777777" w:rsidR="00A91885" w:rsidRDefault="009C4196">
            <w:pPr>
              <w:jc w:val="right"/>
              <w:textAlignment w:val="bottom"/>
            </w:pPr>
            <w:r>
              <w:rPr>
                <w:rFonts w:ascii="Arial" w:eastAsia="宋体" w:hAnsi="Arial" w:cs="Arial"/>
                <w:color w:val="000000"/>
                <w:sz w:val="18"/>
                <w:szCs w:val="18"/>
              </w:rPr>
              <w:t>21 </w:t>
            </w:r>
          </w:p>
        </w:tc>
        <w:tc>
          <w:tcPr>
            <w:tcW w:w="0" w:type="auto"/>
            <w:shd w:val="clear" w:color="auto" w:fill="E1E1E1"/>
            <w:tcMar>
              <w:top w:w="40" w:type="dxa"/>
              <w:left w:w="0" w:type="dxa"/>
              <w:bottom w:w="40" w:type="dxa"/>
              <w:right w:w="20" w:type="dxa"/>
            </w:tcMar>
            <w:vAlign w:val="bottom"/>
          </w:tcPr>
          <w:p w14:paraId="185FFE4C" w14:textId="77777777" w:rsidR="00A91885" w:rsidRDefault="00A91885">
            <w:pPr>
              <w:jc w:val="right"/>
              <w:rPr>
                <w:rFonts w:ascii="宋体"/>
              </w:rPr>
            </w:pPr>
          </w:p>
        </w:tc>
      </w:tr>
      <w:tr w:rsidR="00A91885" w14:paraId="185FFE56" w14:textId="77777777">
        <w:trPr>
          <w:hidden/>
        </w:trPr>
        <w:tc>
          <w:tcPr>
            <w:tcW w:w="0" w:type="auto"/>
            <w:gridSpan w:val="3"/>
            <w:shd w:val="clear" w:color="auto" w:fill="auto"/>
            <w:vAlign w:val="bottom"/>
          </w:tcPr>
          <w:p w14:paraId="185FFE4E" w14:textId="77777777" w:rsidR="00A91885" w:rsidRDefault="00A91885">
            <w:pPr>
              <w:rPr>
                <w:rFonts w:ascii="宋体"/>
                <w:vanish/>
              </w:rPr>
            </w:pPr>
          </w:p>
        </w:tc>
        <w:tc>
          <w:tcPr>
            <w:tcW w:w="0" w:type="auto"/>
            <w:gridSpan w:val="3"/>
            <w:shd w:val="clear" w:color="auto" w:fill="auto"/>
            <w:vAlign w:val="bottom"/>
          </w:tcPr>
          <w:p w14:paraId="185FFE4F" w14:textId="77777777" w:rsidR="00A91885" w:rsidRDefault="00A91885">
            <w:pPr>
              <w:rPr>
                <w:rFonts w:ascii="宋体"/>
                <w:vanish/>
              </w:rPr>
            </w:pPr>
          </w:p>
        </w:tc>
        <w:tc>
          <w:tcPr>
            <w:tcW w:w="0" w:type="auto"/>
            <w:gridSpan w:val="3"/>
            <w:shd w:val="clear" w:color="auto" w:fill="auto"/>
            <w:vAlign w:val="bottom"/>
          </w:tcPr>
          <w:p w14:paraId="185FFE50" w14:textId="77777777" w:rsidR="00A91885" w:rsidRDefault="00A91885">
            <w:pPr>
              <w:rPr>
                <w:rFonts w:ascii="宋体"/>
                <w:vanish/>
              </w:rPr>
            </w:pPr>
          </w:p>
        </w:tc>
        <w:tc>
          <w:tcPr>
            <w:tcW w:w="0" w:type="auto"/>
            <w:gridSpan w:val="3"/>
            <w:shd w:val="clear" w:color="auto" w:fill="auto"/>
            <w:vAlign w:val="bottom"/>
          </w:tcPr>
          <w:p w14:paraId="185FFE51" w14:textId="77777777" w:rsidR="00A91885" w:rsidRDefault="00A91885">
            <w:pPr>
              <w:rPr>
                <w:rFonts w:ascii="宋体"/>
                <w:vanish/>
              </w:rPr>
            </w:pPr>
          </w:p>
        </w:tc>
        <w:tc>
          <w:tcPr>
            <w:tcW w:w="0" w:type="auto"/>
            <w:gridSpan w:val="3"/>
            <w:shd w:val="clear" w:color="auto" w:fill="auto"/>
            <w:vAlign w:val="bottom"/>
          </w:tcPr>
          <w:p w14:paraId="185FFE52" w14:textId="77777777" w:rsidR="00A91885" w:rsidRDefault="00A91885">
            <w:pPr>
              <w:rPr>
                <w:rFonts w:ascii="宋体"/>
                <w:vanish/>
              </w:rPr>
            </w:pPr>
          </w:p>
        </w:tc>
        <w:tc>
          <w:tcPr>
            <w:tcW w:w="0" w:type="auto"/>
            <w:gridSpan w:val="3"/>
            <w:shd w:val="clear" w:color="auto" w:fill="auto"/>
            <w:vAlign w:val="bottom"/>
          </w:tcPr>
          <w:p w14:paraId="185FFE53" w14:textId="77777777" w:rsidR="00A91885" w:rsidRDefault="00A91885">
            <w:pPr>
              <w:rPr>
                <w:rFonts w:ascii="宋体"/>
                <w:vanish/>
              </w:rPr>
            </w:pPr>
          </w:p>
        </w:tc>
        <w:tc>
          <w:tcPr>
            <w:tcW w:w="0" w:type="auto"/>
            <w:gridSpan w:val="3"/>
            <w:shd w:val="clear" w:color="auto" w:fill="auto"/>
            <w:vAlign w:val="bottom"/>
          </w:tcPr>
          <w:p w14:paraId="185FFE54" w14:textId="77777777" w:rsidR="00A91885" w:rsidRDefault="00A91885">
            <w:pPr>
              <w:rPr>
                <w:rFonts w:ascii="宋体"/>
                <w:vanish/>
              </w:rPr>
            </w:pPr>
          </w:p>
        </w:tc>
        <w:tc>
          <w:tcPr>
            <w:tcW w:w="0" w:type="auto"/>
            <w:gridSpan w:val="3"/>
            <w:shd w:val="clear" w:color="auto" w:fill="auto"/>
            <w:vAlign w:val="bottom"/>
          </w:tcPr>
          <w:p w14:paraId="185FFE55" w14:textId="77777777" w:rsidR="00A91885" w:rsidRDefault="00A91885">
            <w:pPr>
              <w:rPr>
                <w:rFonts w:ascii="宋体"/>
                <w:vanish/>
              </w:rPr>
            </w:pPr>
          </w:p>
        </w:tc>
      </w:tr>
      <w:tr w:rsidR="00A91885" w14:paraId="185FFE5F" w14:textId="77777777">
        <w:trPr>
          <w:hidden/>
        </w:trPr>
        <w:tc>
          <w:tcPr>
            <w:tcW w:w="0" w:type="auto"/>
            <w:gridSpan w:val="3"/>
            <w:shd w:val="clear" w:color="auto" w:fill="auto"/>
            <w:vAlign w:val="bottom"/>
          </w:tcPr>
          <w:p w14:paraId="185FFE57" w14:textId="77777777" w:rsidR="00A91885" w:rsidRDefault="00A91885">
            <w:pPr>
              <w:rPr>
                <w:rFonts w:ascii="宋体"/>
                <w:vanish/>
              </w:rPr>
            </w:pPr>
          </w:p>
        </w:tc>
        <w:tc>
          <w:tcPr>
            <w:tcW w:w="0" w:type="auto"/>
            <w:gridSpan w:val="3"/>
            <w:shd w:val="clear" w:color="auto" w:fill="auto"/>
            <w:vAlign w:val="bottom"/>
          </w:tcPr>
          <w:p w14:paraId="185FFE58" w14:textId="77777777" w:rsidR="00A91885" w:rsidRDefault="00A91885">
            <w:pPr>
              <w:rPr>
                <w:rFonts w:ascii="宋体"/>
                <w:vanish/>
              </w:rPr>
            </w:pPr>
          </w:p>
        </w:tc>
        <w:tc>
          <w:tcPr>
            <w:tcW w:w="0" w:type="auto"/>
            <w:gridSpan w:val="3"/>
            <w:shd w:val="clear" w:color="auto" w:fill="auto"/>
            <w:vAlign w:val="bottom"/>
          </w:tcPr>
          <w:p w14:paraId="185FFE59" w14:textId="77777777" w:rsidR="00A91885" w:rsidRDefault="00A91885">
            <w:pPr>
              <w:rPr>
                <w:rFonts w:ascii="宋体"/>
                <w:vanish/>
              </w:rPr>
            </w:pPr>
          </w:p>
        </w:tc>
        <w:tc>
          <w:tcPr>
            <w:tcW w:w="0" w:type="auto"/>
            <w:gridSpan w:val="3"/>
            <w:shd w:val="clear" w:color="auto" w:fill="auto"/>
            <w:vAlign w:val="bottom"/>
          </w:tcPr>
          <w:p w14:paraId="185FFE5A" w14:textId="77777777" w:rsidR="00A91885" w:rsidRDefault="00A91885">
            <w:pPr>
              <w:rPr>
                <w:rFonts w:ascii="宋体"/>
                <w:vanish/>
              </w:rPr>
            </w:pPr>
          </w:p>
        </w:tc>
        <w:tc>
          <w:tcPr>
            <w:tcW w:w="0" w:type="auto"/>
            <w:gridSpan w:val="3"/>
            <w:shd w:val="clear" w:color="auto" w:fill="auto"/>
            <w:vAlign w:val="bottom"/>
          </w:tcPr>
          <w:p w14:paraId="185FFE5B" w14:textId="77777777" w:rsidR="00A91885" w:rsidRDefault="00A91885">
            <w:pPr>
              <w:rPr>
                <w:rFonts w:ascii="宋体"/>
                <w:vanish/>
              </w:rPr>
            </w:pPr>
          </w:p>
        </w:tc>
        <w:tc>
          <w:tcPr>
            <w:tcW w:w="0" w:type="auto"/>
            <w:gridSpan w:val="3"/>
            <w:shd w:val="clear" w:color="auto" w:fill="auto"/>
            <w:vAlign w:val="bottom"/>
          </w:tcPr>
          <w:p w14:paraId="185FFE5C" w14:textId="77777777" w:rsidR="00A91885" w:rsidRDefault="00A91885">
            <w:pPr>
              <w:rPr>
                <w:rFonts w:ascii="宋体"/>
                <w:vanish/>
              </w:rPr>
            </w:pPr>
          </w:p>
        </w:tc>
        <w:tc>
          <w:tcPr>
            <w:tcW w:w="0" w:type="auto"/>
            <w:gridSpan w:val="3"/>
            <w:shd w:val="clear" w:color="auto" w:fill="auto"/>
            <w:vAlign w:val="bottom"/>
          </w:tcPr>
          <w:p w14:paraId="185FFE5D" w14:textId="77777777" w:rsidR="00A91885" w:rsidRDefault="00A91885">
            <w:pPr>
              <w:rPr>
                <w:rFonts w:ascii="宋体"/>
                <w:vanish/>
              </w:rPr>
            </w:pPr>
          </w:p>
        </w:tc>
        <w:tc>
          <w:tcPr>
            <w:tcW w:w="0" w:type="auto"/>
            <w:gridSpan w:val="3"/>
            <w:shd w:val="clear" w:color="auto" w:fill="auto"/>
            <w:vAlign w:val="bottom"/>
          </w:tcPr>
          <w:p w14:paraId="185FFE5E" w14:textId="77777777" w:rsidR="00A91885" w:rsidRDefault="00A91885">
            <w:pPr>
              <w:rPr>
                <w:rFonts w:ascii="宋体"/>
                <w:vanish/>
              </w:rPr>
            </w:pPr>
          </w:p>
        </w:tc>
      </w:tr>
      <w:tr w:rsidR="00A91885" w14:paraId="185FFE6C" w14:textId="77777777">
        <w:tc>
          <w:tcPr>
            <w:tcW w:w="0" w:type="auto"/>
            <w:gridSpan w:val="3"/>
            <w:shd w:val="clear" w:color="auto" w:fill="FFFFFF"/>
            <w:tcMar>
              <w:top w:w="40" w:type="dxa"/>
              <w:left w:w="875" w:type="dxa"/>
              <w:bottom w:w="40" w:type="dxa"/>
              <w:right w:w="20" w:type="dxa"/>
            </w:tcMar>
            <w:vAlign w:val="bottom"/>
          </w:tcPr>
          <w:p w14:paraId="185FFE60" w14:textId="77777777" w:rsidR="00A91885" w:rsidRDefault="009C4196">
            <w:pPr>
              <w:textAlignment w:val="bottom"/>
            </w:pPr>
            <w:r>
              <w:rPr>
                <w:rFonts w:ascii="Arial" w:eastAsia="宋体" w:hAnsi="Arial" w:cs="Arial"/>
                <w:color w:val="000000"/>
                <w:sz w:val="18"/>
                <w:szCs w:val="18"/>
              </w:rPr>
              <w:t>Total operating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E61"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E6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E63"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E64" w14:textId="77777777" w:rsidR="00A91885" w:rsidRDefault="009C4196">
            <w:pPr>
              <w:jc w:val="right"/>
              <w:textAlignment w:val="bottom"/>
            </w:pPr>
            <w:r>
              <w:rPr>
                <w:rFonts w:ascii="Arial" w:eastAsia="宋体" w:hAnsi="Arial" w:cs="Arial"/>
                <w:color w:val="000000"/>
                <w:sz w:val="18"/>
                <w:szCs w:val="18"/>
              </w:rPr>
              <w:t>165 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E6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E66"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E67" w14:textId="77777777" w:rsidR="00A91885" w:rsidRDefault="009C4196">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E6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E69"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5FFE6A" w14:textId="77777777" w:rsidR="00A91885" w:rsidRDefault="009C4196">
            <w:pPr>
              <w:jc w:val="right"/>
              <w:textAlignment w:val="bottom"/>
            </w:pPr>
            <w:r>
              <w:rPr>
                <w:rFonts w:ascii="Arial" w:eastAsia="宋体" w:hAnsi="Arial" w:cs="Arial"/>
                <w:color w:val="000000"/>
                <w:sz w:val="18"/>
                <w:szCs w:val="18"/>
              </w:rPr>
              <w:t>332 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5FFE6B" w14:textId="77777777" w:rsidR="00A91885" w:rsidRDefault="00A91885">
            <w:pPr>
              <w:jc w:val="right"/>
              <w:rPr>
                <w:rFonts w:ascii="宋体"/>
              </w:rPr>
            </w:pPr>
          </w:p>
        </w:tc>
      </w:tr>
      <w:tr w:rsidR="00A91885" w14:paraId="185FFE79" w14:textId="77777777">
        <w:tc>
          <w:tcPr>
            <w:tcW w:w="0" w:type="auto"/>
            <w:gridSpan w:val="3"/>
            <w:shd w:val="clear" w:color="auto" w:fill="E1E1E1"/>
            <w:tcMar>
              <w:top w:w="40" w:type="dxa"/>
              <w:left w:w="20" w:type="dxa"/>
              <w:bottom w:w="40" w:type="dxa"/>
              <w:right w:w="20" w:type="dxa"/>
            </w:tcMar>
            <w:vAlign w:val="bottom"/>
          </w:tcPr>
          <w:p w14:paraId="185FFE6D" w14:textId="77777777" w:rsidR="00A91885" w:rsidRDefault="009C4196">
            <w:pPr>
              <w:textAlignment w:val="bottom"/>
            </w:pPr>
            <w:r>
              <w:rPr>
                <w:rFonts w:ascii="Arial" w:eastAsia="宋体" w:hAnsi="Arial" w:cs="Arial"/>
                <w:color w:val="000000"/>
                <w:sz w:val="18"/>
                <w:szCs w:val="18"/>
              </w:rPr>
              <w:t>Income (loss) from operations of discontinued operations</w:t>
            </w:r>
          </w:p>
        </w:tc>
        <w:tc>
          <w:tcPr>
            <w:tcW w:w="0" w:type="auto"/>
            <w:gridSpan w:val="2"/>
            <w:shd w:val="clear" w:color="auto" w:fill="E1E1E1"/>
            <w:tcMar>
              <w:top w:w="40" w:type="dxa"/>
              <w:left w:w="20" w:type="dxa"/>
              <w:bottom w:w="40" w:type="dxa"/>
              <w:right w:w="0" w:type="dxa"/>
            </w:tcMar>
            <w:vAlign w:val="bottom"/>
          </w:tcPr>
          <w:p w14:paraId="185FFE6E"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5FFE6F"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70"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E71" w14:textId="77777777" w:rsidR="00A91885" w:rsidRDefault="009C4196">
            <w:pPr>
              <w:jc w:val="right"/>
              <w:textAlignment w:val="bottom"/>
            </w:pPr>
            <w:r>
              <w:rPr>
                <w:rFonts w:ascii="Arial" w:eastAsia="宋体" w:hAnsi="Arial" w:cs="Arial"/>
                <w:color w:val="000000"/>
                <w:sz w:val="18"/>
                <w:szCs w:val="18"/>
              </w:rPr>
              <w:t>4 </w:t>
            </w:r>
          </w:p>
        </w:tc>
        <w:tc>
          <w:tcPr>
            <w:tcW w:w="0" w:type="auto"/>
            <w:shd w:val="clear" w:color="auto" w:fill="E1E1E1"/>
            <w:tcMar>
              <w:top w:w="40" w:type="dxa"/>
              <w:left w:w="0" w:type="dxa"/>
              <w:bottom w:w="40" w:type="dxa"/>
              <w:right w:w="20" w:type="dxa"/>
            </w:tcMar>
            <w:vAlign w:val="bottom"/>
          </w:tcPr>
          <w:p w14:paraId="185FFE72"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73"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E74"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E1E1E1"/>
            <w:tcMar>
              <w:top w:w="40" w:type="dxa"/>
              <w:left w:w="0" w:type="dxa"/>
              <w:bottom w:w="40" w:type="dxa"/>
              <w:right w:w="20" w:type="dxa"/>
            </w:tcMar>
            <w:vAlign w:val="bottom"/>
          </w:tcPr>
          <w:p w14:paraId="185FFE75"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76"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5FFE77" w14:textId="77777777" w:rsidR="00A91885" w:rsidRDefault="009C4196">
            <w:pPr>
              <w:jc w:val="right"/>
              <w:textAlignment w:val="bottom"/>
            </w:pPr>
            <w:r>
              <w:rPr>
                <w:rFonts w:ascii="Arial" w:eastAsia="宋体" w:hAnsi="Arial" w:cs="Arial"/>
                <w:color w:val="000000"/>
                <w:sz w:val="18"/>
                <w:szCs w:val="18"/>
              </w:rPr>
              <w:t>5 </w:t>
            </w:r>
          </w:p>
        </w:tc>
        <w:tc>
          <w:tcPr>
            <w:tcW w:w="0" w:type="auto"/>
            <w:shd w:val="clear" w:color="auto" w:fill="E1E1E1"/>
            <w:tcMar>
              <w:top w:w="40" w:type="dxa"/>
              <w:left w:w="0" w:type="dxa"/>
              <w:bottom w:w="40" w:type="dxa"/>
              <w:right w:w="20" w:type="dxa"/>
            </w:tcMar>
            <w:vAlign w:val="bottom"/>
          </w:tcPr>
          <w:p w14:paraId="185FFE78" w14:textId="77777777" w:rsidR="00A91885" w:rsidRDefault="00A91885">
            <w:pPr>
              <w:jc w:val="right"/>
              <w:rPr>
                <w:rFonts w:ascii="宋体"/>
              </w:rPr>
            </w:pPr>
          </w:p>
        </w:tc>
      </w:tr>
      <w:tr w:rsidR="00A91885" w14:paraId="185FFE86" w14:textId="77777777">
        <w:tc>
          <w:tcPr>
            <w:tcW w:w="0" w:type="auto"/>
            <w:gridSpan w:val="3"/>
            <w:shd w:val="clear" w:color="auto" w:fill="FFFFFF"/>
            <w:tcMar>
              <w:top w:w="40" w:type="dxa"/>
              <w:left w:w="20" w:type="dxa"/>
              <w:bottom w:w="40" w:type="dxa"/>
              <w:right w:w="20" w:type="dxa"/>
            </w:tcMar>
            <w:vAlign w:val="bottom"/>
          </w:tcPr>
          <w:p w14:paraId="185FFE7A" w14:textId="77777777" w:rsidR="00A91885" w:rsidRDefault="009C4196">
            <w:pPr>
              <w:textAlignment w:val="bottom"/>
            </w:pPr>
            <w:r>
              <w:rPr>
                <w:rFonts w:ascii="Arial" w:eastAsia="宋体" w:hAnsi="Arial" w:cs="Arial"/>
                <w:color w:val="000000"/>
                <w:sz w:val="18"/>
                <w:szCs w:val="18"/>
              </w:rPr>
              <w:t>Interest and other, net</w:t>
            </w:r>
          </w:p>
        </w:tc>
        <w:tc>
          <w:tcPr>
            <w:tcW w:w="0" w:type="auto"/>
            <w:gridSpan w:val="2"/>
            <w:shd w:val="clear" w:color="auto" w:fill="FFFFFF"/>
            <w:tcMar>
              <w:top w:w="40" w:type="dxa"/>
              <w:left w:w="20" w:type="dxa"/>
              <w:bottom w:w="40" w:type="dxa"/>
              <w:right w:w="0" w:type="dxa"/>
            </w:tcMar>
            <w:vAlign w:val="bottom"/>
          </w:tcPr>
          <w:p w14:paraId="185FFE7B"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E7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E7D"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E7E"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85FFE7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E80"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E81"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E8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E83"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E84"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85FFE85" w14:textId="77777777" w:rsidR="00A91885" w:rsidRDefault="00A91885">
            <w:pPr>
              <w:jc w:val="right"/>
              <w:rPr>
                <w:rFonts w:ascii="宋体"/>
              </w:rPr>
            </w:pPr>
          </w:p>
        </w:tc>
      </w:tr>
      <w:tr w:rsidR="00A91885" w14:paraId="185FFE93" w14:textId="77777777">
        <w:tc>
          <w:tcPr>
            <w:tcW w:w="0" w:type="auto"/>
            <w:gridSpan w:val="3"/>
            <w:shd w:val="clear" w:color="auto" w:fill="E1E1E1"/>
            <w:tcMar>
              <w:top w:w="40" w:type="dxa"/>
              <w:left w:w="20" w:type="dxa"/>
              <w:bottom w:w="40" w:type="dxa"/>
              <w:right w:w="20" w:type="dxa"/>
            </w:tcMar>
            <w:vAlign w:val="bottom"/>
          </w:tcPr>
          <w:p w14:paraId="185FFE87" w14:textId="77777777" w:rsidR="00A91885" w:rsidRDefault="009C4196">
            <w:pPr>
              <w:textAlignment w:val="bottom"/>
            </w:pPr>
            <w:r>
              <w:rPr>
                <w:rFonts w:ascii="Arial" w:eastAsia="宋体" w:hAnsi="Arial" w:cs="Arial"/>
                <w:color w:val="000000"/>
                <w:sz w:val="18"/>
                <w:szCs w:val="18"/>
              </w:rPr>
              <w:t>Income (loss) from discontinued operations before income taxes</w:t>
            </w: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E88"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E89"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8A"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E8B" w14:textId="77777777" w:rsidR="00A91885" w:rsidRDefault="009C4196">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E8C"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8D"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E8E" w14:textId="77777777" w:rsidR="00A91885" w:rsidRDefault="009C4196">
            <w:pPr>
              <w:jc w:val="right"/>
              <w:textAlignment w:val="bottom"/>
            </w:pPr>
            <w:r>
              <w:rPr>
                <w:rFonts w:ascii="Arial" w:eastAsia="宋体" w:hAnsi="Arial" w:cs="Arial"/>
                <w:color w:val="000000"/>
                <w:sz w:val="18"/>
                <w:szCs w:val="18"/>
              </w:rPr>
              <w:t>(2)</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E8F"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90"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5FFE91" w14:textId="77777777" w:rsidR="00A91885" w:rsidRDefault="009C4196">
            <w:pPr>
              <w:jc w:val="right"/>
              <w:textAlignment w:val="bottom"/>
            </w:pPr>
            <w:r>
              <w:rPr>
                <w:rFonts w:ascii="Arial" w:eastAsia="宋体" w:hAnsi="Arial" w:cs="Arial"/>
                <w:color w:val="000000"/>
                <w:sz w:val="18"/>
                <w:szCs w:val="18"/>
              </w:rPr>
              <w:t>6 </w:t>
            </w:r>
          </w:p>
        </w:tc>
        <w:tc>
          <w:tcPr>
            <w:tcW w:w="0" w:type="auto"/>
            <w:tcBorders>
              <w:top w:val="single" w:sz="8" w:space="0" w:color="000000"/>
            </w:tcBorders>
            <w:shd w:val="clear" w:color="auto" w:fill="E1E1E1"/>
            <w:tcMar>
              <w:top w:w="40" w:type="dxa"/>
              <w:left w:w="0" w:type="dxa"/>
              <w:bottom w:w="40" w:type="dxa"/>
              <w:right w:w="20" w:type="dxa"/>
            </w:tcMar>
            <w:vAlign w:val="bottom"/>
          </w:tcPr>
          <w:p w14:paraId="185FFE92" w14:textId="77777777" w:rsidR="00A91885" w:rsidRDefault="00A91885">
            <w:pPr>
              <w:jc w:val="right"/>
              <w:rPr>
                <w:rFonts w:ascii="宋体"/>
              </w:rPr>
            </w:pPr>
          </w:p>
        </w:tc>
      </w:tr>
      <w:tr w:rsidR="00A91885" w14:paraId="185FFEA0" w14:textId="77777777">
        <w:tc>
          <w:tcPr>
            <w:tcW w:w="0" w:type="auto"/>
            <w:gridSpan w:val="3"/>
            <w:shd w:val="clear" w:color="auto" w:fill="FFFFFF"/>
            <w:tcMar>
              <w:top w:w="40" w:type="dxa"/>
              <w:left w:w="20" w:type="dxa"/>
              <w:bottom w:w="40" w:type="dxa"/>
              <w:right w:w="20" w:type="dxa"/>
            </w:tcMar>
            <w:vAlign w:val="bottom"/>
          </w:tcPr>
          <w:p w14:paraId="185FFE94" w14:textId="77777777" w:rsidR="00A91885" w:rsidRDefault="009C4196">
            <w:pPr>
              <w:textAlignment w:val="bottom"/>
            </w:pPr>
            <w:r>
              <w:rPr>
                <w:rFonts w:ascii="Arial" w:eastAsia="宋体" w:hAnsi="Arial" w:cs="Arial"/>
                <w:color w:val="000000"/>
                <w:sz w:val="18"/>
                <w:szCs w:val="18"/>
              </w:rPr>
              <w:t>Income tax benefit (provision)</w:t>
            </w:r>
          </w:p>
        </w:tc>
        <w:tc>
          <w:tcPr>
            <w:tcW w:w="0" w:type="auto"/>
            <w:gridSpan w:val="2"/>
            <w:shd w:val="clear" w:color="auto" w:fill="FFFFFF"/>
            <w:tcMar>
              <w:top w:w="40" w:type="dxa"/>
              <w:left w:w="20" w:type="dxa"/>
              <w:bottom w:w="40" w:type="dxa"/>
              <w:right w:w="0" w:type="dxa"/>
            </w:tcMar>
            <w:vAlign w:val="bottom"/>
          </w:tcPr>
          <w:p w14:paraId="185FFE95"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E9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E9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E98"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185FFE9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E9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E9B"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E9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E9D"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E9E"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185FFE9F" w14:textId="77777777" w:rsidR="00A91885" w:rsidRDefault="00A91885">
            <w:pPr>
              <w:jc w:val="right"/>
              <w:rPr>
                <w:rFonts w:ascii="宋体"/>
              </w:rPr>
            </w:pPr>
          </w:p>
        </w:tc>
      </w:tr>
      <w:tr w:rsidR="00A91885" w14:paraId="185FFEB1" w14:textId="77777777">
        <w:tc>
          <w:tcPr>
            <w:tcW w:w="0" w:type="auto"/>
            <w:gridSpan w:val="3"/>
            <w:shd w:val="clear" w:color="auto" w:fill="E1E1E1"/>
            <w:tcMar>
              <w:top w:w="40" w:type="dxa"/>
              <w:left w:w="20" w:type="dxa"/>
              <w:bottom w:w="40" w:type="dxa"/>
              <w:right w:w="20" w:type="dxa"/>
            </w:tcMar>
            <w:vAlign w:val="bottom"/>
          </w:tcPr>
          <w:p w14:paraId="185FFEA1" w14:textId="77777777" w:rsidR="00A91885" w:rsidRDefault="009C4196">
            <w:pPr>
              <w:textAlignment w:val="bottom"/>
            </w:pPr>
            <w:r>
              <w:rPr>
                <w:rFonts w:ascii="Arial" w:eastAsia="宋体" w:hAnsi="Arial" w:cs="Arial"/>
                <w:color w:val="000000"/>
                <w:sz w:val="18"/>
                <w:szCs w:val="18"/>
              </w:rPr>
              <w:t>Income (loss) from discontinued operations, net of income taxes</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5FFEA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5FFEA3"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5FFEA4"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A5" w14:textId="77777777" w:rsidR="00A91885" w:rsidRDefault="00A91885">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5FFEA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5FFEA7" w14:textId="77777777" w:rsidR="00A91885" w:rsidRDefault="009C4196">
            <w:pPr>
              <w:jc w:val="right"/>
              <w:textAlignment w:val="bottom"/>
            </w:pPr>
            <w:r>
              <w:rPr>
                <w:rFonts w:ascii="Arial" w:eastAsia="宋体" w:hAnsi="Arial" w:cs="Arial"/>
                <w:color w:val="000000"/>
                <w:sz w:val="18"/>
                <w:szCs w:val="18"/>
              </w:rPr>
              <w:t>3 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5FFEA8"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A9" w14:textId="77777777" w:rsidR="00A91885" w:rsidRDefault="00A91885">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5FFEA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5FFEAB" w14:textId="77777777" w:rsidR="00A91885" w:rsidRDefault="009C4196">
            <w:pPr>
              <w:jc w:val="right"/>
              <w:textAlignment w:val="bottom"/>
            </w:pPr>
            <w:r>
              <w:rPr>
                <w:rFonts w:ascii="Arial" w:eastAsia="宋体" w:hAnsi="Arial" w:cs="Arial"/>
                <w:color w:val="000000"/>
                <w:sz w:val="18"/>
                <w:szCs w:val="18"/>
              </w:rPr>
              <w:t>(2)</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5FFEAC"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5FFEAD" w14:textId="77777777" w:rsidR="00A91885" w:rsidRDefault="00A91885">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5FFEA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5FFEAF" w14:textId="77777777" w:rsidR="00A91885" w:rsidRDefault="009C4196">
            <w:pPr>
              <w:jc w:val="right"/>
              <w:textAlignment w:val="bottom"/>
            </w:pPr>
            <w:r>
              <w:rPr>
                <w:rFonts w:ascii="Arial" w:eastAsia="宋体" w:hAnsi="Arial" w:cs="Arial"/>
                <w:color w:val="000000"/>
                <w:sz w:val="18"/>
                <w:szCs w:val="18"/>
              </w:rPr>
              <w:t>4 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5FFEB0" w14:textId="77777777" w:rsidR="00A91885" w:rsidRDefault="00A91885">
            <w:pPr>
              <w:jc w:val="right"/>
              <w:rPr>
                <w:rFonts w:ascii="宋体"/>
              </w:rPr>
            </w:pPr>
          </w:p>
        </w:tc>
      </w:tr>
    </w:tbl>
    <w:p w14:paraId="185FFEB2" w14:textId="77777777" w:rsidR="00A91885" w:rsidRDefault="00A91885">
      <w:pPr>
        <w:ind w:firstLine="270"/>
        <w:jc w:val="both"/>
      </w:pPr>
    </w:p>
    <w:p w14:paraId="185FFEB3" w14:textId="77777777" w:rsidR="00A91885" w:rsidRDefault="009C4196">
      <w:pPr>
        <w:ind w:firstLine="270"/>
        <w:jc w:val="both"/>
      </w:pPr>
      <w:r>
        <w:rPr>
          <w:rFonts w:ascii="Arial" w:eastAsia="宋体" w:hAnsi="Arial" w:cs="Arial"/>
          <w:b/>
          <w:bCs/>
          <w:i/>
          <w:iCs/>
          <w:color w:val="000000"/>
          <w:sz w:val="20"/>
          <w:szCs w:val="20"/>
        </w:rPr>
        <w:t>StubHub, PayPal and Enterprise</w:t>
      </w:r>
    </w:p>
    <w:p w14:paraId="185FFEB4" w14:textId="77777777" w:rsidR="00A91885" w:rsidRDefault="00A91885">
      <w:pPr>
        <w:ind w:firstLine="540"/>
        <w:jc w:val="both"/>
      </w:pPr>
    </w:p>
    <w:p w14:paraId="185FFEB5" w14:textId="77777777" w:rsidR="00A91885" w:rsidRDefault="009C4196">
      <w:pPr>
        <w:ind w:firstLine="540"/>
        <w:jc w:val="both"/>
      </w:pPr>
      <w:r>
        <w:rPr>
          <w:rFonts w:ascii="Arial" w:eastAsia="宋体" w:hAnsi="Arial" w:cs="Arial"/>
          <w:color w:val="000000"/>
          <w:sz w:val="20"/>
          <w:szCs w:val="20"/>
        </w:rPr>
        <w:t xml:space="preserve">For the three and six months ended June 30, 2022 and 2021, the discontinued operations activity related to our former StubHub, PayPal and Enterprise businesses was immaterial. </w:t>
      </w:r>
    </w:p>
    <w:p w14:paraId="185FFEB6" w14:textId="77777777" w:rsidR="00A91885" w:rsidRDefault="00A91885">
      <w:pPr>
        <w:jc w:val="center"/>
      </w:pPr>
    </w:p>
    <w:p w14:paraId="185FFEB7" w14:textId="77777777" w:rsidR="00A91885" w:rsidRDefault="009C4196">
      <w:pPr>
        <w:jc w:val="center"/>
      </w:pPr>
      <w:r>
        <w:rPr>
          <w:rFonts w:ascii="Arial" w:eastAsia="宋体" w:hAnsi="Arial" w:cs="Arial"/>
          <w:color w:val="000000"/>
          <w:sz w:val="20"/>
          <w:szCs w:val="20"/>
        </w:rPr>
        <w:t>15</w:t>
      </w:r>
    </w:p>
    <w:p w14:paraId="185FFEB8" w14:textId="77777777" w:rsidR="00A91885" w:rsidRDefault="009C4196">
      <w:r>
        <w:pict w14:anchorId="18602192">
          <v:rect id="_x0000_i1039" style="width:415.3pt;height:1.5pt" o:hralign="center" o:hrstd="t" o:hr="t" fillcolor="#a0a0a0" stroked="f"/>
        </w:pict>
      </w:r>
    </w:p>
    <w:p w14:paraId="185FFEB9" w14:textId="77777777" w:rsidR="00A91885" w:rsidRDefault="009C4196">
      <w:hyperlink r:id="rId99" w:anchor="ieb971428a625452486c65ae24899afca_7" w:history="1">
        <w:r>
          <w:rPr>
            <w:rStyle w:val="a5"/>
            <w:rFonts w:ascii="Arial" w:eastAsia="宋体" w:hAnsi="Arial" w:cs="Arial"/>
            <w:sz w:val="18"/>
            <w:szCs w:val="18"/>
          </w:rPr>
          <w:t>Table of Contents</w:t>
        </w:r>
      </w:hyperlink>
    </w:p>
    <w:p w14:paraId="185FFEBA" w14:textId="77777777" w:rsidR="00A91885" w:rsidRDefault="009C4196">
      <w:pPr>
        <w:jc w:val="center"/>
      </w:pPr>
      <w:r>
        <w:rPr>
          <w:rFonts w:ascii="Arial" w:eastAsia="宋体" w:hAnsi="Arial" w:cs="Arial"/>
          <w:b/>
          <w:bCs/>
          <w:color w:val="000000"/>
          <w:sz w:val="20"/>
          <w:szCs w:val="20"/>
        </w:rPr>
        <w:t>eBay Inc.</w:t>
      </w:r>
    </w:p>
    <w:p w14:paraId="185FFEBB"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5FFEBC" w14:textId="77777777" w:rsidR="00A91885" w:rsidRDefault="009C4196">
      <w:r>
        <w:rPr>
          <w:rFonts w:ascii="Arial" w:eastAsia="宋体" w:hAnsi="Arial" w:cs="Arial"/>
          <w:b/>
          <w:bCs/>
          <w:color w:val="000000"/>
          <w:sz w:val="20"/>
          <w:szCs w:val="20"/>
        </w:rPr>
        <w:t>Note 4 — G</w:t>
      </w:r>
      <w:r>
        <w:rPr>
          <w:rFonts w:ascii="Arial" w:eastAsia="宋体" w:hAnsi="Arial" w:cs="Arial"/>
          <w:b/>
          <w:bCs/>
          <w:color w:val="000000"/>
          <w:sz w:val="20"/>
          <w:szCs w:val="20"/>
        </w:rPr>
        <w:t>oodwill and Intangible Assets</w:t>
      </w:r>
    </w:p>
    <w:p w14:paraId="185FFEBD" w14:textId="77777777" w:rsidR="00A91885" w:rsidRDefault="00A91885">
      <w:pPr>
        <w:ind w:firstLine="540"/>
        <w:jc w:val="both"/>
      </w:pPr>
    </w:p>
    <w:p w14:paraId="185FFEBE" w14:textId="77777777" w:rsidR="00A91885" w:rsidRDefault="009C4196">
      <w:pPr>
        <w:ind w:firstLine="270"/>
      </w:pPr>
      <w:r>
        <w:rPr>
          <w:rFonts w:ascii="Arial" w:eastAsia="宋体" w:hAnsi="Arial" w:cs="Arial"/>
          <w:b/>
          <w:bCs/>
          <w:i/>
          <w:iCs/>
          <w:color w:val="000000"/>
          <w:sz w:val="20"/>
          <w:szCs w:val="20"/>
        </w:rPr>
        <w:t>Goodwill</w:t>
      </w:r>
    </w:p>
    <w:p w14:paraId="185FFEBF" w14:textId="77777777" w:rsidR="00A91885" w:rsidRDefault="00A91885"/>
    <w:p w14:paraId="185FFEC0" w14:textId="77777777" w:rsidR="00A91885" w:rsidRDefault="009C4196">
      <w:pPr>
        <w:spacing w:after="120"/>
        <w:ind w:firstLine="540"/>
        <w:jc w:val="both"/>
      </w:pPr>
      <w:r>
        <w:rPr>
          <w:rFonts w:ascii="Arial" w:eastAsia="宋体" w:hAnsi="Arial" w:cs="Arial"/>
          <w:color w:val="000000"/>
          <w:sz w:val="20"/>
          <w:szCs w:val="20"/>
        </w:rPr>
        <w:t>The following table presents goodwill activity for the period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3714"/>
        <w:gridCol w:w="36"/>
        <w:gridCol w:w="122"/>
        <w:gridCol w:w="871"/>
        <w:gridCol w:w="36"/>
        <w:gridCol w:w="36"/>
        <w:gridCol w:w="36"/>
        <w:gridCol w:w="36"/>
        <w:gridCol w:w="122"/>
        <w:gridCol w:w="872"/>
        <w:gridCol w:w="36"/>
        <w:gridCol w:w="36"/>
        <w:gridCol w:w="36"/>
        <w:gridCol w:w="36"/>
        <w:gridCol w:w="122"/>
        <w:gridCol w:w="977"/>
        <w:gridCol w:w="36"/>
        <w:gridCol w:w="36"/>
        <w:gridCol w:w="36"/>
        <w:gridCol w:w="36"/>
        <w:gridCol w:w="121"/>
        <w:gridCol w:w="874"/>
        <w:gridCol w:w="36"/>
      </w:tblGrid>
      <w:tr w:rsidR="00A91885" w14:paraId="185FFED9" w14:textId="77777777">
        <w:tc>
          <w:tcPr>
            <w:tcW w:w="50" w:type="pct"/>
            <w:shd w:val="clear" w:color="auto" w:fill="auto"/>
            <w:vAlign w:val="bottom"/>
          </w:tcPr>
          <w:p w14:paraId="185FFEC1" w14:textId="77777777" w:rsidR="00A91885" w:rsidRDefault="00A91885">
            <w:pPr>
              <w:rPr>
                <w:rFonts w:ascii="宋体"/>
              </w:rPr>
            </w:pPr>
          </w:p>
        </w:tc>
        <w:tc>
          <w:tcPr>
            <w:tcW w:w="2313" w:type="pct"/>
            <w:shd w:val="clear" w:color="auto" w:fill="auto"/>
            <w:vAlign w:val="bottom"/>
          </w:tcPr>
          <w:p w14:paraId="185FFEC2" w14:textId="77777777" w:rsidR="00A91885" w:rsidRDefault="00A91885">
            <w:pPr>
              <w:rPr>
                <w:rFonts w:ascii="宋体"/>
              </w:rPr>
            </w:pPr>
          </w:p>
        </w:tc>
        <w:tc>
          <w:tcPr>
            <w:tcW w:w="5" w:type="pct"/>
            <w:shd w:val="clear" w:color="auto" w:fill="auto"/>
            <w:vAlign w:val="bottom"/>
          </w:tcPr>
          <w:p w14:paraId="185FFEC3" w14:textId="77777777" w:rsidR="00A91885" w:rsidRDefault="00A91885">
            <w:pPr>
              <w:rPr>
                <w:rFonts w:ascii="宋体"/>
              </w:rPr>
            </w:pPr>
          </w:p>
        </w:tc>
        <w:tc>
          <w:tcPr>
            <w:tcW w:w="50" w:type="pct"/>
            <w:shd w:val="clear" w:color="auto" w:fill="auto"/>
            <w:vAlign w:val="bottom"/>
          </w:tcPr>
          <w:p w14:paraId="185FFEC4" w14:textId="77777777" w:rsidR="00A91885" w:rsidRDefault="00A91885">
            <w:pPr>
              <w:rPr>
                <w:rFonts w:ascii="宋体"/>
              </w:rPr>
            </w:pPr>
          </w:p>
        </w:tc>
        <w:tc>
          <w:tcPr>
            <w:tcW w:w="580" w:type="pct"/>
            <w:shd w:val="clear" w:color="auto" w:fill="auto"/>
            <w:vAlign w:val="bottom"/>
          </w:tcPr>
          <w:p w14:paraId="185FFEC5" w14:textId="77777777" w:rsidR="00A91885" w:rsidRDefault="00A91885">
            <w:pPr>
              <w:rPr>
                <w:rFonts w:ascii="宋体"/>
              </w:rPr>
            </w:pPr>
          </w:p>
        </w:tc>
        <w:tc>
          <w:tcPr>
            <w:tcW w:w="5" w:type="pct"/>
            <w:shd w:val="clear" w:color="auto" w:fill="auto"/>
            <w:vAlign w:val="bottom"/>
          </w:tcPr>
          <w:p w14:paraId="185FFEC6" w14:textId="77777777" w:rsidR="00A91885" w:rsidRDefault="00A91885">
            <w:pPr>
              <w:rPr>
                <w:rFonts w:ascii="宋体"/>
              </w:rPr>
            </w:pPr>
          </w:p>
        </w:tc>
        <w:tc>
          <w:tcPr>
            <w:tcW w:w="5" w:type="pct"/>
            <w:shd w:val="clear" w:color="auto" w:fill="auto"/>
            <w:vAlign w:val="bottom"/>
          </w:tcPr>
          <w:p w14:paraId="185FFEC7" w14:textId="77777777" w:rsidR="00A91885" w:rsidRDefault="00A91885">
            <w:pPr>
              <w:rPr>
                <w:rFonts w:ascii="宋体"/>
              </w:rPr>
            </w:pPr>
          </w:p>
        </w:tc>
        <w:tc>
          <w:tcPr>
            <w:tcW w:w="19" w:type="pct"/>
            <w:shd w:val="clear" w:color="auto" w:fill="auto"/>
            <w:vAlign w:val="bottom"/>
          </w:tcPr>
          <w:p w14:paraId="185FFEC8" w14:textId="77777777" w:rsidR="00A91885" w:rsidRDefault="00A91885">
            <w:pPr>
              <w:rPr>
                <w:rFonts w:ascii="宋体"/>
              </w:rPr>
            </w:pPr>
          </w:p>
        </w:tc>
        <w:tc>
          <w:tcPr>
            <w:tcW w:w="5" w:type="pct"/>
            <w:shd w:val="clear" w:color="auto" w:fill="auto"/>
            <w:vAlign w:val="bottom"/>
          </w:tcPr>
          <w:p w14:paraId="185FFEC9" w14:textId="77777777" w:rsidR="00A91885" w:rsidRDefault="00A91885">
            <w:pPr>
              <w:rPr>
                <w:rFonts w:ascii="宋体"/>
              </w:rPr>
            </w:pPr>
          </w:p>
        </w:tc>
        <w:tc>
          <w:tcPr>
            <w:tcW w:w="50" w:type="pct"/>
            <w:shd w:val="clear" w:color="auto" w:fill="auto"/>
            <w:vAlign w:val="bottom"/>
          </w:tcPr>
          <w:p w14:paraId="185FFECA" w14:textId="77777777" w:rsidR="00A91885" w:rsidRDefault="00A91885">
            <w:pPr>
              <w:rPr>
                <w:rFonts w:ascii="宋体"/>
              </w:rPr>
            </w:pPr>
          </w:p>
        </w:tc>
        <w:tc>
          <w:tcPr>
            <w:tcW w:w="580" w:type="pct"/>
            <w:shd w:val="clear" w:color="auto" w:fill="auto"/>
            <w:vAlign w:val="bottom"/>
          </w:tcPr>
          <w:p w14:paraId="185FFECB" w14:textId="77777777" w:rsidR="00A91885" w:rsidRDefault="00A91885">
            <w:pPr>
              <w:rPr>
                <w:rFonts w:ascii="宋体"/>
              </w:rPr>
            </w:pPr>
          </w:p>
        </w:tc>
        <w:tc>
          <w:tcPr>
            <w:tcW w:w="5" w:type="pct"/>
            <w:shd w:val="clear" w:color="auto" w:fill="auto"/>
            <w:vAlign w:val="bottom"/>
          </w:tcPr>
          <w:p w14:paraId="185FFECC" w14:textId="77777777" w:rsidR="00A91885" w:rsidRDefault="00A91885">
            <w:pPr>
              <w:rPr>
                <w:rFonts w:ascii="宋体"/>
              </w:rPr>
            </w:pPr>
          </w:p>
        </w:tc>
        <w:tc>
          <w:tcPr>
            <w:tcW w:w="5" w:type="pct"/>
            <w:shd w:val="clear" w:color="auto" w:fill="auto"/>
            <w:vAlign w:val="bottom"/>
          </w:tcPr>
          <w:p w14:paraId="185FFECD" w14:textId="77777777" w:rsidR="00A91885" w:rsidRDefault="00A91885">
            <w:pPr>
              <w:rPr>
                <w:rFonts w:ascii="宋体"/>
              </w:rPr>
            </w:pPr>
          </w:p>
        </w:tc>
        <w:tc>
          <w:tcPr>
            <w:tcW w:w="19" w:type="pct"/>
            <w:shd w:val="clear" w:color="auto" w:fill="auto"/>
            <w:vAlign w:val="bottom"/>
          </w:tcPr>
          <w:p w14:paraId="185FFECE" w14:textId="77777777" w:rsidR="00A91885" w:rsidRDefault="00A91885">
            <w:pPr>
              <w:rPr>
                <w:rFonts w:ascii="宋体"/>
              </w:rPr>
            </w:pPr>
          </w:p>
        </w:tc>
        <w:tc>
          <w:tcPr>
            <w:tcW w:w="5" w:type="pct"/>
            <w:shd w:val="clear" w:color="auto" w:fill="auto"/>
            <w:vAlign w:val="bottom"/>
          </w:tcPr>
          <w:p w14:paraId="185FFECF" w14:textId="77777777" w:rsidR="00A91885" w:rsidRDefault="00A91885">
            <w:pPr>
              <w:rPr>
                <w:rFonts w:ascii="宋体"/>
              </w:rPr>
            </w:pPr>
          </w:p>
        </w:tc>
        <w:tc>
          <w:tcPr>
            <w:tcW w:w="50" w:type="pct"/>
            <w:shd w:val="clear" w:color="auto" w:fill="auto"/>
            <w:vAlign w:val="bottom"/>
          </w:tcPr>
          <w:p w14:paraId="185FFED0" w14:textId="77777777" w:rsidR="00A91885" w:rsidRDefault="00A91885">
            <w:pPr>
              <w:rPr>
                <w:rFonts w:ascii="宋体"/>
              </w:rPr>
            </w:pPr>
          </w:p>
        </w:tc>
        <w:tc>
          <w:tcPr>
            <w:tcW w:w="580" w:type="pct"/>
            <w:shd w:val="clear" w:color="auto" w:fill="auto"/>
            <w:vAlign w:val="bottom"/>
          </w:tcPr>
          <w:p w14:paraId="185FFED1" w14:textId="77777777" w:rsidR="00A91885" w:rsidRDefault="00A91885">
            <w:pPr>
              <w:rPr>
                <w:rFonts w:ascii="宋体"/>
              </w:rPr>
            </w:pPr>
          </w:p>
        </w:tc>
        <w:tc>
          <w:tcPr>
            <w:tcW w:w="5" w:type="pct"/>
            <w:shd w:val="clear" w:color="auto" w:fill="auto"/>
            <w:vAlign w:val="bottom"/>
          </w:tcPr>
          <w:p w14:paraId="185FFED2" w14:textId="77777777" w:rsidR="00A91885" w:rsidRDefault="00A91885">
            <w:pPr>
              <w:rPr>
                <w:rFonts w:ascii="宋体"/>
              </w:rPr>
            </w:pPr>
          </w:p>
        </w:tc>
        <w:tc>
          <w:tcPr>
            <w:tcW w:w="5" w:type="pct"/>
            <w:shd w:val="clear" w:color="auto" w:fill="auto"/>
            <w:vAlign w:val="bottom"/>
          </w:tcPr>
          <w:p w14:paraId="185FFED3" w14:textId="77777777" w:rsidR="00A91885" w:rsidRDefault="00A91885">
            <w:pPr>
              <w:rPr>
                <w:rFonts w:ascii="宋体"/>
              </w:rPr>
            </w:pPr>
          </w:p>
        </w:tc>
        <w:tc>
          <w:tcPr>
            <w:tcW w:w="19" w:type="pct"/>
            <w:shd w:val="clear" w:color="auto" w:fill="auto"/>
            <w:vAlign w:val="bottom"/>
          </w:tcPr>
          <w:p w14:paraId="185FFED4" w14:textId="77777777" w:rsidR="00A91885" w:rsidRDefault="00A91885">
            <w:pPr>
              <w:rPr>
                <w:rFonts w:ascii="宋体"/>
              </w:rPr>
            </w:pPr>
          </w:p>
        </w:tc>
        <w:tc>
          <w:tcPr>
            <w:tcW w:w="5" w:type="pct"/>
            <w:shd w:val="clear" w:color="auto" w:fill="auto"/>
            <w:vAlign w:val="bottom"/>
          </w:tcPr>
          <w:p w14:paraId="185FFED5" w14:textId="77777777" w:rsidR="00A91885" w:rsidRDefault="00A91885">
            <w:pPr>
              <w:rPr>
                <w:rFonts w:ascii="宋体"/>
              </w:rPr>
            </w:pPr>
          </w:p>
        </w:tc>
        <w:tc>
          <w:tcPr>
            <w:tcW w:w="50" w:type="pct"/>
            <w:shd w:val="clear" w:color="auto" w:fill="auto"/>
            <w:vAlign w:val="bottom"/>
          </w:tcPr>
          <w:p w14:paraId="185FFED6" w14:textId="77777777" w:rsidR="00A91885" w:rsidRDefault="00A91885">
            <w:pPr>
              <w:rPr>
                <w:rFonts w:ascii="宋体"/>
              </w:rPr>
            </w:pPr>
          </w:p>
        </w:tc>
        <w:tc>
          <w:tcPr>
            <w:tcW w:w="581" w:type="pct"/>
            <w:shd w:val="clear" w:color="auto" w:fill="auto"/>
            <w:vAlign w:val="bottom"/>
          </w:tcPr>
          <w:p w14:paraId="185FFED7" w14:textId="77777777" w:rsidR="00A91885" w:rsidRDefault="00A91885">
            <w:pPr>
              <w:rPr>
                <w:rFonts w:ascii="宋体"/>
              </w:rPr>
            </w:pPr>
          </w:p>
        </w:tc>
        <w:tc>
          <w:tcPr>
            <w:tcW w:w="5" w:type="pct"/>
            <w:shd w:val="clear" w:color="auto" w:fill="auto"/>
            <w:vAlign w:val="bottom"/>
          </w:tcPr>
          <w:p w14:paraId="185FFED8" w14:textId="77777777" w:rsidR="00A91885" w:rsidRDefault="00A91885">
            <w:pPr>
              <w:rPr>
                <w:rFonts w:ascii="宋体"/>
              </w:rPr>
            </w:pPr>
          </w:p>
        </w:tc>
      </w:tr>
      <w:tr w:rsidR="00A91885" w14:paraId="185FFEE2" w14:textId="77777777">
        <w:tc>
          <w:tcPr>
            <w:tcW w:w="0" w:type="auto"/>
            <w:gridSpan w:val="3"/>
            <w:shd w:val="clear" w:color="auto" w:fill="auto"/>
            <w:tcMar>
              <w:top w:w="40" w:type="dxa"/>
              <w:left w:w="20" w:type="dxa"/>
              <w:bottom w:w="40" w:type="dxa"/>
              <w:right w:w="20" w:type="dxa"/>
            </w:tcMar>
            <w:vAlign w:val="bottom"/>
          </w:tcPr>
          <w:p w14:paraId="185FFEDA" w14:textId="77777777" w:rsidR="00A91885" w:rsidRDefault="009C4196">
            <w:pPr>
              <w:jc w:val="center"/>
              <w:textAlignment w:val="bottom"/>
            </w:pPr>
            <w:r>
              <w:rPr>
                <w:rFonts w:ascii="Arial" w:eastAsia="宋体" w:hAnsi="Arial" w:cs="Arial"/>
                <w:color w:val="000000"/>
                <w:sz w:val="17"/>
                <w:szCs w:val="17"/>
              </w:rPr>
              <w:t> </w:t>
            </w:r>
          </w:p>
        </w:tc>
        <w:tc>
          <w:tcPr>
            <w:tcW w:w="0" w:type="auto"/>
            <w:gridSpan w:val="3"/>
            <w:shd w:val="clear" w:color="auto" w:fill="auto"/>
            <w:tcMar>
              <w:top w:w="40" w:type="dxa"/>
              <w:left w:w="20" w:type="dxa"/>
              <w:bottom w:w="40" w:type="dxa"/>
              <w:right w:w="20" w:type="dxa"/>
            </w:tcMar>
            <w:vAlign w:val="bottom"/>
          </w:tcPr>
          <w:p w14:paraId="185FFEDB" w14:textId="77777777" w:rsidR="00A91885" w:rsidRDefault="009C4196">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c>
          <w:tcPr>
            <w:tcW w:w="0" w:type="auto"/>
            <w:gridSpan w:val="3"/>
            <w:shd w:val="clear" w:color="auto" w:fill="auto"/>
            <w:tcMar>
              <w:top w:w="0" w:type="dxa"/>
              <w:left w:w="20" w:type="dxa"/>
              <w:bottom w:w="0" w:type="dxa"/>
              <w:right w:w="20" w:type="dxa"/>
            </w:tcMar>
            <w:vAlign w:val="bottom"/>
          </w:tcPr>
          <w:p w14:paraId="185FFEDC"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5FFEDD" w14:textId="77777777" w:rsidR="00A91885" w:rsidRDefault="009C4196">
            <w:pPr>
              <w:jc w:val="center"/>
              <w:textAlignment w:val="bottom"/>
            </w:pPr>
            <w:r>
              <w:rPr>
                <w:rFonts w:ascii="Arial" w:eastAsia="宋体" w:hAnsi="Arial" w:cs="Arial"/>
                <w:b/>
                <w:bCs/>
                <w:color w:val="000000"/>
                <w:sz w:val="17"/>
                <w:szCs w:val="17"/>
              </w:rPr>
              <w:t>Goodwill</w:t>
            </w:r>
            <w:r>
              <w:rPr>
                <w:rFonts w:ascii="Arial" w:eastAsia="宋体" w:hAnsi="Arial" w:cs="Arial"/>
                <w:b/>
                <w:bCs/>
                <w:color w:val="000000"/>
                <w:sz w:val="17"/>
                <w:szCs w:val="17"/>
              </w:rPr>
              <w:br/>
              <w:t>Acquired</w:t>
            </w:r>
          </w:p>
        </w:tc>
        <w:tc>
          <w:tcPr>
            <w:tcW w:w="0" w:type="auto"/>
            <w:gridSpan w:val="3"/>
            <w:shd w:val="clear" w:color="auto" w:fill="auto"/>
            <w:tcMar>
              <w:top w:w="40" w:type="dxa"/>
              <w:left w:w="20" w:type="dxa"/>
              <w:bottom w:w="40" w:type="dxa"/>
              <w:right w:w="20" w:type="dxa"/>
            </w:tcMar>
            <w:vAlign w:val="bottom"/>
          </w:tcPr>
          <w:p w14:paraId="185FFEDE" w14:textId="77777777" w:rsidR="00A91885" w:rsidRDefault="009C4196">
            <w:pPr>
              <w:jc w:val="center"/>
              <w:textAlignment w:val="bottom"/>
            </w:pPr>
            <w:r>
              <w:rPr>
                <w:rFonts w:ascii="Arial" w:eastAsia="宋体" w:hAnsi="Arial" w:cs="Arial"/>
                <w:b/>
                <w:bCs/>
                <w:color w:val="000000"/>
                <w:sz w:val="17"/>
                <w:szCs w:val="17"/>
              </w:rPr>
              <w:t> </w:t>
            </w:r>
          </w:p>
        </w:tc>
        <w:tc>
          <w:tcPr>
            <w:tcW w:w="0" w:type="auto"/>
            <w:gridSpan w:val="3"/>
            <w:shd w:val="clear" w:color="auto" w:fill="auto"/>
            <w:tcMar>
              <w:top w:w="40" w:type="dxa"/>
              <w:left w:w="20" w:type="dxa"/>
              <w:bottom w:w="40" w:type="dxa"/>
              <w:right w:w="20" w:type="dxa"/>
            </w:tcMar>
            <w:vAlign w:val="bottom"/>
          </w:tcPr>
          <w:p w14:paraId="185FFEDF" w14:textId="77777777" w:rsidR="00A91885" w:rsidRDefault="009C4196">
            <w:pPr>
              <w:jc w:val="center"/>
              <w:textAlignment w:val="bottom"/>
            </w:pPr>
            <w:r>
              <w:rPr>
                <w:rFonts w:ascii="Arial" w:eastAsia="宋体" w:hAnsi="Arial" w:cs="Arial"/>
                <w:b/>
                <w:bCs/>
                <w:color w:val="000000"/>
                <w:sz w:val="17"/>
                <w:szCs w:val="17"/>
              </w:rPr>
              <w:t>Adjustments</w:t>
            </w:r>
          </w:p>
        </w:tc>
        <w:tc>
          <w:tcPr>
            <w:tcW w:w="0" w:type="auto"/>
            <w:gridSpan w:val="3"/>
            <w:shd w:val="clear" w:color="auto" w:fill="auto"/>
            <w:tcMar>
              <w:top w:w="40" w:type="dxa"/>
              <w:left w:w="20" w:type="dxa"/>
              <w:bottom w:w="40" w:type="dxa"/>
              <w:right w:w="20" w:type="dxa"/>
            </w:tcMar>
            <w:vAlign w:val="bottom"/>
          </w:tcPr>
          <w:p w14:paraId="185FFEE0" w14:textId="77777777" w:rsidR="00A91885" w:rsidRDefault="009C4196">
            <w:pPr>
              <w:jc w:val="center"/>
              <w:textAlignment w:val="bottom"/>
            </w:pPr>
            <w:r>
              <w:rPr>
                <w:rFonts w:ascii="Arial" w:eastAsia="宋体" w:hAnsi="Arial" w:cs="Arial"/>
                <w:b/>
                <w:bCs/>
                <w:color w:val="000000"/>
                <w:sz w:val="17"/>
                <w:szCs w:val="17"/>
              </w:rPr>
              <w:t> </w:t>
            </w:r>
          </w:p>
        </w:tc>
        <w:tc>
          <w:tcPr>
            <w:tcW w:w="0" w:type="auto"/>
            <w:gridSpan w:val="3"/>
            <w:shd w:val="clear" w:color="auto" w:fill="auto"/>
            <w:tcMar>
              <w:top w:w="40" w:type="dxa"/>
              <w:left w:w="20" w:type="dxa"/>
              <w:bottom w:w="40" w:type="dxa"/>
              <w:right w:w="20" w:type="dxa"/>
            </w:tcMar>
            <w:vAlign w:val="bottom"/>
          </w:tcPr>
          <w:p w14:paraId="185FFEE1" w14:textId="77777777" w:rsidR="00A91885" w:rsidRDefault="009C4196">
            <w:pPr>
              <w:jc w:val="center"/>
              <w:textAlignment w:val="bottom"/>
            </w:pPr>
            <w:r>
              <w:rPr>
                <w:rFonts w:ascii="Arial" w:eastAsia="宋体" w:hAnsi="Arial" w:cs="Arial"/>
                <w:b/>
                <w:bCs/>
                <w:color w:val="000000"/>
                <w:sz w:val="17"/>
                <w:szCs w:val="17"/>
              </w:rPr>
              <w:t>June 30,</w:t>
            </w:r>
            <w:r>
              <w:rPr>
                <w:rFonts w:ascii="Arial" w:eastAsia="宋体" w:hAnsi="Arial" w:cs="Arial"/>
                <w:b/>
                <w:bCs/>
                <w:color w:val="000000"/>
                <w:sz w:val="17"/>
                <w:szCs w:val="17"/>
              </w:rPr>
              <w:br/>
              <w:t>2022</w:t>
            </w:r>
          </w:p>
        </w:tc>
      </w:tr>
      <w:tr w:rsidR="00A91885" w14:paraId="185FFEF3" w14:textId="77777777">
        <w:tc>
          <w:tcPr>
            <w:tcW w:w="0" w:type="auto"/>
            <w:gridSpan w:val="3"/>
            <w:shd w:val="clear" w:color="auto" w:fill="E2E2E2"/>
            <w:tcMar>
              <w:top w:w="40" w:type="dxa"/>
              <w:left w:w="20" w:type="dxa"/>
              <w:bottom w:w="40" w:type="dxa"/>
              <w:right w:w="20" w:type="dxa"/>
            </w:tcMar>
            <w:vAlign w:val="bottom"/>
          </w:tcPr>
          <w:p w14:paraId="185FFEE3" w14:textId="77777777" w:rsidR="00A91885" w:rsidRDefault="009C4196">
            <w:pPr>
              <w:textAlignment w:val="bottom"/>
            </w:pPr>
            <w:r>
              <w:rPr>
                <w:rFonts w:ascii="Arial" w:eastAsia="宋体" w:hAnsi="Arial" w:cs="Arial"/>
                <w:color w:val="000000"/>
                <w:sz w:val="18"/>
                <w:szCs w:val="18"/>
              </w:rPr>
              <w:t>Goodwill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5FFEE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5FFEE5" w14:textId="77777777" w:rsidR="00A91885" w:rsidRDefault="009C4196">
            <w:pPr>
              <w:jc w:val="right"/>
              <w:textAlignment w:val="bottom"/>
            </w:pPr>
            <w:r>
              <w:rPr>
                <w:rFonts w:ascii="Arial" w:eastAsia="宋体" w:hAnsi="Arial" w:cs="Arial"/>
                <w:color w:val="000000"/>
                <w:sz w:val="18"/>
                <w:szCs w:val="18"/>
              </w:rPr>
              <w:t>4,178 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5FFEE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EE7"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5FFEE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5FFEE9" w14:textId="77777777" w:rsidR="00A91885" w:rsidRDefault="009C4196">
            <w:pPr>
              <w:jc w:val="right"/>
              <w:textAlignment w:val="bottom"/>
            </w:pPr>
            <w:r>
              <w:rPr>
                <w:rFonts w:ascii="Arial" w:eastAsia="宋体" w:hAnsi="Arial" w:cs="Arial"/>
                <w:color w:val="000000"/>
                <w:sz w:val="18"/>
                <w:szCs w:val="18"/>
              </w:rPr>
              <w:t>45 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5FFEE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EEB"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5FFEE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5FFEED" w14:textId="77777777" w:rsidR="00A91885" w:rsidRDefault="009C4196">
            <w:pPr>
              <w:jc w:val="right"/>
              <w:textAlignment w:val="bottom"/>
            </w:pPr>
            <w:r>
              <w:rPr>
                <w:rFonts w:ascii="Arial" w:eastAsia="宋体" w:hAnsi="Arial" w:cs="Arial"/>
                <w:color w:val="000000"/>
                <w:sz w:val="18"/>
                <w:szCs w:val="18"/>
              </w:rPr>
              <w:t>(110)</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5FFEE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EEF"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5FFEF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5FFEF1" w14:textId="77777777" w:rsidR="00A91885" w:rsidRDefault="009C4196">
            <w:pPr>
              <w:jc w:val="right"/>
              <w:textAlignment w:val="bottom"/>
            </w:pPr>
            <w:r>
              <w:rPr>
                <w:rFonts w:ascii="Arial" w:eastAsia="宋体" w:hAnsi="Arial" w:cs="Arial"/>
                <w:color w:val="000000"/>
                <w:sz w:val="18"/>
                <w:szCs w:val="18"/>
              </w:rPr>
              <w:t>4,113 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5FFEF2" w14:textId="77777777" w:rsidR="00A91885" w:rsidRDefault="00A91885">
            <w:pPr>
              <w:jc w:val="right"/>
              <w:rPr>
                <w:rFonts w:ascii="宋体"/>
              </w:rPr>
            </w:pPr>
          </w:p>
        </w:tc>
      </w:tr>
      <w:tr w:rsidR="00A91885" w14:paraId="185FFEFC" w14:textId="77777777">
        <w:trPr>
          <w:hidden/>
        </w:trPr>
        <w:tc>
          <w:tcPr>
            <w:tcW w:w="0" w:type="auto"/>
            <w:gridSpan w:val="3"/>
            <w:shd w:val="clear" w:color="auto" w:fill="auto"/>
            <w:vAlign w:val="bottom"/>
          </w:tcPr>
          <w:p w14:paraId="185FFEF4" w14:textId="77777777" w:rsidR="00A91885" w:rsidRDefault="00A91885">
            <w:pPr>
              <w:rPr>
                <w:rFonts w:ascii="宋体"/>
                <w:vanish/>
              </w:rPr>
            </w:pPr>
          </w:p>
        </w:tc>
        <w:tc>
          <w:tcPr>
            <w:tcW w:w="0" w:type="auto"/>
            <w:gridSpan w:val="3"/>
            <w:shd w:val="clear" w:color="auto" w:fill="auto"/>
            <w:vAlign w:val="bottom"/>
          </w:tcPr>
          <w:p w14:paraId="185FFEF5" w14:textId="77777777" w:rsidR="00A91885" w:rsidRDefault="00A91885">
            <w:pPr>
              <w:rPr>
                <w:rFonts w:ascii="宋体"/>
                <w:vanish/>
              </w:rPr>
            </w:pPr>
          </w:p>
        </w:tc>
        <w:tc>
          <w:tcPr>
            <w:tcW w:w="0" w:type="auto"/>
            <w:gridSpan w:val="3"/>
            <w:shd w:val="clear" w:color="auto" w:fill="auto"/>
            <w:vAlign w:val="bottom"/>
          </w:tcPr>
          <w:p w14:paraId="185FFEF6" w14:textId="77777777" w:rsidR="00A91885" w:rsidRDefault="00A91885">
            <w:pPr>
              <w:rPr>
                <w:rFonts w:ascii="宋体"/>
                <w:vanish/>
              </w:rPr>
            </w:pPr>
          </w:p>
        </w:tc>
        <w:tc>
          <w:tcPr>
            <w:tcW w:w="0" w:type="auto"/>
            <w:gridSpan w:val="3"/>
            <w:shd w:val="clear" w:color="auto" w:fill="auto"/>
            <w:vAlign w:val="bottom"/>
          </w:tcPr>
          <w:p w14:paraId="185FFEF7" w14:textId="77777777" w:rsidR="00A91885" w:rsidRDefault="00A91885">
            <w:pPr>
              <w:rPr>
                <w:rFonts w:ascii="宋体"/>
                <w:vanish/>
              </w:rPr>
            </w:pPr>
          </w:p>
        </w:tc>
        <w:tc>
          <w:tcPr>
            <w:tcW w:w="0" w:type="auto"/>
            <w:gridSpan w:val="3"/>
            <w:shd w:val="clear" w:color="auto" w:fill="auto"/>
            <w:vAlign w:val="bottom"/>
          </w:tcPr>
          <w:p w14:paraId="185FFEF8" w14:textId="77777777" w:rsidR="00A91885" w:rsidRDefault="00A91885">
            <w:pPr>
              <w:rPr>
                <w:rFonts w:ascii="宋体"/>
                <w:vanish/>
              </w:rPr>
            </w:pPr>
          </w:p>
        </w:tc>
        <w:tc>
          <w:tcPr>
            <w:tcW w:w="0" w:type="auto"/>
            <w:gridSpan w:val="3"/>
            <w:shd w:val="clear" w:color="auto" w:fill="auto"/>
            <w:vAlign w:val="bottom"/>
          </w:tcPr>
          <w:p w14:paraId="185FFEF9" w14:textId="77777777" w:rsidR="00A91885" w:rsidRDefault="00A91885">
            <w:pPr>
              <w:rPr>
                <w:rFonts w:ascii="宋体"/>
                <w:vanish/>
              </w:rPr>
            </w:pPr>
          </w:p>
        </w:tc>
        <w:tc>
          <w:tcPr>
            <w:tcW w:w="0" w:type="auto"/>
            <w:gridSpan w:val="3"/>
            <w:shd w:val="clear" w:color="auto" w:fill="auto"/>
            <w:vAlign w:val="bottom"/>
          </w:tcPr>
          <w:p w14:paraId="185FFEFA" w14:textId="77777777" w:rsidR="00A91885" w:rsidRDefault="00A91885">
            <w:pPr>
              <w:rPr>
                <w:rFonts w:ascii="宋体"/>
                <w:vanish/>
              </w:rPr>
            </w:pPr>
          </w:p>
        </w:tc>
        <w:tc>
          <w:tcPr>
            <w:tcW w:w="0" w:type="auto"/>
            <w:gridSpan w:val="3"/>
            <w:shd w:val="clear" w:color="auto" w:fill="auto"/>
            <w:vAlign w:val="bottom"/>
          </w:tcPr>
          <w:p w14:paraId="185FFEFB" w14:textId="77777777" w:rsidR="00A91885" w:rsidRDefault="00A91885">
            <w:pPr>
              <w:rPr>
                <w:rFonts w:ascii="宋体"/>
                <w:vanish/>
              </w:rPr>
            </w:pPr>
          </w:p>
        </w:tc>
      </w:tr>
      <w:tr w:rsidR="00A91885" w14:paraId="185FFF05" w14:textId="77777777">
        <w:trPr>
          <w:hidden/>
        </w:trPr>
        <w:tc>
          <w:tcPr>
            <w:tcW w:w="0" w:type="auto"/>
            <w:gridSpan w:val="3"/>
            <w:shd w:val="clear" w:color="auto" w:fill="auto"/>
            <w:vAlign w:val="bottom"/>
          </w:tcPr>
          <w:p w14:paraId="185FFEFD" w14:textId="77777777" w:rsidR="00A91885" w:rsidRDefault="00A91885">
            <w:pPr>
              <w:rPr>
                <w:rFonts w:ascii="宋体"/>
                <w:vanish/>
              </w:rPr>
            </w:pPr>
          </w:p>
        </w:tc>
        <w:tc>
          <w:tcPr>
            <w:tcW w:w="0" w:type="auto"/>
            <w:gridSpan w:val="3"/>
            <w:shd w:val="clear" w:color="auto" w:fill="auto"/>
            <w:vAlign w:val="bottom"/>
          </w:tcPr>
          <w:p w14:paraId="185FFEFE" w14:textId="77777777" w:rsidR="00A91885" w:rsidRDefault="00A91885">
            <w:pPr>
              <w:rPr>
                <w:rFonts w:ascii="宋体"/>
                <w:vanish/>
              </w:rPr>
            </w:pPr>
          </w:p>
        </w:tc>
        <w:tc>
          <w:tcPr>
            <w:tcW w:w="0" w:type="auto"/>
            <w:gridSpan w:val="3"/>
            <w:shd w:val="clear" w:color="auto" w:fill="auto"/>
            <w:vAlign w:val="bottom"/>
          </w:tcPr>
          <w:p w14:paraId="185FFEFF" w14:textId="77777777" w:rsidR="00A91885" w:rsidRDefault="00A91885">
            <w:pPr>
              <w:rPr>
                <w:rFonts w:ascii="宋体"/>
                <w:vanish/>
              </w:rPr>
            </w:pPr>
          </w:p>
        </w:tc>
        <w:tc>
          <w:tcPr>
            <w:tcW w:w="0" w:type="auto"/>
            <w:gridSpan w:val="3"/>
            <w:shd w:val="clear" w:color="auto" w:fill="auto"/>
            <w:vAlign w:val="bottom"/>
          </w:tcPr>
          <w:p w14:paraId="185FFF00" w14:textId="77777777" w:rsidR="00A91885" w:rsidRDefault="00A91885">
            <w:pPr>
              <w:rPr>
                <w:rFonts w:ascii="宋体"/>
                <w:vanish/>
              </w:rPr>
            </w:pPr>
          </w:p>
        </w:tc>
        <w:tc>
          <w:tcPr>
            <w:tcW w:w="0" w:type="auto"/>
            <w:gridSpan w:val="3"/>
            <w:shd w:val="clear" w:color="auto" w:fill="auto"/>
            <w:vAlign w:val="bottom"/>
          </w:tcPr>
          <w:p w14:paraId="185FFF01" w14:textId="77777777" w:rsidR="00A91885" w:rsidRDefault="00A91885">
            <w:pPr>
              <w:rPr>
                <w:rFonts w:ascii="宋体"/>
                <w:vanish/>
              </w:rPr>
            </w:pPr>
          </w:p>
        </w:tc>
        <w:tc>
          <w:tcPr>
            <w:tcW w:w="0" w:type="auto"/>
            <w:gridSpan w:val="3"/>
            <w:shd w:val="clear" w:color="auto" w:fill="auto"/>
            <w:vAlign w:val="bottom"/>
          </w:tcPr>
          <w:p w14:paraId="185FFF02" w14:textId="77777777" w:rsidR="00A91885" w:rsidRDefault="00A91885">
            <w:pPr>
              <w:rPr>
                <w:rFonts w:ascii="宋体"/>
                <w:vanish/>
              </w:rPr>
            </w:pPr>
          </w:p>
        </w:tc>
        <w:tc>
          <w:tcPr>
            <w:tcW w:w="0" w:type="auto"/>
            <w:gridSpan w:val="3"/>
            <w:shd w:val="clear" w:color="auto" w:fill="auto"/>
            <w:vAlign w:val="bottom"/>
          </w:tcPr>
          <w:p w14:paraId="185FFF03" w14:textId="77777777" w:rsidR="00A91885" w:rsidRDefault="00A91885">
            <w:pPr>
              <w:rPr>
                <w:rFonts w:ascii="宋体"/>
                <w:vanish/>
              </w:rPr>
            </w:pPr>
          </w:p>
        </w:tc>
        <w:tc>
          <w:tcPr>
            <w:tcW w:w="0" w:type="auto"/>
            <w:gridSpan w:val="3"/>
            <w:shd w:val="clear" w:color="auto" w:fill="auto"/>
            <w:vAlign w:val="bottom"/>
          </w:tcPr>
          <w:p w14:paraId="185FFF04" w14:textId="77777777" w:rsidR="00A91885" w:rsidRDefault="00A91885">
            <w:pPr>
              <w:rPr>
                <w:rFonts w:ascii="宋体"/>
                <w:vanish/>
              </w:rPr>
            </w:pPr>
          </w:p>
        </w:tc>
      </w:tr>
      <w:tr w:rsidR="00A91885" w14:paraId="185FFF0E" w14:textId="77777777">
        <w:trPr>
          <w:hidden/>
        </w:trPr>
        <w:tc>
          <w:tcPr>
            <w:tcW w:w="0" w:type="auto"/>
            <w:gridSpan w:val="3"/>
            <w:shd w:val="clear" w:color="auto" w:fill="auto"/>
            <w:vAlign w:val="bottom"/>
          </w:tcPr>
          <w:p w14:paraId="185FFF06" w14:textId="77777777" w:rsidR="00A91885" w:rsidRDefault="00A91885">
            <w:pPr>
              <w:rPr>
                <w:rFonts w:ascii="宋体"/>
                <w:vanish/>
              </w:rPr>
            </w:pPr>
          </w:p>
        </w:tc>
        <w:tc>
          <w:tcPr>
            <w:tcW w:w="0" w:type="auto"/>
            <w:gridSpan w:val="3"/>
            <w:shd w:val="clear" w:color="auto" w:fill="auto"/>
            <w:vAlign w:val="bottom"/>
          </w:tcPr>
          <w:p w14:paraId="185FFF07" w14:textId="77777777" w:rsidR="00A91885" w:rsidRDefault="00A91885">
            <w:pPr>
              <w:rPr>
                <w:rFonts w:ascii="宋体"/>
                <w:vanish/>
              </w:rPr>
            </w:pPr>
          </w:p>
        </w:tc>
        <w:tc>
          <w:tcPr>
            <w:tcW w:w="0" w:type="auto"/>
            <w:gridSpan w:val="3"/>
            <w:shd w:val="clear" w:color="auto" w:fill="auto"/>
            <w:vAlign w:val="bottom"/>
          </w:tcPr>
          <w:p w14:paraId="185FFF08" w14:textId="77777777" w:rsidR="00A91885" w:rsidRDefault="00A91885">
            <w:pPr>
              <w:rPr>
                <w:rFonts w:ascii="宋体"/>
                <w:vanish/>
              </w:rPr>
            </w:pPr>
          </w:p>
        </w:tc>
        <w:tc>
          <w:tcPr>
            <w:tcW w:w="0" w:type="auto"/>
            <w:gridSpan w:val="3"/>
            <w:shd w:val="clear" w:color="auto" w:fill="auto"/>
            <w:vAlign w:val="bottom"/>
          </w:tcPr>
          <w:p w14:paraId="185FFF09" w14:textId="77777777" w:rsidR="00A91885" w:rsidRDefault="00A91885">
            <w:pPr>
              <w:rPr>
                <w:rFonts w:ascii="宋体"/>
                <w:vanish/>
              </w:rPr>
            </w:pPr>
          </w:p>
        </w:tc>
        <w:tc>
          <w:tcPr>
            <w:tcW w:w="0" w:type="auto"/>
            <w:gridSpan w:val="3"/>
            <w:shd w:val="clear" w:color="auto" w:fill="auto"/>
            <w:vAlign w:val="bottom"/>
          </w:tcPr>
          <w:p w14:paraId="185FFF0A" w14:textId="77777777" w:rsidR="00A91885" w:rsidRDefault="00A91885">
            <w:pPr>
              <w:rPr>
                <w:rFonts w:ascii="宋体"/>
                <w:vanish/>
              </w:rPr>
            </w:pPr>
          </w:p>
        </w:tc>
        <w:tc>
          <w:tcPr>
            <w:tcW w:w="0" w:type="auto"/>
            <w:gridSpan w:val="3"/>
            <w:shd w:val="clear" w:color="auto" w:fill="auto"/>
            <w:vAlign w:val="bottom"/>
          </w:tcPr>
          <w:p w14:paraId="185FFF0B" w14:textId="77777777" w:rsidR="00A91885" w:rsidRDefault="00A91885">
            <w:pPr>
              <w:rPr>
                <w:rFonts w:ascii="宋体"/>
                <w:vanish/>
              </w:rPr>
            </w:pPr>
          </w:p>
        </w:tc>
        <w:tc>
          <w:tcPr>
            <w:tcW w:w="0" w:type="auto"/>
            <w:gridSpan w:val="3"/>
            <w:shd w:val="clear" w:color="auto" w:fill="auto"/>
            <w:vAlign w:val="bottom"/>
          </w:tcPr>
          <w:p w14:paraId="185FFF0C" w14:textId="77777777" w:rsidR="00A91885" w:rsidRDefault="00A91885">
            <w:pPr>
              <w:rPr>
                <w:rFonts w:ascii="宋体"/>
                <w:vanish/>
              </w:rPr>
            </w:pPr>
          </w:p>
        </w:tc>
        <w:tc>
          <w:tcPr>
            <w:tcW w:w="0" w:type="auto"/>
            <w:gridSpan w:val="3"/>
            <w:shd w:val="clear" w:color="auto" w:fill="auto"/>
            <w:vAlign w:val="bottom"/>
          </w:tcPr>
          <w:p w14:paraId="185FFF0D" w14:textId="77777777" w:rsidR="00A91885" w:rsidRDefault="00A91885">
            <w:pPr>
              <w:rPr>
                <w:rFonts w:ascii="宋体"/>
                <w:vanish/>
              </w:rPr>
            </w:pPr>
          </w:p>
        </w:tc>
      </w:tr>
    </w:tbl>
    <w:p w14:paraId="185FFF0F" w14:textId="77777777" w:rsidR="00A91885" w:rsidRDefault="00A91885"/>
    <w:p w14:paraId="185FFF10" w14:textId="77777777" w:rsidR="00A91885" w:rsidRDefault="009C4196">
      <w:pPr>
        <w:ind w:firstLine="540"/>
        <w:jc w:val="both"/>
      </w:pPr>
      <w:r>
        <w:rPr>
          <w:rFonts w:ascii="Arial" w:eastAsia="宋体" w:hAnsi="Arial" w:cs="Arial"/>
          <w:color w:val="000000"/>
          <w:sz w:val="20"/>
          <w:szCs w:val="20"/>
        </w:rPr>
        <w:t xml:space="preserve">The adjustments to goodwill during the six months ended June 30, 2022 were </w:t>
      </w:r>
      <w:r>
        <w:rPr>
          <w:rFonts w:ascii="Arial" w:eastAsia="宋体" w:hAnsi="Arial" w:cs="Arial"/>
          <w:color w:val="000000"/>
          <w:sz w:val="20"/>
          <w:szCs w:val="20"/>
        </w:rPr>
        <w:t>primarily due to foreign currency translation. Goodwill acquired during the six months ended June 30, 2022 relates to the acquisition of KnownOrigin, a non-fungible token (NFT) marketplace, on June 22, 2022.</w:t>
      </w:r>
    </w:p>
    <w:p w14:paraId="185FFF11" w14:textId="77777777" w:rsidR="00A91885" w:rsidRDefault="00A91885">
      <w:pPr>
        <w:ind w:firstLine="360"/>
      </w:pPr>
    </w:p>
    <w:p w14:paraId="185FFF12" w14:textId="77777777" w:rsidR="00A91885" w:rsidRDefault="009C4196">
      <w:pPr>
        <w:ind w:firstLine="270"/>
      </w:pPr>
      <w:r>
        <w:rPr>
          <w:rFonts w:ascii="Arial" w:eastAsia="宋体" w:hAnsi="Arial" w:cs="Arial"/>
          <w:b/>
          <w:bCs/>
          <w:i/>
          <w:iCs/>
          <w:color w:val="000000"/>
          <w:sz w:val="20"/>
          <w:szCs w:val="20"/>
        </w:rPr>
        <w:t>Intangible Assets</w:t>
      </w:r>
    </w:p>
    <w:p w14:paraId="185FFF13" w14:textId="77777777" w:rsidR="00A91885" w:rsidRDefault="00A91885"/>
    <w:p w14:paraId="185FFF14" w14:textId="77777777" w:rsidR="00A91885" w:rsidRDefault="009C4196">
      <w:pPr>
        <w:spacing w:after="120"/>
        <w:ind w:firstLine="540"/>
        <w:jc w:val="both"/>
      </w:pPr>
      <w:r>
        <w:rPr>
          <w:rFonts w:ascii="Arial" w:eastAsia="宋体" w:hAnsi="Arial" w:cs="Arial"/>
          <w:color w:val="222222"/>
          <w:sz w:val="20"/>
          <w:szCs w:val="20"/>
        </w:rPr>
        <w:t>Intangible assets are report</w:t>
      </w:r>
      <w:r>
        <w:rPr>
          <w:rFonts w:ascii="Arial" w:eastAsia="宋体" w:hAnsi="Arial" w:cs="Arial"/>
          <w:color w:val="222222"/>
          <w:sz w:val="20"/>
          <w:szCs w:val="20"/>
        </w:rPr>
        <w:t xml:space="preserve">ed within other assets in our condensed consolidated balance sheet. </w:t>
      </w:r>
      <w:r>
        <w:rPr>
          <w:rFonts w:ascii="Arial" w:eastAsia="宋体" w:hAnsi="Arial" w:cs="Arial"/>
          <w:color w:val="000000"/>
          <w:sz w:val="20"/>
          <w:szCs w:val="20"/>
        </w:rPr>
        <w:t>The following table presents components of identifiable intangible assets as of the dates indicated (in millions, except years):</w:t>
      </w:r>
    </w:p>
    <w:tbl>
      <w:tblPr>
        <w:tblW w:w="4985" w:type="pct"/>
        <w:tblCellMar>
          <w:top w:w="15" w:type="dxa"/>
          <w:left w:w="15" w:type="dxa"/>
          <w:bottom w:w="15" w:type="dxa"/>
          <w:right w:w="15" w:type="dxa"/>
        </w:tblCellMar>
        <w:tblLook w:val="04A0" w:firstRow="1" w:lastRow="0" w:firstColumn="1" w:lastColumn="0" w:noHBand="0" w:noVBand="1"/>
      </w:tblPr>
      <w:tblGrid>
        <w:gridCol w:w="415"/>
        <w:gridCol w:w="652"/>
        <w:gridCol w:w="38"/>
        <w:gridCol w:w="113"/>
        <w:gridCol w:w="629"/>
        <w:gridCol w:w="36"/>
        <w:gridCol w:w="40"/>
        <w:gridCol w:w="33"/>
        <w:gridCol w:w="36"/>
        <w:gridCol w:w="112"/>
        <w:gridCol w:w="885"/>
        <w:gridCol w:w="35"/>
        <w:gridCol w:w="40"/>
        <w:gridCol w:w="31"/>
        <w:gridCol w:w="35"/>
        <w:gridCol w:w="112"/>
        <w:gridCol w:w="578"/>
        <w:gridCol w:w="35"/>
        <w:gridCol w:w="40"/>
        <w:gridCol w:w="31"/>
        <w:gridCol w:w="35"/>
        <w:gridCol w:w="86"/>
        <w:gridCol w:w="622"/>
        <w:gridCol w:w="35"/>
        <w:gridCol w:w="40"/>
        <w:gridCol w:w="31"/>
        <w:gridCol w:w="35"/>
        <w:gridCol w:w="112"/>
        <w:gridCol w:w="571"/>
        <w:gridCol w:w="35"/>
        <w:gridCol w:w="40"/>
        <w:gridCol w:w="31"/>
        <w:gridCol w:w="35"/>
        <w:gridCol w:w="112"/>
        <w:gridCol w:w="885"/>
        <w:gridCol w:w="35"/>
        <w:gridCol w:w="40"/>
        <w:gridCol w:w="31"/>
        <w:gridCol w:w="35"/>
        <w:gridCol w:w="112"/>
        <w:gridCol w:w="568"/>
        <w:gridCol w:w="35"/>
        <w:gridCol w:w="40"/>
        <w:gridCol w:w="31"/>
        <w:gridCol w:w="35"/>
        <w:gridCol w:w="85"/>
        <w:gridCol w:w="623"/>
        <w:gridCol w:w="35"/>
      </w:tblGrid>
      <w:tr w:rsidR="00A91885" w14:paraId="185FFF45" w14:textId="77777777">
        <w:tc>
          <w:tcPr>
            <w:tcW w:w="50" w:type="pct"/>
            <w:shd w:val="clear" w:color="auto" w:fill="auto"/>
            <w:vAlign w:val="bottom"/>
          </w:tcPr>
          <w:p w14:paraId="185FFF15" w14:textId="77777777" w:rsidR="00A91885" w:rsidRDefault="00A91885">
            <w:pPr>
              <w:rPr>
                <w:rFonts w:ascii="宋体"/>
              </w:rPr>
            </w:pPr>
          </w:p>
        </w:tc>
        <w:tc>
          <w:tcPr>
            <w:tcW w:w="890" w:type="pct"/>
            <w:shd w:val="clear" w:color="auto" w:fill="auto"/>
            <w:vAlign w:val="bottom"/>
          </w:tcPr>
          <w:p w14:paraId="185FFF16" w14:textId="77777777" w:rsidR="00A91885" w:rsidRDefault="00A91885">
            <w:pPr>
              <w:rPr>
                <w:rFonts w:ascii="宋体"/>
              </w:rPr>
            </w:pPr>
          </w:p>
        </w:tc>
        <w:tc>
          <w:tcPr>
            <w:tcW w:w="5" w:type="pct"/>
            <w:shd w:val="clear" w:color="auto" w:fill="auto"/>
            <w:vAlign w:val="bottom"/>
          </w:tcPr>
          <w:p w14:paraId="185FFF17" w14:textId="77777777" w:rsidR="00A91885" w:rsidRDefault="00A91885">
            <w:pPr>
              <w:rPr>
                <w:rFonts w:ascii="宋体"/>
              </w:rPr>
            </w:pPr>
          </w:p>
        </w:tc>
        <w:tc>
          <w:tcPr>
            <w:tcW w:w="50" w:type="pct"/>
            <w:shd w:val="clear" w:color="auto" w:fill="auto"/>
            <w:vAlign w:val="bottom"/>
          </w:tcPr>
          <w:p w14:paraId="185FFF18" w14:textId="77777777" w:rsidR="00A91885" w:rsidRDefault="00A91885">
            <w:pPr>
              <w:rPr>
                <w:rFonts w:ascii="宋体"/>
              </w:rPr>
            </w:pPr>
          </w:p>
        </w:tc>
        <w:tc>
          <w:tcPr>
            <w:tcW w:w="377" w:type="pct"/>
            <w:shd w:val="clear" w:color="auto" w:fill="auto"/>
            <w:vAlign w:val="bottom"/>
          </w:tcPr>
          <w:p w14:paraId="185FFF19" w14:textId="77777777" w:rsidR="00A91885" w:rsidRDefault="00A91885">
            <w:pPr>
              <w:rPr>
                <w:rFonts w:ascii="宋体"/>
              </w:rPr>
            </w:pPr>
          </w:p>
        </w:tc>
        <w:tc>
          <w:tcPr>
            <w:tcW w:w="5" w:type="pct"/>
            <w:shd w:val="clear" w:color="auto" w:fill="auto"/>
            <w:vAlign w:val="bottom"/>
          </w:tcPr>
          <w:p w14:paraId="185FFF1A" w14:textId="77777777" w:rsidR="00A91885" w:rsidRDefault="00A91885">
            <w:pPr>
              <w:rPr>
                <w:rFonts w:ascii="宋体"/>
              </w:rPr>
            </w:pPr>
          </w:p>
        </w:tc>
        <w:tc>
          <w:tcPr>
            <w:tcW w:w="5" w:type="pct"/>
            <w:shd w:val="clear" w:color="auto" w:fill="auto"/>
            <w:vAlign w:val="bottom"/>
          </w:tcPr>
          <w:p w14:paraId="185FFF1B" w14:textId="77777777" w:rsidR="00A91885" w:rsidRDefault="00A91885">
            <w:pPr>
              <w:rPr>
                <w:rFonts w:ascii="宋体"/>
              </w:rPr>
            </w:pPr>
          </w:p>
        </w:tc>
        <w:tc>
          <w:tcPr>
            <w:tcW w:w="26" w:type="pct"/>
            <w:shd w:val="clear" w:color="auto" w:fill="auto"/>
            <w:vAlign w:val="bottom"/>
          </w:tcPr>
          <w:p w14:paraId="185FFF1C" w14:textId="77777777" w:rsidR="00A91885" w:rsidRDefault="00A91885">
            <w:pPr>
              <w:rPr>
                <w:rFonts w:ascii="宋体"/>
              </w:rPr>
            </w:pPr>
          </w:p>
        </w:tc>
        <w:tc>
          <w:tcPr>
            <w:tcW w:w="5" w:type="pct"/>
            <w:shd w:val="clear" w:color="auto" w:fill="auto"/>
            <w:vAlign w:val="bottom"/>
          </w:tcPr>
          <w:p w14:paraId="185FFF1D" w14:textId="77777777" w:rsidR="00A91885" w:rsidRDefault="00A91885">
            <w:pPr>
              <w:rPr>
                <w:rFonts w:ascii="宋体"/>
              </w:rPr>
            </w:pPr>
          </w:p>
        </w:tc>
        <w:tc>
          <w:tcPr>
            <w:tcW w:w="50" w:type="pct"/>
            <w:shd w:val="clear" w:color="auto" w:fill="auto"/>
            <w:vAlign w:val="bottom"/>
          </w:tcPr>
          <w:p w14:paraId="185FFF1E" w14:textId="77777777" w:rsidR="00A91885" w:rsidRDefault="00A91885">
            <w:pPr>
              <w:rPr>
                <w:rFonts w:ascii="宋体"/>
              </w:rPr>
            </w:pPr>
          </w:p>
        </w:tc>
        <w:tc>
          <w:tcPr>
            <w:tcW w:w="524" w:type="pct"/>
            <w:shd w:val="clear" w:color="auto" w:fill="auto"/>
            <w:vAlign w:val="bottom"/>
          </w:tcPr>
          <w:p w14:paraId="185FFF1F" w14:textId="77777777" w:rsidR="00A91885" w:rsidRDefault="00A91885">
            <w:pPr>
              <w:rPr>
                <w:rFonts w:ascii="宋体"/>
              </w:rPr>
            </w:pPr>
          </w:p>
        </w:tc>
        <w:tc>
          <w:tcPr>
            <w:tcW w:w="5" w:type="pct"/>
            <w:shd w:val="clear" w:color="auto" w:fill="auto"/>
            <w:vAlign w:val="bottom"/>
          </w:tcPr>
          <w:p w14:paraId="185FFF20" w14:textId="77777777" w:rsidR="00A91885" w:rsidRDefault="00A91885">
            <w:pPr>
              <w:rPr>
                <w:rFonts w:ascii="宋体"/>
              </w:rPr>
            </w:pPr>
          </w:p>
        </w:tc>
        <w:tc>
          <w:tcPr>
            <w:tcW w:w="5" w:type="pct"/>
            <w:shd w:val="clear" w:color="auto" w:fill="auto"/>
            <w:vAlign w:val="bottom"/>
          </w:tcPr>
          <w:p w14:paraId="185FFF21" w14:textId="77777777" w:rsidR="00A91885" w:rsidRDefault="00A91885">
            <w:pPr>
              <w:rPr>
                <w:rFonts w:ascii="宋体"/>
              </w:rPr>
            </w:pPr>
          </w:p>
        </w:tc>
        <w:tc>
          <w:tcPr>
            <w:tcW w:w="26" w:type="pct"/>
            <w:shd w:val="clear" w:color="auto" w:fill="auto"/>
            <w:vAlign w:val="bottom"/>
          </w:tcPr>
          <w:p w14:paraId="185FFF22" w14:textId="77777777" w:rsidR="00A91885" w:rsidRDefault="00A91885">
            <w:pPr>
              <w:rPr>
                <w:rFonts w:ascii="宋体"/>
              </w:rPr>
            </w:pPr>
          </w:p>
        </w:tc>
        <w:tc>
          <w:tcPr>
            <w:tcW w:w="5" w:type="pct"/>
            <w:shd w:val="clear" w:color="auto" w:fill="auto"/>
            <w:vAlign w:val="bottom"/>
          </w:tcPr>
          <w:p w14:paraId="185FFF23" w14:textId="77777777" w:rsidR="00A91885" w:rsidRDefault="00A91885">
            <w:pPr>
              <w:rPr>
                <w:rFonts w:ascii="宋体"/>
              </w:rPr>
            </w:pPr>
          </w:p>
        </w:tc>
        <w:tc>
          <w:tcPr>
            <w:tcW w:w="50" w:type="pct"/>
            <w:shd w:val="clear" w:color="auto" w:fill="auto"/>
            <w:vAlign w:val="bottom"/>
          </w:tcPr>
          <w:p w14:paraId="185FFF24" w14:textId="77777777" w:rsidR="00A91885" w:rsidRDefault="00A91885">
            <w:pPr>
              <w:rPr>
                <w:rFonts w:ascii="宋体"/>
              </w:rPr>
            </w:pPr>
          </w:p>
        </w:tc>
        <w:tc>
          <w:tcPr>
            <w:tcW w:w="414" w:type="pct"/>
            <w:shd w:val="clear" w:color="auto" w:fill="auto"/>
            <w:vAlign w:val="bottom"/>
          </w:tcPr>
          <w:p w14:paraId="185FFF25" w14:textId="77777777" w:rsidR="00A91885" w:rsidRDefault="00A91885">
            <w:pPr>
              <w:rPr>
                <w:rFonts w:ascii="宋体"/>
              </w:rPr>
            </w:pPr>
          </w:p>
        </w:tc>
        <w:tc>
          <w:tcPr>
            <w:tcW w:w="5" w:type="pct"/>
            <w:shd w:val="clear" w:color="auto" w:fill="auto"/>
            <w:vAlign w:val="bottom"/>
          </w:tcPr>
          <w:p w14:paraId="185FFF26" w14:textId="77777777" w:rsidR="00A91885" w:rsidRDefault="00A91885">
            <w:pPr>
              <w:rPr>
                <w:rFonts w:ascii="宋体"/>
              </w:rPr>
            </w:pPr>
          </w:p>
        </w:tc>
        <w:tc>
          <w:tcPr>
            <w:tcW w:w="5" w:type="pct"/>
            <w:shd w:val="clear" w:color="auto" w:fill="auto"/>
            <w:vAlign w:val="bottom"/>
          </w:tcPr>
          <w:p w14:paraId="185FFF27" w14:textId="77777777" w:rsidR="00A91885" w:rsidRDefault="00A91885">
            <w:pPr>
              <w:rPr>
                <w:rFonts w:ascii="宋体"/>
              </w:rPr>
            </w:pPr>
          </w:p>
        </w:tc>
        <w:tc>
          <w:tcPr>
            <w:tcW w:w="26" w:type="pct"/>
            <w:shd w:val="clear" w:color="auto" w:fill="auto"/>
            <w:vAlign w:val="bottom"/>
          </w:tcPr>
          <w:p w14:paraId="185FFF28" w14:textId="77777777" w:rsidR="00A91885" w:rsidRDefault="00A91885">
            <w:pPr>
              <w:rPr>
                <w:rFonts w:ascii="宋体"/>
              </w:rPr>
            </w:pPr>
          </w:p>
        </w:tc>
        <w:tc>
          <w:tcPr>
            <w:tcW w:w="5" w:type="pct"/>
            <w:shd w:val="clear" w:color="auto" w:fill="auto"/>
            <w:vAlign w:val="bottom"/>
          </w:tcPr>
          <w:p w14:paraId="185FFF29" w14:textId="77777777" w:rsidR="00A91885" w:rsidRDefault="00A91885">
            <w:pPr>
              <w:rPr>
                <w:rFonts w:ascii="宋体"/>
              </w:rPr>
            </w:pPr>
          </w:p>
        </w:tc>
        <w:tc>
          <w:tcPr>
            <w:tcW w:w="50" w:type="pct"/>
            <w:shd w:val="clear" w:color="auto" w:fill="auto"/>
            <w:vAlign w:val="bottom"/>
          </w:tcPr>
          <w:p w14:paraId="185FFF2A" w14:textId="77777777" w:rsidR="00A91885" w:rsidRDefault="00A91885">
            <w:pPr>
              <w:rPr>
                <w:rFonts w:ascii="宋体"/>
              </w:rPr>
            </w:pPr>
          </w:p>
        </w:tc>
        <w:tc>
          <w:tcPr>
            <w:tcW w:w="384" w:type="pct"/>
            <w:shd w:val="clear" w:color="auto" w:fill="auto"/>
            <w:vAlign w:val="bottom"/>
          </w:tcPr>
          <w:p w14:paraId="185FFF2B" w14:textId="77777777" w:rsidR="00A91885" w:rsidRDefault="00A91885">
            <w:pPr>
              <w:rPr>
                <w:rFonts w:ascii="宋体"/>
              </w:rPr>
            </w:pPr>
          </w:p>
        </w:tc>
        <w:tc>
          <w:tcPr>
            <w:tcW w:w="5" w:type="pct"/>
            <w:shd w:val="clear" w:color="auto" w:fill="auto"/>
            <w:vAlign w:val="bottom"/>
          </w:tcPr>
          <w:p w14:paraId="185FFF2C" w14:textId="77777777" w:rsidR="00A91885" w:rsidRDefault="00A91885">
            <w:pPr>
              <w:rPr>
                <w:rFonts w:ascii="宋体"/>
              </w:rPr>
            </w:pPr>
          </w:p>
        </w:tc>
        <w:tc>
          <w:tcPr>
            <w:tcW w:w="5" w:type="pct"/>
            <w:shd w:val="clear" w:color="auto" w:fill="auto"/>
            <w:vAlign w:val="bottom"/>
          </w:tcPr>
          <w:p w14:paraId="185FFF2D" w14:textId="77777777" w:rsidR="00A91885" w:rsidRDefault="00A91885">
            <w:pPr>
              <w:rPr>
                <w:rFonts w:ascii="宋体"/>
              </w:rPr>
            </w:pPr>
          </w:p>
        </w:tc>
        <w:tc>
          <w:tcPr>
            <w:tcW w:w="26" w:type="pct"/>
            <w:shd w:val="clear" w:color="auto" w:fill="auto"/>
            <w:vAlign w:val="bottom"/>
          </w:tcPr>
          <w:p w14:paraId="185FFF2E" w14:textId="77777777" w:rsidR="00A91885" w:rsidRDefault="00A91885">
            <w:pPr>
              <w:rPr>
                <w:rFonts w:ascii="宋体"/>
              </w:rPr>
            </w:pPr>
          </w:p>
        </w:tc>
        <w:tc>
          <w:tcPr>
            <w:tcW w:w="5" w:type="pct"/>
            <w:shd w:val="clear" w:color="auto" w:fill="auto"/>
            <w:vAlign w:val="bottom"/>
          </w:tcPr>
          <w:p w14:paraId="185FFF2F" w14:textId="77777777" w:rsidR="00A91885" w:rsidRDefault="00A91885">
            <w:pPr>
              <w:rPr>
                <w:rFonts w:ascii="宋体"/>
              </w:rPr>
            </w:pPr>
          </w:p>
        </w:tc>
        <w:tc>
          <w:tcPr>
            <w:tcW w:w="50" w:type="pct"/>
            <w:shd w:val="clear" w:color="auto" w:fill="auto"/>
            <w:vAlign w:val="bottom"/>
          </w:tcPr>
          <w:p w14:paraId="185FFF30" w14:textId="77777777" w:rsidR="00A91885" w:rsidRDefault="00A91885">
            <w:pPr>
              <w:rPr>
                <w:rFonts w:ascii="宋体"/>
              </w:rPr>
            </w:pPr>
          </w:p>
        </w:tc>
        <w:tc>
          <w:tcPr>
            <w:tcW w:w="377" w:type="pct"/>
            <w:shd w:val="clear" w:color="auto" w:fill="auto"/>
            <w:vAlign w:val="bottom"/>
          </w:tcPr>
          <w:p w14:paraId="185FFF31" w14:textId="77777777" w:rsidR="00A91885" w:rsidRDefault="00A91885">
            <w:pPr>
              <w:rPr>
                <w:rFonts w:ascii="宋体"/>
              </w:rPr>
            </w:pPr>
          </w:p>
        </w:tc>
        <w:tc>
          <w:tcPr>
            <w:tcW w:w="5" w:type="pct"/>
            <w:shd w:val="clear" w:color="auto" w:fill="auto"/>
            <w:vAlign w:val="bottom"/>
          </w:tcPr>
          <w:p w14:paraId="185FFF32" w14:textId="77777777" w:rsidR="00A91885" w:rsidRDefault="00A91885">
            <w:pPr>
              <w:rPr>
                <w:rFonts w:ascii="宋体"/>
              </w:rPr>
            </w:pPr>
          </w:p>
        </w:tc>
        <w:tc>
          <w:tcPr>
            <w:tcW w:w="5" w:type="pct"/>
            <w:shd w:val="clear" w:color="auto" w:fill="auto"/>
            <w:vAlign w:val="bottom"/>
          </w:tcPr>
          <w:p w14:paraId="185FFF33" w14:textId="77777777" w:rsidR="00A91885" w:rsidRDefault="00A91885">
            <w:pPr>
              <w:rPr>
                <w:rFonts w:ascii="宋体"/>
              </w:rPr>
            </w:pPr>
          </w:p>
        </w:tc>
        <w:tc>
          <w:tcPr>
            <w:tcW w:w="26" w:type="pct"/>
            <w:shd w:val="clear" w:color="auto" w:fill="auto"/>
            <w:vAlign w:val="bottom"/>
          </w:tcPr>
          <w:p w14:paraId="185FFF34" w14:textId="77777777" w:rsidR="00A91885" w:rsidRDefault="00A91885">
            <w:pPr>
              <w:rPr>
                <w:rFonts w:ascii="宋体"/>
              </w:rPr>
            </w:pPr>
          </w:p>
        </w:tc>
        <w:tc>
          <w:tcPr>
            <w:tcW w:w="5" w:type="pct"/>
            <w:shd w:val="clear" w:color="auto" w:fill="auto"/>
            <w:vAlign w:val="bottom"/>
          </w:tcPr>
          <w:p w14:paraId="185FFF35" w14:textId="77777777" w:rsidR="00A91885" w:rsidRDefault="00A91885">
            <w:pPr>
              <w:rPr>
                <w:rFonts w:ascii="宋体"/>
              </w:rPr>
            </w:pPr>
          </w:p>
        </w:tc>
        <w:tc>
          <w:tcPr>
            <w:tcW w:w="50" w:type="pct"/>
            <w:shd w:val="clear" w:color="auto" w:fill="auto"/>
            <w:vAlign w:val="bottom"/>
          </w:tcPr>
          <w:p w14:paraId="185FFF36" w14:textId="77777777" w:rsidR="00A91885" w:rsidRDefault="00A91885">
            <w:pPr>
              <w:rPr>
                <w:rFonts w:ascii="宋体"/>
              </w:rPr>
            </w:pPr>
          </w:p>
        </w:tc>
        <w:tc>
          <w:tcPr>
            <w:tcW w:w="524" w:type="pct"/>
            <w:shd w:val="clear" w:color="auto" w:fill="auto"/>
            <w:vAlign w:val="bottom"/>
          </w:tcPr>
          <w:p w14:paraId="185FFF37" w14:textId="77777777" w:rsidR="00A91885" w:rsidRDefault="00A91885">
            <w:pPr>
              <w:rPr>
                <w:rFonts w:ascii="宋体"/>
              </w:rPr>
            </w:pPr>
          </w:p>
        </w:tc>
        <w:tc>
          <w:tcPr>
            <w:tcW w:w="5" w:type="pct"/>
            <w:shd w:val="clear" w:color="auto" w:fill="auto"/>
            <w:vAlign w:val="bottom"/>
          </w:tcPr>
          <w:p w14:paraId="185FFF38" w14:textId="77777777" w:rsidR="00A91885" w:rsidRDefault="00A91885">
            <w:pPr>
              <w:rPr>
                <w:rFonts w:ascii="宋体"/>
              </w:rPr>
            </w:pPr>
          </w:p>
        </w:tc>
        <w:tc>
          <w:tcPr>
            <w:tcW w:w="5" w:type="pct"/>
            <w:shd w:val="clear" w:color="auto" w:fill="auto"/>
            <w:vAlign w:val="bottom"/>
          </w:tcPr>
          <w:p w14:paraId="185FFF39" w14:textId="77777777" w:rsidR="00A91885" w:rsidRDefault="00A91885">
            <w:pPr>
              <w:rPr>
                <w:rFonts w:ascii="宋体"/>
              </w:rPr>
            </w:pPr>
          </w:p>
        </w:tc>
        <w:tc>
          <w:tcPr>
            <w:tcW w:w="26" w:type="pct"/>
            <w:shd w:val="clear" w:color="auto" w:fill="auto"/>
            <w:vAlign w:val="bottom"/>
          </w:tcPr>
          <w:p w14:paraId="185FFF3A" w14:textId="77777777" w:rsidR="00A91885" w:rsidRDefault="00A91885">
            <w:pPr>
              <w:rPr>
                <w:rFonts w:ascii="宋体"/>
              </w:rPr>
            </w:pPr>
          </w:p>
        </w:tc>
        <w:tc>
          <w:tcPr>
            <w:tcW w:w="5" w:type="pct"/>
            <w:shd w:val="clear" w:color="auto" w:fill="auto"/>
            <w:vAlign w:val="bottom"/>
          </w:tcPr>
          <w:p w14:paraId="185FFF3B" w14:textId="77777777" w:rsidR="00A91885" w:rsidRDefault="00A91885">
            <w:pPr>
              <w:rPr>
                <w:rFonts w:ascii="宋体"/>
              </w:rPr>
            </w:pPr>
          </w:p>
        </w:tc>
        <w:tc>
          <w:tcPr>
            <w:tcW w:w="50" w:type="pct"/>
            <w:shd w:val="clear" w:color="auto" w:fill="auto"/>
            <w:vAlign w:val="bottom"/>
          </w:tcPr>
          <w:p w14:paraId="185FFF3C" w14:textId="77777777" w:rsidR="00A91885" w:rsidRDefault="00A91885">
            <w:pPr>
              <w:rPr>
                <w:rFonts w:ascii="宋体"/>
              </w:rPr>
            </w:pPr>
          </w:p>
        </w:tc>
        <w:tc>
          <w:tcPr>
            <w:tcW w:w="362" w:type="pct"/>
            <w:shd w:val="clear" w:color="auto" w:fill="auto"/>
            <w:vAlign w:val="bottom"/>
          </w:tcPr>
          <w:p w14:paraId="185FFF3D" w14:textId="77777777" w:rsidR="00A91885" w:rsidRDefault="00A91885">
            <w:pPr>
              <w:rPr>
                <w:rFonts w:ascii="宋体"/>
              </w:rPr>
            </w:pPr>
          </w:p>
        </w:tc>
        <w:tc>
          <w:tcPr>
            <w:tcW w:w="5" w:type="pct"/>
            <w:shd w:val="clear" w:color="auto" w:fill="auto"/>
            <w:vAlign w:val="bottom"/>
          </w:tcPr>
          <w:p w14:paraId="185FFF3E" w14:textId="77777777" w:rsidR="00A91885" w:rsidRDefault="00A91885">
            <w:pPr>
              <w:rPr>
                <w:rFonts w:ascii="宋体"/>
              </w:rPr>
            </w:pPr>
          </w:p>
        </w:tc>
        <w:tc>
          <w:tcPr>
            <w:tcW w:w="5" w:type="pct"/>
            <w:shd w:val="clear" w:color="auto" w:fill="auto"/>
            <w:vAlign w:val="bottom"/>
          </w:tcPr>
          <w:p w14:paraId="185FFF3F" w14:textId="77777777" w:rsidR="00A91885" w:rsidRDefault="00A91885">
            <w:pPr>
              <w:rPr>
                <w:rFonts w:ascii="宋体"/>
              </w:rPr>
            </w:pPr>
          </w:p>
        </w:tc>
        <w:tc>
          <w:tcPr>
            <w:tcW w:w="26" w:type="pct"/>
            <w:shd w:val="clear" w:color="auto" w:fill="auto"/>
            <w:vAlign w:val="bottom"/>
          </w:tcPr>
          <w:p w14:paraId="185FFF40" w14:textId="77777777" w:rsidR="00A91885" w:rsidRDefault="00A91885">
            <w:pPr>
              <w:rPr>
                <w:rFonts w:ascii="宋体"/>
              </w:rPr>
            </w:pPr>
          </w:p>
        </w:tc>
        <w:tc>
          <w:tcPr>
            <w:tcW w:w="5" w:type="pct"/>
            <w:shd w:val="clear" w:color="auto" w:fill="auto"/>
            <w:vAlign w:val="bottom"/>
          </w:tcPr>
          <w:p w14:paraId="185FFF41" w14:textId="77777777" w:rsidR="00A91885" w:rsidRDefault="00A91885">
            <w:pPr>
              <w:rPr>
                <w:rFonts w:ascii="宋体"/>
              </w:rPr>
            </w:pPr>
          </w:p>
        </w:tc>
        <w:tc>
          <w:tcPr>
            <w:tcW w:w="50" w:type="pct"/>
            <w:shd w:val="clear" w:color="auto" w:fill="auto"/>
            <w:vAlign w:val="bottom"/>
          </w:tcPr>
          <w:p w14:paraId="185FFF42" w14:textId="77777777" w:rsidR="00A91885" w:rsidRDefault="00A91885">
            <w:pPr>
              <w:rPr>
                <w:rFonts w:ascii="宋体"/>
              </w:rPr>
            </w:pPr>
          </w:p>
        </w:tc>
        <w:tc>
          <w:tcPr>
            <w:tcW w:w="392" w:type="pct"/>
            <w:shd w:val="clear" w:color="auto" w:fill="auto"/>
            <w:vAlign w:val="bottom"/>
          </w:tcPr>
          <w:p w14:paraId="185FFF43" w14:textId="77777777" w:rsidR="00A91885" w:rsidRDefault="00A91885">
            <w:pPr>
              <w:rPr>
                <w:rFonts w:ascii="宋体"/>
              </w:rPr>
            </w:pPr>
          </w:p>
        </w:tc>
        <w:tc>
          <w:tcPr>
            <w:tcW w:w="5" w:type="pct"/>
            <w:shd w:val="clear" w:color="auto" w:fill="auto"/>
            <w:vAlign w:val="bottom"/>
          </w:tcPr>
          <w:p w14:paraId="185FFF44" w14:textId="77777777" w:rsidR="00A91885" w:rsidRDefault="00A91885">
            <w:pPr>
              <w:rPr>
                <w:rFonts w:ascii="宋体"/>
              </w:rPr>
            </w:pPr>
          </w:p>
        </w:tc>
      </w:tr>
      <w:tr w:rsidR="00A91885" w14:paraId="185FFF4A" w14:textId="77777777">
        <w:tc>
          <w:tcPr>
            <w:tcW w:w="0" w:type="auto"/>
            <w:gridSpan w:val="3"/>
            <w:shd w:val="clear" w:color="auto" w:fill="auto"/>
            <w:tcMar>
              <w:top w:w="40" w:type="dxa"/>
              <w:left w:w="20" w:type="dxa"/>
              <w:bottom w:w="40" w:type="dxa"/>
              <w:right w:w="20" w:type="dxa"/>
            </w:tcMar>
            <w:vAlign w:val="bottom"/>
          </w:tcPr>
          <w:p w14:paraId="185FFF46" w14:textId="77777777" w:rsidR="00A91885" w:rsidRDefault="009C4196">
            <w:pPr>
              <w:textAlignment w:val="bottom"/>
            </w:pPr>
            <w:r>
              <w:rPr>
                <w:rFonts w:ascii="Arial" w:eastAsia="宋体" w:hAnsi="Arial" w:cs="Arial"/>
                <w:color w:val="000000"/>
                <w:sz w:val="17"/>
                <w:szCs w:val="17"/>
              </w:rPr>
              <w:t> </w:t>
            </w:r>
          </w:p>
        </w:tc>
        <w:tc>
          <w:tcPr>
            <w:tcW w:w="0" w:type="auto"/>
            <w:gridSpan w:val="21"/>
            <w:shd w:val="clear" w:color="auto" w:fill="auto"/>
            <w:tcMar>
              <w:top w:w="40" w:type="dxa"/>
              <w:left w:w="20" w:type="dxa"/>
              <w:bottom w:w="40" w:type="dxa"/>
              <w:right w:w="20" w:type="dxa"/>
            </w:tcMar>
            <w:vAlign w:val="bottom"/>
          </w:tcPr>
          <w:p w14:paraId="185FFF47" w14:textId="77777777" w:rsidR="00A91885" w:rsidRDefault="009C4196">
            <w:pPr>
              <w:jc w:val="center"/>
              <w:textAlignment w:val="bottom"/>
            </w:pPr>
            <w:r>
              <w:rPr>
                <w:rFonts w:ascii="Arial" w:eastAsia="宋体" w:hAnsi="Arial" w:cs="Arial"/>
                <w:b/>
                <w:bCs/>
                <w:color w:val="000000"/>
                <w:sz w:val="17"/>
                <w:szCs w:val="17"/>
              </w:rPr>
              <w:t>June 30, 2022</w:t>
            </w:r>
          </w:p>
        </w:tc>
        <w:tc>
          <w:tcPr>
            <w:tcW w:w="0" w:type="auto"/>
            <w:gridSpan w:val="3"/>
            <w:shd w:val="clear" w:color="auto" w:fill="auto"/>
            <w:tcMar>
              <w:top w:w="0" w:type="dxa"/>
              <w:left w:w="20" w:type="dxa"/>
              <w:bottom w:w="0" w:type="dxa"/>
              <w:right w:w="20" w:type="dxa"/>
            </w:tcMar>
            <w:vAlign w:val="bottom"/>
          </w:tcPr>
          <w:p w14:paraId="185FFF48" w14:textId="77777777" w:rsidR="00A91885" w:rsidRDefault="00A91885">
            <w:pPr>
              <w:rPr>
                <w:rFonts w:ascii="宋体"/>
              </w:rPr>
            </w:pPr>
          </w:p>
        </w:tc>
        <w:tc>
          <w:tcPr>
            <w:tcW w:w="0" w:type="auto"/>
            <w:gridSpan w:val="21"/>
            <w:shd w:val="clear" w:color="auto" w:fill="auto"/>
            <w:tcMar>
              <w:top w:w="40" w:type="dxa"/>
              <w:left w:w="20" w:type="dxa"/>
              <w:bottom w:w="40" w:type="dxa"/>
              <w:right w:w="20" w:type="dxa"/>
            </w:tcMar>
            <w:vAlign w:val="bottom"/>
          </w:tcPr>
          <w:p w14:paraId="185FFF49" w14:textId="77777777" w:rsidR="00A91885" w:rsidRDefault="009C4196">
            <w:pPr>
              <w:jc w:val="center"/>
              <w:textAlignment w:val="bottom"/>
            </w:pPr>
            <w:r>
              <w:rPr>
                <w:rFonts w:ascii="Arial" w:eastAsia="宋体" w:hAnsi="Arial" w:cs="Arial"/>
                <w:b/>
                <w:bCs/>
                <w:color w:val="000000"/>
                <w:sz w:val="17"/>
                <w:szCs w:val="17"/>
              </w:rPr>
              <w:t>December 31, 2021</w:t>
            </w:r>
          </w:p>
        </w:tc>
      </w:tr>
      <w:tr w:rsidR="00A91885" w14:paraId="185FFF5B" w14:textId="77777777">
        <w:tc>
          <w:tcPr>
            <w:tcW w:w="0" w:type="auto"/>
            <w:gridSpan w:val="3"/>
            <w:shd w:val="clear" w:color="auto" w:fill="auto"/>
            <w:tcMar>
              <w:top w:w="0" w:type="dxa"/>
              <w:left w:w="20" w:type="dxa"/>
              <w:bottom w:w="0" w:type="dxa"/>
              <w:right w:w="20" w:type="dxa"/>
            </w:tcMar>
            <w:vAlign w:val="bottom"/>
          </w:tcPr>
          <w:p w14:paraId="185FFF4B"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F4C" w14:textId="77777777" w:rsidR="00A91885" w:rsidRDefault="009C4196">
            <w:pPr>
              <w:jc w:val="center"/>
              <w:textAlignment w:val="bottom"/>
            </w:pPr>
            <w:r>
              <w:rPr>
                <w:rFonts w:ascii="Arial" w:eastAsia="宋体" w:hAnsi="Arial" w:cs="Arial"/>
                <w:b/>
                <w:bCs/>
                <w:color w:val="000000"/>
                <w:sz w:val="17"/>
                <w:szCs w:val="17"/>
              </w:rPr>
              <w:t>Gross Carrying Amount</w:t>
            </w:r>
            <w:r>
              <w:rPr>
                <w:rFonts w:ascii="Arial" w:eastAsia="宋体" w:hAnsi="Arial" w:cs="Arial"/>
                <w:color w:val="000000"/>
                <w:sz w:val="17"/>
                <w:szCs w:val="17"/>
              </w:rPr>
              <w:t xml:space="preserve">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F4D"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F4E" w14:textId="77777777" w:rsidR="00A91885" w:rsidRDefault="009C4196">
            <w:pPr>
              <w:jc w:val="center"/>
              <w:textAlignment w:val="bottom"/>
            </w:pPr>
            <w:r>
              <w:rPr>
                <w:rFonts w:ascii="Arial" w:eastAsia="宋体" w:hAnsi="Arial" w:cs="Arial"/>
                <w:b/>
                <w:bCs/>
                <w:color w:val="000000"/>
                <w:sz w:val="17"/>
                <w:szCs w:val="17"/>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F4F"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F50" w14:textId="77777777" w:rsidR="00A91885" w:rsidRDefault="009C4196">
            <w:pPr>
              <w:jc w:val="center"/>
              <w:textAlignment w:val="bottom"/>
            </w:pPr>
            <w:r>
              <w:rPr>
                <w:rFonts w:ascii="Arial" w:eastAsia="宋体" w:hAnsi="Arial" w:cs="Arial"/>
                <w:b/>
                <w:bCs/>
                <w:color w:val="000000"/>
                <w:sz w:val="17"/>
                <w:szCs w:val="17"/>
              </w:rPr>
              <w:t>Net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F51"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F52" w14:textId="77777777" w:rsidR="00A91885" w:rsidRDefault="009C4196">
            <w:pPr>
              <w:jc w:val="center"/>
              <w:textAlignment w:val="bottom"/>
            </w:pPr>
            <w:r>
              <w:rPr>
                <w:rFonts w:ascii="Arial" w:eastAsia="宋体" w:hAnsi="Arial" w:cs="Arial"/>
                <w:b/>
                <w:bCs/>
                <w:color w:val="000000"/>
                <w:sz w:val="17"/>
                <w:szCs w:val="17"/>
              </w:rPr>
              <w:t>Weighted Average Useful Life (Years)</w:t>
            </w:r>
          </w:p>
        </w:tc>
        <w:tc>
          <w:tcPr>
            <w:tcW w:w="0" w:type="auto"/>
            <w:gridSpan w:val="3"/>
            <w:shd w:val="clear" w:color="auto" w:fill="auto"/>
            <w:tcMar>
              <w:top w:w="0" w:type="dxa"/>
              <w:left w:w="20" w:type="dxa"/>
              <w:bottom w:w="0" w:type="dxa"/>
              <w:right w:w="20" w:type="dxa"/>
            </w:tcMar>
            <w:vAlign w:val="bottom"/>
          </w:tcPr>
          <w:p w14:paraId="185FFF53"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F54" w14:textId="77777777" w:rsidR="00A91885" w:rsidRDefault="009C4196">
            <w:pPr>
              <w:jc w:val="center"/>
              <w:textAlignment w:val="bottom"/>
            </w:pPr>
            <w:r>
              <w:rPr>
                <w:rFonts w:ascii="Arial" w:eastAsia="宋体" w:hAnsi="Arial" w:cs="Arial"/>
                <w:b/>
                <w:bCs/>
                <w:color w:val="000000"/>
                <w:sz w:val="17"/>
                <w:szCs w:val="17"/>
              </w:rPr>
              <w:t>Gross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F55"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F56" w14:textId="77777777" w:rsidR="00A91885" w:rsidRDefault="009C4196">
            <w:pPr>
              <w:jc w:val="center"/>
              <w:textAlignment w:val="bottom"/>
            </w:pPr>
            <w:r>
              <w:rPr>
                <w:rFonts w:ascii="Arial" w:eastAsia="宋体" w:hAnsi="Arial" w:cs="Arial"/>
                <w:b/>
                <w:bCs/>
                <w:color w:val="000000"/>
                <w:sz w:val="17"/>
                <w:szCs w:val="17"/>
              </w:rPr>
              <w:t>Accumulated 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F57"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F58" w14:textId="77777777" w:rsidR="00A91885" w:rsidRDefault="009C4196">
            <w:pPr>
              <w:jc w:val="center"/>
              <w:textAlignment w:val="bottom"/>
            </w:pPr>
            <w:r>
              <w:rPr>
                <w:rFonts w:ascii="Arial" w:eastAsia="宋体" w:hAnsi="Arial" w:cs="Arial"/>
                <w:b/>
                <w:bCs/>
                <w:color w:val="000000"/>
                <w:sz w:val="17"/>
                <w:szCs w:val="17"/>
              </w:rPr>
              <w:t>Net Carrying Amount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5FFF59"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5FFF5A" w14:textId="77777777" w:rsidR="00A91885" w:rsidRDefault="009C4196">
            <w:pPr>
              <w:jc w:val="center"/>
              <w:textAlignment w:val="bottom"/>
            </w:pPr>
            <w:r>
              <w:rPr>
                <w:rFonts w:ascii="Arial" w:eastAsia="宋体" w:hAnsi="Arial" w:cs="Arial"/>
                <w:b/>
                <w:bCs/>
                <w:color w:val="000000"/>
                <w:sz w:val="17"/>
                <w:szCs w:val="17"/>
              </w:rPr>
              <w:t xml:space="preserve">Weighted Average </w:t>
            </w:r>
            <w:r>
              <w:rPr>
                <w:rFonts w:ascii="Arial" w:eastAsia="宋体" w:hAnsi="Arial" w:cs="Arial"/>
                <w:b/>
                <w:bCs/>
                <w:color w:val="000000"/>
                <w:sz w:val="17"/>
                <w:szCs w:val="17"/>
              </w:rPr>
              <w:t>Useful Life (Years)</w:t>
            </w:r>
          </w:p>
        </w:tc>
      </w:tr>
      <w:tr w:rsidR="00A91885" w14:paraId="185FFF6C" w14:textId="77777777">
        <w:tc>
          <w:tcPr>
            <w:tcW w:w="0" w:type="auto"/>
            <w:gridSpan w:val="3"/>
            <w:shd w:val="clear" w:color="auto" w:fill="E2E2E2"/>
            <w:tcMar>
              <w:top w:w="40" w:type="dxa"/>
              <w:left w:w="20" w:type="dxa"/>
              <w:bottom w:w="40" w:type="dxa"/>
              <w:right w:w="20" w:type="dxa"/>
            </w:tcMar>
            <w:vAlign w:val="bottom"/>
          </w:tcPr>
          <w:p w14:paraId="185FFF5C" w14:textId="77777777" w:rsidR="00A91885" w:rsidRDefault="009C4196">
            <w:pPr>
              <w:textAlignment w:val="bottom"/>
            </w:pPr>
            <w:r>
              <w:rPr>
                <w:rFonts w:ascii="Arial" w:eastAsia="宋体" w:hAnsi="Arial" w:cs="Arial"/>
                <w:color w:val="000000"/>
                <w:sz w:val="18"/>
                <w:szCs w:val="18"/>
              </w:rPr>
              <w:t>Intangible 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85FFF5D"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85FFF5E" w14:textId="77777777" w:rsidR="00A91885" w:rsidRDefault="00A91885">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85FFF5F"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85FFF60" w14:textId="77777777" w:rsidR="00A91885" w:rsidRDefault="00A91885">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85FFF61"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85FFF62" w14:textId="77777777" w:rsidR="00A91885" w:rsidRDefault="00A91885">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85FFF63" w14:textId="77777777" w:rsidR="00A91885" w:rsidRDefault="009C4196">
            <w:pPr>
              <w:jc w:val="cente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85FFF64" w14:textId="77777777" w:rsidR="00A91885" w:rsidRDefault="00A91885">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85FFF65"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85FFF66" w14:textId="77777777" w:rsidR="00A91885" w:rsidRDefault="00A91885">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85FFF67"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85FFF68" w14:textId="77777777" w:rsidR="00A91885" w:rsidRDefault="00A91885">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85FFF69"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85FFF6A" w14:textId="77777777" w:rsidR="00A91885" w:rsidRDefault="00A91885">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85FFF6B" w14:textId="77777777" w:rsidR="00A91885" w:rsidRDefault="009C4196">
            <w:pPr>
              <w:jc w:val="center"/>
              <w:textAlignment w:val="bottom"/>
            </w:pPr>
            <w:r>
              <w:rPr>
                <w:rFonts w:ascii="Arial" w:eastAsia="宋体" w:hAnsi="Arial" w:cs="Arial"/>
                <w:color w:val="000000"/>
                <w:sz w:val="18"/>
                <w:szCs w:val="18"/>
              </w:rPr>
              <w:t> </w:t>
            </w:r>
          </w:p>
        </w:tc>
      </w:tr>
      <w:tr w:rsidR="009C4196" w14:paraId="185FFF89" w14:textId="77777777">
        <w:tc>
          <w:tcPr>
            <w:tcW w:w="0" w:type="auto"/>
            <w:gridSpan w:val="3"/>
            <w:shd w:val="clear" w:color="auto" w:fill="FFFFFF"/>
            <w:tcMar>
              <w:top w:w="40" w:type="dxa"/>
              <w:left w:w="125" w:type="dxa"/>
              <w:bottom w:w="40" w:type="dxa"/>
              <w:right w:w="20" w:type="dxa"/>
            </w:tcMar>
            <w:vAlign w:val="bottom"/>
          </w:tcPr>
          <w:p w14:paraId="185FFF6D" w14:textId="77777777" w:rsidR="00A91885" w:rsidRDefault="009C4196">
            <w:pPr>
              <w:textAlignment w:val="bottom"/>
            </w:pPr>
            <w:r>
              <w:rPr>
                <w:rFonts w:ascii="Arial" w:eastAsia="宋体" w:hAnsi="Arial" w:cs="Arial"/>
                <w:color w:val="000000"/>
                <w:sz w:val="18"/>
                <w:szCs w:val="18"/>
              </w:rPr>
              <w:t>Customer lists and user bas</w:t>
            </w:r>
            <w:r>
              <w:rPr>
                <w:rFonts w:ascii="Arial" w:eastAsia="宋体" w:hAnsi="Arial" w:cs="Arial"/>
                <w:color w:val="000000"/>
                <w:sz w:val="18"/>
                <w:szCs w:val="18"/>
              </w:rPr>
              <w:t>e</w:t>
            </w:r>
          </w:p>
        </w:tc>
        <w:tc>
          <w:tcPr>
            <w:tcW w:w="0" w:type="auto"/>
            <w:shd w:val="clear" w:color="auto" w:fill="FFFFFF"/>
            <w:tcMar>
              <w:top w:w="40" w:type="dxa"/>
              <w:left w:w="20" w:type="dxa"/>
              <w:bottom w:w="40" w:type="dxa"/>
              <w:right w:w="0" w:type="dxa"/>
            </w:tcMar>
            <w:vAlign w:val="bottom"/>
          </w:tcPr>
          <w:p w14:paraId="185FFF6E"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F6F" w14:textId="77777777" w:rsidR="00A91885" w:rsidRDefault="009C4196">
            <w:pPr>
              <w:jc w:val="right"/>
              <w:textAlignment w:val="bottom"/>
            </w:pPr>
            <w:r>
              <w:rPr>
                <w:rFonts w:ascii="Arial" w:eastAsia="宋体" w:hAnsi="Arial" w:cs="Arial"/>
                <w:color w:val="000000"/>
                <w:sz w:val="18"/>
                <w:szCs w:val="18"/>
              </w:rPr>
              <w:t>189 </w:t>
            </w:r>
          </w:p>
        </w:tc>
        <w:tc>
          <w:tcPr>
            <w:tcW w:w="0" w:type="auto"/>
            <w:shd w:val="clear" w:color="auto" w:fill="FFFFFF"/>
            <w:tcMar>
              <w:top w:w="40" w:type="dxa"/>
              <w:left w:w="0" w:type="dxa"/>
              <w:bottom w:w="40" w:type="dxa"/>
              <w:right w:w="20" w:type="dxa"/>
            </w:tcMar>
            <w:vAlign w:val="bottom"/>
          </w:tcPr>
          <w:p w14:paraId="185FFF7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71"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F72"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F73" w14:textId="77777777" w:rsidR="00A91885" w:rsidRDefault="009C4196">
            <w:pPr>
              <w:jc w:val="right"/>
              <w:textAlignment w:val="bottom"/>
            </w:pPr>
            <w:r>
              <w:rPr>
                <w:rFonts w:ascii="Arial" w:eastAsia="宋体" w:hAnsi="Arial" w:cs="Arial"/>
                <w:color w:val="000000"/>
                <w:sz w:val="18"/>
                <w:szCs w:val="18"/>
              </w:rPr>
              <w:t>(189)</w:t>
            </w:r>
          </w:p>
        </w:tc>
        <w:tc>
          <w:tcPr>
            <w:tcW w:w="0" w:type="auto"/>
            <w:shd w:val="clear" w:color="auto" w:fill="FFFFFF"/>
            <w:tcMar>
              <w:top w:w="40" w:type="dxa"/>
              <w:left w:w="0" w:type="dxa"/>
              <w:bottom w:w="40" w:type="dxa"/>
              <w:right w:w="20" w:type="dxa"/>
            </w:tcMar>
            <w:vAlign w:val="bottom"/>
          </w:tcPr>
          <w:p w14:paraId="185FFF7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75"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F76"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F77"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F7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79"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5FFF7A" w14:textId="77777777" w:rsidR="00A91885" w:rsidRDefault="009C4196">
            <w:pPr>
              <w:jc w:val="center"/>
              <w:textAlignment w:val="bottom"/>
            </w:pPr>
            <w:r>
              <w:rPr>
                <w:rFonts w:ascii="Arial" w:eastAsia="宋体" w:hAnsi="Arial" w:cs="Arial"/>
                <w:color w:val="000000"/>
                <w:sz w:val="18"/>
                <w:szCs w:val="18"/>
              </w:rPr>
              <w:t>0</w:t>
            </w:r>
          </w:p>
        </w:tc>
        <w:tc>
          <w:tcPr>
            <w:tcW w:w="0" w:type="auto"/>
            <w:gridSpan w:val="3"/>
            <w:shd w:val="clear" w:color="auto" w:fill="FFFFFF"/>
            <w:tcMar>
              <w:top w:w="0" w:type="dxa"/>
              <w:left w:w="20" w:type="dxa"/>
              <w:bottom w:w="0" w:type="dxa"/>
              <w:right w:w="20" w:type="dxa"/>
            </w:tcMar>
            <w:vAlign w:val="bottom"/>
          </w:tcPr>
          <w:p w14:paraId="185FFF7B"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F7C"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F7D" w14:textId="77777777" w:rsidR="00A91885" w:rsidRDefault="009C4196">
            <w:pPr>
              <w:jc w:val="right"/>
              <w:textAlignment w:val="bottom"/>
            </w:pPr>
            <w:r>
              <w:rPr>
                <w:rFonts w:ascii="Arial" w:eastAsia="宋体" w:hAnsi="Arial" w:cs="Arial"/>
                <w:color w:val="000000"/>
                <w:sz w:val="18"/>
                <w:szCs w:val="18"/>
              </w:rPr>
              <w:t>203 </w:t>
            </w:r>
          </w:p>
        </w:tc>
        <w:tc>
          <w:tcPr>
            <w:tcW w:w="0" w:type="auto"/>
            <w:shd w:val="clear" w:color="auto" w:fill="FFFFFF"/>
            <w:tcMar>
              <w:top w:w="40" w:type="dxa"/>
              <w:left w:w="0" w:type="dxa"/>
              <w:bottom w:w="40" w:type="dxa"/>
              <w:right w:w="20" w:type="dxa"/>
            </w:tcMar>
            <w:vAlign w:val="bottom"/>
          </w:tcPr>
          <w:p w14:paraId="185FFF7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7F"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F80"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F81" w14:textId="77777777" w:rsidR="00A91885" w:rsidRDefault="009C4196">
            <w:pPr>
              <w:jc w:val="right"/>
              <w:textAlignment w:val="bottom"/>
            </w:pPr>
            <w:r>
              <w:rPr>
                <w:rFonts w:ascii="Arial" w:eastAsia="宋体" w:hAnsi="Arial" w:cs="Arial"/>
                <w:color w:val="000000"/>
                <w:sz w:val="18"/>
                <w:szCs w:val="18"/>
              </w:rPr>
              <w:t>(203)</w:t>
            </w:r>
          </w:p>
        </w:tc>
        <w:tc>
          <w:tcPr>
            <w:tcW w:w="0" w:type="auto"/>
            <w:shd w:val="clear" w:color="auto" w:fill="FFFFFF"/>
            <w:tcMar>
              <w:top w:w="40" w:type="dxa"/>
              <w:left w:w="0" w:type="dxa"/>
              <w:bottom w:w="40" w:type="dxa"/>
              <w:right w:w="20" w:type="dxa"/>
            </w:tcMar>
            <w:vAlign w:val="bottom"/>
          </w:tcPr>
          <w:p w14:paraId="185FFF8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83"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5FFF84"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5FFF85"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F8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87"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5FFF88" w14:textId="77777777" w:rsidR="00A91885" w:rsidRDefault="009C4196">
            <w:pPr>
              <w:jc w:val="center"/>
              <w:textAlignment w:val="bottom"/>
            </w:pPr>
            <w:r>
              <w:rPr>
                <w:rFonts w:ascii="Arial" w:eastAsia="宋体" w:hAnsi="Arial" w:cs="Arial"/>
                <w:color w:val="000000"/>
                <w:sz w:val="18"/>
                <w:szCs w:val="18"/>
              </w:rPr>
              <w:t>0</w:t>
            </w:r>
          </w:p>
        </w:tc>
      </w:tr>
      <w:tr w:rsidR="00A91885" w14:paraId="185FFFA0" w14:textId="77777777">
        <w:tc>
          <w:tcPr>
            <w:tcW w:w="0" w:type="auto"/>
            <w:gridSpan w:val="3"/>
            <w:shd w:val="clear" w:color="auto" w:fill="E2E2E2"/>
            <w:tcMar>
              <w:top w:w="40" w:type="dxa"/>
              <w:left w:w="125" w:type="dxa"/>
              <w:bottom w:w="40" w:type="dxa"/>
              <w:right w:w="20" w:type="dxa"/>
            </w:tcMar>
            <w:vAlign w:val="bottom"/>
          </w:tcPr>
          <w:p w14:paraId="185FFF8A" w14:textId="77777777" w:rsidR="00A91885" w:rsidRDefault="009C4196">
            <w:pPr>
              <w:textAlignment w:val="bottom"/>
            </w:pPr>
            <w:r>
              <w:rPr>
                <w:rFonts w:ascii="Arial" w:eastAsia="宋体" w:hAnsi="Arial" w:cs="Arial"/>
                <w:color w:val="000000"/>
                <w:sz w:val="18"/>
                <w:szCs w:val="18"/>
              </w:rPr>
              <w:t>Marketing related</w:t>
            </w:r>
          </w:p>
        </w:tc>
        <w:tc>
          <w:tcPr>
            <w:tcW w:w="0" w:type="auto"/>
            <w:gridSpan w:val="2"/>
            <w:shd w:val="clear" w:color="auto" w:fill="E2E2E2"/>
            <w:tcMar>
              <w:top w:w="40" w:type="dxa"/>
              <w:left w:w="20" w:type="dxa"/>
              <w:bottom w:w="40" w:type="dxa"/>
              <w:right w:w="0" w:type="dxa"/>
            </w:tcMar>
            <w:vAlign w:val="bottom"/>
          </w:tcPr>
          <w:p w14:paraId="185FFF8B" w14:textId="77777777" w:rsidR="00A91885" w:rsidRDefault="009C4196">
            <w:pPr>
              <w:jc w:val="right"/>
              <w:textAlignment w:val="bottom"/>
            </w:pPr>
            <w:r>
              <w:rPr>
                <w:rFonts w:ascii="Arial" w:eastAsia="宋体" w:hAnsi="Arial" w:cs="Arial"/>
                <w:color w:val="000000"/>
                <w:sz w:val="18"/>
                <w:szCs w:val="18"/>
              </w:rPr>
              <w:t>55 </w:t>
            </w:r>
          </w:p>
        </w:tc>
        <w:tc>
          <w:tcPr>
            <w:tcW w:w="0" w:type="auto"/>
            <w:shd w:val="clear" w:color="auto" w:fill="E2E2E2"/>
            <w:tcMar>
              <w:top w:w="40" w:type="dxa"/>
              <w:left w:w="0" w:type="dxa"/>
              <w:bottom w:w="40" w:type="dxa"/>
              <w:right w:w="20" w:type="dxa"/>
            </w:tcMar>
            <w:vAlign w:val="bottom"/>
          </w:tcPr>
          <w:p w14:paraId="185FFF8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F8D"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F8E" w14:textId="77777777" w:rsidR="00A91885" w:rsidRDefault="009C4196">
            <w:pPr>
              <w:jc w:val="right"/>
              <w:textAlignment w:val="bottom"/>
            </w:pPr>
            <w:r>
              <w:rPr>
                <w:rFonts w:ascii="Arial" w:eastAsia="宋体" w:hAnsi="Arial" w:cs="Arial"/>
                <w:color w:val="000000"/>
                <w:sz w:val="18"/>
                <w:szCs w:val="18"/>
              </w:rPr>
              <w:t>(52)</w:t>
            </w:r>
          </w:p>
        </w:tc>
        <w:tc>
          <w:tcPr>
            <w:tcW w:w="0" w:type="auto"/>
            <w:shd w:val="clear" w:color="auto" w:fill="E2E2E2"/>
            <w:tcMar>
              <w:top w:w="40" w:type="dxa"/>
              <w:left w:w="0" w:type="dxa"/>
              <w:bottom w:w="40" w:type="dxa"/>
              <w:right w:w="20" w:type="dxa"/>
            </w:tcMar>
            <w:vAlign w:val="bottom"/>
          </w:tcPr>
          <w:p w14:paraId="185FFF8F"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F90"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F91" w14:textId="77777777" w:rsidR="00A91885" w:rsidRDefault="009C4196">
            <w:pPr>
              <w:jc w:val="right"/>
              <w:textAlignment w:val="bottom"/>
            </w:pPr>
            <w:r>
              <w:rPr>
                <w:rFonts w:ascii="Arial" w:eastAsia="宋体" w:hAnsi="Arial" w:cs="Arial"/>
                <w:color w:val="000000"/>
                <w:sz w:val="18"/>
                <w:szCs w:val="18"/>
              </w:rPr>
              <w:t>3 </w:t>
            </w:r>
          </w:p>
        </w:tc>
        <w:tc>
          <w:tcPr>
            <w:tcW w:w="0" w:type="auto"/>
            <w:shd w:val="clear" w:color="auto" w:fill="E2E2E2"/>
            <w:tcMar>
              <w:top w:w="40" w:type="dxa"/>
              <w:left w:w="0" w:type="dxa"/>
              <w:bottom w:w="40" w:type="dxa"/>
              <w:right w:w="20" w:type="dxa"/>
            </w:tcMar>
            <w:vAlign w:val="bottom"/>
          </w:tcPr>
          <w:p w14:paraId="185FFF9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F93" w14:textId="77777777" w:rsidR="00A91885" w:rsidRDefault="00A91885">
            <w:pPr>
              <w:rPr>
                <w:rFonts w:ascii="宋体"/>
              </w:rPr>
            </w:pPr>
          </w:p>
        </w:tc>
        <w:tc>
          <w:tcPr>
            <w:tcW w:w="0" w:type="auto"/>
            <w:gridSpan w:val="3"/>
            <w:shd w:val="clear" w:color="auto" w:fill="E2E2E2"/>
            <w:tcMar>
              <w:top w:w="40" w:type="dxa"/>
              <w:left w:w="20" w:type="dxa"/>
              <w:bottom w:w="40" w:type="dxa"/>
              <w:right w:w="20" w:type="dxa"/>
            </w:tcMar>
            <w:vAlign w:val="bottom"/>
          </w:tcPr>
          <w:p w14:paraId="185FFF94" w14:textId="77777777" w:rsidR="00A91885" w:rsidRDefault="009C4196">
            <w:pPr>
              <w:jc w:val="center"/>
              <w:textAlignment w:val="bottom"/>
            </w:pPr>
            <w:r>
              <w:rPr>
                <w:rFonts w:ascii="Arial" w:eastAsia="宋体" w:hAnsi="Arial" w:cs="Arial"/>
                <w:color w:val="000000"/>
                <w:sz w:val="18"/>
                <w:szCs w:val="18"/>
              </w:rPr>
              <w:t>2</w:t>
            </w:r>
          </w:p>
        </w:tc>
        <w:tc>
          <w:tcPr>
            <w:tcW w:w="0" w:type="auto"/>
            <w:gridSpan w:val="3"/>
            <w:shd w:val="clear" w:color="auto" w:fill="E2E2E2"/>
            <w:tcMar>
              <w:top w:w="0" w:type="dxa"/>
              <w:left w:w="20" w:type="dxa"/>
              <w:bottom w:w="0" w:type="dxa"/>
              <w:right w:w="20" w:type="dxa"/>
            </w:tcMar>
            <w:vAlign w:val="bottom"/>
          </w:tcPr>
          <w:p w14:paraId="185FFF9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F96" w14:textId="77777777" w:rsidR="00A91885" w:rsidRDefault="009C4196">
            <w:pPr>
              <w:jc w:val="right"/>
              <w:textAlignment w:val="bottom"/>
            </w:pPr>
            <w:r>
              <w:rPr>
                <w:rFonts w:ascii="Arial" w:eastAsia="宋体" w:hAnsi="Arial" w:cs="Arial"/>
                <w:color w:val="000000"/>
                <w:sz w:val="18"/>
                <w:szCs w:val="18"/>
              </w:rPr>
              <w:t>57 </w:t>
            </w:r>
          </w:p>
        </w:tc>
        <w:tc>
          <w:tcPr>
            <w:tcW w:w="0" w:type="auto"/>
            <w:shd w:val="clear" w:color="auto" w:fill="E2E2E2"/>
            <w:tcMar>
              <w:top w:w="40" w:type="dxa"/>
              <w:left w:w="0" w:type="dxa"/>
              <w:bottom w:w="40" w:type="dxa"/>
              <w:right w:w="20" w:type="dxa"/>
            </w:tcMar>
            <w:vAlign w:val="bottom"/>
          </w:tcPr>
          <w:p w14:paraId="185FFF9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F9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F99" w14:textId="77777777" w:rsidR="00A91885" w:rsidRDefault="009C4196">
            <w:pPr>
              <w:jc w:val="right"/>
              <w:textAlignment w:val="bottom"/>
            </w:pPr>
            <w:r>
              <w:rPr>
                <w:rFonts w:ascii="Arial" w:eastAsia="宋体" w:hAnsi="Arial" w:cs="Arial"/>
                <w:color w:val="000000"/>
                <w:sz w:val="18"/>
                <w:szCs w:val="18"/>
              </w:rPr>
              <w:t>(52)</w:t>
            </w:r>
          </w:p>
        </w:tc>
        <w:tc>
          <w:tcPr>
            <w:tcW w:w="0" w:type="auto"/>
            <w:shd w:val="clear" w:color="auto" w:fill="E2E2E2"/>
            <w:tcMar>
              <w:top w:w="40" w:type="dxa"/>
              <w:left w:w="0" w:type="dxa"/>
              <w:bottom w:w="40" w:type="dxa"/>
              <w:right w:w="20" w:type="dxa"/>
            </w:tcMar>
            <w:vAlign w:val="bottom"/>
          </w:tcPr>
          <w:p w14:paraId="185FFF9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F9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F9C" w14:textId="77777777" w:rsidR="00A91885" w:rsidRDefault="009C4196">
            <w:pPr>
              <w:jc w:val="right"/>
              <w:textAlignment w:val="bottom"/>
            </w:pPr>
            <w:r>
              <w:rPr>
                <w:rFonts w:ascii="Arial" w:eastAsia="宋体" w:hAnsi="Arial" w:cs="Arial"/>
                <w:color w:val="000000"/>
                <w:sz w:val="18"/>
                <w:szCs w:val="18"/>
              </w:rPr>
              <w:t>5 </w:t>
            </w:r>
          </w:p>
        </w:tc>
        <w:tc>
          <w:tcPr>
            <w:tcW w:w="0" w:type="auto"/>
            <w:shd w:val="clear" w:color="auto" w:fill="E2E2E2"/>
            <w:tcMar>
              <w:top w:w="40" w:type="dxa"/>
              <w:left w:w="0" w:type="dxa"/>
              <w:bottom w:w="40" w:type="dxa"/>
              <w:right w:w="20" w:type="dxa"/>
            </w:tcMar>
            <w:vAlign w:val="bottom"/>
          </w:tcPr>
          <w:p w14:paraId="185FFF9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F9E" w14:textId="77777777" w:rsidR="00A91885" w:rsidRDefault="00A91885">
            <w:pPr>
              <w:rPr>
                <w:rFonts w:ascii="宋体"/>
              </w:rPr>
            </w:pPr>
          </w:p>
        </w:tc>
        <w:tc>
          <w:tcPr>
            <w:tcW w:w="0" w:type="auto"/>
            <w:gridSpan w:val="3"/>
            <w:shd w:val="clear" w:color="auto" w:fill="E2E2E2"/>
            <w:tcMar>
              <w:top w:w="40" w:type="dxa"/>
              <w:left w:w="20" w:type="dxa"/>
              <w:bottom w:w="40" w:type="dxa"/>
              <w:right w:w="20" w:type="dxa"/>
            </w:tcMar>
            <w:vAlign w:val="bottom"/>
          </w:tcPr>
          <w:p w14:paraId="185FFF9F" w14:textId="77777777" w:rsidR="00A91885" w:rsidRDefault="009C4196">
            <w:pPr>
              <w:jc w:val="center"/>
              <w:textAlignment w:val="bottom"/>
            </w:pPr>
            <w:r>
              <w:rPr>
                <w:rFonts w:ascii="Arial" w:eastAsia="宋体" w:hAnsi="Arial" w:cs="Arial"/>
                <w:color w:val="000000"/>
                <w:sz w:val="18"/>
                <w:szCs w:val="18"/>
              </w:rPr>
              <w:t>2</w:t>
            </w:r>
          </w:p>
        </w:tc>
      </w:tr>
      <w:tr w:rsidR="00A91885" w14:paraId="185FFFB7" w14:textId="77777777">
        <w:tc>
          <w:tcPr>
            <w:tcW w:w="0" w:type="auto"/>
            <w:gridSpan w:val="3"/>
            <w:shd w:val="clear" w:color="auto" w:fill="FFFFFF"/>
            <w:tcMar>
              <w:top w:w="40" w:type="dxa"/>
              <w:left w:w="125" w:type="dxa"/>
              <w:bottom w:w="40" w:type="dxa"/>
              <w:right w:w="20" w:type="dxa"/>
            </w:tcMar>
            <w:vAlign w:val="bottom"/>
          </w:tcPr>
          <w:p w14:paraId="185FFFA1" w14:textId="77777777" w:rsidR="00A91885" w:rsidRDefault="009C4196">
            <w:pPr>
              <w:textAlignment w:val="bottom"/>
            </w:pPr>
            <w:r>
              <w:rPr>
                <w:rFonts w:ascii="Arial" w:eastAsia="宋体" w:hAnsi="Arial" w:cs="Arial"/>
                <w:color w:val="000000"/>
                <w:sz w:val="18"/>
                <w:szCs w:val="18"/>
              </w:rPr>
              <w:t>Developed technologies</w:t>
            </w:r>
          </w:p>
        </w:tc>
        <w:tc>
          <w:tcPr>
            <w:tcW w:w="0" w:type="auto"/>
            <w:gridSpan w:val="2"/>
            <w:shd w:val="clear" w:color="auto" w:fill="FFFFFF"/>
            <w:tcMar>
              <w:top w:w="40" w:type="dxa"/>
              <w:left w:w="20" w:type="dxa"/>
              <w:bottom w:w="40" w:type="dxa"/>
              <w:right w:w="0" w:type="dxa"/>
            </w:tcMar>
            <w:vAlign w:val="bottom"/>
          </w:tcPr>
          <w:p w14:paraId="185FFFA2" w14:textId="77777777" w:rsidR="00A91885" w:rsidRDefault="009C4196">
            <w:pPr>
              <w:jc w:val="right"/>
              <w:textAlignment w:val="bottom"/>
            </w:pPr>
            <w:r>
              <w:rPr>
                <w:rFonts w:ascii="Arial" w:eastAsia="宋体" w:hAnsi="Arial" w:cs="Arial"/>
                <w:color w:val="000000"/>
                <w:sz w:val="18"/>
                <w:szCs w:val="18"/>
              </w:rPr>
              <w:t>173 </w:t>
            </w:r>
          </w:p>
        </w:tc>
        <w:tc>
          <w:tcPr>
            <w:tcW w:w="0" w:type="auto"/>
            <w:shd w:val="clear" w:color="auto" w:fill="FFFFFF"/>
            <w:tcMar>
              <w:top w:w="40" w:type="dxa"/>
              <w:left w:w="0" w:type="dxa"/>
              <w:bottom w:w="40" w:type="dxa"/>
              <w:right w:w="20" w:type="dxa"/>
            </w:tcMar>
            <w:vAlign w:val="bottom"/>
          </w:tcPr>
          <w:p w14:paraId="185FFFA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A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FA5" w14:textId="77777777" w:rsidR="00A91885" w:rsidRDefault="009C4196">
            <w:pPr>
              <w:jc w:val="right"/>
              <w:textAlignment w:val="bottom"/>
            </w:pPr>
            <w:r>
              <w:rPr>
                <w:rFonts w:ascii="Arial" w:eastAsia="宋体" w:hAnsi="Arial" w:cs="Arial"/>
                <w:color w:val="000000"/>
                <w:sz w:val="18"/>
                <w:szCs w:val="18"/>
              </w:rPr>
              <w:t>(173)</w:t>
            </w:r>
          </w:p>
        </w:tc>
        <w:tc>
          <w:tcPr>
            <w:tcW w:w="0" w:type="auto"/>
            <w:shd w:val="clear" w:color="auto" w:fill="FFFFFF"/>
            <w:tcMar>
              <w:top w:w="40" w:type="dxa"/>
              <w:left w:w="0" w:type="dxa"/>
              <w:bottom w:w="40" w:type="dxa"/>
              <w:right w:w="20" w:type="dxa"/>
            </w:tcMar>
            <w:vAlign w:val="bottom"/>
          </w:tcPr>
          <w:p w14:paraId="185FFFA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A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FA8"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FA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AA"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5FFFAB" w14:textId="77777777" w:rsidR="00A91885" w:rsidRDefault="009C4196">
            <w:pPr>
              <w:jc w:val="center"/>
              <w:textAlignment w:val="bottom"/>
            </w:pPr>
            <w:r>
              <w:rPr>
                <w:rFonts w:ascii="Arial" w:eastAsia="宋体" w:hAnsi="Arial" w:cs="Arial"/>
                <w:color w:val="000000"/>
                <w:sz w:val="18"/>
                <w:szCs w:val="18"/>
              </w:rPr>
              <w:t>0</w:t>
            </w:r>
          </w:p>
        </w:tc>
        <w:tc>
          <w:tcPr>
            <w:tcW w:w="0" w:type="auto"/>
            <w:gridSpan w:val="3"/>
            <w:shd w:val="clear" w:color="auto" w:fill="FFFFFF"/>
            <w:tcMar>
              <w:top w:w="0" w:type="dxa"/>
              <w:left w:w="20" w:type="dxa"/>
              <w:bottom w:w="0" w:type="dxa"/>
              <w:right w:w="20" w:type="dxa"/>
            </w:tcMar>
            <w:vAlign w:val="bottom"/>
          </w:tcPr>
          <w:p w14:paraId="185FFFA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FAD" w14:textId="77777777" w:rsidR="00A91885" w:rsidRDefault="009C4196">
            <w:pPr>
              <w:jc w:val="right"/>
              <w:textAlignment w:val="bottom"/>
            </w:pPr>
            <w:r>
              <w:rPr>
                <w:rFonts w:ascii="Arial" w:eastAsia="宋体" w:hAnsi="Arial" w:cs="Arial"/>
                <w:color w:val="000000"/>
                <w:sz w:val="18"/>
                <w:szCs w:val="18"/>
              </w:rPr>
              <w:t>174 </w:t>
            </w:r>
          </w:p>
        </w:tc>
        <w:tc>
          <w:tcPr>
            <w:tcW w:w="0" w:type="auto"/>
            <w:shd w:val="clear" w:color="auto" w:fill="FFFFFF"/>
            <w:tcMar>
              <w:top w:w="40" w:type="dxa"/>
              <w:left w:w="0" w:type="dxa"/>
              <w:bottom w:w="40" w:type="dxa"/>
              <w:right w:w="20" w:type="dxa"/>
            </w:tcMar>
            <w:vAlign w:val="bottom"/>
          </w:tcPr>
          <w:p w14:paraId="185FFFA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A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FB0" w14:textId="77777777" w:rsidR="00A91885" w:rsidRDefault="009C4196">
            <w:pPr>
              <w:jc w:val="right"/>
              <w:textAlignment w:val="bottom"/>
            </w:pPr>
            <w:r>
              <w:rPr>
                <w:rFonts w:ascii="Arial" w:eastAsia="宋体" w:hAnsi="Arial" w:cs="Arial"/>
                <w:color w:val="000000"/>
                <w:sz w:val="18"/>
                <w:szCs w:val="18"/>
              </w:rPr>
              <w:t>(174)</w:t>
            </w:r>
          </w:p>
        </w:tc>
        <w:tc>
          <w:tcPr>
            <w:tcW w:w="0" w:type="auto"/>
            <w:shd w:val="clear" w:color="auto" w:fill="FFFFFF"/>
            <w:tcMar>
              <w:top w:w="40" w:type="dxa"/>
              <w:left w:w="0" w:type="dxa"/>
              <w:bottom w:w="40" w:type="dxa"/>
              <w:right w:w="20" w:type="dxa"/>
            </w:tcMar>
            <w:vAlign w:val="bottom"/>
          </w:tcPr>
          <w:p w14:paraId="185FFFB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B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5FFFB3"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5FFFB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B5"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5FFFB6" w14:textId="77777777" w:rsidR="00A91885" w:rsidRDefault="009C4196">
            <w:pPr>
              <w:jc w:val="center"/>
              <w:textAlignment w:val="bottom"/>
            </w:pPr>
            <w:r>
              <w:rPr>
                <w:rFonts w:ascii="Arial" w:eastAsia="宋体" w:hAnsi="Arial" w:cs="Arial"/>
                <w:color w:val="000000"/>
                <w:sz w:val="18"/>
                <w:szCs w:val="18"/>
              </w:rPr>
              <w:t>0</w:t>
            </w:r>
          </w:p>
        </w:tc>
      </w:tr>
      <w:tr w:rsidR="00A91885" w14:paraId="185FFFCE" w14:textId="77777777">
        <w:tc>
          <w:tcPr>
            <w:tcW w:w="0" w:type="auto"/>
            <w:gridSpan w:val="3"/>
            <w:shd w:val="clear" w:color="auto" w:fill="E2E2E2"/>
            <w:tcMar>
              <w:top w:w="40" w:type="dxa"/>
              <w:left w:w="125" w:type="dxa"/>
              <w:bottom w:w="40" w:type="dxa"/>
              <w:right w:w="20" w:type="dxa"/>
            </w:tcMar>
            <w:vAlign w:val="bottom"/>
          </w:tcPr>
          <w:p w14:paraId="185FFFB8" w14:textId="77777777" w:rsidR="00A91885" w:rsidRDefault="009C4196">
            <w:pPr>
              <w:textAlignment w:val="bottom"/>
            </w:pPr>
            <w:r>
              <w:rPr>
                <w:rFonts w:ascii="Arial" w:eastAsia="宋体" w:hAnsi="Arial" w:cs="Arial"/>
                <w:color w:val="000000"/>
                <w:sz w:val="18"/>
                <w:szCs w:val="18"/>
              </w:rPr>
              <w:t>All other</w:t>
            </w:r>
          </w:p>
        </w:tc>
        <w:tc>
          <w:tcPr>
            <w:tcW w:w="0" w:type="auto"/>
            <w:gridSpan w:val="2"/>
            <w:shd w:val="clear" w:color="auto" w:fill="E2E2E2"/>
            <w:tcMar>
              <w:top w:w="40" w:type="dxa"/>
              <w:left w:w="20" w:type="dxa"/>
              <w:bottom w:w="40" w:type="dxa"/>
              <w:right w:w="0" w:type="dxa"/>
            </w:tcMar>
            <w:vAlign w:val="bottom"/>
          </w:tcPr>
          <w:p w14:paraId="185FFFB9" w14:textId="77777777" w:rsidR="00A91885" w:rsidRDefault="009C4196">
            <w:pPr>
              <w:jc w:val="right"/>
              <w:textAlignment w:val="bottom"/>
            </w:pPr>
            <w:r>
              <w:rPr>
                <w:rFonts w:ascii="Arial" w:eastAsia="宋体" w:hAnsi="Arial" w:cs="Arial"/>
                <w:color w:val="000000"/>
                <w:sz w:val="18"/>
                <w:szCs w:val="18"/>
              </w:rPr>
              <w:t>159 </w:t>
            </w:r>
          </w:p>
        </w:tc>
        <w:tc>
          <w:tcPr>
            <w:tcW w:w="0" w:type="auto"/>
            <w:shd w:val="clear" w:color="auto" w:fill="E2E2E2"/>
            <w:tcMar>
              <w:top w:w="40" w:type="dxa"/>
              <w:left w:w="0" w:type="dxa"/>
              <w:bottom w:w="40" w:type="dxa"/>
              <w:right w:w="20" w:type="dxa"/>
            </w:tcMar>
            <w:vAlign w:val="bottom"/>
          </w:tcPr>
          <w:p w14:paraId="185FFFB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FB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FBC" w14:textId="77777777" w:rsidR="00A91885" w:rsidRDefault="009C4196">
            <w:pPr>
              <w:jc w:val="right"/>
              <w:textAlignment w:val="bottom"/>
            </w:pPr>
            <w:r>
              <w:rPr>
                <w:rFonts w:ascii="Arial" w:eastAsia="宋体" w:hAnsi="Arial" w:cs="Arial"/>
                <w:color w:val="000000"/>
                <w:sz w:val="18"/>
                <w:szCs w:val="18"/>
              </w:rPr>
              <w:t>(156)</w:t>
            </w:r>
          </w:p>
        </w:tc>
        <w:tc>
          <w:tcPr>
            <w:tcW w:w="0" w:type="auto"/>
            <w:shd w:val="clear" w:color="auto" w:fill="E2E2E2"/>
            <w:tcMar>
              <w:top w:w="40" w:type="dxa"/>
              <w:left w:w="0" w:type="dxa"/>
              <w:bottom w:w="40" w:type="dxa"/>
              <w:right w:w="20" w:type="dxa"/>
            </w:tcMar>
            <w:vAlign w:val="bottom"/>
          </w:tcPr>
          <w:p w14:paraId="185FFFB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FB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FBF" w14:textId="77777777" w:rsidR="00A91885" w:rsidRDefault="009C4196">
            <w:pPr>
              <w:jc w:val="right"/>
              <w:textAlignment w:val="bottom"/>
            </w:pPr>
            <w:r>
              <w:rPr>
                <w:rFonts w:ascii="Arial" w:eastAsia="宋体" w:hAnsi="Arial" w:cs="Arial"/>
                <w:color w:val="000000"/>
                <w:sz w:val="18"/>
                <w:szCs w:val="18"/>
              </w:rPr>
              <w:t>3 </w:t>
            </w:r>
          </w:p>
        </w:tc>
        <w:tc>
          <w:tcPr>
            <w:tcW w:w="0" w:type="auto"/>
            <w:shd w:val="clear" w:color="auto" w:fill="E2E2E2"/>
            <w:tcMar>
              <w:top w:w="40" w:type="dxa"/>
              <w:left w:w="0" w:type="dxa"/>
              <w:bottom w:w="40" w:type="dxa"/>
              <w:right w:w="20" w:type="dxa"/>
            </w:tcMar>
            <w:vAlign w:val="bottom"/>
          </w:tcPr>
          <w:p w14:paraId="185FFFC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FC1" w14:textId="77777777" w:rsidR="00A91885" w:rsidRDefault="00A91885">
            <w:pPr>
              <w:rPr>
                <w:rFonts w:ascii="宋体"/>
              </w:rPr>
            </w:pPr>
          </w:p>
        </w:tc>
        <w:tc>
          <w:tcPr>
            <w:tcW w:w="0" w:type="auto"/>
            <w:gridSpan w:val="3"/>
            <w:shd w:val="clear" w:color="auto" w:fill="E2E2E2"/>
            <w:tcMar>
              <w:top w:w="40" w:type="dxa"/>
              <w:left w:w="20" w:type="dxa"/>
              <w:bottom w:w="40" w:type="dxa"/>
              <w:right w:w="20" w:type="dxa"/>
            </w:tcMar>
            <w:vAlign w:val="bottom"/>
          </w:tcPr>
          <w:p w14:paraId="185FFFC2" w14:textId="77777777" w:rsidR="00A91885" w:rsidRDefault="009C4196">
            <w:pPr>
              <w:jc w:val="center"/>
              <w:textAlignment w:val="bottom"/>
            </w:pPr>
            <w:r>
              <w:rPr>
                <w:rFonts w:ascii="Arial" w:eastAsia="宋体" w:hAnsi="Arial" w:cs="Arial"/>
                <w:color w:val="000000"/>
                <w:sz w:val="18"/>
                <w:szCs w:val="18"/>
              </w:rPr>
              <w:t>3</w:t>
            </w:r>
          </w:p>
        </w:tc>
        <w:tc>
          <w:tcPr>
            <w:tcW w:w="0" w:type="auto"/>
            <w:gridSpan w:val="3"/>
            <w:shd w:val="clear" w:color="auto" w:fill="E2E2E2"/>
            <w:tcMar>
              <w:top w:w="0" w:type="dxa"/>
              <w:left w:w="20" w:type="dxa"/>
              <w:bottom w:w="0" w:type="dxa"/>
              <w:right w:w="20" w:type="dxa"/>
            </w:tcMar>
            <w:vAlign w:val="bottom"/>
          </w:tcPr>
          <w:p w14:paraId="185FFFC3"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FC4" w14:textId="77777777" w:rsidR="00A91885" w:rsidRDefault="009C4196">
            <w:pPr>
              <w:jc w:val="right"/>
              <w:textAlignment w:val="bottom"/>
            </w:pPr>
            <w:r>
              <w:rPr>
                <w:rFonts w:ascii="Arial" w:eastAsia="宋体" w:hAnsi="Arial" w:cs="Arial"/>
                <w:color w:val="000000"/>
                <w:sz w:val="18"/>
                <w:szCs w:val="18"/>
              </w:rPr>
              <w:t>159 </w:t>
            </w:r>
          </w:p>
        </w:tc>
        <w:tc>
          <w:tcPr>
            <w:tcW w:w="0" w:type="auto"/>
            <w:shd w:val="clear" w:color="auto" w:fill="E2E2E2"/>
            <w:tcMar>
              <w:top w:w="40" w:type="dxa"/>
              <w:left w:w="0" w:type="dxa"/>
              <w:bottom w:w="40" w:type="dxa"/>
              <w:right w:w="20" w:type="dxa"/>
            </w:tcMar>
            <w:vAlign w:val="bottom"/>
          </w:tcPr>
          <w:p w14:paraId="185FFFC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FC6"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FC7" w14:textId="77777777" w:rsidR="00A91885" w:rsidRDefault="009C4196">
            <w:pPr>
              <w:jc w:val="right"/>
              <w:textAlignment w:val="bottom"/>
            </w:pPr>
            <w:r>
              <w:rPr>
                <w:rFonts w:ascii="Arial" w:eastAsia="宋体" w:hAnsi="Arial" w:cs="Arial"/>
                <w:color w:val="000000"/>
                <w:sz w:val="18"/>
                <w:szCs w:val="18"/>
              </w:rPr>
              <w:t>(156)</w:t>
            </w:r>
          </w:p>
        </w:tc>
        <w:tc>
          <w:tcPr>
            <w:tcW w:w="0" w:type="auto"/>
            <w:shd w:val="clear" w:color="auto" w:fill="E2E2E2"/>
            <w:tcMar>
              <w:top w:w="40" w:type="dxa"/>
              <w:left w:w="0" w:type="dxa"/>
              <w:bottom w:w="40" w:type="dxa"/>
              <w:right w:w="20" w:type="dxa"/>
            </w:tcMar>
            <w:vAlign w:val="bottom"/>
          </w:tcPr>
          <w:p w14:paraId="185FFFC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FC9"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5FFFCA" w14:textId="77777777" w:rsidR="00A91885" w:rsidRDefault="009C4196">
            <w:pPr>
              <w:jc w:val="right"/>
              <w:textAlignment w:val="bottom"/>
            </w:pPr>
            <w:r>
              <w:rPr>
                <w:rFonts w:ascii="Arial" w:eastAsia="宋体" w:hAnsi="Arial" w:cs="Arial"/>
                <w:color w:val="000000"/>
                <w:sz w:val="18"/>
                <w:szCs w:val="18"/>
              </w:rPr>
              <w:t>3 </w:t>
            </w:r>
          </w:p>
        </w:tc>
        <w:tc>
          <w:tcPr>
            <w:tcW w:w="0" w:type="auto"/>
            <w:shd w:val="clear" w:color="auto" w:fill="E2E2E2"/>
            <w:tcMar>
              <w:top w:w="40" w:type="dxa"/>
              <w:left w:w="0" w:type="dxa"/>
              <w:bottom w:w="40" w:type="dxa"/>
              <w:right w:w="20" w:type="dxa"/>
            </w:tcMar>
            <w:vAlign w:val="bottom"/>
          </w:tcPr>
          <w:p w14:paraId="185FFFC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5FFFCC" w14:textId="77777777" w:rsidR="00A91885" w:rsidRDefault="00A91885">
            <w:pPr>
              <w:rPr>
                <w:rFonts w:ascii="宋体"/>
              </w:rPr>
            </w:pPr>
          </w:p>
        </w:tc>
        <w:tc>
          <w:tcPr>
            <w:tcW w:w="0" w:type="auto"/>
            <w:gridSpan w:val="3"/>
            <w:shd w:val="clear" w:color="auto" w:fill="E2E2E2"/>
            <w:tcMar>
              <w:top w:w="40" w:type="dxa"/>
              <w:left w:w="20" w:type="dxa"/>
              <w:bottom w:w="40" w:type="dxa"/>
              <w:right w:w="20" w:type="dxa"/>
            </w:tcMar>
            <w:vAlign w:val="bottom"/>
          </w:tcPr>
          <w:p w14:paraId="185FFFCD" w14:textId="77777777" w:rsidR="00A91885" w:rsidRDefault="009C4196">
            <w:pPr>
              <w:jc w:val="center"/>
              <w:textAlignment w:val="bottom"/>
            </w:pPr>
            <w:r>
              <w:rPr>
                <w:rFonts w:ascii="Arial" w:eastAsia="宋体" w:hAnsi="Arial" w:cs="Arial"/>
                <w:color w:val="000000"/>
                <w:sz w:val="18"/>
                <w:szCs w:val="18"/>
              </w:rPr>
              <w:t>3</w:t>
            </w:r>
          </w:p>
        </w:tc>
      </w:tr>
      <w:tr w:rsidR="009C4196" w14:paraId="185FFFEB" w14:textId="77777777">
        <w:tc>
          <w:tcPr>
            <w:tcW w:w="0" w:type="auto"/>
            <w:gridSpan w:val="3"/>
            <w:shd w:val="clear" w:color="auto" w:fill="FFFFFF"/>
            <w:tcMar>
              <w:top w:w="40" w:type="dxa"/>
              <w:left w:w="395" w:type="dxa"/>
              <w:bottom w:w="40" w:type="dxa"/>
              <w:right w:w="20" w:type="dxa"/>
            </w:tcMar>
            <w:vAlign w:val="bottom"/>
          </w:tcPr>
          <w:p w14:paraId="185FFFCF" w14:textId="77777777" w:rsidR="00A91885" w:rsidRDefault="009C4196">
            <w:pPr>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5FFFD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5FFFD1" w14:textId="77777777" w:rsidR="00A91885" w:rsidRDefault="009C4196">
            <w:pPr>
              <w:jc w:val="right"/>
              <w:textAlignment w:val="bottom"/>
            </w:pPr>
            <w:r>
              <w:rPr>
                <w:rFonts w:ascii="Arial" w:eastAsia="宋体" w:hAnsi="Arial" w:cs="Arial"/>
                <w:color w:val="000000"/>
                <w:sz w:val="18"/>
                <w:szCs w:val="18"/>
              </w:rPr>
              <w:t>576 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5FFFD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D3"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5FFFD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5FFFD5" w14:textId="77777777" w:rsidR="00A91885" w:rsidRDefault="009C4196">
            <w:pPr>
              <w:jc w:val="right"/>
              <w:textAlignment w:val="bottom"/>
            </w:pPr>
            <w:r>
              <w:rPr>
                <w:rFonts w:ascii="Arial" w:eastAsia="宋体" w:hAnsi="Arial" w:cs="Arial"/>
                <w:color w:val="000000"/>
                <w:sz w:val="18"/>
                <w:szCs w:val="18"/>
              </w:rPr>
              <w:t>(570)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5FFFD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D7"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5FFFD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5FFFD9" w14:textId="77777777" w:rsidR="00A91885" w:rsidRDefault="009C4196">
            <w:pPr>
              <w:jc w:val="right"/>
              <w:textAlignment w:val="bottom"/>
            </w:pPr>
            <w:r>
              <w:rPr>
                <w:rFonts w:ascii="Arial" w:eastAsia="宋体" w:hAnsi="Arial" w:cs="Arial"/>
                <w:color w:val="000000"/>
                <w:sz w:val="18"/>
                <w:szCs w:val="18"/>
              </w:rPr>
              <w:t>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5FFFD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DB"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5FFFDC" w14:textId="77777777" w:rsidR="00A91885" w:rsidRDefault="009C4196">
            <w:pPr>
              <w:jc w:val="center"/>
              <w:textAlignment w:val="bottom"/>
            </w:pPr>
            <w:r>
              <w:rPr>
                <w:rFonts w:ascii="Arial" w:eastAsia="宋体" w:hAnsi="Arial" w:cs="Arial"/>
                <w:color w:val="000000"/>
                <w:sz w:val="18"/>
                <w:szCs w:val="18"/>
              </w:rPr>
              <w:t> </w:t>
            </w:r>
          </w:p>
        </w:tc>
        <w:tc>
          <w:tcPr>
            <w:tcW w:w="0" w:type="auto"/>
            <w:gridSpan w:val="3"/>
            <w:shd w:val="clear" w:color="auto" w:fill="FFFFFF"/>
            <w:tcMar>
              <w:top w:w="0" w:type="dxa"/>
              <w:left w:w="20" w:type="dxa"/>
              <w:bottom w:w="0" w:type="dxa"/>
              <w:right w:w="20" w:type="dxa"/>
            </w:tcMar>
            <w:vAlign w:val="bottom"/>
          </w:tcPr>
          <w:p w14:paraId="185FFFDD"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5FFFD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5FFFDF" w14:textId="77777777" w:rsidR="00A91885" w:rsidRDefault="009C4196">
            <w:pPr>
              <w:jc w:val="right"/>
              <w:textAlignment w:val="bottom"/>
            </w:pPr>
            <w:r>
              <w:rPr>
                <w:rFonts w:ascii="Arial" w:eastAsia="宋体" w:hAnsi="Arial" w:cs="Arial"/>
                <w:color w:val="000000"/>
                <w:sz w:val="18"/>
                <w:szCs w:val="18"/>
              </w:rPr>
              <w:t>593 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5FFFE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E1"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5FFFE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5FFFE3" w14:textId="77777777" w:rsidR="00A91885" w:rsidRDefault="009C4196">
            <w:pPr>
              <w:jc w:val="right"/>
              <w:textAlignment w:val="bottom"/>
            </w:pPr>
            <w:r>
              <w:rPr>
                <w:rFonts w:ascii="Arial" w:eastAsia="宋体" w:hAnsi="Arial" w:cs="Arial"/>
                <w:color w:val="000000"/>
                <w:sz w:val="18"/>
                <w:szCs w:val="18"/>
              </w:rPr>
              <w:t>(585)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5FFFE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E5"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5FFFE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5FFFE7" w14:textId="77777777" w:rsidR="00A91885" w:rsidRDefault="009C4196">
            <w:pPr>
              <w:jc w:val="right"/>
              <w:textAlignment w:val="bottom"/>
            </w:pPr>
            <w:r>
              <w:rPr>
                <w:rFonts w:ascii="Arial" w:eastAsia="宋体" w:hAnsi="Arial" w:cs="Arial"/>
                <w:color w:val="000000"/>
                <w:sz w:val="18"/>
                <w:szCs w:val="18"/>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5FFFE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5FFFE9"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5FFFEA" w14:textId="77777777" w:rsidR="00A91885" w:rsidRDefault="00A91885">
            <w:pPr>
              <w:rPr>
                <w:rFonts w:ascii="宋体"/>
              </w:rPr>
            </w:pPr>
          </w:p>
        </w:tc>
      </w:tr>
    </w:tbl>
    <w:p w14:paraId="185FFFEC" w14:textId="77777777" w:rsidR="00A91885" w:rsidRDefault="00A91885">
      <w:pPr>
        <w:ind w:hanging="540"/>
      </w:pPr>
    </w:p>
    <w:p w14:paraId="185FFFED" w14:textId="77777777" w:rsidR="00A91885" w:rsidRDefault="009C4196">
      <w:pPr>
        <w:ind w:firstLine="540"/>
        <w:jc w:val="both"/>
      </w:pPr>
      <w:r>
        <w:rPr>
          <w:rFonts w:ascii="Arial" w:eastAsia="宋体" w:hAnsi="Arial" w:cs="Arial"/>
          <w:color w:val="000000"/>
          <w:sz w:val="20"/>
          <w:szCs w:val="20"/>
        </w:rPr>
        <w:t>Amortization expense for intangible assets was $1 million and $2 million for the three months ended June 30, 2022 and 2</w:t>
      </w:r>
      <w:r>
        <w:rPr>
          <w:rFonts w:ascii="Arial" w:eastAsia="宋体" w:hAnsi="Arial" w:cs="Arial"/>
          <w:color w:val="000000"/>
          <w:sz w:val="20"/>
          <w:szCs w:val="20"/>
        </w:rPr>
        <w:t>021, respectively, and $2 million and $9 million for the six months ended June 30, 2022 and 2021, respectively.</w:t>
      </w:r>
    </w:p>
    <w:p w14:paraId="185FFFEE" w14:textId="77777777" w:rsidR="00A91885" w:rsidRDefault="00A91885">
      <w:pPr>
        <w:ind w:firstLine="540"/>
      </w:pPr>
    </w:p>
    <w:p w14:paraId="185FFFEF" w14:textId="77777777" w:rsidR="00A91885" w:rsidRDefault="009C4196">
      <w:pPr>
        <w:spacing w:after="120"/>
        <w:ind w:firstLine="540"/>
        <w:jc w:val="both"/>
      </w:pPr>
      <w:r>
        <w:rPr>
          <w:rFonts w:ascii="Arial" w:eastAsia="宋体" w:hAnsi="Arial" w:cs="Arial"/>
          <w:color w:val="000000"/>
          <w:sz w:val="20"/>
          <w:szCs w:val="20"/>
        </w:rPr>
        <w:t>The following table presents expected future intangible asset amortization as of the date indicated (in millions):</w:t>
      </w:r>
    </w:p>
    <w:tbl>
      <w:tblPr>
        <w:tblW w:w="4993" w:type="pct"/>
        <w:tblCellMar>
          <w:top w:w="15" w:type="dxa"/>
          <w:left w:w="15" w:type="dxa"/>
          <w:bottom w:w="15" w:type="dxa"/>
          <w:right w:w="15" w:type="dxa"/>
        </w:tblCellMar>
        <w:tblLook w:val="04A0" w:firstRow="1" w:lastRow="0" w:firstColumn="1" w:lastColumn="0" w:noHBand="0" w:noVBand="1"/>
      </w:tblPr>
      <w:tblGrid>
        <w:gridCol w:w="45"/>
        <w:gridCol w:w="7077"/>
        <w:gridCol w:w="36"/>
        <w:gridCol w:w="36"/>
        <w:gridCol w:w="36"/>
        <w:gridCol w:w="36"/>
        <w:gridCol w:w="122"/>
        <w:gridCol w:w="900"/>
        <w:gridCol w:w="36"/>
      </w:tblGrid>
      <w:tr w:rsidR="00A91885" w14:paraId="185FFFF9" w14:textId="77777777">
        <w:tc>
          <w:tcPr>
            <w:tcW w:w="50" w:type="pct"/>
            <w:shd w:val="clear" w:color="auto" w:fill="auto"/>
            <w:vAlign w:val="bottom"/>
          </w:tcPr>
          <w:p w14:paraId="185FFFF0" w14:textId="77777777" w:rsidR="00A91885" w:rsidRDefault="00A91885">
            <w:pPr>
              <w:rPr>
                <w:rFonts w:ascii="宋体"/>
              </w:rPr>
            </w:pPr>
          </w:p>
        </w:tc>
        <w:tc>
          <w:tcPr>
            <w:tcW w:w="4271" w:type="pct"/>
            <w:shd w:val="clear" w:color="auto" w:fill="auto"/>
            <w:vAlign w:val="bottom"/>
          </w:tcPr>
          <w:p w14:paraId="185FFFF1" w14:textId="77777777" w:rsidR="00A91885" w:rsidRDefault="00A91885">
            <w:pPr>
              <w:rPr>
                <w:rFonts w:ascii="宋体"/>
              </w:rPr>
            </w:pPr>
          </w:p>
        </w:tc>
        <w:tc>
          <w:tcPr>
            <w:tcW w:w="5" w:type="pct"/>
            <w:shd w:val="clear" w:color="auto" w:fill="auto"/>
            <w:vAlign w:val="bottom"/>
          </w:tcPr>
          <w:p w14:paraId="185FFFF2" w14:textId="77777777" w:rsidR="00A91885" w:rsidRDefault="00A91885">
            <w:pPr>
              <w:rPr>
                <w:rFonts w:ascii="宋体"/>
              </w:rPr>
            </w:pPr>
          </w:p>
        </w:tc>
        <w:tc>
          <w:tcPr>
            <w:tcW w:w="5" w:type="pct"/>
            <w:shd w:val="clear" w:color="auto" w:fill="auto"/>
            <w:vAlign w:val="bottom"/>
          </w:tcPr>
          <w:p w14:paraId="185FFFF3" w14:textId="77777777" w:rsidR="00A91885" w:rsidRDefault="00A91885">
            <w:pPr>
              <w:rPr>
                <w:rFonts w:ascii="宋体"/>
              </w:rPr>
            </w:pPr>
          </w:p>
        </w:tc>
        <w:tc>
          <w:tcPr>
            <w:tcW w:w="26" w:type="pct"/>
            <w:shd w:val="clear" w:color="auto" w:fill="auto"/>
            <w:vAlign w:val="bottom"/>
          </w:tcPr>
          <w:p w14:paraId="185FFFF4" w14:textId="77777777" w:rsidR="00A91885" w:rsidRDefault="00A91885">
            <w:pPr>
              <w:rPr>
                <w:rFonts w:ascii="宋体"/>
              </w:rPr>
            </w:pPr>
          </w:p>
        </w:tc>
        <w:tc>
          <w:tcPr>
            <w:tcW w:w="5" w:type="pct"/>
            <w:shd w:val="clear" w:color="auto" w:fill="auto"/>
            <w:vAlign w:val="bottom"/>
          </w:tcPr>
          <w:p w14:paraId="185FFFF5" w14:textId="77777777" w:rsidR="00A91885" w:rsidRDefault="00A91885">
            <w:pPr>
              <w:rPr>
                <w:rFonts w:ascii="宋体"/>
              </w:rPr>
            </w:pPr>
          </w:p>
        </w:tc>
        <w:tc>
          <w:tcPr>
            <w:tcW w:w="50" w:type="pct"/>
            <w:shd w:val="clear" w:color="auto" w:fill="auto"/>
            <w:vAlign w:val="bottom"/>
          </w:tcPr>
          <w:p w14:paraId="185FFFF6" w14:textId="77777777" w:rsidR="00A91885" w:rsidRDefault="00A91885">
            <w:pPr>
              <w:rPr>
                <w:rFonts w:ascii="宋体"/>
              </w:rPr>
            </w:pPr>
          </w:p>
        </w:tc>
        <w:tc>
          <w:tcPr>
            <w:tcW w:w="581" w:type="pct"/>
            <w:shd w:val="clear" w:color="auto" w:fill="auto"/>
            <w:vAlign w:val="bottom"/>
          </w:tcPr>
          <w:p w14:paraId="185FFFF7" w14:textId="77777777" w:rsidR="00A91885" w:rsidRDefault="00A91885">
            <w:pPr>
              <w:rPr>
                <w:rFonts w:ascii="宋体"/>
              </w:rPr>
            </w:pPr>
          </w:p>
        </w:tc>
        <w:tc>
          <w:tcPr>
            <w:tcW w:w="5" w:type="pct"/>
            <w:shd w:val="clear" w:color="auto" w:fill="auto"/>
            <w:vAlign w:val="bottom"/>
          </w:tcPr>
          <w:p w14:paraId="185FFFF8" w14:textId="77777777" w:rsidR="00A91885" w:rsidRDefault="00A91885">
            <w:pPr>
              <w:rPr>
                <w:rFonts w:ascii="宋体"/>
              </w:rPr>
            </w:pPr>
          </w:p>
        </w:tc>
      </w:tr>
      <w:tr w:rsidR="00A91885" w14:paraId="185FFFFD" w14:textId="77777777">
        <w:tc>
          <w:tcPr>
            <w:tcW w:w="0" w:type="auto"/>
            <w:gridSpan w:val="3"/>
            <w:shd w:val="clear" w:color="auto" w:fill="auto"/>
            <w:tcMar>
              <w:top w:w="0" w:type="dxa"/>
              <w:left w:w="20" w:type="dxa"/>
              <w:bottom w:w="0" w:type="dxa"/>
              <w:right w:w="20" w:type="dxa"/>
            </w:tcMar>
            <w:vAlign w:val="bottom"/>
          </w:tcPr>
          <w:p w14:paraId="185FFFFA"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5FFFFB"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5FFFFC" w14:textId="77777777" w:rsidR="00A91885" w:rsidRDefault="009C4196">
            <w:pPr>
              <w:jc w:val="center"/>
              <w:textAlignment w:val="bottom"/>
            </w:pPr>
            <w:r>
              <w:rPr>
                <w:rFonts w:ascii="Arial" w:eastAsia="宋体" w:hAnsi="Arial" w:cs="Arial"/>
                <w:b/>
                <w:bCs/>
                <w:color w:val="000000"/>
                <w:sz w:val="17"/>
                <w:szCs w:val="17"/>
              </w:rPr>
              <w:t xml:space="preserve">June 30, </w:t>
            </w:r>
            <w:r>
              <w:rPr>
                <w:rFonts w:ascii="Arial" w:eastAsia="宋体" w:hAnsi="Arial" w:cs="Arial"/>
                <w:b/>
                <w:bCs/>
                <w:color w:val="000000"/>
                <w:sz w:val="17"/>
                <w:szCs w:val="17"/>
              </w:rPr>
              <w:t>2022</w:t>
            </w:r>
          </w:p>
        </w:tc>
      </w:tr>
      <w:tr w:rsidR="00A91885" w14:paraId="18600003" w14:textId="77777777">
        <w:tc>
          <w:tcPr>
            <w:tcW w:w="0" w:type="auto"/>
            <w:gridSpan w:val="3"/>
            <w:shd w:val="clear" w:color="auto" w:fill="E2E2E2"/>
            <w:tcMar>
              <w:top w:w="40" w:type="dxa"/>
              <w:left w:w="20" w:type="dxa"/>
              <w:bottom w:w="40" w:type="dxa"/>
              <w:right w:w="20" w:type="dxa"/>
            </w:tcMar>
            <w:vAlign w:val="bottom"/>
          </w:tcPr>
          <w:p w14:paraId="185FFFFE" w14:textId="77777777" w:rsidR="00A91885" w:rsidRDefault="009C4196">
            <w:pPr>
              <w:textAlignment w:val="bottom"/>
            </w:pPr>
            <w:r>
              <w:rPr>
                <w:rFonts w:ascii="Arial" w:eastAsia="宋体" w:hAnsi="Arial" w:cs="Arial"/>
                <w:color w:val="000000"/>
                <w:sz w:val="18"/>
                <w:szCs w:val="18"/>
              </w:rPr>
              <w:t>Remaining 2022</w:t>
            </w:r>
          </w:p>
        </w:tc>
        <w:tc>
          <w:tcPr>
            <w:tcW w:w="0" w:type="auto"/>
            <w:gridSpan w:val="3"/>
            <w:shd w:val="clear" w:color="auto" w:fill="E2E2E2"/>
            <w:tcMar>
              <w:top w:w="0" w:type="dxa"/>
              <w:left w:w="20" w:type="dxa"/>
              <w:bottom w:w="0" w:type="dxa"/>
              <w:right w:w="20" w:type="dxa"/>
            </w:tcMar>
            <w:vAlign w:val="bottom"/>
          </w:tcPr>
          <w:p w14:paraId="185FFFFF"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00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001" w14:textId="77777777" w:rsidR="00A91885" w:rsidRDefault="009C4196">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002" w14:textId="77777777" w:rsidR="00A91885" w:rsidRDefault="00A91885">
            <w:pPr>
              <w:jc w:val="right"/>
              <w:rPr>
                <w:rFonts w:ascii="宋体"/>
              </w:rPr>
            </w:pPr>
          </w:p>
        </w:tc>
      </w:tr>
      <w:tr w:rsidR="00A91885" w14:paraId="18600008" w14:textId="77777777">
        <w:tc>
          <w:tcPr>
            <w:tcW w:w="0" w:type="auto"/>
            <w:gridSpan w:val="3"/>
            <w:shd w:val="clear" w:color="auto" w:fill="FFFFFF"/>
            <w:tcMar>
              <w:top w:w="40" w:type="dxa"/>
              <w:left w:w="20" w:type="dxa"/>
              <w:bottom w:w="40" w:type="dxa"/>
              <w:right w:w="20" w:type="dxa"/>
            </w:tcMar>
            <w:vAlign w:val="bottom"/>
          </w:tcPr>
          <w:p w14:paraId="18600004" w14:textId="77777777" w:rsidR="00A91885" w:rsidRDefault="009C4196">
            <w:pPr>
              <w:textAlignment w:val="bottom"/>
            </w:pPr>
            <w:r>
              <w:rPr>
                <w:rFonts w:ascii="Arial" w:eastAsia="宋体" w:hAnsi="Arial" w:cs="Arial"/>
                <w:color w:val="000000"/>
                <w:sz w:val="18"/>
                <w:szCs w:val="18"/>
              </w:rPr>
              <w:t>2023</w:t>
            </w:r>
          </w:p>
        </w:tc>
        <w:tc>
          <w:tcPr>
            <w:tcW w:w="0" w:type="auto"/>
            <w:gridSpan w:val="3"/>
            <w:shd w:val="clear" w:color="auto" w:fill="FFFFFF"/>
            <w:tcMar>
              <w:top w:w="0" w:type="dxa"/>
              <w:left w:w="20" w:type="dxa"/>
              <w:bottom w:w="0" w:type="dxa"/>
              <w:right w:w="20" w:type="dxa"/>
            </w:tcMar>
            <w:vAlign w:val="bottom"/>
          </w:tcPr>
          <w:p w14:paraId="1860000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006"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8600007" w14:textId="77777777" w:rsidR="00A91885" w:rsidRDefault="00A91885">
            <w:pPr>
              <w:jc w:val="right"/>
              <w:rPr>
                <w:rFonts w:ascii="宋体"/>
              </w:rPr>
            </w:pPr>
          </w:p>
        </w:tc>
      </w:tr>
      <w:tr w:rsidR="00A91885" w14:paraId="1860000D" w14:textId="77777777">
        <w:tc>
          <w:tcPr>
            <w:tcW w:w="0" w:type="auto"/>
            <w:gridSpan w:val="3"/>
            <w:shd w:val="clear" w:color="auto" w:fill="E2E2E2"/>
            <w:tcMar>
              <w:top w:w="40" w:type="dxa"/>
              <w:left w:w="20" w:type="dxa"/>
              <w:bottom w:w="40" w:type="dxa"/>
              <w:right w:w="20" w:type="dxa"/>
            </w:tcMar>
            <w:vAlign w:val="bottom"/>
          </w:tcPr>
          <w:p w14:paraId="18600009" w14:textId="77777777" w:rsidR="00A91885" w:rsidRDefault="009C4196">
            <w:pPr>
              <w:textAlignment w:val="bottom"/>
            </w:pPr>
            <w:r>
              <w:rPr>
                <w:rFonts w:ascii="Arial" w:eastAsia="宋体" w:hAnsi="Arial" w:cs="Arial"/>
                <w:color w:val="000000"/>
                <w:sz w:val="18"/>
                <w:szCs w:val="18"/>
              </w:rPr>
              <w:t>2024</w:t>
            </w:r>
          </w:p>
        </w:tc>
        <w:tc>
          <w:tcPr>
            <w:tcW w:w="0" w:type="auto"/>
            <w:gridSpan w:val="3"/>
            <w:shd w:val="clear" w:color="auto" w:fill="E2E2E2"/>
            <w:tcMar>
              <w:top w:w="0" w:type="dxa"/>
              <w:left w:w="20" w:type="dxa"/>
              <w:bottom w:w="0" w:type="dxa"/>
              <w:right w:w="20" w:type="dxa"/>
            </w:tcMar>
            <w:vAlign w:val="bottom"/>
          </w:tcPr>
          <w:p w14:paraId="1860000A"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00B"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1860000C" w14:textId="77777777" w:rsidR="00A91885" w:rsidRDefault="00A91885">
            <w:pPr>
              <w:jc w:val="right"/>
              <w:rPr>
                <w:rFonts w:ascii="宋体"/>
              </w:rPr>
            </w:pPr>
          </w:p>
        </w:tc>
      </w:tr>
      <w:tr w:rsidR="00A91885" w14:paraId="18600012" w14:textId="77777777">
        <w:tc>
          <w:tcPr>
            <w:tcW w:w="0" w:type="auto"/>
            <w:gridSpan w:val="3"/>
            <w:shd w:val="clear" w:color="auto" w:fill="FFFFFF"/>
            <w:tcMar>
              <w:top w:w="40" w:type="dxa"/>
              <w:left w:w="20" w:type="dxa"/>
              <w:bottom w:w="40" w:type="dxa"/>
              <w:right w:w="20" w:type="dxa"/>
            </w:tcMar>
            <w:vAlign w:val="bottom"/>
          </w:tcPr>
          <w:p w14:paraId="1860000E" w14:textId="77777777" w:rsidR="00A91885" w:rsidRDefault="009C4196">
            <w:pPr>
              <w:textAlignment w:val="bottom"/>
            </w:pPr>
            <w:r>
              <w:rPr>
                <w:rFonts w:ascii="Arial" w:eastAsia="宋体" w:hAnsi="Arial" w:cs="Arial"/>
                <w:color w:val="000000"/>
                <w:sz w:val="18"/>
                <w:szCs w:val="18"/>
              </w:rPr>
              <w:t>2025</w:t>
            </w:r>
          </w:p>
        </w:tc>
        <w:tc>
          <w:tcPr>
            <w:tcW w:w="0" w:type="auto"/>
            <w:gridSpan w:val="3"/>
            <w:shd w:val="clear" w:color="auto" w:fill="FFFFFF"/>
            <w:tcMar>
              <w:top w:w="0" w:type="dxa"/>
              <w:left w:w="20" w:type="dxa"/>
              <w:bottom w:w="0" w:type="dxa"/>
              <w:right w:w="20" w:type="dxa"/>
            </w:tcMar>
            <w:vAlign w:val="bottom"/>
          </w:tcPr>
          <w:p w14:paraId="1860000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010"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8600011" w14:textId="77777777" w:rsidR="00A91885" w:rsidRDefault="00A91885">
            <w:pPr>
              <w:jc w:val="right"/>
              <w:rPr>
                <w:rFonts w:ascii="宋体"/>
              </w:rPr>
            </w:pPr>
          </w:p>
        </w:tc>
      </w:tr>
      <w:tr w:rsidR="00A91885" w14:paraId="18600016" w14:textId="77777777">
        <w:trPr>
          <w:hidden/>
        </w:trPr>
        <w:tc>
          <w:tcPr>
            <w:tcW w:w="0" w:type="auto"/>
            <w:gridSpan w:val="3"/>
            <w:shd w:val="clear" w:color="auto" w:fill="auto"/>
            <w:vAlign w:val="bottom"/>
          </w:tcPr>
          <w:p w14:paraId="18600013" w14:textId="77777777" w:rsidR="00A91885" w:rsidRDefault="00A91885">
            <w:pPr>
              <w:rPr>
                <w:rFonts w:ascii="宋体"/>
                <w:vanish/>
              </w:rPr>
            </w:pPr>
          </w:p>
        </w:tc>
        <w:tc>
          <w:tcPr>
            <w:tcW w:w="0" w:type="auto"/>
            <w:gridSpan w:val="3"/>
            <w:shd w:val="clear" w:color="auto" w:fill="auto"/>
            <w:vAlign w:val="bottom"/>
          </w:tcPr>
          <w:p w14:paraId="18600014" w14:textId="77777777" w:rsidR="00A91885" w:rsidRDefault="00A91885">
            <w:pPr>
              <w:rPr>
                <w:rFonts w:ascii="宋体"/>
                <w:vanish/>
              </w:rPr>
            </w:pPr>
          </w:p>
        </w:tc>
        <w:tc>
          <w:tcPr>
            <w:tcW w:w="0" w:type="auto"/>
            <w:gridSpan w:val="3"/>
            <w:shd w:val="clear" w:color="auto" w:fill="auto"/>
            <w:vAlign w:val="bottom"/>
          </w:tcPr>
          <w:p w14:paraId="18600015" w14:textId="77777777" w:rsidR="00A91885" w:rsidRDefault="00A91885">
            <w:pPr>
              <w:rPr>
                <w:rFonts w:ascii="宋体"/>
                <w:vanish/>
              </w:rPr>
            </w:pPr>
          </w:p>
        </w:tc>
      </w:tr>
      <w:tr w:rsidR="00A91885" w14:paraId="1860001A" w14:textId="77777777">
        <w:trPr>
          <w:hidden/>
        </w:trPr>
        <w:tc>
          <w:tcPr>
            <w:tcW w:w="0" w:type="auto"/>
            <w:gridSpan w:val="3"/>
            <w:shd w:val="clear" w:color="auto" w:fill="auto"/>
            <w:vAlign w:val="bottom"/>
          </w:tcPr>
          <w:p w14:paraId="18600017" w14:textId="77777777" w:rsidR="00A91885" w:rsidRDefault="00A91885">
            <w:pPr>
              <w:rPr>
                <w:rFonts w:ascii="宋体"/>
                <w:vanish/>
              </w:rPr>
            </w:pPr>
          </w:p>
        </w:tc>
        <w:tc>
          <w:tcPr>
            <w:tcW w:w="0" w:type="auto"/>
            <w:gridSpan w:val="3"/>
            <w:shd w:val="clear" w:color="auto" w:fill="auto"/>
            <w:vAlign w:val="bottom"/>
          </w:tcPr>
          <w:p w14:paraId="18600018" w14:textId="77777777" w:rsidR="00A91885" w:rsidRDefault="00A91885">
            <w:pPr>
              <w:rPr>
                <w:rFonts w:ascii="宋体"/>
                <w:vanish/>
              </w:rPr>
            </w:pPr>
          </w:p>
        </w:tc>
        <w:tc>
          <w:tcPr>
            <w:tcW w:w="0" w:type="auto"/>
            <w:gridSpan w:val="3"/>
            <w:shd w:val="clear" w:color="auto" w:fill="auto"/>
            <w:vAlign w:val="bottom"/>
          </w:tcPr>
          <w:p w14:paraId="18600019" w14:textId="77777777" w:rsidR="00A91885" w:rsidRDefault="00A91885">
            <w:pPr>
              <w:rPr>
                <w:rFonts w:ascii="宋体"/>
                <w:vanish/>
              </w:rPr>
            </w:pPr>
          </w:p>
        </w:tc>
      </w:tr>
      <w:tr w:rsidR="00A91885" w14:paraId="18600020" w14:textId="77777777">
        <w:tc>
          <w:tcPr>
            <w:tcW w:w="0" w:type="auto"/>
            <w:gridSpan w:val="3"/>
            <w:shd w:val="clear" w:color="auto" w:fill="E2E2E2"/>
            <w:tcMar>
              <w:top w:w="40" w:type="dxa"/>
              <w:left w:w="245" w:type="dxa"/>
              <w:bottom w:w="40" w:type="dxa"/>
              <w:right w:w="20" w:type="dxa"/>
            </w:tcMar>
            <w:vAlign w:val="bottom"/>
          </w:tcPr>
          <w:p w14:paraId="1860001B" w14:textId="77777777" w:rsidR="00A91885" w:rsidRDefault="009C4196">
            <w:pPr>
              <w:textAlignment w:val="bottom"/>
            </w:pPr>
            <w:r>
              <w:rPr>
                <w:rFonts w:ascii="Arial" w:eastAsia="宋体" w:hAnsi="Arial" w:cs="Arial"/>
                <w:color w:val="000000"/>
                <w:sz w:val="18"/>
                <w:szCs w:val="18"/>
              </w:rPr>
              <w:t>Total</w:t>
            </w:r>
          </w:p>
        </w:tc>
        <w:tc>
          <w:tcPr>
            <w:tcW w:w="0" w:type="auto"/>
            <w:gridSpan w:val="3"/>
            <w:shd w:val="clear" w:color="auto" w:fill="E2E2E2"/>
            <w:tcMar>
              <w:top w:w="0" w:type="dxa"/>
              <w:left w:w="20" w:type="dxa"/>
              <w:bottom w:w="0" w:type="dxa"/>
              <w:right w:w="20" w:type="dxa"/>
            </w:tcMar>
            <w:vAlign w:val="bottom"/>
          </w:tcPr>
          <w:p w14:paraId="1860001C"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01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01E" w14:textId="77777777" w:rsidR="00A91885" w:rsidRDefault="009C4196">
            <w:pPr>
              <w:jc w:val="right"/>
              <w:textAlignment w:val="bottom"/>
            </w:pPr>
            <w:r>
              <w:rPr>
                <w:rFonts w:ascii="Arial" w:eastAsia="宋体" w:hAnsi="Arial" w:cs="Arial"/>
                <w:color w:val="000000"/>
                <w:sz w:val="18"/>
                <w:szCs w:val="18"/>
              </w:rPr>
              <w:t>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01F" w14:textId="77777777" w:rsidR="00A91885" w:rsidRDefault="00A91885">
            <w:pPr>
              <w:jc w:val="right"/>
              <w:rPr>
                <w:rFonts w:ascii="宋体"/>
              </w:rPr>
            </w:pPr>
          </w:p>
        </w:tc>
      </w:tr>
    </w:tbl>
    <w:p w14:paraId="18600021" w14:textId="77777777" w:rsidR="00A91885" w:rsidRDefault="00A91885"/>
    <w:p w14:paraId="18600022" w14:textId="77777777" w:rsidR="00A91885" w:rsidRDefault="00A91885"/>
    <w:p w14:paraId="18600023" w14:textId="77777777" w:rsidR="00A91885" w:rsidRDefault="00A91885"/>
    <w:p w14:paraId="18600024" w14:textId="77777777" w:rsidR="00A91885" w:rsidRDefault="00A91885">
      <w:pPr>
        <w:jc w:val="center"/>
      </w:pPr>
    </w:p>
    <w:p w14:paraId="18600025" w14:textId="77777777" w:rsidR="00A91885" w:rsidRDefault="009C4196">
      <w:pPr>
        <w:jc w:val="center"/>
      </w:pPr>
      <w:r>
        <w:rPr>
          <w:rFonts w:ascii="Arial" w:eastAsia="宋体" w:hAnsi="Arial" w:cs="Arial"/>
          <w:color w:val="000000"/>
          <w:sz w:val="20"/>
          <w:szCs w:val="20"/>
        </w:rPr>
        <w:t>16</w:t>
      </w:r>
    </w:p>
    <w:p w14:paraId="18600026" w14:textId="77777777" w:rsidR="00A91885" w:rsidRDefault="009C4196">
      <w:r>
        <w:pict w14:anchorId="18602193">
          <v:rect id="_x0000_i1040" style="width:415.3pt;height:1.5pt" o:hralign="center" o:hrstd="t" o:hr="t" fillcolor="#a0a0a0" stroked="f"/>
        </w:pict>
      </w:r>
    </w:p>
    <w:p w14:paraId="18600027" w14:textId="77777777" w:rsidR="00A91885" w:rsidRDefault="009C4196">
      <w:hyperlink r:id="rId100" w:anchor="ieb971428a625452486c65ae24899afca_7" w:history="1">
        <w:r>
          <w:rPr>
            <w:rStyle w:val="a5"/>
            <w:rFonts w:ascii="Arial" w:eastAsia="宋体" w:hAnsi="Arial" w:cs="Arial"/>
            <w:sz w:val="18"/>
            <w:szCs w:val="18"/>
          </w:rPr>
          <w:t>Table of Contents</w:t>
        </w:r>
      </w:hyperlink>
    </w:p>
    <w:p w14:paraId="18600028" w14:textId="77777777" w:rsidR="00A91885" w:rsidRDefault="009C4196">
      <w:pPr>
        <w:jc w:val="center"/>
      </w:pPr>
      <w:r>
        <w:rPr>
          <w:rFonts w:ascii="Arial" w:eastAsia="宋体" w:hAnsi="Arial" w:cs="Arial"/>
          <w:b/>
          <w:bCs/>
          <w:color w:val="000000"/>
          <w:sz w:val="20"/>
          <w:szCs w:val="20"/>
        </w:rPr>
        <w:t>eBay Inc.</w:t>
      </w:r>
    </w:p>
    <w:p w14:paraId="18600029"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002A" w14:textId="77777777" w:rsidR="00A91885" w:rsidRDefault="009C4196">
      <w:r>
        <w:rPr>
          <w:rFonts w:ascii="Arial" w:eastAsia="宋体" w:hAnsi="Arial" w:cs="Arial"/>
          <w:b/>
          <w:bCs/>
          <w:color w:val="000000"/>
          <w:sz w:val="20"/>
          <w:szCs w:val="20"/>
        </w:rPr>
        <w:t>Note 5 — Segments</w:t>
      </w:r>
    </w:p>
    <w:p w14:paraId="1860002B" w14:textId="77777777" w:rsidR="00A91885" w:rsidRDefault="00A91885"/>
    <w:p w14:paraId="1860002C" w14:textId="77777777" w:rsidR="00A91885" w:rsidRDefault="009C4196">
      <w:pPr>
        <w:ind w:firstLine="540"/>
        <w:jc w:val="both"/>
      </w:pPr>
      <w:r>
        <w:rPr>
          <w:rFonts w:ascii="Arial" w:eastAsia="宋体" w:hAnsi="Arial" w:cs="Arial"/>
          <w:color w:val="000000"/>
          <w:sz w:val="20"/>
          <w:szCs w:val="20"/>
        </w:rPr>
        <w:t>We have one operating and reportable segment. Our reportable segment is Marketplace, which includes our online marketplace located at www.ebay.com, its localized counterparts and the eBay suite of mobile apps. Our management and our chie</w:t>
      </w:r>
      <w:r>
        <w:rPr>
          <w:rFonts w:ascii="Arial" w:eastAsia="宋体" w:hAnsi="Arial" w:cs="Arial"/>
          <w:color w:val="000000"/>
          <w:sz w:val="20"/>
          <w:szCs w:val="20"/>
        </w:rPr>
        <w:t xml:space="preserve">f operating decision maker review financial information presented on a consolidated basis for purposes of allocating resources and evaluating performance and do not evaluate using asset information. </w:t>
      </w:r>
    </w:p>
    <w:p w14:paraId="1860002D" w14:textId="77777777" w:rsidR="00A91885" w:rsidRDefault="00A91885">
      <w:pPr>
        <w:ind w:firstLine="540"/>
        <w:jc w:val="both"/>
      </w:pPr>
    </w:p>
    <w:p w14:paraId="1860002E" w14:textId="77777777" w:rsidR="00A91885" w:rsidRDefault="009C4196">
      <w:pPr>
        <w:ind w:firstLine="540"/>
        <w:jc w:val="both"/>
      </w:pPr>
      <w:r>
        <w:rPr>
          <w:rFonts w:ascii="Arial" w:eastAsia="宋体" w:hAnsi="Arial" w:cs="Arial"/>
          <w:color w:val="000000"/>
          <w:sz w:val="20"/>
          <w:szCs w:val="20"/>
        </w:rPr>
        <w:t>During the second quarter of 2021, we classified the re</w:t>
      </w:r>
      <w:r>
        <w:rPr>
          <w:rFonts w:ascii="Arial" w:eastAsia="宋体" w:hAnsi="Arial" w:cs="Arial"/>
          <w:color w:val="000000"/>
          <w:sz w:val="20"/>
          <w:szCs w:val="20"/>
        </w:rPr>
        <w:t xml:space="preserve">sults of our eBay Korea business which was part of our Marketplace segment as discontinued operations in our consolidated statement of income for the periods presented. See “Note 3 — Discontinued Operations” for additional information. </w:t>
      </w:r>
    </w:p>
    <w:p w14:paraId="1860002F" w14:textId="77777777" w:rsidR="00A91885" w:rsidRDefault="00A91885">
      <w:pPr>
        <w:ind w:firstLine="540"/>
        <w:jc w:val="both"/>
      </w:pPr>
    </w:p>
    <w:p w14:paraId="18600030" w14:textId="77777777" w:rsidR="00A91885" w:rsidRDefault="009C4196">
      <w:pPr>
        <w:ind w:firstLine="540"/>
        <w:jc w:val="both"/>
      </w:pPr>
      <w:r>
        <w:rPr>
          <w:rFonts w:ascii="Arial" w:eastAsia="宋体" w:hAnsi="Arial" w:cs="Arial"/>
          <w:color w:val="000000"/>
          <w:sz w:val="20"/>
          <w:szCs w:val="20"/>
        </w:rPr>
        <w:t>The accounting pol</w:t>
      </w:r>
      <w:r>
        <w:rPr>
          <w:rFonts w:ascii="Arial" w:eastAsia="宋体" w:hAnsi="Arial" w:cs="Arial"/>
          <w:color w:val="000000"/>
          <w:sz w:val="20"/>
          <w:szCs w:val="20"/>
        </w:rPr>
        <w:t xml:space="preserve">icies of our segment are the same as those described in “Note 1 — The Company and Summary of Significant Accounting Policies.” </w:t>
      </w:r>
    </w:p>
    <w:p w14:paraId="18600031" w14:textId="77777777" w:rsidR="00A91885" w:rsidRDefault="00A91885">
      <w:pPr>
        <w:ind w:firstLine="540"/>
        <w:jc w:val="both"/>
      </w:pPr>
    </w:p>
    <w:p w14:paraId="18600032" w14:textId="77777777" w:rsidR="00A91885" w:rsidRDefault="009C4196">
      <w:pPr>
        <w:spacing w:after="120"/>
        <w:ind w:firstLine="540"/>
        <w:jc w:val="both"/>
      </w:pPr>
      <w:r>
        <w:rPr>
          <w:rFonts w:ascii="Arial" w:eastAsia="宋体" w:hAnsi="Arial" w:cs="Arial"/>
          <w:color w:val="000000"/>
          <w:sz w:val="20"/>
          <w:szCs w:val="20"/>
        </w:rPr>
        <w:t>The following table summarizes net revenues by type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429"/>
        <w:gridCol w:w="37"/>
        <w:gridCol w:w="121"/>
        <w:gridCol w:w="719"/>
        <w:gridCol w:w="36"/>
        <w:gridCol w:w="36"/>
        <w:gridCol w:w="36"/>
        <w:gridCol w:w="36"/>
        <w:gridCol w:w="121"/>
        <w:gridCol w:w="720"/>
        <w:gridCol w:w="36"/>
        <w:gridCol w:w="36"/>
        <w:gridCol w:w="36"/>
        <w:gridCol w:w="36"/>
        <w:gridCol w:w="121"/>
        <w:gridCol w:w="720"/>
        <w:gridCol w:w="36"/>
        <w:gridCol w:w="36"/>
        <w:gridCol w:w="36"/>
        <w:gridCol w:w="36"/>
        <w:gridCol w:w="121"/>
        <w:gridCol w:w="720"/>
        <w:gridCol w:w="36"/>
      </w:tblGrid>
      <w:tr w:rsidR="00A91885" w14:paraId="1860004B" w14:textId="77777777">
        <w:tc>
          <w:tcPr>
            <w:tcW w:w="50" w:type="pct"/>
            <w:shd w:val="clear" w:color="auto" w:fill="auto"/>
            <w:vAlign w:val="bottom"/>
          </w:tcPr>
          <w:p w14:paraId="18600033" w14:textId="77777777" w:rsidR="00A91885" w:rsidRDefault="00A91885">
            <w:pPr>
              <w:rPr>
                <w:rFonts w:ascii="宋体"/>
              </w:rPr>
            </w:pPr>
          </w:p>
        </w:tc>
        <w:tc>
          <w:tcPr>
            <w:tcW w:w="2722" w:type="pct"/>
            <w:shd w:val="clear" w:color="auto" w:fill="auto"/>
            <w:vAlign w:val="bottom"/>
          </w:tcPr>
          <w:p w14:paraId="18600034" w14:textId="77777777" w:rsidR="00A91885" w:rsidRDefault="00A91885">
            <w:pPr>
              <w:rPr>
                <w:rFonts w:ascii="宋体"/>
              </w:rPr>
            </w:pPr>
          </w:p>
        </w:tc>
        <w:tc>
          <w:tcPr>
            <w:tcW w:w="5" w:type="pct"/>
            <w:shd w:val="clear" w:color="auto" w:fill="auto"/>
            <w:vAlign w:val="bottom"/>
          </w:tcPr>
          <w:p w14:paraId="18600035" w14:textId="77777777" w:rsidR="00A91885" w:rsidRDefault="00A91885">
            <w:pPr>
              <w:rPr>
                <w:rFonts w:ascii="宋体"/>
              </w:rPr>
            </w:pPr>
          </w:p>
        </w:tc>
        <w:tc>
          <w:tcPr>
            <w:tcW w:w="50" w:type="pct"/>
            <w:shd w:val="clear" w:color="auto" w:fill="auto"/>
            <w:vAlign w:val="bottom"/>
          </w:tcPr>
          <w:p w14:paraId="18600036" w14:textId="77777777" w:rsidR="00A91885" w:rsidRDefault="00A91885">
            <w:pPr>
              <w:rPr>
                <w:rFonts w:ascii="宋体"/>
              </w:rPr>
            </w:pPr>
          </w:p>
        </w:tc>
        <w:tc>
          <w:tcPr>
            <w:tcW w:w="478" w:type="pct"/>
            <w:shd w:val="clear" w:color="auto" w:fill="auto"/>
            <w:vAlign w:val="bottom"/>
          </w:tcPr>
          <w:p w14:paraId="18600037" w14:textId="77777777" w:rsidR="00A91885" w:rsidRDefault="00A91885">
            <w:pPr>
              <w:rPr>
                <w:rFonts w:ascii="宋体"/>
              </w:rPr>
            </w:pPr>
          </w:p>
        </w:tc>
        <w:tc>
          <w:tcPr>
            <w:tcW w:w="5" w:type="pct"/>
            <w:shd w:val="clear" w:color="auto" w:fill="auto"/>
            <w:vAlign w:val="bottom"/>
          </w:tcPr>
          <w:p w14:paraId="18600038" w14:textId="77777777" w:rsidR="00A91885" w:rsidRDefault="00A91885">
            <w:pPr>
              <w:rPr>
                <w:rFonts w:ascii="宋体"/>
              </w:rPr>
            </w:pPr>
          </w:p>
        </w:tc>
        <w:tc>
          <w:tcPr>
            <w:tcW w:w="5" w:type="pct"/>
            <w:shd w:val="clear" w:color="auto" w:fill="auto"/>
            <w:vAlign w:val="bottom"/>
          </w:tcPr>
          <w:p w14:paraId="18600039" w14:textId="77777777" w:rsidR="00A91885" w:rsidRDefault="00A91885">
            <w:pPr>
              <w:rPr>
                <w:rFonts w:ascii="宋体"/>
              </w:rPr>
            </w:pPr>
          </w:p>
        </w:tc>
        <w:tc>
          <w:tcPr>
            <w:tcW w:w="19" w:type="pct"/>
            <w:shd w:val="clear" w:color="auto" w:fill="auto"/>
            <w:vAlign w:val="bottom"/>
          </w:tcPr>
          <w:p w14:paraId="1860003A" w14:textId="77777777" w:rsidR="00A91885" w:rsidRDefault="00A91885">
            <w:pPr>
              <w:rPr>
                <w:rFonts w:ascii="宋体"/>
              </w:rPr>
            </w:pPr>
          </w:p>
        </w:tc>
        <w:tc>
          <w:tcPr>
            <w:tcW w:w="5" w:type="pct"/>
            <w:shd w:val="clear" w:color="auto" w:fill="auto"/>
            <w:vAlign w:val="bottom"/>
          </w:tcPr>
          <w:p w14:paraId="1860003B" w14:textId="77777777" w:rsidR="00A91885" w:rsidRDefault="00A91885">
            <w:pPr>
              <w:rPr>
                <w:rFonts w:ascii="宋体"/>
              </w:rPr>
            </w:pPr>
          </w:p>
        </w:tc>
        <w:tc>
          <w:tcPr>
            <w:tcW w:w="50" w:type="pct"/>
            <w:shd w:val="clear" w:color="auto" w:fill="auto"/>
            <w:vAlign w:val="bottom"/>
          </w:tcPr>
          <w:p w14:paraId="1860003C" w14:textId="77777777" w:rsidR="00A91885" w:rsidRDefault="00A91885">
            <w:pPr>
              <w:rPr>
                <w:rFonts w:ascii="宋体"/>
              </w:rPr>
            </w:pPr>
          </w:p>
        </w:tc>
        <w:tc>
          <w:tcPr>
            <w:tcW w:w="478" w:type="pct"/>
            <w:shd w:val="clear" w:color="auto" w:fill="auto"/>
            <w:vAlign w:val="bottom"/>
          </w:tcPr>
          <w:p w14:paraId="1860003D" w14:textId="77777777" w:rsidR="00A91885" w:rsidRDefault="00A91885">
            <w:pPr>
              <w:rPr>
                <w:rFonts w:ascii="宋体"/>
              </w:rPr>
            </w:pPr>
          </w:p>
        </w:tc>
        <w:tc>
          <w:tcPr>
            <w:tcW w:w="5" w:type="pct"/>
            <w:shd w:val="clear" w:color="auto" w:fill="auto"/>
            <w:vAlign w:val="bottom"/>
          </w:tcPr>
          <w:p w14:paraId="1860003E" w14:textId="77777777" w:rsidR="00A91885" w:rsidRDefault="00A91885">
            <w:pPr>
              <w:rPr>
                <w:rFonts w:ascii="宋体"/>
              </w:rPr>
            </w:pPr>
          </w:p>
        </w:tc>
        <w:tc>
          <w:tcPr>
            <w:tcW w:w="5" w:type="pct"/>
            <w:shd w:val="clear" w:color="auto" w:fill="auto"/>
            <w:vAlign w:val="bottom"/>
          </w:tcPr>
          <w:p w14:paraId="1860003F" w14:textId="77777777" w:rsidR="00A91885" w:rsidRDefault="00A91885">
            <w:pPr>
              <w:rPr>
                <w:rFonts w:ascii="宋体"/>
              </w:rPr>
            </w:pPr>
          </w:p>
        </w:tc>
        <w:tc>
          <w:tcPr>
            <w:tcW w:w="19" w:type="pct"/>
            <w:shd w:val="clear" w:color="auto" w:fill="auto"/>
            <w:vAlign w:val="bottom"/>
          </w:tcPr>
          <w:p w14:paraId="18600040" w14:textId="77777777" w:rsidR="00A91885" w:rsidRDefault="00A91885">
            <w:pPr>
              <w:rPr>
                <w:rFonts w:ascii="宋体"/>
              </w:rPr>
            </w:pPr>
          </w:p>
        </w:tc>
        <w:tc>
          <w:tcPr>
            <w:tcW w:w="5" w:type="pct"/>
            <w:shd w:val="clear" w:color="auto" w:fill="auto"/>
            <w:vAlign w:val="bottom"/>
          </w:tcPr>
          <w:p w14:paraId="18600041" w14:textId="77777777" w:rsidR="00A91885" w:rsidRDefault="00A91885">
            <w:pPr>
              <w:rPr>
                <w:rFonts w:ascii="宋体"/>
              </w:rPr>
            </w:pPr>
          </w:p>
        </w:tc>
        <w:tc>
          <w:tcPr>
            <w:tcW w:w="50" w:type="pct"/>
            <w:shd w:val="clear" w:color="auto" w:fill="auto"/>
            <w:vAlign w:val="bottom"/>
          </w:tcPr>
          <w:p w14:paraId="18600042" w14:textId="77777777" w:rsidR="00A91885" w:rsidRDefault="00A91885">
            <w:pPr>
              <w:rPr>
                <w:rFonts w:ascii="宋体"/>
              </w:rPr>
            </w:pPr>
          </w:p>
        </w:tc>
        <w:tc>
          <w:tcPr>
            <w:tcW w:w="478" w:type="pct"/>
            <w:shd w:val="clear" w:color="auto" w:fill="auto"/>
            <w:vAlign w:val="bottom"/>
          </w:tcPr>
          <w:p w14:paraId="18600043" w14:textId="77777777" w:rsidR="00A91885" w:rsidRDefault="00A91885">
            <w:pPr>
              <w:rPr>
                <w:rFonts w:ascii="宋体"/>
              </w:rPr>
            </w:pPr>
          </w:p>
        </w:tc>
        <w:tc>
          <w:tcPr>
            <w:tcW w:w="5" w:type="pct"/>
            <w:shd w:val="clear" w:color="auto" w:fill="auto"/>
            <w:vAlign w:val="bottom"/>
          </w:tcPr>
          <w:p w14:paraId="18600044" w14:textId="77777777" w:rsidR="00A91885" w:rsidRDefault="00A91885">
            <w:pPr>
              <w:rPr>
                <w:rFonts w:ascii="宋体"/>
              </w:rPr>
            </w:pPr>
          </w:p>
        </w:tc>
        <w:tc>
          <w:tcPr>
            <w:tcW w:w="5" w:type="pct"/>
            <w:shd w:val="clear" w:color="auto" w:fill="auto"/>
            <w:vAlign w:val="bottom"/>
          </w:tcPr>
          <w:p w14:paraId="18600045" w14:textId="77777777" w:rsidR="00A91885" w:rsidRDefault="00A91885">
            <w:pPr>
              <w:rPr>
                <w:rFonts w:ascii="宋体"/>
              </w:rPr>
            </w:pPr>
          </w:p>
        </w:tc>
        <w:tc>
          <w:tcPr>
            <w:tcW w:w="19" w:type="pct"/>
            <w:shd w:val="clear" w:color="auto" w:fill="auto"/>
            <w:vAlign w:val="bottom"/>
          </w:tcPr>
          <w:p w14:paraId="18600046" w14:textId="77777777" w:rsidR="00A91885" w:rsidRDefault="00A91885">
            <w:pPr>
              <w:rPr>
                <w:rFonts w:ascii="宋体"/>
              </w:rPr>
            </w:pPr>
          </w:p>
        </w:tc>
        <w:tc>
          <w:tcPr>
            <w:tcW w:w="5" w:type="pct"/>
            <w:shd w:val="clear" w:color="auto" w:fill="auto"/>
            <w:vAlign w:val="bottom"/>
          </w:tcPr>
          <w:p w14:paraId="18600047" w14:textId="77777777" w:rsidR="00A91885" w:rsidRDefault="00A91885">
            <w:pPr>
              <w:rPr>
                <w:rFonts w:ascii="宋体"/>
              </w:rPr>
            </w:pPr>
          </w:p>
        </w:tc>
        <w:tc>
          <w:tcPr>
            <w:tcW w:w="50" w:type="pct"/>
            <w:shd w:val="clear" w:color="auto" w:fill="auto"/>
            <w:vAlign w:val="bottom"/>
          </w:tcPr>
          <w:p w14:paraId="18600048" w14:textId="77777777" w:rsidR="00A91885" w:rsidRDefault="00A91885">
            <w:pPr>
              <w:rPr>
                <w:rFonts w:ascii="宋体"/>
              </w:rPr>
            </w:pPr>
          </w:p>
        </w:tc>
        <w:tc>
          <w:tcPr>
            <w:tcW w:w="478" w:type="pct"/>
            <w:shd w:val="clear" w:color="auto" w:fill="auto"/>
            <w:vAlign w:val="bottom"/>
          </w:tcPr>
          <w:p w14:paraId="18600049" w14:textId="77777777" w:rsidR="00A91885" w:rsidRDefault="00A91885">
            <w:pPr>
              <w:rPr>
                <w:rFonts w:ascii="宋体"/>
              </w:rPr>
            </w:pPr>
          </w:p>
        </w:tc>
        <w:tc>
          <w:tcPr>
            <w:tcW w:w="5" w:type="pct"/>
            <w:shd w:val="clear" w:color="auto" w:fill="auto"/>
            <w:vAlign w:val="bottom"/>
          </w:tcPr>
          <w:p w14:paraId="1860004A" w14:textId="77777777" w:rsidR="00A91885" w:rsidRDefault="00A91885">
            <w:pPr>
              <w:rPr>
                <w:rFonts w:ascii="宋体"/>
              </w:rPr>
            </w:pPr>
          </w:p>
        </w:tc>
      </w:tr>
      <w:tr w:rsidR="00A91885" w14:paraId="18600050" w14:textId="77777777">
        <w:tc>
          <w:tcPr>
            <w:tcW w:w="0" w:type="auto"/>
            <w:gridSpan w:val="3"/>
            <w:shd w:val="clear" w:color="auto" w:fill="auto"/>
            <w:tcMar>
              <w:top w:w="40" w:type="dxa"/>
              <w:left w:w="155" w:type="dxa"/>
              <w:bottom w:w="40" w:type="dxa"/>
              <w:right w:w="20" w:type="dxa"/>
            </w:tcMar>
            <w:vAlign w:val="bottom"/>
          </w:tcPr>
          <w:p w14:paraId="1860004C" w14:textId="77777777" w:rsidR="00A91885" w:rsidRDefault="009C4196">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1860004D"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004E"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004F"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600059" w14:textId="77777777">
        <w:tc>
          <w:tcPr>
            <w:tcW w:w="0" w:type="auto"/>
            <w:gridSpan w:val="3"/>
            <w:shd w:val="clear" w:color="auto" w:fill="auto"/>
            <w:tcMar>
              <w:top w:w="40" w:type="dxa"/>
              <w:left w:w="20" w:type="dxa"/>
              <w:bottom w:w="40" w:type="dxa"/>
              <w:right w:w="20" w:type="dxa"/>
            </w:tcMar>
            <w:vAlign w:val="bottom"/>
          </w:tcPr>
          <w:p w14:paraId="18600051" w14:textId="77777777" w:rsidR="00A91885" w:rsidRDefault="009C4196">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052"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053"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054"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0055"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056"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057"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058"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600062" w14:textId="77777777">
        <w:tc>
          <w:tcPr>
            <w:tcW w:w="0" w:type="auto"/>
            <w:gridSpan w:val="3"/>
            <w:shd w:val="clear" w:color="auto" w:fill="E2E2E2"/>
            <w:tcMar>
              <w:top w:w="40" w:type="dxa"/>
              <w:left w:w="20" w:type="dxa"/>
              <w:bottom w:w="40" w:type="dxa"/>
              <w:right w:w="20" w:type="dxa"/>
            </w:tcMar>
            <w:vAlign w:val="bottom"/>
          </w:tcPr>
          <w:p w14:paraId="1860005A" w14:textId="77777777" w:rsidR="00A91885" w:rsidRDefault="009C4196">
            <w:pPr>
              <w:textAlignment w:val="bottom"/>
            </w:pPr>
            <w:r>
              <w:rPr>
                <w:rFonts w:ascii="Arial" w:eastAsia="宋体" w:hAnsi="Arial" w:cs="Arial"/>
                <w:color w:val="000000"/>
                <w:sz w:val="18"/>
                <w:szCs w:val="18"/>
              </w:rPr>
              <w:t>Net revenues by type:</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05B"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05C"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05D"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05E"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05F"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060"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061" w14:textId="77777777" w:rsidR="00A91885" w:rsidRDefault="00A91885">
            <w:pPr>
              <w:rPr>
                <w:rFonts w:ascii="宋体"/>
              </w:rPr>
            </w:pPr>
          </w:p>
        </w:tc>
      </w:tr>
      <w:tr w:rsidR="00A91885" w14:paraId="1860006B" w14:textId="77777777">
        <w:trPr>
          <w:hidden/>
        </w:trPr>
        <w:tc>
          <w:tcPr>
            <w:tcW w:w="0" w:type="auto"/>
            <w:gridSpan w:val="3"/>
            <w:shd w:val="clear" w:color="auto" w:fill="auto"/>
            <w:vAlign w:val="bottom"/>
          </w:tcPr>
          <w:p w14:paraId="18600063" w14:textId="77777777" w:rsidR="00A91885" w:rsidRDefault="00A91885">
            <w:pPr>
              <w:rPr>
                <w:rFonts w:ascii="宋体"/>
                <w:vanish/>
              </w:rPr>
            </w:pPr>
          </w:p>
        </w:tc>
        <w:tc>
          <w:tcPr>
            <w:tcW w:w="0" w:type="auto"/>
            <w:gridSpan w:val="3"/>
            <w:shd w:val="clear" w:color="auto" w:fill="auto"/>
            <w:vAlign w:val="bottom"/>
          </w:tcPr>
          <w:p w14:paraId="18600064" w14:textId="77777777" w:rsidR="00A91885" w:rsidRDefault="00A91885">
            <w:pPr>
              <w:rPr>
                <w:rFonts w:ascii="宋体"/>
                <w:vanish/>
              </w:rPr>
            </w:pPr>
          </w:p>
        </w:tc>
        <w:tc>
          <w:tcPr>
            <w:tcW w:w="0" w:type="auto"/>
            <w:gridSpan w:val="3"/>
            <w:shd w:val="clear" w:color="auto" w:fill="auto"/>
            <w:vAlign w:val="bottom"/>
          </w:tcPr>
          <w:p w14:paraId="18600065" w14:textId="77777777" w:rsidR="00A91885" w:rsidRDefault="00A91885">
            <w:pPr>
              <w:rPr>
                <w:rFonts w:ascii="宋体"/>
                <w:vanish/>
              </w:rPr>
            </w:pPr>
          </w:p>
        </w:tc>
        <w:tc>
          <w:tcPr>
            <w:tcW w:w="0" w:type="auto"/>
            <w:gridSpan w:val="3"/>
            <w:shd w:val="clear" w:color="auto" w:fill="auto"/>
            <w:vAlign w:val="bottom"/>
          </w:tcPr>
          <w:p w14:paraId="18600066" w14:textId="77777777" w:rsidR="00A91885" w:rsidRDefault="00A91885">
            <w:pPr>
              <w:rPr>
                <w:rFonts w:ascii="宋体"/>
                <w:vanish/>
              </w:rPr>
            </w:pPr>
          </w:p>
        </w:tc>
        <w:tc>
          <w:tcPr>
            <w:tcW w:w="0" w:type="auto"/>
            <w:gridSpan w:val="3"/>
            <w:shd w:val="clear" w:color="auto" w:fill="auto"/>
            <w:vAlign w:val="bottom"/>
          </w:tcPr>
          <w:p w14:paraId="18600067" w14:textId="77777777" w:rsidR="00A91885" w:rsidRDefault="00A91885">
            <w:pPr>
              <w:rPr>
                <w:rFonts w:ascii="宋体"/>
                <w:vanish/>
              </w:rPr>
            </w:pPr>
          </w:p>
        </w:tc>
        <w:tc>
          <w:tcPr>
            <w:tcW w:w="0" w:type="auto"/>
            <w:gridSpan w:val="3"/>
            <w:shd w:val="clear" w:color="auto" w:fill="auto"/>
            <w:vAlign w:val="bottom"/>
          </w:tcPr>
          <w:p w14:paraId="18600068" w14:textId="77777777" w:rsidR="00A91885" w:rsidRDefault="00A91885">
            <w:pPr>
              <w:rPr>
                <w:rFonts w:ascii="宋体"/>
                <w:vanish/>
              </w:rPr>
            </w:pPr>
          </w:p>
        </w:tc>
        <w:tc>
          <w:tcPr>
            <w:tcW w:w="0" w:type="auto"/>
            <w:gridSpan w:val="3"/>
            <w:shd w:val="clear" w:color="auto" w:fill="auto"/>
            <w:vAlign w:val="bottom"/>
          </w:tcPr>
          <w:p w14:paraId="18600069" w14:textId="77777777" w:rsidR="00A91885" w:rsidRDefault="00A91885">
            <w:pPr>
              <w:rPr>
                <w:rFonts w:ascii="宋体"/>
                <w:vanish/>
              </w:rPr>
            </w:pPr>
          </w:p>
        </w:tc>
        <w:tc>
          <w:tcPr>
            <w:tcW w:w="0" w:type="auto"/>
            <w:gridSpan w:val="3"/>
            <w:shd w:val="clear" w:color="auto" w:fill="auto"/>
            <w:vAlign w:val="bottom"/>
          </w:tcPr>
          <w:p w14:paraId="1860006A" w14:textId="77777777" w:rsidR="00A91885" w:rsidRDefault="00A91885">
            <w:pPr>
              <w:rPr>
                <w:rFonts w:ascii="宋体"/>
                <w:vanish/>
              </w:rPr>
            </w:pPr>
          </w:p>
        </w:tc>
      </w:tr>
      <w:tr w:rsidR="00A91885" w14:paraId="1860007C" w14:textId="77777777">
        <w:tc>
          <w:tcPr>
            <w:tcW w:w="0" w:type="auto"/>
            <w:gridSpan w:val="3"/>
            <w:shd w:val="clear" w:color="auto" w:fill="FFFFFF"/>
            <w:tcMar>
              <w:top w:w="40" w:type="dxa"/>
              <w:left w:w="155" w:type="dxa"/>
              <w:bottom w:w="40" w:type="dxa"/>
              <w:right w:w="20" w:type="dxa"/>
            </w:tcMar>
            <w:vAlign w:val="bottom"/>
          </w:tcPr>
          <w:p w14:paraId="1860006C" w14:textId="77777777" w:rsidR="00A91885" w:rsidRDefault="009C4196">
            <w:pPr>
              <w:textAlignment w:val="bottom"/>
            </w:pPr>
            <w:r>
              <w:rPr>
                <w:rFonts w:ascii="Arial" w:eastAsia="宋体" w:hAnsi="Arial" w:cs="Arial"/>
                <w:color w:val="000000"/>
                <w:sz w:val="18"/>
                <w:szCs w:val="18"/>
              </w:rPr>
              <w:t>Net transaction revenues</w:t>
            </w:r>
          </w:p>
        </w:tc>
        <w:tc>
          <w:tcPr>
            <w:tcW w:w="0" w:type="auto"/>
            <w:shd w:val="clear" w:color="auto" w:fill="FFFFFF"/>
            <w:tcMar>
              <w:top w:w="40" w:type="dxa"/>
              <w:left w:w="20" w:type="dxa"/>
              <w:bottom w:w="40" w:type="dxa"/>
              <w:right w:w="0" w:type="dxa"/>
            </w:tcMar>
            <w:vAlign w:val="bottom"/>
          </w:tcPr>
          <w:p w14:paraId="1860006D"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006E" w14:textId="77777777" w:rsidR="00A91885" w:rsidRDefault="009C4196">
            <w:pPr>
              <w:jc w:val="right"/>
              <w:textAlignment w:val="bottom"/>
            </w:pPr>
            <w:r>
              <w:rPr>
                <w:rFonts w:ascii="Arial" w:eastAsia="宋体" w:hAnsi="Arial" w:cs="Arial"/>
                <w:color w:val="000000"/>
                <w:sz w:val="18"/>
                <w:szCs w:val="18"/>
              </w:rPr>
              <w:t>2,297 </w:t>
            </w:r>
          </w:p>
        </w:tc>
        <w:tc>
          <w:tcPr>
            <w:tcW w:w="0" w:type="auto"/>
            <w:shd w:val="clear" w:color="auto" w:fill="FFFFFF"/>
            <w:tcMar>
              <w:top w:w="40" w:type="dxa"/>
              <w:left w:w="0" w:type="dxa"/>
              <w:bottom w:w="40" w:type="dxa"/>
              <w:right w:w="20" w:type="dxa"/>
            </w:tcMar>
            <w:vAlign w:val="bottom"/>
          </w:tcPr>
          <w:p w14:paraId="1860006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070"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0071"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0072" w14:textId="77777777" w:rsidR="00A91885" w:rsidRDefault="009C4196">
            <w:pPr>
              <w:jc w:val="right"/>
              <w:textAlignment w:val="bottom"/>
            </w:pPr>
            <w:r>
              <w:rPr>
                <w:rFonts w:ascii="Arial" w:eastAsia="宋体" w:hAnsi="Arial" w:cs="Arial"/>
                <w:color w:val="000000"/>
                <w:sz w:val="18"/>
                <w:szCs w:val="18"/>
              </w:rPr>
              <w:t>2,496 </w:t>
            </w:r>
          </w:p>
        </w:tc>
        <w:tc>
          <w:tcPr>
            <w:tcW w:w="0" w:type="auto"/>
            <w:shd w:val="clear" w:color="auto" w:fill="FFFFFF"/>
            <w:tcMar>
              <w:top w:w="40" w:type="dxa"/>
              <w:left w:w="0" w:type="dxa"/>
              <w:bottom w:w="40" w:type="dxa"/>
              <w:right w:w="20" w:type="dxa"/>
            </w:tcMar>
            <w:vAlign w:val="bottom"/>
          </w:tcPr>
          <w:p w14:paraId="1860007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074"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0075"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0076" w14:textId="77777777" w:rsidR="00A91885" w:rsidRDefault="009C4196">
            <w:pPr>
              <w:jc w:val="right"/>
              <w:textAlignment w:val="bottom"/>
            </w:pPr>
            <w:r>
              <w:rPr>
                <w:rFonts w:ascii="Arial" w:eastAsia="宋体" w:hAnsi="Arial" w:cs="Arial"/>
                <w:color w:val="000000"/>
                <w:sz w:val="18"/>
                <w:szCs w:val="18"/>
              </w:rPr>
              <w:t>4,652 </w:t>
            </w:r>
          </w:p>
        </w:tc>
        <w:tc>
          <w:tcPr>
            <w:tcW w:w="0" w:type="auto"/>
            <w:shd w:val="clear" w:color="auto" w:fill="FFFFFF"/>
            <w:tcMar>
              <w:top w:w="40" w:type="dxa"/>
              <w:left w:w="0" w:type="dxa"/>
              <w:bottom w:w="40" w:type="dxa"/>
              <w:right w:w="20" w:type="dxa"/>
            </w:tcMar>
            <w:vAlign w:val="bottom"/>
          </w:tcPr>
          <w:p w14:paraId="1860007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078"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0079"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007A" w14:textId="77777777" w:rsidR="00A91885" w:rsidRDefault="009C4196">
            <w:pPr>
              <w:jc w:val="right"/>
              <w:textAlignment w:val="bottom"/>
            </w:pPr>
            <w:r>
              <w:rPr>
                <w:rFonts w:ascii="Arial" w:eastAsia="宋体" w:hAnsi="Arial" w:cs="Arial"/>
                <w:color w:val="000000"/>
                <w:sz w:val="18"/>
                <w:szCs w:val="18"/>
              </w:rPr>
              <w:t>4,972 </w:t>
            </w:r>
          </w:p>
        </w:tc>
        <w:tc>
          <w:tcPr>
            <w:tcW w:w="0" w:type="auto"/>
            <w:shd w:val="clear" w:color="auto" w:fill="FFFFFF"/>
            <w:tcMar>
              <w:top w:w="40" w:type="dxa"/>
              <w:left w:w="0" w:type="dxa"/>
              <w:bottom w:w="40" w:type="dxa"/>
              <w:right w:w="20" w:type="dxa"/>
            </w:tcMar>
            <w:vAlign w:val="bottom"/>
          </w:tcPr>
          <w:p w14:paraId="1860007B" w14:textId="77777777" w:rsidR="00A91885" w:rsidRDefault="00A91885">
            <w:pPr>
              <w:jc w:val="right"/>
              <w:rPr>
                <w:rFonts w:ascii="宋体"/>
              </w:rPr>
            </w:pPr>
          </w:p>
        </w:tc>
      </w:tr>
      <w:tr w:rsidR="00A91885" w14:paraId="18600089" w14:textId="77777777">
        <w:tc>
          <w:tcPr>
            <w:tcW w:w="0" w:type="auto"/>
            <w:gridSpan w:val="3"/>
            <w:shd w:val="clear" w:color="auto" w:fill="E2E2E2"/>
            <w:tcMar>
              <w:top w:w="40" w:type="dxa"/>
              <w:left w:w="155" w:type="dxa"/>
              <w:bottom w:w="40" w:type="dxa"/>
              <w:right w:w="20" w:type="dxa"/>
            </w:tcMar>
            <w:vAlign w:val="bottom"/>
          </w:tcPr>
          <w:p w14:paraId="1860007D" w14:textId="77777777" w:rsidR="00A91885" w:rsidRDefault="009C4196">
            <w:pPr>
              <w:textAlignment w:val="bottom"/>
            </w:pPr>
            <w:r>
              <w:rPr>
                <w:rFonts w:ascii="Arial" w:eastAsia="宋体" w:hAnsi="Arial" w:cs="Arial"/>
                <w:color w:val="000000"/>
                <w:sz w:val="18"/>
                <w:szCs w:val="18"/>
              </w:rPr>
              <w:t>Marketing services and other revenues</w:t>
            </w:r>
          </w:p>
        </w:tc>
        <w:tc>
          <w:tcPr>
            <w:tcW w:w="0" w:type="auto"/>
            <w:gridSpan w:val="2"/>
            <w:shd w:val="clear" w:color="auto" w:fill="E2E2E2"/>
            <w:tcMar>
              <w:top w:w="40" w:type="dxa"/>
              <w:left w:w="20" w:type="dxa"/>
              <w:bottom w:w="40" w:type="dxa"/>
              <w:right w:w="0" w:type="dxa"/>
            </w:tcMar>
            <w:vAlign w:val="bottom"/>
          </w:tcPr>
          <w:p w14:paraId="1860007E" w14:textId="77777777" w:rsidR="00A91885" w:rsidRDefault="009C4196">
            <w:pPr>
              <w:jc w:val="right"/>
              <w:textAlignment w:val="bottom"/>
            </w:pPr>
            <w:r>
              <w:rPr>
                <w:rFonts w:ascii="Arial" w:eastAsia="宋体" w:hAnsi="Arial" w:cs="Arial"/>
                <w:color w:val="000000"/>
                <w:sz w:val="18"/>
                <w:szCs w:val="18"/>
              </w:rPr>
              <w:t>125 </w:t>
            </w:r>
          </w:p>
        </w:tc>
        <w:tc>
          <w:tcPr>
            <w:tcW w:w="0" w:type="auto"/>
            <w:shd w:val="clear" w:color="auto" w:fill="E2E2E2"/>
            <w:tcMar>
              <w:top w:w="40" w:type="dxa"/>
              <w:left w:w="0" w:type="dxa"/>
              <w:bottom w:w="40" w:type="dxa"/>
              <w:right w:w="20" w:type="dxa"/>
            </w:tcMar>
            <w:vAlign w:val="bottom"/>
          </w:tcPr>
          <w:p w14:paraId="1860007F"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080"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081" w14:textId="77777777" w:rsidR="00A91885" w:rsidRDefault="009C4196">
            <w:pPr>
              <w:jc w:val="right"/>
              <w:textAlignment w:val="bottom"/>
            </w:pPr>
            <w:r>
              <w:rPr>
                <w:rFonts w:ascii="Arial" w:eastAsia="宋体" w:hAnsi="Arial" w:cs="Arial"/>
                <w:color w:val="000000"/>
                <w:sz w:val="18"/>
                <w:szCs w:val="18"/>
              </w:rPr>
              <w:t>172 </w:t>
            </w:r>
          </w:p>
        </w:tc>
        <w:tc>
          <w:tcPr>
            <w:tcW w:w="0" w:type="auto"/>
            <w:shd w:val="clear" w:color="auto" w:fill="E2E2E2"/>
            <w:tcMar>
              <w:top w:w="40" w:type="dxa"/>
              <w:left w:w="0" w:type="dxa"/>
              <w:bottom w:w="40" w:type="dxa"/>
              <w:right w:w="20" w:type="dxa"/>
            </w:tcMar>
            <w:vAlign w:val="bottom"/>
          </w:tcPr>
          <w:p w14:paraId="1860008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083"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084" w14:textId="77777777" w:rsidR="00A91885" w:rsidRDefault="009C4196">
            <w:pPr>
              <w:jc w:val="right"/>
              <w:textAlignment w:val="bottom"/>
            </w:pPr>
            <w:r>
              <w:rPr>
                <w:rFonts w:ascii="Arial" w:eastAsia="宋体" w:hAnsi="Arial" w:cs="Arial"/>
                <w:color w:val="000000"/>
                <w:sz w:val="18"/>
                <w:szCs w:val="18"/>
              </w:rPr>
              <w:t>253 </w:t>
            </w:r>
          </w:p>
        </w:tc>
        <w:tc>
          <w:tcPr>
            <w:tcW w:w="0" w:type="auto"/>
            <w:shd w:val="clear" w:color="auto" w:fill="E2E2E2"/>
            <w:tcMar>
              <w:top w:w="40" w:type="dxa"/>
              <w:left w:w="0" w:type="dxa"/>
              <w:bottom w:w="40" w:type="dxa"/>
              <w:right w:w="20" w:type="dxa"/>
            </w:tcMar>
            <w:vAlign w:val="bottom"/>
          </w:tcPr>
          <w:p w14:paraId="1860008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086"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087" w14:textId="77777777" w:rsidR="00A91885" w:rsidRDefault="009C4196">
            <w:pPr>
              <w:jc w:val="right"/>
              <w:textAlignment w:val="bottom"/>
            </w:pPr>
            <w:r>
              <w:rPr>
                <w:rFonts w:ascii="Arial" w:eastAsia="宋体" w:hAnsi="Arial" w:cs="Arial"/>
                <w:color w:val="000000"/>
                <w:sz w:val="18"/>
                <w:szCs w:val="18"/>
              </w:rPr>
              <w:t>334 </w:t>
            </w:r>
          </w:p>
        </w:tc>
        <w:tc>
          <w:tcPr>
            <w:tcW w:w="0" w:type="auto"/>
            <w:shd w:val="clear" w:color="auto" w:fill="E2E2E2"/>
            <w:tcMar>
              <w:top w:w="40" w:type="dxa"/>
              <w:left w:w="0" w:type="dxa"/>
              <w:bottom w:w="40" w:type="dxa"/>
              <w:right w:w="20" w:type="dxa"/>
            </w:tcMar>
            <w:vAlign w:val="bottom"/>
          </w:tcPr>
          <w:p w14:paraId="18600088" w14:textId="77777777" w:rsidR="00A91885" w:rsidRDefault="00A91885">
            <w:pPr>
              <w:jc w:val="right"/>
              <w:rPr>
                <w:rFonts w:ascii="宋体"/>
              </w:rPr>
            </w:pPr>
          </w:p>
        </w:tc>
      </w:tr>
      <w:tr w:rsidR="00A91885" w14:paraId="1860009A" w14:textId="77777777">
        <w:tc>
          <w:tcPr>
            <w:tcW w:w="0" w:type="auto"/>
            <w:gridSpan w:val="3"/>
            <w:shd w:val="clear" w:color="auto" w:fill="FFFFFF"/>
            <w:tcMar>
              <w:top w:w="40" w:type="dxa"/>
              <w:left w:w="245" w:type="dxa"/>
              <w:bottom w:w="40" w:type="dxa"/>
              <w:right w:w="20" w:type="dxa"/>
            </w:tcMar>
            <w:vAlign w:val="bottom"/>
          </w:tcPr>
          <w:p w14:paraId="1860008A" w14:textId="77777777" w:rsidR="00A91885" w:rsidRDefault="009C4196">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08B"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08C" w14:textId="77777777" w:rsidR="00A91885" w:rsidRDefault="009C4196">
            <w:pPr>
              <w:jc w:val="right"/>
              <w:textAlignment w:val="bottom"/>
            </w:pPr>
            <w:r>
              <w:rPr>
                <w:rFonts w:ascii="Arial" w:eastAsia="宋体" w:hAnsi="Arial" w:cs="Arial"/>
                <w:color w:val="000000"/>
                <w:sz w:val="18"/>
                <w:szCs w:val="18"/>
              </w:rPr>
              <w:t>2,422 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08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08E"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08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090" w14:textId="77777777" w:rsidR="00A91885" w:rsidRDefault="009C4196">
            <w:pPr>
              <w:jc w:val="right"/>
              <w:textAlignment w:val="bottom"/>
            </w:pPr>
            <w:r>
              <w:rPr>
                <w:rFonts w:ascii="Arial" w:eastAsia="宋体" w:hAnsi="Arial" w:cs="Arial"/>
                <w:color w:val="000000"/>
                <w:sz w:val="18"/>
                <w:szCs w:val="18"/>
              </w:rPr>
              <w:t>2,668 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09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092"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09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094" w14:textId="77777777" w:rsidR="00A91885" w:rsidRDefault="009C4196">
            <w:pPr>
              <w:jc w:val="right"/>
              <w:textAlignment w:val="bottom"/>
            </w:pPr>
            <w:r>
              <w:rPr>
                <w:rFonts w:ascii="Arial" w:eastAsia="宋体" w:hAnsi="Arial" w:cs="Arial"/>
                <w:color w:val="000000"/>
                <w:sz w:val="18"/>
                <w:szCs w:val="18"/>
              </w:rPr>
              <w:t>4,905 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09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096"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097"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098" w14:textId="77777777" w:rsidR="00A91885" w:rsidRDefault="009C4196">
            <w:pPr>
              <w:jc w:val="right"/>
              <w:textAlignment w:val="bottom"/>
            </w:pPr>
            <w:r>
              <w:rPr>
                <w:rFonts w:ascii="Arial" w:eastAsia="宋体" w:hAnsi="Arial" w:cs="Arial"/>
                <w:color w:val="000000"/>
                <w:sz w:val="18"/>
                <w:szCs w:val="18"/>
              </w:rPr>
              <w:t>5,306 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099" w14:textId="77777777" w:rsidR="00A91885" w:rsidRDefault="00A91885">
            <w:pPr>
              <w:jc w:val="right"/>
              <w:rPr>
                <w:rFonts w:ascii="宋体"/>
              </w:rPr>
            </w:pPr>
          </w:p>
        </w:tc>
      </w:tr>
      <w:tr w:rsidR="00A91885" w14:paraId="186000A3" w14:textId="77777777">
        <w:trPr>
          <w:hidden/>
        </w:trPr>
        <w:tc>
          <w:tcPr>
            <w:tcW w:w="0" w:type="auto"/>
            <w:gridSpan w:val="3"/>
            <w:shd w:val="clear" w:color="auto" w:fill="auto"/>
            <w:vAlign w:val="bottom"/>
          </w:tcPr>
          <w:p w14:paraId="1860009B" w14:textId="77777777" w:rsidR="00A91885" w:rsidRDefault="00A91885">
            <w:pPr>
              <w:rPr>
                <w:rFonts w:ascii="宋体"/>
                <w:vanish/>
              </w:rPr>
            </w:pPr>
          </w:p>
        </w:tc>
        <w:tc>
          <w:tcPr>
            <w:tcW w:w="0" w:type="auto"/>
            <w:gridSpan w:val="3"/>
            <w:shd w:val="clear" w:color="auto" w:fill="auto"/>
            <w:vAlign w:val="bottom"/>
          </w:tcPr>
          <w:p w14:paraId="1860009C" w14:textId="77777777" w:rsidR="00A91885" w:rsidRDefault="00A91885">
            <w:pPr>
              <w:rPr>
                <w:rFonts w:ascii="宋体"/>
                <w:vanish/>
              </w:rPr>
            </w:pPr>
          </w:p>
        </w:tc>
        <w:tc>
          <w:tcPr>
            <w:tcW w:w="0" w:type="auto"/>
            <w:gridSpan w:val="3"/>
            <w:shd w:val="clear" w:color="auto" w:fill="auto"/>
            <w:vAlign w:val="bottom"/>
          </w:tcPr>
          <w:p w14:paraId="1860009D" w14:textId="77777777" w:rsidR="00A91885" w:rsidRDefault="00A91885">
            <w:pPr>
              <w:rPr>
                <w:rFonts w:ascii="宋体"/>
                <w:vanish/>
              </w:rPr>
            </w:pPr>
          </w:p>
        </w:tc>
        <w:tc>
          <w:tcPr>
            <w:tcW w:w="0" w:type="auto"/>
            <w:gridSpan w:val="3"/>
            <w:shd w:val="clear" w:color="auto" w:fill="auto"/>
            <w:vAlign w:val="bottom"/>
          </w:tcPr>
          <w:p w14:paraId="1860009E" w14:textId="77777777" w:rsidR="00A91885" w:rsidRDefault="00A91885">
            <w:pPr>
              <w:rPr>
                <w:rFonts w:ascii="宋体"/>
                <w:vanish/>
              </w:rPr>
            </w:pPr>
          </w:p>
        </w:tc>
        <w:tc>
          <w:tcPr>
            <w:tcW w:w="0" w:type="auto"/>
            <w:gridSpan w:val="3"/>
            <w:shd w:val="clear" w:color="auto" w:fill="auto"/>
            <w:vAlign w:val="bottom"/>
          </w:tcPr>
          <w:p w14:paraId="1860009F" w14:textId="77777777" w:rsidR="00A91885" w:rsidRDefault="00A91885">
            <w:pPr>
              <w:rPr>
                <w:rFonts w:ascii="宋体"/>
                <w:vanish/>
              </w:rPr>
            </w:pPr>
          </w:p>
        </w:tc>
        <w:tc>
          <w:tcPr>
            <w:tcW w:w="0" w:type="auto"/>
            <w:gridSpan w:val="3"/>
            <w:shd w:val="clear" w:color="auto" w:fill="auto"/>
            <w:vAlign w:val="bottom"/>
          </w:tcPr>
          <w:p w14:paraId="186000A0" w14:textId="77777777" w:rsidR="00A91885" w:rsidRDefault="00A91885">
            <w:pPr>
              <w:rPr>
                <w:rFonts w:ascii="宋体"/>
                <w:vanish/>
              </w:rPr>
            </w:pPr>
          </w:p>
        </w:tc>
        <w:tc>
          <w:tcPr>
            <w:tcW w:w="0" w:type="auto"/>
            <w:gridSpan w:val="3"/>
            <w:shd w:val="clear" w:color="auto" w:fill="auto"/>
            <w:vAlign w:val="bottom"/>
          </w:tcPr>
          <w:p w14:paraId="186000A1" w14:textId="77777777" w:rsidR="00A91885" w:rsidRDefault="00A91885">
            <w:pPr>
              <w:rPr>
                <w:rFonts w:ascii="宋体"/>
                <w:vanish/>
              </w:rPr>
            </w:pPr>
          </w:p>
        </w:tc>
        <w:tc>
          <w:tcPr>
            <w:tcW w:w="0" w:type="auto"/>
            <w:gridSpan w:val="3"/>
            <w:shd w:val="clear" w:color="auto" w:fill="auto"/>
            <w:vAlign w:val="bottom"/>
          </w:tcPr>
          <w:p w14:paraId="186000A2" w14:textId="77777777" w:rsidR="00A91885" w:rsidRDefault="00A91885">
            <w:pPr>
              <w:rPr>
                <w:rFonts w:ascii="宋体"/>
                <w:vanish/>
              </w:rPr>
            </w:pPr>
          </w:p>
        </w:tc>
      </w:tr>
      <w:tr w:rsidR="00A91885" w14:paraId="186000AC" w14:textId="77777777">
        <w:trPr>
          <w:hidden/>
        </w:trPr>
        <w:tc>
          <w:tcPr>
            <w:tcW w:w="0" w:type="auto"/>
            <w:gridSpan w:val="3"/>
            <w:shd w:val="clear" w:color="auto" w:fill="auto"/>
            <w:vAlign w:val="bottom"/>
          </w:tcPr>
          <w:p w14:paraId="186000A4" w14:textId="77777777" w:rsidR="00A91885" w:rsidRDefault="00A91885">
            <w:pPr>
              <w:rPr>
                <w:rFonts w:ascii="宋体"/>
                <w:vanish/>
              </w:rPr>
            </w:pPr>
          </w:p>
        </w:tc>
        <w:tc>
          <w:tcPr>
            <w:tcW w:w="0" w:type="auto"/>
            <w:gridSpan w:val="3"/>
            <w:shd w:val="clear" w:color="auto" w:fill="auto"/>
            <w:vAlign w:val="bottom"/>
          </w:tcPr>
          <w:p w14:paraId="186000A5" w14:textId="77777777" w:rsidR="00A91885" w:rsidRDefault="00A91885">
            <w:pPr>
              <w:rPr>
                <w:rFonts w:ascii="宋体"/>
                <w:vanish/>
              </w:rPr>
            </w:pPr>
          </w:p>
        </w:tc>
        <w:tc>
          <w:tcPr>
            <w:tcW w:w="0" w:type="auto"/>
            <w:gridSpan w:val="3"/>
            <w:shd w:val="clear" w:color="auto" w:fill="auto"/>
            <w:vAlign w:val="bottom"/>
          </w:tcPr>
          <w:p w14:paraId="186000A6" w14:textId="77777777" w:rsidR="00A91885" w:rsidRDefault="00A91885">
            <w:pPr>
              <w:rPr>
                <w:rFonts w:ascii="宋体"/>
                <w:vanish/>
              </w:rPr>
            </w:pPr>
          </w:p>
        </w:tc>
        <w:tc>
          <w:tcPr>
            <w:tcW w:w="0" w:type="auto"/>
            <w:gridSpan w:val="3"/>
            <w:shd w:val="clear" w:color="auto" w:fill="auto"/>
            <w:vAlign w:val="bottom"/>
          </w:tcPr>
          <w:p w14:paraId="186000A7" w14:textId="77777777" w:rsidR="00A91885" w:rsidRDefault="00A91885">
            <w:pPr>
              <w:rPr>
                <w:rFonts w:ascii="宋体"/>
                <w:vanish/>
              </w:rPr>
            </w:pPr>
          </w:p>
        </w:tc>
        <w:tc>
          <w:tcPr>
            <w:tcW w:w="0" w:type="auto"/>
            <w:gridSpan w:val="3"/>
            <w:shd w:val="clear" w:color="auto" w:fill="auto"/>
            <w:vAlign w:val="bottom"/>
          </w:tcPr>
          <w:p w14:paraId="186000A8" w14:textId="77777777" w:rsidR="00A91885" w:rsidRDefault="00A91885">
            <w:pPr>
              <w:rPr>
                <w:rFonts w:ascii="宋体"/>
                <w:vanish/>
              </w:rPr>
            </w:pPr>
          </w:p>
        </w:tc>
        <w:tc>
          <w:tcPr>
            <w:tcW w:w="0" w:type="auto"/>
            <w:gridSpan w:val="3"/>
            <w:shd w:val="clear" w:color="auto" w:fill="auto"/>
            <w:vAlign w:val="bottom"/>
          </w:tcPr>
          <w:p w14:paraId="186000A9" w14:textId="77777777" w:rsidR="00A91885" w:rsidRDefault="00A91885">
            <w:pPr>
              <w:rPr>
                <w:rFonts w:ascii="宋体"/>
                <w:vanish/>
              </w:rPr>
            </w:pPr>
          </w:p>
        </w:tc>
        <w:tc>
          <w:tcPr>
            <w:tcW w:w="0" w:type="auto"/>
            <w:gridSpan w:val="3"/>
            <w:shd w:val="clear" w:color="auto" w:fill="auto"/>
            <w:vAlign w:val="bottom"/>
          </w:tcPr>
          <w:p w14:paraId="186000AA" w14:textId="77777777" w:rsidR="00A91885" w:rsidRDefault="00A91885">
            <w:pPr>
              <w:rPr>
                <w:rFonts w:ascii="宋体"/>
                <w:vanish/>
              </w:rPr>
            </w:pPr>
          </w:p>
        </w:tc>
        <w:tc>
          <w:tcPr>
            <w:tcW w:w="0" w:type="auto"/>
            <w:gridSpan w:val="3"/>
            <w:shd w:val="clear" w:color="auto" w:fill="auto"/>
            <w:vAlign w:val="bottom"/>
          </w:tcPr>
          <w:p w14:paraId="186000AB" w14:textId="77777777" w:rsidR="00A91885" w:rsidRDefault="00A91885">
            <w:pPr>
              <w:rPr>
                <w:rFonts w:ascii="宋体"/>
                <w:vanish/>
              </w:rPr>
            </w:pPr>
          </w:p>
        </w:tc>
      </w:tr>
      <w:tr w:rsidR="00A91885" w14:paraId="186000B5" w14:textId="77777777">
        <w:trPr>
          <w:hidden/>
        </w:trPr>
        <w:tc>
          <w:tcPr>
            <w:tcW w:w="0" w:type="auto"/>
            <w:gridSpan w:val="3"/>
            <w:shd w:val="clear" w:color="auto" w:fill="auto"/>
            <w:vAlign w:val="bottom"/>
          </w:tcPr>
          <w:p w14:paraId="186000AD" w14:textId="77777777" w:rsidR="00A91885" w:rsidRDefault="00A91885">
            <w:pPr>
              <w:rPr>
                <w:rFonts w:ascii="宋体"/>
                <w:vanish/>
              </w:rPr>
            </w:pPr>
          </w:p>
        </w:tc>
        <w:tc>
          <w:tcPr>
            <w:tcW w:w="0" w:type="auto"/>
            <w:gridSpan w:val="3"/>
            <w:shd w:val="clear" w:color="auto" w:fill="auto"/>
            <w:vAlign w:val="bottom"/>
          </w:tcPr>
          <w:p w14:paraId="186000AE" w14:textId="77777777" w:rsidR="00A91885" w:rsidRDefault="00A91885">
            <w:pPr>
              <w:rPr>
                <w:rFonts w:ascii="宋体"/>
                <w:vanish/>
              </w:rPr>
            </w:pPr>
          </w:p>
        </w:tc>
        <w:tc>
          <w:tcPr>
            <w:tcW w:w="0" w:type="auto"/>
            <w:gridSpan w:val="3"/>
            <w:shd w:val="clear" w:color="auto" w:fill="auto"/>
            <w:vAlign w:val="bottom"/>
          </w:tcPr>
          <w:p w14:paraId="186000AF" w14:textId="77777777" w:rsidR="00A91885" w:rsidRDefault="00A91885">
            <w:pPr>
              <w:rPr>
                <w:rFonts w:ascii="宋体"/>
                <w:vanish/>
              </w:rPr>
            </w:pPr>
          </w:p>
        </w:tc>
        <w:tc>
          <w:tcPr>
            <w:tcW w:w="0" w:type="auto"/>
            <w:gridSpan w:val="3"/>
            <w:shd w:val="clear" w:color="auto" w:fill="auto"/>
            <w:vAlign w:val="bottom"/>
          </w:tcPr>
          <w:p w14:paraId="186000B0" w14:textId="77777777" w:rsidR="00A91885" w:rsidRDefault="00A91885">
            <w:pPr>
              <w:rPr>
                <w:rFonts w:ascii="宋体"/>
                <w:vanish/>
              </w:rPr>
            </w:pPr>
          </w:p>
        </w:tc>
        <w:tc>
          <w:tcPr>
            <w:tcW w:w="0" w:type="auto"/>
            <w:gridSpan w:val="3"/>
            <w:shd w:val="clear" w:color="auto" w:fill="auto"/>
            <w:vAlign w:val="bottom"/>
          </w:tcPr>
          <w:p w14:paraId="186000B1" w14:textId="77777777" w:rsidR="00A91885" w:rsidRDefault="00A91885">
            <w:pPr>
              <w:rPr>
                <w:rFonts w:ascii="宋体"/>
                <w:vanish/>
              </w:rPr>
            </w:pPr>
          </w:p>
        </w:tc>
        <w:tc>
          <w:tcPr>
            <w:tcW w:w="0" w:type="auto"/>
            <w:gridSpan w:val="3"/>
            <w:shd w:val="clear" w:color="auto" w:fill="auto"/>
            <w:vAlign w:val="bottom"/>
          </w:tcPr>
          <w:p w14:paraId="186000B2" w14:textId="77777777" w:rsidR="00A91885" w:rsidRDefault="00A91885">
            <w:pPr>
              <w:rPr>
                <w:rFonts w:ascii="宋体"/>
                <w:vanish/>
              </w:rPr>
            </w:pPr>
          </w:p>
        </w:tc>
        <w:tc>
          <w:tcPr>
            <w:tcW w:w="0" w:type="auto"/>
            <w:gridSpan w:val="3"/>
            <w:shd w:val="clear" w:color="auto" w:fill="auto"/>
            <w:vAlign w:val="bottom"/>
          </w:tcPr>
          <w:p w14:paraId="186000B3" w14:textId="77777777" w:rsidR="00A91885" w:rsidRDefault="00A91885">
            <w:pPr>
              <w:rPr>
                <w:rFonts w:ascii="宋体"/>
                <w:vanish/>
              </w:rPr>
            </w:pPr>
          </w:p>
        </w:tc>
        <w:tc>
          <w:tcPr>
            <w:tcW w:w="0" w:type="auto"/>
            <w:gridSpan w:val="3"/>
            <w:shd w:val="clear" w:color="auto" w:fill="auto"/>
            <w:vAlign w:val="bottom"/>
          </w:tcPr>
          <w:p w14:paraId="186000B4" w14:textId="77777777" w:rsidR="00A91885" w:rsidRDefault="00A91885">
            <w:pPr>
              <w:rPr>
                <w:rFonts w:ascii="宋体"/>
                <w:vanish/>
              </w:rPr>
            </w:pPr>
          </w:p>
        </w:tc>
      </w:tr>
      <w:tr w:rsidR="00A91885" w14:paraId="186000BE" w14:textId="77777777">
        <w:trPr>
          <w:hidden/>
        </w:trPr>
        <w:tc>
          <w:tcPr>
            <w:tcW w:w="0" w:type="auto"/>
            <w:gridSpan w:val="3"/>
            <w:shd w:val="clear" w:color="auto" w:fill="auto"/>
            <w:vAlign w:val="bottom"/>
          </w:tcPr>
          <w:p w14:paraId="186000B6" w14:textId="77777777" w:rsidR="00A91885" w:rsidRDefault="00A91885">
            <w:pPr>
              <w:rPr>
                <w:rFonts w:ascii="宋体"/>
                <w:vanish/>
              </w:rPr>
            </w:pPr>
          </w:p>
        </w:tc>
        <w:tc>
          <w:tcPr>
            <w:tcW w:w="0" w:type="auto"/>
            <w:gridSpan w:val="3"/>
            <w:shd w:val="clear" w:color="auto" w:fill="auto"/>
            <w:vAlign w:val="bottom"/>
          </w:tcPr>
          <w:p w14:paraId="186000B7" w14:textId="77777777" w:rsidR="00A91885" w:rsidRDefault="00A91885">
            <w:pPr>
              <w:rPr>
                <w:rFonts w:ascii="宋体"/>
                <w:vanish/>
              </w:rPr>
            </w:pPr>
          </w:p>
        </w:tc>
        <w:tc>
          <w:tcPr>
            <w:tcW w:w="0" w:type="auto"/>
            <w:gridSpan w:val="3"/>
            <w:shd w:val="clear" w:color="auto" w:fill="auto"/>
            <w:vAlign w:val="bottom"/>
          </w:tcPr>
          <w:p w14:paraId="186000B8" w14:textId="77777777" w:rsidR="00A91885" w:rsidRDefault="00A91885">
            <w:pPr>
              <w:rPr>
                <w:rFonts w:ascii="宋体"/>
                <w:vanish/>
              </w:rPr>
            </w:pPr>
          </w:p>
        </w:tc>
        <w:tc>
          <w:tcPr>
            <w:tcW w:w="0" w:type="auto"/>
            <w:gridSpan w:val="3"/>
            <w:shd w:val="clear" w:color="auto" w:fill="auto"/>
            <w:vAlign w:val="bottom"/>
          </w:tcPr>
          <w:p w14:paraId="186000B9" w14:textId="77777777" w:rsidR="00A91885" w:rsidRDefault="00A91885">
            <w:pPr>
              <w:rPr>
                <w:rFonts w:ascii="宋体"/>
                <w:vanish/>
              </w:rPr>
            </w:pPr>
          </w:p>
        </w:tc>
        <w:tc>
          <w:tcPr>
            <w:tcW w:w="0" w:type="auto"/>
            <w:gridSpan w:val="3"/>
            <w:shd w:val="clear" w:color="auto" w:fill="auto"/>
            <w:vAlign w:val="bottom"/>
          </w:tcPr>
          <w:p w14:paraId="186000BA" w14:textId="77777777" w:rsidR="00A91885" w:rsidRDefault="00A91885">
            <w:pPr>
              <w:rPr>
                <w:rFonts w:ascii="宋体"/>
                <w:vanish/>
              </w:rPr>
            </w:pPr>
          </w:p>
        </w:tc>
        <w:tc>
          <w:tcPr>
            <w:tcW w:w="0" w:type="auto"/>
            <w:gridSpan w:val="3"/>
            <w:shd w:val="clear" w:color="auto" w:fill="auto"/>
            <w:vAlign w:val="bottom"/>
          </w:tcPr>
          <w:p w14:paraId="186000BB" w14:textId="77777777" w:rsidR="00A91885" w:rsidRDefault="00A91885">
            <w:pPr>
              <w:rPr>
                <w:rFonts w:ascii="宋体"/>
                <w:vanish/>
              </w:rPr>
            </w:pPr>
          </w:p>
        </w:tc>
        <w:tc>
          <w:tcPr>
            <w:tcW w:w="0" w:type="auto"/>
            <w:gridSpan w:val="3"/>
            <w:shd w:val="clear" w:color="auto" w:fill="auto"/>
            <w:vAlign w:val="bottom"/>
          </w:tcPr>
          <w:p w14:paraId="186000BC" w14:textId="77777777" w:rsidR="00A91885" w:rsidRDefault="00A91885">
            <w:pPr>
              <w:rPr>
                <w:rFonts w:ascii="宋体"/>
                <w:vanish/>
              </w:rPr>
            </w:pPr>
          </w:p>
        </w:tc>
        <w:tc>
          <w:tcPr>
            <w:tcW w:w="0" w:type="auto"/>
            <w:gridSpan w:val="3"/>
            <w:shd w:val="clear" w:color="auto" w:fill="auto"/>
            <w:vAlign w:val="bottom"/>
          </w:tcPr>
          <w:p w14:paraId="186000BD" w14:textId="77777777" w:rsidR="00A91885" w:rsidRDefault="00A91885">
            <w:pPr>
              <w:rPr>
                <w:rFonts w:ascii="宋体"/>
                <w:vanish/>
              </w:rPr>
            </w:pPr>
          </w:p>
        </w:tc>
      </w:tr>
      <w:tr w:rsidR="00A91885" w14:paraId="186000C7" w14:textId="77777777">
        <w:trPr>
          <w:hidden/>
        </w:trPr>
        <w:tc>
          <w:tcPr>
            <w:tcW w:w="0" w:type="auto"/>
            <w:gridSpan w:val="3"/>
            <w:shd w:val="clear" w:color="auto" w:fill="auto"/>
            <w:vAlign w:val="bottom"/>
          </w:tcPr>
          <w:p w14:paraId="186000BF" w14:textId="77777777" w:rsidR="00A91885" w:rsidRDefault="00A91885">
            <w:pPr>
              <w:rPr>
                <w:rFonts w:ascii="宋体"/>
                <w:vanish/>
              </w:rPr>
            </w:pPr>
          </w:p>
        </w:tc>
        <w:tc>
          <w:tcPr>
            <w:tcW w:w="0" w:type="auto"/>
            <w:gridSpan w:val="3"/>
            <w:shd w:val="clear" w:color="auto" w:fill="auto"/>
            <w:vAlign w:val="bottom"/>
          </w:tcPr>
          <w:p w14:paraId="186000C0" w14:textId="77777777" w:rsidR="00A91885" w:rsidRDefault="00A91885">
            <w:pPr>
              <w:rPr>
                <w:rFonts w:ascii="宋体"/>
                <w:vanish/>
              </w:rPr>
            </w:pPr>
          </w:p>
        </w:tc>
        <w:tc>
          <w:tcPr>
            <w:tcW w:w="0" w:type="auto"/>
            <w:gridSpan w:val="3"/>
            <w:shd w:val="clear" w:color="auto" w:fill="auto"/>
            <w:vAlign w:val="bottom"/>
          </w:tcPr>
          <w:p w14:paraId="186000C1" w14:textId="77777777" w:rsidR="00A91885" w:rsidRDefault="00A91885">
            <w:pPr>
              <w:rPr>
                <w:rFonts w:ascii="宋体"/>
                <w:vanish/>
              </w:rPr>
            </w:pPr>
          </w:p>
        </w:tc>
        <w:tc>
          <w:tcPr>
            <w:tcW w:w="0" w:type="auto"/>
            <w:gridSpan w:val="3"/>
            <w:shd w:val="clear" w:color="auto" w:fill="auto"/>
            <w:vAlign w:val="bottom"/>
          </w:tcPr>
          <w:p w14:paraId="186000C2" w14:textId="77777777" w:rsidR="00A91885" w:rsidRDefault="00A91885">
            <w:pPr>
              <w:rPr>
                <w:rFonts w:ascii="宋体"/>
                <w:vanish/>
              </w:rPr>
            </w:pPr>
          </w:p>
        </w:tc>
        <w:tc>
          <w:tcPr>
            <w:tcW w:w="0" w:type="auto"/>
            <w:gridSpan w:val="3"/>
            <w:shd w:val="clear" w:color="auto" w:fill="auto"/>
            <w:vAlign w:val="bottom"/>
          </w:tcPr>
          <w:p w14:paraId="186000C3" w14:textId="77777777" w:rsidR="00A91885" w:rsidRDefault="00A91885">
            <w:pPr>
              <w:rPr>
                <w:rFonts w:ascii="宋体"/>
                <w:vanish/>
              </w:rPr>
            </w:pPr>
          </w:p>
        </w:tc>
        <w:tc>
          <w:tcPr>
            <w:tcW w:w="0" w:type="auto"/>
            <w:gridSpan w:val="3"/>
            <w:shd w:val="clear" w:color="auto" w:fill="auto"/>
            <w:vAlign w:val="bottom"/>
          </w:tcPr>
          <w:p w14:paraId="186000C4" w14:textId="77777777" w:rsidR="00A91885" w:rsidRDefault="00A91885">
            <w:pPr>
              <w:rPr>
                <w:rFonts w:ascii="宋体"/>
                <w:vanish/>
              </w:rPr>
            </w:pPr>
          </w:p>
        </w:tc>
        <w:tc>
          <w:tcPr>
            <w:tcW w:w="0" w:type="auto"/>
            <w:gridSpan w:val="3"/>
            <w:shd w:val="clear" w:color="auto" w:fill="auto"/>
            <w:vAlign w:val="bottom"/>
          </w:tcPr>
          <w:p w14:paraId="186000C5" w14:textId="77777777" w:rsidR="00A91885" w:rsidRDefault="00A91885">
            <w:pPr>
              <w:rPr>
                <w:rFonts w:ascii="宋体"/>
                <w:vanish/>
              </w:rPr>
            </w:pPr>
          </w:p>
        </w:tc>
        <w:tc>
          <w:tcPr>
            <w:tcW w:w="0" w:type="auto"/>
            <w:gridSpan w:val="3"/>
            <w:shd w:val="clear" w:color="auto" w:fill="auto"/>
            <w:vAlign w:val="bottom"/>
          </w:tcPr>
          <w:p w14:paraId="186000C6" w14:textId="77777777" w:rsidR="00A91885" w:rsidRDefault="00A91885">
            <w:pPr>
              <w:rPr>
                <w:rFonts w:ascii="宋体"/>
                <w:vanish/>
              </w:rPr>
            </w:pPr>
          </w:p>
        </w:tc>
      </w:tr>
      <w:tr w:rsidR="00A91885" w14:paraId="186000D0" w14:textId="77777777">
        <w:trPr>
          <w:hidden/>
        </w:trPr>
        <w:tc>
          <w:tcPr>
            <w:tcW w:w="0" w:type="auto"/>
            <w:gridSpan w:val="3"/>
            <w:shd w:val="clear" w:color="auto" w:fill="auto"/>
            <w:vAlign w:val="bottom"/>
          </w:tcPr>
          <w:p w14:paraId="186000C8" w14:textId="77777777" w:rsidR="00A91885" w:rsidRDefault="00A91885">
            <w:pPr>
              <w:rPr>
                <w:rFonts w:ascii="宋体"/>
                <w:vanish/>
              </w:rPr>
            </w:pPr>
          </w:p>
        </w:tc>
        <w:tc>
          <w:tcPr>
            <w:tcW w:w="0" w:type="auto"/>
            <w:gridSpan w:val="3"/>
            <w:shd w:val="clear" w:color="auto" w:fill="auto"/>
            <w:vAlign w:val="bottom"/>
          </w:tcPr>
          <w:p w14:paraId="186000C9" w14:textId="77777777" w:rsidR="00A91885" w:rsidRDefault="00A91885">
            <w:pPr>
              <w:rPr>
                <w:rFonts w:ascii="宋体"/>
                <w:vanish/>
              </w:rPr>
            </w:pPr>
          </w:p>
        </w:tc>
        <w:tc>
          <w:tcPr>
            <w:tcW w:w="0" w:type="auto"/>
            <w:gridSpan w:val="3"/>
            <w:shd w:val="clear" w:color="auto" w:fill="auto"/>
            <w:vAlign w:val="bottom"/>
          </w:tcPr>
          <w:p w14:paraId="186000CA" w14:textId="77777777" w:rsidR="00A91885" w:rsidRDefault="00A91885">
            <w:pPr>
              <w:rPr>
                <w:rFonts w:ascii="宋体"/>
                <w:vanish/>
              </w:rPr>
            </w:pPr>
          </w:p>
        </w:tc>
        <w:tc>
          <w:tcPr>
            <w:tcW w:w="0" w:type="auto"/>
            <w:gridSpan w:val="3"/>
            <w:shd w:val="clear" w:color="auto" w:fill="auto"/>
            <w:vAlign w:val="bottom"/>
          </w:tcPr>
          <w:p w14:paraId="186000CB" w14:textId="77777777" w:rsidR="00A91885" w:rsidRDefault="00A91885">
            <w:pPr>
              <w:rPr>
                <w:rFonts w:ascii="宋体"/>
                <w:vanish/>
              </w:rPr>
            </w:pPr>
          </w:p>
        </w:tc>
        <w:tc>
          <w:tcPr>
            <w:tcW w:w="0" w:type="auto"/>
            <w:gridSpan w:val="3"/>
            <w:shd w:val="clear" w:color="auto" w:fill="auto"/>
            <w:vAlign w:val="bottom"/>
          </w:tcPr>
          <w:p w14:paraId="186000CC" w14:textId="77777777" w:rsidR="00A91885" w:rsidRDefault="00A91885">
            <w:pPr>
              <w:rPr>
                <w:rFonts w:ascii="宋体"/>
                <w:vanish/>
              </w:rPr>
            </w:pPr>
          </w:p>
        </w:tc>
        <w:tc>
          <w:tcPr>
            <w:tcW w:w="0" w:type="auto"/>
            <w:gridSpan w:val="3"/>
            <w:shd w:val="clear" w:color="auto" w:fill="auto"/>
            <w:vAlign w:val="bottom"/>
          </w:tcPr>
          <w:p w14:paraId="186000CD" w14:textId="77777777" w:rsidR="00A91885" w:rsidRDefault="00A91885">
            <w:pPr>
              <w:rPr>
                <w:rFonts w:ascii="宋体"/>
                <w:vanish/>
              </w:rPr>
            </w:pPr>
          </w:p>
        </w:tc>
        <w:tc>
          <w:tcPr>
            <w:tcW w:w="0" w:type="auto"/>
            <w:gridSpan w:val="3"/>
            <w:shd w:val="clear" w:color="auto" w:fill="auto"/>
            <w:vAlign w:val="bottom"/>
          </w:tcPr>
          <w:p w14:paraId="186000CE" w14:textId="77777777" w:rsidR="00A91885" w:rsidRDefault="00A91885">
            <w:pPr>
              <w:rPr>
                <w:rFonts w:ascii="宋体"/>
                <w:vanish/>
              </w:rPr>
            </w:pPr>
          </w:p>
        </w:tc>
        <w:tc>
          <w:tcPr>
            <w:tcW w:w="0" w:type="auto"/>
            <w:gridSpan w:val="3"/>
            <w:shd w:val="clear" w:color="auto" w:fill="auto"/>
            <w:vAlign w:val="bottom"/>
          </w:tcPr>
          <w:p w14:paraId="186000CF" w14:textId="77777777" w:rsidR="00A91885" w:rsidRDefault="00A91885">
            <w:pPr>
              <w:rPr>
                <w:rFonts w:ascii="宋体"/>
                <w:vanish/>
              </w:rPr>
            </w:pPr>
          </w:p>
        </w:tc>
      </w:tr>
      <w:tr w:rsidR="00A91885" w14:paraId="186000D9" w14:textId="77777777">
        <w:trPr>
          <w:hidden/>
        </w:trPr>
        <w:tc>
          <w:tcPr>
            <w:tcW w:w="0" w:type="auto"/>
            <w:gridSpan w:val="3"/>
            <w:shd w:val="clear" w:color="auto" w:fill="auto"/>
            <w:vAlign w:val="bottom"/>
          </w:tcPr>
          <w:p w14:paraId="186000D1" w14:textId="77777777" w:rsidR="00A91885" w:rsidRDefault="00A91885">
            <w:pPr>
              <w:rPr>
                <w:rFonts w:ascii="宋体"/>
                <w:vanish/>
              </w:rPr>
            </w:pPr>
          </w:p>
        </w:tc>
        <w:tc>
          <w:tcPr>
            <w:tcW w:w="0" w:type="auto"/>
            <w:gridSpan w:val="3"/>
            <w:shd w:val="clear" w:color="auto" w:fill="auto"/>
            <w:vAlign w:val="bottom"/>
          </w:tcPr>
          <w:p w14:paraId="186000D2" w14:textId="77777777" w:rsidR="00A91885" w:rsidRDefault="00A91885">
            <w:pPr>
              <w:rPr>
                <w:rFonts w:ascii="宋体"/>
                <w:vanish/>
              </w:rPr>
            </w:pPr>
          </w:p>
        </w:tc>
        <w:tc>
          <w:tcPr>
            <w:tcW w:w="0" w:type="auto"/>
            <w:gridSpan w:val="3"/>
            <w:shd w:val="clear" w:color="auto" w:fill="auto"/>
            <w:vAlign w:val="bottom"/>
          </w:tcPr>
          <w:p w14:paraId="186000D3" w14:textId="77777777" w:rsidR="00A91885" w:rsidRDefault="00A91885">
            <w:pPr>
              <w:rPr>
                <w:rFonts w:ascii="宋体"/>
                <w:vanish/>
              </w:rPr>
            </w:pPr>
          </w:p>
        </w:tc>
        <w:tc>
          <w:tcPr>
            <w:tcW w:w="0" w:type="auto"/>
            <w:gridSpan w:val="3"/>
            <w:shd w:val="clear" w:color="auto" w:fill="auto"/>
            <w:vAlign w:val="bottom"/>
          </w:tcPr>
          <w:p w14:paraId="186000D4" w14:textId="77777777" w:rsidR="00A91885" w:rsidRDefault="00A91885">
            <w:pPr>
              <w:rPr>
                <w:rFonts w:ascii="宋体"/>
                <w:vanish/>
              </w:rPr>
            </w:pPr>
          </w:p>
        </w:tc>
        <w:tc>
          <w:tcPr>
            <w:tcW w:w="0" w:type="auto"/>
            <w:gridSpan w:val="3"/>
            <w:shd w:val="clear" w:color="auto" w:fill="auto"/>
            <w:vAlign w:val="bottom"/>
          </w:tcPr>
          <w:p w14:paraId="186000D5" w14:textId="77777777" w:rsidR="00A91885" w:rsidRDefault="00A91885">
            <w:pPr>
              <w:rPr>
                <w:rFonts w:ascii="宋体"/>
                <w:vanish/>
              </w:rPr>
            </w:pPr>
          </w:p>
        </w:tc>
        <w:tc>
          <w:tcPr>
            <w:tcW w:w="0" w:type="auto"/>
            <w:gridSpan w:val="3"/>
            <w:shd w:val="clear" w:color="auto" w:fill="auto"/>
            <w:vAlign w:val="bottom"/>
          </w:tcPr>
          <w:p w14:paraId="186000D6" w14:textId="77777777" w:rsidR="00A91885" w:rsidRDefault="00A91885">
            <w:pPr>
              <w:rPr>
                <w:rFonts w:ascii="宋体"/>
                <w:vanish/>
              </w:rPr>
            </w:pPr>
          </w:p>
        </w:tc>
        <w:tc>
          <w:tcPr>
            <w:tcW w:w="0" w:type="auto"/>
            <w:gridSpan w:val="3"/>
            <w:shd w:val="clear" w:color="auto" w:fill="auto"/>
            <w:vAlign w:val="bottom"/>
          </w:tcPr>
          <w:p w14:paraId="186000D7" w14:textId="77777777" w:rsidR="00A91885" w:rsidRDefault="00A91885">
            <w:pPr>
              <w:rPr>
                <w:rFonts w:ascii="宋体"/>
                <w:vanish/>
              </w:rPr>
            </w:pPr>
          </w:p>
        </w:tc>
        <w:tc>
          <w:tcPr>
            <w:tcW w:w="0" w:type="auto"/>
            <w:gridSpan w:val="3"/>
            <w:shd w:val="clear" w:color="auto" w:fill="auto"/>
            <w:vAlign w:val="bottom"/>
          </w:tcPr>
          <w:p w14:paraId="186000D8" w14:textId="77777777" w:rsidR="00A91885" w:rsidRDefault="00A91885">
            <w:pPr>
              <w:rPr>
                <w:rFonts w:ascii="宋体"/>
                <w:vanish/>
              </w:rPr>
            </w:pPr>
          </w:p>
        </w:tc>
      </w:tr>
      <w:tr w:rsidR="00A91885" w14:paraId="186000E2" w14:textId="77777777">
        <w:trPr>
          <w:hidden/>
        </w:trPr>
        <w:tc>
          <w:tcPr>
            <w:tcW w:w="0" w:type="auto"/>
            <w:gridSpan w:val="3"/>
            <w:shd w:val="clear" w:color="auto" w:fill="auto"/>
            <w:vAlign w:val="bottom"/>
          </w:tcPr>
          <w:p w14:paraId="186000DA" w14:textId="77777777" w:rsidR="00A91885" w:rsidRDefault="00A91885">
            <w:pPr>
              <w:rPr>
                <w:rFonts w:ascii="宋体"/>
                <w:vanish/>
              </w:rPr>
            </w:pPr>
          </w:p>
        </w:tc>
        <w:tc>
          <w:tcPr>
            <w:tcW w:w="0" w:type="auto"/>
            <w:gridSpan w:val="3"/>
            <w:shd w:val="clear" w:color="auto" w:fill="auto"/>
            <w:vAlign w:val="bottom"/>
          </w:tcPr>
          <w:p w14:paraId="186000DB" w14:textId="77777777" w:rsidR="00A91885" w:rsidRDefault="00A91885">
            <w:pPr>
              <w:rPr>
                <w:rFonts w:ascii="宋体"/>
                <w:vanish/>
              </w:rPr>
            </w:pPr>
          </w:p>
        </w:tc>
        <w:tc>
          <w:tcPr>
            <w:tcW w:w="0" w:type="auto"/>
            <w:gridSpan w:val="3"/>
            <w:shd w:val="clear" w:color="auto" w:fill="auto"/>
            <w:vAlign w:val="bottom"/>
          </w:tcPr>
          <w:p w14:paraId="186000DC" w14:textId="77777777" w:rsidR="00A91885" w:rsidRDefault="00A91885">
            <w:pPr>
              <w:rPr>
                <w:rFonts w:ascii="宋体"/>
                <w:vanish/>
              </w:rPr>
            </w:pPr>
          </w:p>
        </w:tc>
        <w:tc>
          <w:tcPr>
            <w:tcW w:w="0" w:type="auto"/>
            <w:gridSpan w:val="3"/>
            <w:shd w:val="clear" w:color="auto" w:fill="auto"/>
            <w:vAlign w:val="bottom"/>
          </w:tcPr>
          <w:p w14:paraId="186000DD" w14:textId="77777777" w:rsidR="00A91885" w:rsidRDefault="00A91885">
            <w:pPr>
              <w:rPr>
                <w:rFonts w:ascii="宋体"/>
                <w:vanish/>
              </w:rPr>
            </w:pPr>
          </w:p>
        </w:tc>
        <w:tc>
          <w:tcPr>
            <w:tcW w:w="0" w:type="auto"/>
            <w:gridSpan w:val="3"/>
            <w:shd w:val="clear" w:color="auto" w:fill="auto"/>
            <w:vAlign w:val="bottom"/>
          </w:tcPr>
          <w:p w14:paraId="186000DE" w14:textId="77777777" w:rsidR="00A91885" w:rsidRDefault="00A91885">
            <w:pPr>
              <w:rPr>
                <w:rFonts w:ascii="宋体"/>
                <w:vanish/>
              </w:rPr>
            </w:pPr>
          </w:p>
        </w:tc>
        <w:tc>
          <w:tcPr>
            <w:tcW w:w="0" w:type="auto"/>
            <w:gridSpan w:val="3"/>
            <w:shd w:val="clear" w:color="auto" w:fill="auto"/>
            <w:vAlign w:val="bottom"/>
          </w:tcPr>
          <w:p w14:paraId="186000DF" w14:textId="77777777" w:rsidR="00A91885" w:rsidRDefault="00A91885">
            <w:pPr>
              <w:rPr>
                <w:rFonts w:ascii="宋体"/>
                <w:vanish/>
              </w:rPr>
            </w:pPr>
          </w:p>
        </w:tc>
        <w:tc>
          <w:tcPr>
            <w:tcW w:w="0" w:type="auto"/>
            <w:gridSpan w:val="3"/>
            <w:shd w:val="clear" w:color="auto" w:fill="auto"/>
            <w:vAlign w:val="bottom"/>
          </w:tcPr>
          <w:p w14:paraId="186000E0" w14:textId="77777777" w:rsidR="00A91885" w:rsidRDefault="00A91885">
            <w:pPr>
              <w:rPr>
                <w:rFonts w:ascii="宋体"/>
                <w:vanish/>
              </w:rPr>
            </w:pPr>
          </w:p>
        </w:tc>
        <w:tc>
          <w:tcPr>
            <w:tcW w:w="0" w:type="auto"/>
            <w:gridSpan w:val="3"/>
            <w:shd w:val="clear" w:color="auto" w:fill="auto"/>
            <w:vAlign w:val="bottom"/>
          </w:tcPr>
          <w:p w14:paraId="186000E1" w14:textId="77777777" w:rsidR="00A91885" w:rsidRDefault="00A91885">
            <w:pPr>
              <w:rPr>
                <w:rFonts w:ascii="宋体"/>
                <w:vanish/>
              </w:rPr>
            </w:pPr>
          </w:p>
        </w:tc>
      </w:tr>
      <w:tr w:rsidR="00A91885" w14:paraId="186000EB" w14:textId="77777777">
        <w:trPr>
          <w:hidden/>
        </w:trPr>
        <w:tc>
          <w:tcPr>
            <w:tcW w:w="0" w:type="auto"/>
            <w:gridSpan w:val="3"/>
            <w:shd w:val="clear" w:color="auto" w:fill="auto"/>
            <w:vAlign w:val="bottom"/>
          </w:tcPr>
          <w:p w14:paraId="186000E3" w14:textId="77777777" w:rsidR="00A91885" w:rsidRDefault="00A91885">
            <w:pPr>
              <w:rPr>
                <w:rFonts w:ascii="宋体"/>
                <w:vanish/>
              </w:rPr>
            </w:pPr>
          </w:p>
        </w:tc>
        <w:tc>
          <w:tcPr>
            <w:tcW w:w="0" w:type="auto"/>
            <w:gridSpan w:val="3"/>
            <w:shd w:val="clear" w:color="auto" w:fill="auto"/>
            <w:vAlign w:val="bottom"/>
          </w:tcPr>
          <w:p w14:paraId="186000E4" w14:textId="77777777" w:rsidR="00A91885" w:rsidRDefault="00A91885">
            <w:pPr>
              <w:rPr>
                <w:rFonts w:ascii="宋体"/>
                <w:vanish/>
              </w:rPr>
            </w:pPr>
          </w:p>
        </w:tc>
        <w:tc>
          <w:tcPr>
            <w:tcW w:w="0" w:type="auto"/>
            <w:gridSpan w:val="3"/>
            <w:shd w:val="clear" w:color="auto" w:fill="auto"/>
            <w:vAlign w:val="bottom"/>
          </w:tcPr>
          <w:p w14:paraId="186000E5" w14:textId="77777777" w:rsidR="00A91885" w:rsidRDefault="00A91885">
            <w:pPr>
              <w:rPr>
                <w:rFonts w:ascii="宋体"/>
                <w:vanish/>
              </w:rPr>
            </w:pPr>
          </w:p>
        </w:tc>
        <w:tc>
          <w:tcPr>
            <w:tcW w:w="0" w:type="auto"/>
            <w:gridSpan w:val="3"/>
            <w:shd w:val="clear" w:color="auto" w:fill="auto"/>
            <w:vAlign w:val="bottom"/>
          </w:tcPr>
          <w:p w14:paraId="186000E6" w14:textId="77777777" w:rsidR="00A91885" w:rsidRDefault="00A91885">
            <w:pPr>
              <w:rPr>
                <w:rFonts w:ascii="宋体"/>
                <w:vanish/>
              </w:rPr>
            </w:pPr>
          </w:p>
        </w:tc>
        <w:tc>
          <w:tcPr>
            <w:tcW w:w="0" w:type="auto"/>
            <w:gridSpan w:val="3"/>
            <w:shd w:val="clear" w:color="auto" w:fill="auto"/>
            <w:vAlign w:val="bottom"/>
          </w:tcPr>
          <w:p w14:paraId="186000E7" w14:textId="77777777" w:rsidR="00A91885" w:rsidRDefault="00A91885">
            <w:pPr>
              <w:rPr>
                <w:rFonts w:ascii="宋体"/>
                <w:vanish/>
              </w:rPr>
            </w:pPr>
          </w:p>
        </w:tc>
        <w:tc>
          <w:tcPr>
            <w:tcW w:w="0" w:type="auto"/>
            <w:gridSpan w:val="3"/>
            <w:shd w:val="clear" w:color="auto" w:fill="auto"/>
            <w:vAlign w:val="bottom"/>
          </w:tcPr>
          <w:p w14:paraId="186000E8" w14:textId="77777777" w:rsidR="00A91885" w:rsidRDefault="00A91885">
            <w:pPr>
              <w:rPr>
                <w:rFonts w:ascii="宋体"/>
                <w:vanish/>
              </w:rPr>
            </w:pPr>
          </w:p>
        </w:tc>
        <w:tc>
          <w:tcPr>
            <w:tcW w:w="0" w:type="auto"/>
            <w:gridSpan w:val="3"/>
            <w:shd w:val="clear" w:color="auto" w:fill="auto"/>
            <w:vAlign w:val="bottom"/>
          </w:tcPr>
          <w:p w14:paraId="186000E9" w14:textId="77777777" w:rsidR="00A91885" w:rsidRDefault="00A91885">
            <w:pPr>
              <w:rPr>
                <w:rFonts w:ascii="宋体"/>
                <w:vanish/>
              </w:rPr>
            </w:pPr>
          </w:p>
        </w:tc>
        <w:tc>
          <w:tcPr>
            <w:tcW w:w="0" w:type="auto"/>
            <w:gridSpan w:val="3"/>
            <w:shd w:val="clear" w:color="auto" w:fill="auto"/>
            <w:vAlign w:val="bottom"/>
          </w:tcPr>
          <w:p w14:paraId="186000EA" w14:textId="77777777" w:rsidR="00A91885" w:rsidRDefault="00A91885">
            <w:pPr>
              <w:rPr>
                <w:rFonts w:ascii="宋体"/>
                <w:vanish/>
              </w:rPr>
            </w:pPr>
          </w:p>
        </w:tc>
      </w:tr>
      <w:tr w:rsidR="00A91885" w14:paraId="186000F4" w14:textId="77777777">
        <w:trPr>
          <w:hidden/>
        </w:trPr>
        <w:tc>
          <w:tcPr>
            <w:tcW w:w="0" w:type="auto"/>
            <w:gridSpan w:val="3"/>
            <w:shd w:val="clear" w:color="auto" w:fill="auto"/>
            <w:vAlign w:val="bottom"/>
          </w:tcPr>
          <w:p w14:paraId="186000EC" w14:textId="77777777" w:rsidR="00A91885" w:rsidRDefault="00A91885">
            <w:pPr>
              <w:rPr>
                <w:rFonts w:ascii="宋体"/>
                <w:vanish/>
              </w:rPr>
            </w:pPr>
          </w:p>
        </w:tc>
        <w:tc>
          <w:tcPr>
            <w:tcW w:w="0" w:type="auto"/>
            <w:gridSpan w:val="3"/>
            <w:shd w:val="clear" w:color="auto" w:fill="auto"/>
            <w:vAlign w:val="bottom"/>
          </w:tcPr>
          <w:p w14:paraId="186000ED" w14:textId="77777777" w:rsidR="00A91885" w:rsidRDefault="00A91885">
            <w:pPr>
              <w:rPr>
                <w:rFonts w:ascii="宋体"/>
                <w:vanish/>
              </w:rPr>
            </w:pPr>
          </w:p>
        </w:tc>
        <w:tc>
          <w:tcPr>
            <w:tcW w:w="0" w:type="auto"/>
            <w:gridSpan w:val="3"/>
            <w:shd w:val="clear" w:color="auto" w:fill="auto"/>
            <w:vAlign w:val="bottom"/>
          </w:tcPr>
          <w:p w14:paraId="186000EE" w14:textId="77777777" w:rsidR="00A91885" w:rsidRDefault="00A91885">
            <w:pPr>
              <w:rPr>
                <w:rFonts w:ascii="宋体"/>
                <w:vanish/>
              </w:rPr>
            </w:pPr>
          </w:p>
        </w:tc>
        <w:tc>
          <w:tcPr>
            <w:tcW w:w="0" w:type="auto"/>
            <w:gridSpan w:val="3"/>
            <w:shd w:val="clear" w:color="auto" w:fill="auto"/>
            <w:vAlign w:val="bottom"/>
          </w:tcPr>
          <w:p w14:paraId="186000EF" w14:textId="77777777" w:rsidR="00A91885" w:rsidRDefault="00A91885">
            <w:pPr>
              <w:rPr>
                <w:rFonts w:ascii="宋体"/>
                <w:vanish/>
              </w:rPr>
            </w:pPr>
          </w:p>
        </w:tc>
        <w:tc>
          <w:tcPr>
            <w:tcW w:w="0" w:type="auto"/>
            <w:gridSpan w:val="3"/>
            <w:shd w:val="clear" w:color="auto" w:fill="auto"/>
            <w:vAlign w:val="bottom"/>
          </w:tcPr>
          <w:p w14:paraId="186000F0" w14:textId="77777777" w:rsidR="00A91885" w:rsidRDefault="00A91885">
            <w:pPr>
              <w:rPr>
                <w:rFonts w:ascii="宋体"/>
                <w:vanish/>
              </w:rPr>
            </w:pPr>
          </w:p>
        </w:tc>
        <w:tc>
          <w:tcPr>
            <w:tcW w:w="0" w:type="auto"/>
            <w:gridSpan w:val="3"/>
            <w:shd w:val="clear" w:color="auto" w:fill="auto"/>
            <w:vAlign w:val="bottom"/>
          </w:tcPr>
          <w:p w14:paraId="186000F1" w14:textId="77777777" w:rsidR="00A91885" w:rsidRDefault="00A91885">
            <w:pPr>
              <w:rPr>
                <w:rFonts w:ascii="宋体"/>
                <w:vanish/>
              </w:rPr>
            </w:pPr>
          </w:p>
        </w:tc>
        <w:tc>
          <w:tcPr>
            <w:tcW w:w="0" w:type="auto"/>
            <w:gridSpan w:val="3"/>
            <w:shd w:val="clear" w:color="auto" w:fill="auto"/>
            <w:vAlign w:val="bottom"/>
          </w:tcPr>
          <w:p w14:paraId="186000F2" w14:textId="77777777" w:rsidR="00A91885" w:rsidRDefault="00A91885">
            <w:pPr>
              <w:rPr>
                <w:rFonts w:ascii="宋体"/>
                <w:vanish/>
              </w:rPr>
            </w:pPr>
          </w:p>
        </w:tc>
        <w:tc>
          <w:tcPr>
            <w:tcW w:w="0" w:type="auto"/>
            <w:gridSpan w:val="3"/>
            <w:shd w:val="clear" w:color="auto" w:fill="auto"/>
            <w:vAlign w:val="bottom"/>
          </w:tcPr>
          <w:p w14:paraId="186000F3" w14:textId="77777777" w:rsidR="00A91885" w:rsidRDefault="00A91885">
            <w:pPr>
              <w:rPr>
                <w:rFonts w:ascii="宋体"/>
                <w:vanish/>
              </w:rPr>
            </w:pPr>
          </w:p>
        </w:tc>
      </w:tr>
      <w:tr w:rsidR="00A91885" w14:paraId="186000FD" w14:textId="77777777">
        <w:trPr>
          <w:hidden/>
        </w:trPr>
        <w:tc>
          <w:tcPr>
            <w:tcW w:w="0" w:type="auto"/>
            <w:gridSpan w:val="3"/>
            <w:shd w:val="clear" w:color="auto" w:fill="auto"/>
            <w:vAlign w:val="bottom"/>
          </w:tcPr>
          <w:p w14:paraId="186000F5" w14:textId="77777777" w:rsidR="00A91885" w:rsidRDefault="00A91885">
            <w:pPr>
              <w:rPr>
                <w:rFonts w:ascii="宋体"/>
                <w:vanish/>
              </w:rPr>
            </w:pPr>
          </w:p>
        </w:tc>
        <w:tc>
          <w:tcPr>
            <w:tcW w:w="0" w:type="auto"/>
            <w:gridSpan w:val="3"/>
            <w:shd w:val="clear" w:color="auto" w:fill="auto"/>
            <w:vAlign w:val="bottom"/>
          </w:tcPr>
          <w:p w14:paraId="186000F6" w14:textId="77777777" w:rsidR="00A91885" w:rsidRDefault="00A91885">
            <w:pPr>
              <w:rPr>
                <w:rFonts w:ascii="宋体"/>
                <w:vanish/>
              </w:rPr>
            </w:pPr>
          </w:p>
        </w:tc>
        <w:tc>
          <w:tcPr>
            <w:tcW w:w="0" w:type="auto"/>
            <w:gridSpan w:val="3"/>
            <w:shd w:val="clear" w:color="auto" w:fill="auto"/>
            <w:vAlign w:val="bottom"/>
          </w:tcPr>
          <w:p w14:paraId="186000F7" w14:textId="77777777" w:rsidR="00A91885" w:rsidRDefault="00A91885">
            <w:pPr>
              <w:rPr>
                <w:rFonts w:ascii="宋体"/>
                <w:vanish/>
              </w:rPr>
            </w:pPr>
          </w:p>
        </w:tc>
        <w:tc>
          <w:tcPr>
            <w:tcW w:w="0" w:type="auto"/>
            <w:gridSpan w:val="3"/>
            <w:shd w:val="clear" w:color="auto" w:fill="auto"/>
            <w:vAlign w:val="bottom"/>
          </w:tcPr>
          <w:p w14:paraId="186000F8" w14:textId="77777777" w:rsidR="00A91885" w:rsidRDefault="00A91885">
            <w:pPr>
              <w:rPr>
                <w:rFonts w:ascii="宋体"/>
                <w:vanish/>
              </w:rPr>
            </w:pPr>
          </w:p>
        </w:tc>
        <w:tc>
          <w:tcPr>
            <w:tcW w:w="0" w:type="auto"/>
            <w:gridSpan w:val="3"/>
            <w:shd w:val="clear" w:color="auto" w:fill="auto"/>
            <w:vAlign w:val="bottom"/>
          </w:tcPr>
          <w:p w14:paraId="186000F9" w14:textId="77777777" w:rsidR="00A91885" w:rsidRDefault="00A91885">
            <w:pPr>
              <w:rPr>
                <w:rFonts w:ascii="宋体"/>
                <w:vanish/>
              </w:rPr>
            </w:pPr>
          </w:p>
        </w:tc>
        <w:tc>
          <w:tcPr>
            <w:tcW w:w="0" w:type="auto"/>
            <w:gridSpan w:val="3"/>
            <w:shd w:val="clear" w:color="auto" w:fill="auto"/>
            <w:vAlign w:val="bottom"/>
          </w:tcPr>
          <w:p w14:paraId="186000FA" w14:textId="77777777" w:rsidR="00A91885" w:rsidRDefault="00A91885">
            <w:pPr>
              <w:rPr>
                <w:rFonts w:ascii="宋体"/>
                <w:vanish/>
              </w:rPr>
            </w:pPr>
          </w:p>
        </w:tc>
        <w:tc>
          <w:tcPr>
            <w:tcW w:w="0" w:type="auto"/>
            <w:gridSpan w:val="3"/>
            <w:shd w:val="clear" w:color="auto" w:fill="auto"/>
            <w:vAlign w:val="bottom"/>
          </w:tcPr>
          <w:p w14:paraId="186000FB" w14:textId="77777777" w:rsidR="00A91885" w:rsidRDefault="00A91885">
            <w:pPr>
              <w:rPr>
                <w:rFonts w:ascii="宋体"/>
                <w:vanish/>
              </w:rPr>
            </w:pPr>
          </w:p>
        </w:tc>
        <w:tc>
          <w:tcPr>
            <w:tcW w:w="0" w:type="auto"/>
            <w:gridSpan w:val="3"/>
            <w:shd w:val="clear" w:color="auto" w:fill="auto"/>
            <w:vAlign w:val="bottom"/>
          </w:tcPr>
          <w:p w14:paraId="186000FC" w14:textId="77777777" w:rsidR="00A91885" w:rsidRDefault="00A91885">
            <w:pPr>
              <w:rPr>
                <w:rFonts w:ascii="宋体"/>
                <w:vanish/>
              </w:rPr>
            </w:pPr>
          </w:p>
        </w:tc>
      </w:tr>
      <w:tr w:rsidR="00A91885" w14:paraId="18600106" w14:textId="77777777">
        <w:trPr>
          <w:hidden/>
        </w:trPr>
        <w:tc>
          <w:tcPr>
            <w:tcW w:w="0" w:type="auto"/>
            <w:gridSpan w:val="3"/>
            <w:shd w:val="clear" w:color="auto" w:fill="auto"/>
            <w:vAlign w:val="bottom"/>
          </w:tcPr>
          <w:p w14:paraId="186000FE" w14:textId="77777777" w:rsidR="00A91885" w:rsidRDefault="00A91885">
            <w:pPr>
              <w:rPr>
                <w:rFonts w:ascii="宋体"/>
                <w:vanish/>
              </w:rPr>
            </w:pPr>
          </w:p>
        </w:tc>
        <w:tc>
          <w:tcPr>
            <w:tcW w:w="0" w:type="auto"/>
            <w:gridSpan w:val="3"/>
            <w:shd w:val="clear" w:color="auto" w:fill="auto"/>
            <w:vAlign w:val="bottom"/>
          </w:tcPr>
          <w:p w14:paraId="186000FF" w14:textId="77777777" w:rsidR="00A91885" w:rsidRDefault="00A91885">
            <w:pPr>
              <w:rPr>
                <w:rFonts w:ascii="宋体"/>
                <w:vanish/>
              </w:rPr>
            </w:pPr>
          </w:p>
        </w:tc>
        <w:tc>
          <w:tcPr>
            <w:tcW w:w="0" w:type="auto"/>
            <w:gridSpan w:val="3"/>
            <w:shd w:val="clear" w:color="auto" w:fill="auto"/>
            <w:vAlign w:val="bottom"/>
          </w:tcPr>
          <w:p w14:paraId="18600100" w14:textId="77777777" w:rsidR="00A91885" w:rsidRDefault="00A91885">
            <w:pPr>
              <w:rPr>
                <w:rFonts w:ascii="宋体"/>
                <w:vanish/>
              </w:rPr>
            </w:pPr>
          </w:p>
        </w:tc>
        <w:tc>
          <w:tcPr>
            <w:tcW w:w="0" w:type="auto"/>
            <w:gridSpan w:val="3"/>
            <w:shd w:val="clear" w:color="auto" w:fill="auto"/>
            <w:vAlign w:val="bottom"/>
          </w:tcPr>
          <w:p w14:paraId="18600101" w14:textId="77777777" w:rsidR="00A91885" w:rsidRDefault="00A91885">
            <w:pPr>
              <w:rPr>
                <w:rFonts w:ascii="宋体"/>
                <w:vanish/>
              </w:rPr>
            </w:pPr>
          </w:p>
        </w:tc>
        <w:tc>
          <w:tcPr>
            <w:tcW w:w="0" w:type="auto"/>
            <w:gridSpan w:val="3"/>
            <w:shd w:val="clear" w:color="auto" w:fill="auto"/>
            <w:vAlign w:val="bottom"/>
          </w:tcPr>
          <w:p w14:paraId="18600102" w14:textId="77777777" w:rsidR="00A91885" w:rsidRDefault="00A91885">
            <w:pPr>
              <w:rPr>
                <w:rFonts w:ascii="宋体"/>
                <w:vanish/>
              </w:rPr>
            </w:pPr>
          </w:p>
        </w:tc>
        <w:tc>
          <w:tcPr>
            <w:tcW w:w="0" w:type="auto"/>
            <w:gridSpan w:val="3"/>
            <w:shd w:val="clear" w:color="auto" w:fill="auto"/>
            <w:vAlign w:val="bottom"/>
          </w:tcPr>
          <w:p w14:paraId="18600103" w14:textId="77777777" w:rsidR="00A91885" w:rsidRDefault="00A91885">
            <w:pPr>
              <w:rPr>
                <w:rFonts w:ascii="宋体"/>
                <w:vanish/>
              </w:rPr>
            </w:pPr>
          </w:p>
        </w:tc>
        <w:tc>
          <w:tcPr>
            <w:tcW w:w="0" w:type="auto"/>
            <w:gridSpan w:val="3"/>
            <w:shd w:val="clear" w:color="auto" w:fill="auto"/>
            <w:vAlign w:val="bottom"/>
          </w:tcPr>
          <w:p w14:paraId="18600104" w14:textId="77777777" w:rsidR="00A91885" w:rsidRDefault="00A91885">
            <w:pPr>
              <w:rPr>
                <w:rFonts w:ascii="宋体"/>
                <w:vanish/>
              </w:rPr>
            </w:pPr>
          </w:p>
        </w:tc>
        <w:tc>
          <w:tcPr>
            <w:tcW w:w="0" w:type="auto"/>
            <w:gridSpan w:val="3"/>
            <w:shd w:val="clear" w:color="auto" w:fill="auto"/>
            <w:vAlign w:val="bottom"/>
          </w:tcPr>
          <w:p w14:paraId="18600105" w14:textId="77777777" w:rsidR="00A91885" w:rsidRDefault="00A91885">
            <w:pPr>
              <w:rPr>
                <w:rFonts w:ascii="宋体"/>
                <w:vanish/>
              </w:rPr>
            </w:pPr>
          </w:p>
        </w:tc>
      </w:tr>
      <w:tr w:rsidR="00A91885" w14:paraId="1860010F" w14:textId="77777777">
        <w:trPr>
          <w:hidden/>
        </w:trPr>
        <w:tc>
          <w:tcPr>
            <w:tcW w:w="0" w:type="auto"/>
            <w:gridSpan w:val="3"/>
            <w:shd w:val="clear" w:color="auto" w:fill="auto"/>
            <w:vAlign w:val="bottom"/>
          </w:tcPr>
          <w:p w14:paraId="18600107" w14:textId="77777777" w:rsidR="00A91885" w:rsidRDefault="00A91885">
            <w:pPr>
              <w:rPr>
                <w:rFonts w:ascii="宋体"/>
                <w:vanish/>
              </w:rPr>
            </w:pPr>
          </w:p>
        </w:tc>
        <w:tc>
          <w:tcPr>
            <w:tcW w:w="0" w:type="auto"/>
            <w:gridSpan w:val="3"/>
            <w:shd w:val="clear" w:color="auto" w:fill="auto"/>
            <w:vAlign w:val="bottom"/>
          </w:tcPr>
          <w:p w14:paraId="18600108" w14:textId="77777777" w:rsidR="00A91885" w:rsidRDefault="00A91885">
            <w:pPr>
              <w:rPr>
                <w:rFonts w:ascii="宋体"/>
                <w:vanish/>
              </w:rPr>
            </w:pPr>
          </w:p>
        </w:tc>
        <w:tc>
          <w:tcPr>
            <w:tcW w:w="0" w:type="auto"/>
            <w:gridSpan w:val="3"/>
            <w:shd w:val="clear" w:color="auto" w:fill="auto"/>
            <w:vAlign w:val="bottom"/>
          </w:tcPr>
          <w:p w14:paraId="18600109" w14:textId="77777777" w:rsidR="00A91885" w:rsidRDefault="00A91885">
            <w:pPr>
              <w:rPr>
                <w:rFonts w:ascii="宋体"/>
                <w:vanish/>
              </w:rPr>
            </w:pPr>
          </w:p>
        </w:tc>
        <w:tc>
          <w:tcPr>
            <w:tcW w:w="0" w:type="auto"/>
            <w:gridSpan w:val="3"/>
            <w:shd w:val="clear" w:color="auto" w:fill="auto"/>
            <w:vAlign w:val="bottom"/>
          </w:tcPr>
          <w:p w14:paraId="1860010A" w14:textId="77777777" w:rsidR="00A91885" w:rsidRDefault="00A91885">
            <w:pPr>
              <w:rPr>
                <w:rFonts w:ascii="宋体"/>
                <w:vanish/>
              </w:rPr>
            </w:pPr>
          </w:p>
        </w:tc>
        <w:tc>
          <w:tcPr>
            <w:tcW w:w="0" w:type="auto"/>
            <w:gridSpan w:val="3"/>
            <w:shd w:val="clear" w:color="auto" w:fill="auto"/>
            <w:vAlign w:val="bottom"/>
          </w:tcPr>
          <w:p w14:paraId="1860010B" w14:textId="77777777" w:rsidR="00A91885" w:rsidRDefault="00A91885">
            <w:pPr>
              <w:rPr>
                <w:rFonts w:ascii="宋体"/>
                <w:vanish/>
              </w:rPr>
            </w:pPr>
          </w:p>
        </w:tc>
        <w:tc>
          <w:tcPr>
            <w:tcW w:w="0" w:type="auto"/>
            <w:gridSpan w:val="3"/>
            <w:shd w:val="clear" w:color="auto" w:fill="auto"/>
            <w:vAlign w:val="bottom"/>
          </w:tcPr>
          <w:p w14:paraId="1860010C" w14:textId="77777777" w:rsidR="00A91885" w:rsidRDefault="00A91885">
            <w:pPr>
              <w:rPr>
                <w:rFonts w:ascii="宋体"/>
                <w:vanish/>
              </w:rPr>
            </w:pPr>
          </w:p>
        </w:tc>
        <w:tc>
          <w:tcPr>
            <w:tcW w:w="0" w:type="auto"/>
            <w:gridSpan w:val="3"/>
            <w:shd w:val="clear" w:color="auto" w:fill="auto"/>
            <w:vAlign w:val="bottom"/>
          </w:tcPr>
          <w:p w14:paraId="1860010D" w14:textId="77777777" w:rsidR="00A91885" w:rsidRDefault="00A91885">
            <w:pPr>
              <w:rPr>
                <w:rFonts w:ascii="宋体"/>
                <w:vanish/>
              </w:rPr>
            </w:pPr>
          </w:p>
        </w:tc>
        <w:tc>
          <w:tcPr>
            <w:tcW w:w="0" w:type="auto"/>
            <w:gridSpan w:val="3"/>
            <w:shd w:val="clear" w:color="auto" w:fill="auto"/>
            <w:vAlign w:val="bottom"/>
          </w:tcPr>
          <w:p w14:paraId="1860010E" w14:textId="77777777" w:rsidR="00A91885" w:rsidRDefault="00A91885">
            <w:pPr>
              <w:rPr>
                <w:rFonts w:ascii="宋体"/>
                <w:vanish/>
              </w:rPr>
            </w:pPr>
          </w:p>
        </w:tc>
      </w:tr>
      <w:tr w:rsidR="00A91885" w14:paraId="18600118" w14:textId="77777777">
        <w:trPr>
          <w:hidden/>
        </w:trPr>
        <w:tc>
          <w:tcPr>
            <w:tcW w:w="0" w:type="auto"/>
            <w:gridSpan w:val="3"/>
            <w:shd w:val="clear" w:color="auto" w:fill="auto"/>
            <w:vAlign w:val="bottom"/>
          </w:tcPr>
          <w:p w14:paraId="18600110" w14:textId="77777777" w:rsidR="00A91885" w:rsidRDefault="00A91885">
            <w:pPr>
              <w:rPr>
                <w:rFonts w:ascii="宋体"/>
                <w:vanish/>
              </w:rPr>
            </w:pPr>
          </w:p>
        </w:tc>
        <w:tc>
          <w:tcPr>
            <w:tcW w:w="0" w:type="auto"/>
            <w:gridSpan w:val="3"/>
            <w:shd w:val="clear" w:color="auto" w:fill="auto"/>
            <w:vAlign w:val="bottom"/>
          </w:tcPr>
          <w:p w14:paraId="18600111" w14:textId="77777777" w:rsidR="00A91885" w:rsidRDefault="00A91885">
            <w:pPr>
              <w:rPr>
                <w:rFonts w:ascii="宋体"/>
                <w:vanish/>
              </w:rPr>
            </w:pPr>
          </w:p>
        </w:tc>
        <w:tc>
          <w:tcPr>
            <w:tcW w:w="0" w:type="auto"/>
            <w:gridSpan w:val="3"/>
            <w:shd w:val="clear" w:color="auto" w:fill="auto"/>
            <w:vAlign w:val="bottom"/>
          </w:tcPr>
          <w:p w14:paraId="18600112" w14:textId="77777777" w:rsidR="00A91885" w:rsidRDefault="00A91885">
            <w:pPr>
              <w:rPr>
                <w:rFonts w:ascii="宋体"/>
                <w:vanish/>
              </w:rPr>
            </w:pPr>
          </w:p>
        </w:tc>
        <w:tc>
          <w:tcPr>
            <w:tcW w:w="0" w:type="auto"/>
            <w:gridSpan w:val="3"/>
            <w:shd w:val="clear" w:color="auto" w:fill="auto"/>
            <w:vAlign w:val="bottom"/>
          </w:tcPr>
          <w:p w14:paraId="18600113" w14:textId="77777777" w:rsidR="00A91885" w:rsidRDefault="00A91885">
            <w:pPr>
              <w:rPr>
                <w:rFonts w:ascii="宋体"/>
                <w:vanish/>
              </w:rPr>
            </w:pPr>
          </w:p>
        </w:tc>
        <w:tc>
          <w:tcPr>
            <w:tcW w:w="0" w:type="auto"/>
            <w:gridSpan w:val="3"/>
            <w:shd w:val="clear" w:color="auto" w:fill="auto"/>
            <w:vAlign w:val="bottom"/>
          </w:tcPr>
          <w:p w14:paraId="18600114" w14:textId="77777777" w:rsidR="00A91885" w:rsidRDefault="00A91885">
            <w:pPr>
              <w:rPr>
                <w:rFonts w:ascii="宋体"/>
                <w:vanish/>
              </w:rPr>
            </w:pPr>
          </w:p>
        </w:tc>
        <w:tc>
          <w:tcPr>
            <w:tcW w:w="0" w:type="auto"/>
            <w:gridSpan w:val="3"/>
            <w:shd w:val="clear" w:color="auto" w:fill="auto"/>
            <w:vAlign w:val="bottom"/>
          </w:tcPr>
          <w:p w14:paraId="18600115" w14:textId="77777777" w:rsidR="00A91885" w:rsidRDefault="00A91885">
            <w:pPr>
              <w:rPr>
                <w:rFonts w:ascii="宋体"/>
                <w:vanish/>
              </w:rPr>
            </w:pPr>
          </w:p>
        </w:tc>
        <w:tc>
          <w:tcPr>
            <w:tcW w:w="0" w:type="auto"/>
            <w:gridSpan w:val="3"/>
            <w:shd w:val="clear" w:color="auto" w:fill="auto"/>
            <w:vAlign w:val="bottom"/>
          </w:tcPr>
          <w:p w14:paraId="18600116" w14:textId="77777777" w:rsidR="00A91885" w:rsidRDefault="00A91885">
            <w:pPr>
              <w:rPr>
                <w:rFonts w:ascii="宋体"/>
                <w:vanish/>
              </w:rPr>
            </w:pPr>
          </w:p>
        </w:tc>
        <w:tc>
          <w:tcPr>
            <w:tcW w:w="0" w:type="auto"/>
            <w:gridSpan w:val="3"/>
            <w:shd w:val="clear" w:color="auto" w:fill="auto"/>
            <w:vAlign w:val="bottom"/>
          </w:tcPr>
          <w:p w14:paraId="18600117" w14:textId="77777777" w:rsidR="00A91885" w:rsidRDefault="00A91885">
            <w:pPr>
              <w:rPr>
                <w:rFonts w:ascii="宋体"/>
                <w:vanish/>
              </w:rPr>
            </w:pPr>
          </w:p>
        </w:tc>
      </w:tr>
      <w:tr w:rsidR="00A91885" w14:paraId="18600121" w14:textId="77777777">
        <w:trPr>
          <w:hidden/>
        </w:trPr>
        <w:tc>
          <w:tcPr>
            <w:tcW w:w="0" w:type="auto"/>
            <w:gridSpan w:val="3"/>
            <w:shd w:val="clear" w:color="auto" w:fill="auto"/>
            <w:vAlign w:val="bottom"/>
          </w:tcPr>
          <w:p w14:paraId="18600119" w14:textId="77777777" w:rsidR="00A91885" w:rsidRDefault="00A91885">
            <w:pPr>
              <w:rPr>
                <w:rFonts w:ascii="宋体"/>
                <w:vanish/>
              </w:rPr>
            </w:pPr>
          </w:p>
        </w:tc>
        <w:tc>
          <w:tcPr>
            <w:tcW w:w="0" w:type="auto"/>
            <w:gridSpan w:val="3"/>
            <w:shd w:val="clear" w:color="auto" w:fill="auto"/>
            <w:vAlign w:val="bottom"/>
          </w:tcPr>
          <w:p w14:paraId="1860011A" w14:textId="77777777" w:rsidR="00A91885" w:rsidRDefault="00A91885">
            <w:pPr>
              <w:rPr>
                <w:rFonts w:ascii="宋体"/>
                <w:vanish/>
              </w:rPr>
            </w:pPr>
          </w:p>
        </w:tc>
        <w:tc>
          <w:tcPr>
            <w:tcW w:w="0" w:type="auto"/>
            <w:gridSpan w:val="3"/>
            <w:shd w:val="clear" w:color="auto" w:fill="auto"/>
            <w:vAlign w:val="bottom"/>
          </w:tcPr>
          <w:p w14:paraId="1860011B" w14:textId="77777777" w:rsidR="00A91885" w:rsidRDefault="00A91885">
            <w:pPr>
              <w:rPr>
                <w:rFonts w:ascii="宋体"/>
                <w:vanish/>
              </w:rPr>
            </w:pPr>
          </w:p>
        </w:tc>
        <w:tc>
          <w:tcPr>
            <w:tcW w:w="0" w:type="auto"/>
            <w:gridSpan w:val="3"/>
            <w:shd w:val="clear" w:color="auto" w:fill="auto"/>
            <w:vAlign w:val="bottom"/>
          </w:tcPr>
          <w:p w14:paraId="1860011C" w14:textId="77777777" w:rsidR="00A91885" w:rsidRDefault="00A91885">
            <w:pPr>
              <w:rPr>
                <w:rFonts w:ascii="宋体"/>
                <w:vanish/>
              </w:rPr>
            </w:pPr>
          </w:p>
        </w:tc>
        <w:tc>
          <w:tcPr>
            <w:tcW w:w="0" w:type="auto"/>
            <w:gridSpan w:val="3"/>
            <w:shd w:val="clear" w:color="auto" w:fill="auto"/>
            <w:vAlign w:val="bottom"/>
          </w:tcPr>
          <w:p w14:paraId="1860011D" w14:textId="77777777" w:rsidR="00A91885" w:rsidRDefault="00A91885">
            <w:pPr>
              <w:rPr>
                <w:rFonts w:ascii="宋体"/>
                <w:vanish/>
              </w:rPr>
            </w:pPr>
          </w:p>
        </w:tc>
        <w:tc>
          <w:tcPr>
            <w:tcW w:w="0" w:type="auto"/>
            <w:gridSpan w:val="3"/>
            <w:shd w:val="clear" w:color="auto" w:fill="auto"/>
            <w:vAlign w:val="bottom"/>
          </w:tcPr>
          <w:p w14:paraId="1860011E" w14:textId="77777777" w:rsidR="00A91885" w:rsidRDefault="00A91885">
            <w:pPr>
              <w:rPr>
                <w:rFonts w:ascii="宋体"/>
                <w:vanish/>
              </w:rPr>
            </w:pPr>
          </w:p>
        </w:tc>
        <w:tc>
          <w:tcPr>
            <w:tcW w:w="0" w:type="auto"/>
            <w:gridSpan w:val="3"/>
            <w:shd w:val="clear" w:color="auto" w:fill="auto"/>
            <w:vAlign w:val="bottom"/>
          </w:tcPr>
          <w:p w14:paraId="1860011F" w14:textId="77777777" w:rsidR="00A91885" w:rsidRDefault="00A91885">
            <w:pPr>
              <w:rPr>
                <w:rFonts w:ascii="宋体"/>
                <w:vanish/>
              </w:rPr>
            </w:pPr>
          </w:p>
        </w:tc>
        <w:tc>
          <w:tcPr>
            <w:tcW w:w="0" w:type="auto"/>
            <w:gridSpan w:val="3"/>
            <w:shd w:val="clear" w:color="auto" w:fill="auto"/>
            <w:vAlign w:val="bottom"/>
          </w:tcPr>
          <w:p w14:paraId="18600120" w14:textId="77777777" w:rsidR="00A91885" w:rsidRDefault="00A91885">
            <w:pPr>
              <w:rPr>
                <w:rFonts w:ascii="宋体"/>
                <w:vanish/>
              </w:rPr>
            </w:pPr>
          </w:p>
        </w:tc>
      </w:tr>
      <w:tr w:rsidR="00A91885" w14:paraId="1860012A" w14:textId="77777777">
        <w:trPr>
          <w:hidden/>
        </w:trPr>
        <w:tc>
          <w:tcPr>
            <w:tcW w:w="0" w:type="auto"/>
            <w:gridSpan w:val="3"/>
            <w:shd w:val="clear" w:color="auto" w:fill="auto"/>
            <w:vAlign w:val="bottom"/>
          </w:tcPr>
          <w:p w14:paraId="18600122" w14:textId="77777777" w:rsidR="00A91885" w:rsidRDefault="00A91885">
            <w:pPr>
              <w:rPr>
                <w:rFonts w:ascii="宋体"/>
                <w:vanish/>
              </w:rPr>
            </w:pPr>
          </w:p>
        </w:tc>
        <w:tc>
          <w:tcPr>
            <w:tcW w:w="0" w:type="auto"/>
            <w:gridSpan w:val="3"/>
            <w:shd w:val="clear" w:color="auto" w:fill="auto"/>
            <w:vAlign w:val="bottom"/>
          </w:tcPr>
          <w:p w14:paraId="18600123" w14:textId="77777777" w:rsidR="00A91885" w:rsidRDefault="00A91885">
            <w:pPr>
              <w:rPr>
                <w:rFonts w:ascii="宋体"/>
                <w:vanish/>
              </w:rPr>
            </w:pPr>
          </w:p>
        </w:tc>
        <w:tc>
          <w:tcPr>
            <w:tcW w:w="0" w:type="auto"/>
            <w:gridSpan w:val="3"/>
            <w:shd w:val="clear" w:color="auto" w:fill="auto"/>
            <w:vAlign w:val="bottom"/>
          </w:tcPr>
          <w:p w14:paraId="18600124" w14:textId="77777777" w:rsidR="00A91885" w:rsidRDefault="00A91885">
            <w:pPr>
              <w:rPr>
                <w:rFonts w:ascii="宋体"/>
                <w:vanish/>
              </w:rPr>
            </w:pPr>
          </w:p>
        </w:tc>
        <w:tc>
          <w:tcPr>
            <w:tcW w:w="0" w:type="auto"/>
            <w:gridSpan w:val="3"/>
            <w:shd w:val="clear" w:color="auto" w:fill="auto"/>
            <w:vAlign w:val="bottom"/>
          </w:tcPr>
          <w:p w14:paraId="18600125" w14:textId="77777777" w:rsidR="00A91885" w:rsidRDefault="00A91885">
            <w:pPr>
              <w:rPr>
                <w:rFonts w:ascii="宋体"/>
                <w:vanish/>
              </w:rPr>
            </w:pPr>
          </w:p>
        </w:tc>
        <w:tc>
          <w:tcPr>
            <w:tcW w:w="0" w:type="auto"/>
            <w:gridSpan w:val="3"/>
            <w:shd w:val="clear" w:color="auto" w:fill="auto"/>
            <w:vAlign w:val="bottom"/>
          </w:tcPr>
          <w:p w14:paraId="18600126" w14:textId="77777777" w:rsidR="00A91885" w:rsidRDefault="00A91885">
            <w:pPr>
              <w:rPr>
                <w:rFonts w:ascii="宋体"/>
                <w:vanish/>
              </w:rPr>
            </w:pPr>
          </w:p>
        </w:tc>
        <w:tc>
          <w:tcPr>
            <w:tcW w:w="0" w:type="auto"/>
            <w:gridSpan w:val="3"/>
            <w:shd w:val="clear" w:color="auto" w:fill="auto"/>
            <w:vAlign w:val="bottom"/>
          </w:tcPr>
          <w:p w14:paraId="18600127" w14:textId="77777777" w:rsidR="00A91885" w:rsidRDefault="00A91885">
            <w:pPr>
              <w:rPr>
                <w:rFonts w:ascii="宋体"/>
                <w:vanish/>
              </w:rPr>
            </w:pPr>
          </w:p>
        </w:tc>
        <w:tc>
          <w:tcPr>
            <w:tcW w:w="0" w:type="auto"/>
            <w:gridSpan w:val="3"/>
            <w:shd w:val="clear" w:color="auto" w:fill="auto"/>
            <w:vAlign w:val="bottom"/>
          </w:tcPr>
          <w:p w14:paraId="18600128" w14:textId="77777777" w:rsidR="00A91885" w:rsidRDefault="00A91885">
            <w:pPr>
              <w:rPr>
                <w:rFonts w:ascii="宋体"/>
                <w:vanish/>
              </w:rPr>
            </w:pPr>
          </w:p>
        </w:tc>
        <w:tc>
          <w:tcPr>
            <w:tcW w:w="0" w:type="auto"/>
            <w:gridSpan w:val="3"/>
            <w:shd w:val="clear" w:color="auto" w:fill="auto"/>
            <w:vAlign w:val="bottom"/>
          </w:tcPr>
          <w:p w14:paraId="18600129" w14:textId="77777777" w:rsidR="00A91885" w:rsidRDefault="00A91885">
            <w:pPr>
              <w:rPr>
                <w:rFonts w:ascii="宋体"/>
                <w:vanish/>
              </w:rPr>
            </w:pPr>
          </w:p>
        </w:tc>
      </w:tr>
      <w:tr w:rsidR="00A91885" w14:paraId="18600133" w14:textId="77777777">
        <w:trPr>
          <w:hidden/>
        </w:trPr>
        <w:tc>
          <w:tcPr>
            <w:tcW w:w="0" w:type="auto"/>
            <w:gridSpan w:val="3"/>
            <w:shd w:val="clear" w:color="auto" w:fill="auto"/>
            <w:vAlign w:val="bottom"/>
          </w:tcPr>
          <w:p w14:paraId="1860012B" w14:textId="77777777" w:rsidR="00A91885" w:rsidRDefault="00A91885">
            <w:pPr>
              <w:rPr>
                <w:rFonts w:ascii="宋体"/>
                <w:vanish/>
              </w:rPr>
            </w:pPr>
          </w:p>
        </w:tc>
        <w:tc>
          <w:tcPr>
            <w:tcW w:w="0" w:type="auto"/>
            <w:gridSpan w:val="3"/>
            <w:shd w:val="clear" w:color="auto" w:fill="auto"/>
            <w:vAlign w:val="bottom"/>
          </w:tcPr>
          <w:p w14:paraId="1860012C" w14:textId="77777777" w:rsidR="00A91885" w:rsidRDefault="00A91885">
            <w:pPr>
              <w:rPr>
                <w:rFonts w:ascii="宋体"/>
                <w:vanish/>
              </w:rPr>
            </w:pPr>
          </w:p>
        </w:tc>
        <w:tc>
          <w:tcPr>
            <w:tcW w:w="0" w:type="auto"/>
            <w:gridSpan w:val="3"/>
            <w:shd w:val="clear" w:color="auto" w:fill="auto"/>
            <w:vAlign w:val="bottom"/>
          </w:tcPr>
          <w:p w14:paraId="1860012D" w14:textId="77777777" w:rsidR="00A91885" w:rsidRDefault="00A91885">
            <w:pPr>
              <w:rPr>
                <w:rFonts w:ascii="宋体"/>
                <w:vanish/>
              </w:rPr>
            </w:pPr>
          </w:p>
        </w:tc>
        <w:tc>
          <w:tcPr>
            <w:tcW w:w="0" w:type="auto"/>
            <w:gridSpan w:val="3"/>
            <w:shd w:val="clear" w:color="auto" w:fill="auto"/>
            <w:vAlign w:val="bottom"/>
          </w:tcPr>
          <w:p w14:paraId="1860012E" w14:textId="77777777" w:rsidR="00A91885" w:rsidRDefault="00A91885">
            <w:pPr>
              <w:rPr>
                <w:rFonts w:ascii="宋体"/>
                <w:vanish/>
              </w:rPr>
            </w:pPr>
          </w:p>
        </w:tc>
        <w:tc>
          <w:tcPr>
            <w:tcW w:w="0" w:type="auto"/>
            <w:gridSpan w:val="3"/>
            <w:shd w:val="clear" w:color="auto" w:fill="auto"/>
            <w:vAlign w:val="bottom"/>
          </w:tcPr>
          <w:p w14:paraId="1860012F" w14:textId="77777777" w:rsidR="00A91885" w:rsidRDefault="00A91885">
            <w:pPr>
              <w:rPr>
                <w:rFonts w:ascii="宋体"/>
                <w:vanish/>
              </w:rPr>
            </w:pPr>
          </w:p>
        </w:tc>
        <w:tc>
          <w:tcPr>
            <w:tcW w:w="0" w:type="auto"/>
            <w:gridSpan w:val="3"/>
            <w:shd w:val="clear" w:color="auto" w:fill="auto"/>
            <w:vAlign w:val="bottom"/>
          </w:tcPr>
          <w:p w14:paraId="18600130" w14:textId="77777777" w:rsidR="00A91885" w:rsidRDefault="00A91885">
            <w:pPr>
              <w:rPr>
                <w:rFonts w:ascii="宋体"/>
                <w:vanish/>
              </w:rPr>
            </w:pPr>
          </w:p>
        </w:tc>
        <w:tc>
          <w:tcPr>
            <w:tcW w:w="0" w:type="auto"/>
            <w:gridSpan w:val="3"/>
            <w:shd w:val="clear" w:color="auto" w:fill="auto"/>
            <w:vAlign w:val="bottom"/>
          </w:tcPr>
          <w:p w14:paraId="18600131" w14:textId="77777777" w:rsidR="00A91885" w:rsidRDefault="00A91885">
            <w:pPr>
              <w:rPr>
                <w:rFonts w:ascii="宋体"/>
                <w:vanish/>
              </w:rPr>
            </w:pPr>
          </w:p>
        </w:tc>
        <w:tc>
          <w:tcPr>
            <w:tcW w:w="0" w:type="auto"/>
            <w:gridSpan w:val="3"/>
            <w:shd w:val="clear" w:color="auto" w:fill="auto"/>
            <w:vAlign w:val="bottom"/>
          </w:tcPr>
          <w:p w14:paraId="18600132" w14:textId="77777777" w:rsidR="00A91885" w:rsidRDefault="00A91885">
            <w:pPr>
              <w:rPr>
                <w:rFonts w:ascii="宋体"/>
                <w:vanish/>
              </w:rPr>
            </w:pPr>
          </w:p>
        </w:tc>
      </w:tr>
      <w:tr w:rsidR="00A91885" w14:paraId="1860013C" w14:textId="77777777">
        <w:trPr>
          <w:hidden/>
        </w:trPr>
        <w:tc>
          <w:tcPr>
            <w:tcW w:w="0" w:type="auto"/>
            <w:gridSpan w:val="3"/>
            <w:shd w:val="clear" w:color="auto" w:fill="auto"/>
            <w:vAlign w:val="bottom"/>
          </w:tcPr>
          <w:p w14:paraId="18600134" w14:textId="77777777" w:rsidR="00A91885" w:rsidRDefault="00A91885">
            <w:pPr>
              <w:rPr>
                <w:rFonts w:ascii="宋体"/>
                <w:vanish/>
              </w:rPr>
            </w:pPr>
          </w:p>
        </w:tc>
        <w:tc>
          <w:tcPr>
            <w:tcW w:w="0" w:type="auto"/>
            <w:gridSpan w:val="3"/>
            <w:shd w:val="clear" w:color="auto" w:fill="auto"/>
            <w:vAlign w:val="bottom"/>
          </w:tcPr>
          <w:p w14:paraId="18600135" w14:textId="77777777" w:rsidR="00A91885" w:rsidRDefault="00A91885">
            <w:pPr>
              <w:rPr>
                <w:rFonts w:ascii="宋体"/>
                <w:vanish/>
              </w:rPr>
            </w:pPr>
          </w:p>
        </w:tc>
        <w:tc>
          <w:tcPr>
            <w:tcW w:w="0" w:type="auto"/>
            <w:gridSpan w:val="3"/>
            <w:shd w:val="clear" w:color="auto" w:fill="auto"/>
            <w:vAlign w:val="bottom"/>
          </w:tcPr>
          <w:p w14:paraId="18600136" w14:textId="77777777" w:rsidR="00A91885" w:rsidRDefault="00A91885">
            <w:pPr>
              <w:rPr>
                <w:rFonts w:ascii="宋体"/>
                <w:vanish/>
              </w:rPr>
            </w:pPr>
          </w:p>
        </w:tc>
        <w:tc>
          <w:tcPr>
            <w:tcW w:w="0" w:type="auto"/>
            <w:gridSpan w:val="3"/>
            <w:shd w:val="clear" w:color="auto" w:fill="auto"/>
            <w:vAlign w:val="bottom"/>
          </w:tcPr>
          <w:p w14:paraId="18600137" w14:textId="77777777" w:rsidR="00A91885" w:rsidRDefault="00A91885">
            <w:pPr>
              <w:rPr>
                <w:rFonts w:ascii="宋体"/>
                <w:vanish/>
              </w:rPr>
            </w:pPr>
          </w:p>
        </w:tc>
        <w:tc>
          <w:tcPr>
            <w:tcW w:w="0" w:type="auto"/>
            <w:gridSpan w:val="3"/>
            <w:shd w:val="clear" w:color="auto" w:fill="auto"/>
            <w:vAlign w:val="bottom"/>
          </w:tcPr>
          <w:p w14:paraId="18600138" w14:textId="77777777" w:rsidR="00A91885" w:rsidRDefault="00A91885">
            <w:pPr>
              <w:rPr>
                <w:rFonts w:ascii="宋体"/>
                <w:vanish/>
              </w:rPr>
            </w:pPr>
          </w:p>
        </w:tc>
        <w:tc>
          <w:tcPr>
            <w:tcW w:w="0" w:type="auto"/>
            <w:gridSpan w:val="3"/>
            <w:shd w:val="clear" w:color="auto" w:fill="auto"/>
            <w:vAlign w:val="bottom"/>
          </w:tcPr>
          <w:p w14:paraId="18600139" w14:textId="77777777" w:rsidR="00A91885" w:rsidRDefault="00A91885">
            <w:pPr>
              <w:rPr>
                <w:rFonts w:ascii="宋体"/>
                <w:vanish/>
              </w:rPr>
            </w:pPr>
          </w:p>
        </w:tc>
        <w:tc>
          <w:tcPr>
            <w:tcW w:w="0" w:type="auto"/>
            <w:gridSpan w:val="3"/>
            <w:shd w:val="clear" w:color="auto" w:fill="auto"/>
            <w:vAlign w:val="bottom"/>
          </w:tcPr>
          <w:p w14:paraId="1860013A" w14:textId="77777777" w:rsidR="00A91885" w:rsidRDefault="00A91885">
            <w:pPr>
              <w:rPr>
                <w:rFonts w:ascii="宋体"/>
                <w:vanish/>
              </w:rPr>
            </w:pPr>
          </w:p>
        </w:tc>
        <w:tc>
          <w:tcPr>
            <w:tcW w:w="0" w:type="auto"/>
            <w:gridSpan w:val="3"/>
            <w:shd w:val="clear" w:color="auto" w:fill="auto"/>
            <w:vAlign w:val="bottom"/>
          </w:tcPr>
          <w:p w14:paraId="1860013B" w14:textId="77777777" w:rsidR="00A91885" w:rsidRDefault="00A91885">
            <w:pPr>
              <w:rPr>
                <w:rFonts w:ascii="宋体"/>
                <w:vanish/>
              </w:rPr>
            </w:pPr>
          </w:p>
        </w:tc>
      </w:tr>
      <w:tr w:rsidR="00A91885" w14:paraId="18600145" w14:textId="77777777">
        <w:trPr>
          <w:hidden/>
        </w:trPr>
        <w:tc>
          <w:tcPr>
            <w:tcW w:w="0" w:type="auto"/>
            <w:gridSpan w:val="3"/>
            <w:shd w:val="clear" w:color="auto" w:fill="auto"/>
            <w:vAlign w:val="bottom"/>
          </w:tcPr>
          <w:p w14:paraId="1860013D" w14:textId="77777777" w:rsidR="00A91885" w:rsidRDefault="00A91885">
            <w:pPr>
              <w:rPr>
                <w:rFonts w:ascii="宋体"/>
                <w:vanish/>
              </w:rPr>
            </w:pPr>
          </w:p>
        </w:tc>
        <w:tc>
          <w:tcPr>
            <w:tcW w:w="0" w:type="auto"/>
            <w:gridSpan w:val="3"/>
            <w:shd w:val="clear" w:color="auto" w:fill="auto"/>
            <w:vAlign w:val="bottom"/>
          </w:tcPr>
          <w:p w14:paraId="1860013E" w14:textId="77777777" w:rsidR="00A91885" w:rsidRDefault="00A91885">
            <w:pPr>
              <w:rPr>
                <w:rFonts w:ascii="宋体"/>
                <w:vanish/>
              </w:rPr>
            </w:pPr>
          </w:p>
        </w:tc>
        <w:tc>
          <w:tcPr>
            <w:tcW w:w="0" w:type="auto"/>
            <w:gridSpan w:val="3"/>
            <w:shd w:val="clear" w:color="auto" w:fill="auto"/>
            <w:vAlign w:val="bottom"/>
          </w:tcPr>
          <w:p w14:paraId="1860013F" w14:textId="77777777" w:rsidR="00A91885" w:rsidRDefault="00A91885">
            <w:pPr>
              <w:rPr>
                <w:rFonts w:ascii="宋体"/>
                <w:vanish/>
              </w:rPr>
            </w:pPr>
          </w:p>
        </w:tc>
        <w:tc>
          <w:tcPr>
            <w:tcW w:w="0" w:type="auto"/>
            <w:gridSpan w:val="3"/>
            <w:shd w:val="clear" w:color="auto" w:fill="auto"/>
            <w:vAlign w:val="bottom"/>
          </w:tcPr>
          <w:p w14:paraId="18600140" w14:textId="77777777" w:rsidR="00A91885" w:rsidRDefault="00A91885">
            <w:pPr>
              <w:rPr>
                <w:rFonts w:ascii="宋体"/>
                <w:vanish/>
              </w:rPr>
            </w:pPr>
          </w:p>
        </w:tc>
        <w:tc>
          <w:tcPr>
            <w:tcW w:w="0" w:type="auto"/>
            <w:gridSpan w:val="3"/>
            <w:shd w:val="clear" w:color="auto" w:fill="auto"/>
            <w:vAlign w:val="bottom"/>
          </w:tcPr>
          <w:p w14:paraId="18600141" w14:textId="77777777" w:rsidR="00A91885" w:rsidRDefault="00A91885">
            <w:pPr>
              <w:rPr>
                <w:rFonts w:ascii="宋体"/>
                <w:vanish/>
              </w:rPr>
            </w:pPr>
          </w:p>
        </w:tc>
        <w:tc>
          <w:tcPr>
            <w:tcW w:w="0" w:type="auto"/>
            <w:gridSpan w:val="3"/>
            <w:shd w:val="clear" w:color="auto" w:fill="auto"/>
            <w:vAlign w:val="bottom"/>
          </w:tcPr>
          <w:p w14:paraId="18600142" w14:textId="77777777" w:rsidR="00A91885" w:rsidRDefault="00A91885">
            <w:pPr>
              <w:rPr>
                <w:rFonts w:ascii="宋体"/>
                <w:vanish/>
              </w:rPr>
            </w:pPr>
          </w:p>
        </w:tc>
        <w:tc>
          <w:tcPr>
            <w:tcW w:w="0" w:type="auto"/>
            <w:gridSpan w:val="3"/>
            <w:shd w:val="clear" w:color="auto" w:fill="auto"/>
            <w:vAlign w:val="bottom"/>
          </w:tcPr>
          <w:p w14:paraId="18600143" w14:textId="77777777" w:rsidR="00A91885" w:rsidRDefault="00A91885">
            <w:pPr>
              <w:rPr>
                <w:rFonts w:ascii="宋体"/>
                <w:vanish/>
              </w:rPr>
            </w:pPr>
          </w:p>
        </w:tc>
        <w:tc>
          <w:tcPr>
            <w:tcW w:w="0" w:type="auto"/>
            <w:gridSpan w:val="3"/>
            <w:shd w:val="clear" w:color="auto" w:fill="auto"/>
            <w:vAlign w:val="bottom"/>
          </w:tcPr>
          <w:p w14:paraId="18600144" w14:textId="77777777" w:rsidR="00A91885" w:rsidRDefault="00A91885">
            <w:pPr>
              <w:rPr>
                <w:rFonts w:ascii="宋体"/>
                <w:vanish/>
              </w:rPr>
            </w:pPr>
          </w:p>
        </w:tc>
      </w:tr>
    </w:tbl>
    <w:p w14:paraId="18600146" w14:textId="77777777" w:rsidR="00A91885" w:rsidRDefault="00A91885">
      <w:pPr>
        <w:spacing w:after="120"/>
        <w:ind w:firstLine="540"/>
        <w:jc w:val="both"/>
      </w:pPr>
    </w:p>
    <w:p w14:paraId="18600147" w14:textId="77777777" w:rsidR="00A91885" w:rsidRDefault="009C4196">
      <w:pPr>
        <w:spacing w:after="120"/>
        <w:ind w:firstLine="540"/>
        <w:jc w:val="both"/>
      </w:pPr>
      <w:r>
        <w:rPr>
          <w:rFonts w:ascii="Arial" w:eastAsia="宋体" w:hAnsi="Arial" w:cs="Arial"/>
          <w:color w:val="000000"/>
          <w:sz w:val="20"/>
          <w:szCs w:val="20"/>
        </w:rPr>
        <w:t>The following table summarizes the allocation of net revenues based on geography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429"/>
        <w:gridCol w:w="37"/>
        <w:gridCol w:w="121"/>
        <w:gridCol w:w="719"/>
        <w:gridCol w:w="36"/>
        <w:gridCol w:w="36"/>
        <w:gridCol w:w="36"/>
        <w:gridCol w:w="36"/>
        <w:gridCol w:w="121"/>
        <w:gridCol w:w="720"/>
        <w:gridCol w:w="36"/>
        <w:gridCol w:w="36"/>
        <w:gridCol w:w="36"/>
        <w:gridCol w:w="36"/>
        <w:gridCol w:w="121"/>
        <w:gridCol w:w="720"/>
        <w:gridCol w:w="36"/>
        <w:gridCol w:w="36"/>
        <w:gridCol w:w="36"/>
        <w:gridCol w:w="36"/>
        <w:gridCol w:w="121"/>
        <w:gridCol w:w="720"/>
        <w:gridCol w:w="36"/>
      </w:tblGrid>
      <w:tr w:rsidR="00A91885" w14:paraId="18600160" w14:textId="77777777">
        <w:tc>
          <w:tcPr>
            <w:tcW w:w="50" w:type="pct"/>
            <w:shd w:val="clear" w:color="auto" w:fill="auto"/>
            <w:vAlign w:val="bottom"/>
          </w:tcPr>
          <w:p w14:paraId="18600148" w14:textId="77777777" w:rsidR="00A91885" w:rsidRDefault="00A91885">
            <w:pPr>
              <w:rPr>
                <w:rFonts w:ascii="宋体"/>
              </w:rPr>
            </w:pPr>
          </w:p>
        </w:tc>
        <w:tc>
          <w:tcPr>
            <w:tcW w:w="2722" w:type="pct"/>
            <w:shd w:val="clear" w:color="auto" w:fill="auto"/>
            <w:vAlign w:val="bottom"/>
          </w:tcPr>
          <w:p w14:paraId="18600149" w14:textId="77777777" w:rsidR="00A91885" w:rsidRDefault="00A91885">
            <w:pPr>
              <w:rPr>
                <w:rFonts w:ascii="宋体"/>
              </w:rPr>
            </w:pPr>
          </w:p>
        </w:tc>
        <w:tc>
          <w:tcPr>
            <w:tcW w:w="5" w:type="pct"/>
            <w:shd w:val="clear" w:color="auto" w:fill="auto"/>
            <w:vAlign w:val="bottom"/>
          </w:tcPr>
          <w:p w14:paraId="1860014A" w14:textId="77777777" w:rsidR="00A91885" w:rsidRDefault="00A91885">
            <w:pPr>
              <w:rPr>
                <w:rFonts w:ascii="宋体"/>
              </w:rPr>
            </w:pPr>
          </w:p>
        </w:tc>
        <w:tc>
          <w:tcPr>
            <w:tcW w:w="50" w:type="pct"/>
            <w:shd w:val="clear" w:color="auto" w:fill="auto"/>
            <w:vAlign w:val="bottom"/>
          </w:tcPr>
          <w:p w14:paraId="1860014B" w14:textId="77777777" w:rsidR="00A91885" w:rsidRDefault="00A91885">
            <w:pPr>
              <w:rPr>
                <w:rFonts w:ascii="宋体"/>
              </w:rPr>
            </w:pPr>
          </w:p>
        </w:tc>
        <w:tc>
          <w:tcPr>
            <w:tcW w:w="478" w:type="pct"/>
            <w:shd w:val="clear" w:color="auto" w:fill="auto"/>
            <w:vAlign w:val="bottom"/>
          </w:tcPr>
          <w:p w14:paraId="1860014C" w14:textId="77777777" w:rsidR="00A91885" w:rsidRDefault="00A91885">
            <w:pPr>
              <w:rPr>
                <w:rFonts w:ascii="宋体"/>
              </w:rPr>
            </w:pPr>
          </w:p>
        </w:tc>
        <w:tc>
          <w:tcPr>
            <w:tcW w:w="5" w:type="pct"/>
            <w:shd w:val="clear" w:color="auto" w:fill="auto"/>
            <w:vAlign w:val="bottom"/>
          </w:tcPr>
          <w:p w14:paraId="1860014D" w14:textId="77777777" w:rsidR="00A91885" w:rsidRDefault="00A91885">
            <w:pPr>
              <w:rPr>
                <w:rFonts w:ascii="宋体"/>
              </w:rPr>
            </w:pPr>
          </w:p>
        </w:tc>
        <w:tc>
          <w:tcPr>
            <w:tcW w:w="5" w:type="pct"/>
            <w:shd w:val="clear" w:color="auto" w:fill="auto"/>
            <w:vAlign w:val="bottom"/>
          </w:tcPr>
          <w:p w14:paraId="1860014E" w14:textId="77777777" w:rsidR="00A91885" w:rsidRDefault="00A91885">
            <w:pPr>
              <w:rPr>
                <w:rFonts w:ascii="宋体"/>
              </w:rPr>
            </w:pPr>
          </w:p>
        </w:tc>
        <w:tc>
          <w:tcPr>
            <w:tcW w:w="19" w:type="pct"/>
            <w:shd w:val="clear" w:color="auto" w:fill="auto"/>
            <w:vAlign w:val="bottom"/>
          </w:tcPr>
          <w:p w14:paraId="1860014F" w14:textId="77777777" w:rsidR="00A91885" w:rsidRDefault="00A91885">
            <w:pPr>
              <w:rPr>
                <w:rFonts w:ascii="宋体"/>
              </w:rPr>
            </w:pPr>
          </w:p>
        </w:tc>
        <w:tc>
          <w:tcPr>
            <w:tcW w:w="5" w:type="pct"/>
            <w:shd w:val="clear" w:color="auto" w:fill="auto"/>
            <w:vAlign w:val="bottom"/>
          </w:tcPr>
          <w:p w14:paraId="18600150" w14:textId="77777777" w:rsidR="00A91885" w:rsidRDefault="00A91885">
            <w:pPr>
              <w:rPr>
                <w:rFonts w:ascii="宋体"/>
              </w:rPr>
            </w:pPr>
          </w:p>
        </w:tc>
        <w:tc>
          <w:tcPr>
            <w:tcW w:w="50" w:type="pct"/>
            <w:shd w:val="clear" w:color="auto" w:fill="auto"/>
            <w:vAlign w:val="bottom"/>
          </w:tcPr>
          <w:p w14:paraId="18600151" w14:textId="77777777" w:rsidR="00A91885" w:rsidRDefault="00A91885">
            <w:pPr>
              <w:rPr>
                <w:rFonts w:ascii="宋体"/>
              </w:rPr>
            </w:pPr>
          </w:p>
        </w:tc>
        <w:tc>
          <w:tcPr>
            <w:tcW w:w="478" w:type="pct"/>
            <w:shd w:val="clear" w:color="auto" w:fill="auto"/>
            <w:vAlign w:val="bottom"/>
          </w:tcPr>
          <w:p w14:paraId="18600152" w14:textId="77777777" w:rsidR="00A91885" w:rsidRDefault="00A91885">
            <w:pPr>
              <w:rPr>
                <w:rFonts w:ascii="宋体"/>
              </w:rPr>
            </w:pPr>
          </w:p>
        </w:tc>
        <w:tc>
          <w:tcPr>
            <w:tcW w:w="5" w:type="pct"/>
            <w:shd w:val="clear" w:color="auto" w:fill="auto"/>
            <w:vAlign w:val="bottom"/>
          </w:tcPr>
          <w:p w14:paraId="18600153" w14:textId="77777777" w:rsidR="00A91885" w:rsidRDefault="00A91885">
            <w:pPr>
              <w:rPr>
                <w:rFonts w:ascii="宋体"/>
              </w:rPr>
            </w:pPr>
          </w:p>
        </w:tc>
        <w:tc>
          <w:tcPr>
            <w:tcW w:w="5" w:type="pct"/>
            <w:shd w:val="clear" w:color="auto" w:fill="auto"/>
            <w:vAlign w:val="bottom"/>
          </w:tcPr>
          <w:p w14:paraId="18600154" w14:textId="77777777" w:rsidR="00A91885" w:rsidRDefault="00A91885">
            <w:pPr>
              <w:rPr>
                <w:rFonts w:ascii="宋体"/>
              </w:rPr>
            </w:pPr>
          </w:p>
        </w:tc>
        <w:tc>
          <w:tcPr>
            <w:tcW w:w="19" w:type="pct"/>
            <w:shd w:val="clear" w:color="auto" w:fill="auto"/>
            <w:vAlign w:val="bottom"/>
          </w:tcPr>
          <w:p w14:paraId="18600155" w14:textId="77777777" w:rsidR="00A91885" w:rsidRDefault="00A91885">
            <w:pPr>
              <w:rPr>
                <w:rFonts w:ascii="宋体"/>
              </w:rPr>
            </w:pPr>
          </w:p>
        </w:tc>
        <w:tc>
          <w:tcPr>
            <w:tcW w:w="5" w:type="pct"/>
            <w:shd w:val="clear" w:color="auto" w:fill="auto"/>
            <w:vAlign w:val="bottom"/>
          </w:tcPr>
          <w:p w14:paraId="18600156" w14:textId="77777777" w:rsidR="00A91885" w:rsidRDefault="00A91885">
            <w:pPr>
              <w:rPr>
                <w:rFonts w:ascii="宋体"/>
              </w:rPr>
            </w:pPr>
          </w:p>
        </w:tc>
        <w:tc>
          <w:tcPr>
            <w:tcW w:w="50" w:type="pct"/>
            <w:shd w:val="clear" w:color="auto" w:fill="auto"/>
            <w:vAlign w:val="bottom"/>
          </w:tcPr>
          <w:p w14:paraId="18600157" w14:textId="77777777" w:rsidR="00A91885" w:rsidRDefault="00A91885">
            <w:pPr>
              <w:rPr>
                <w:rFonts w:ascii="宋体"/>
              </w:rPr>
            </w:pPr>
          </w:p>
        </w:tc>
        <w:tc>
          <w:tcPr>
            <w:tcW w:w="478" w:type="pct"/>
            <w:shd w:val="clear" w:color="auto" w:fill="auto"/>
            <w:vAlign w:val="bottom"/>
          </w:tcPr>
          <w:p w14:paraId="18600158" w14:textId="77777777" w:rsidR="00A91885" w:rsidRDefault="00A91885">
            <w:pPr>
              <w:rPr>
                <w:rFonts w:ascii="宋体"/>
              </w:rPr>
            </w:pPr>
          </w:p>
        </w:tc>
        <w:tc>
          <w:tcPr>
            <w:tcW w:w="5" w:type="pct"/>
            <w:shd w:val="clear" w:color="auto" w:fill="auto"/>
            <w:vAlign w:val="bottom"/>
          </w:tcPr>
          <w:p w14:paraId="18600159" w14:textId="77777777" w:rsidR="00A91885" w:rsidRDefault="00A91885">
            <w:pPr>
              <w:rPr>
                <w:rFonts w:ascii="宋体"/>
              </w:rPr>
            </w:pPr>
          </w:p>
        </w:tc>
        <w:tc>
          <w:tcPr>
            <w:tcW w:w="5" w:type="pct"/>
            <w:shd w:val="clear" w:color="auto" w:fill="auto"/>
            <w:vAlign w:val="bottom"/>
          </w:tcPr>
          <w:p w14:paraId="1860015A" w14:textId="77777777" w:rsidR="00A91885" w:rsidRDefault="00A91885">
            <w:pPr>
              <w:rPr>
                <w:rFonts w:ascii="宋体"/>
              </w:rPr>
            </w:pPr>
          </w:p>
        </w:tc>
        <w:tc>
          <w:tcPr>
            <w:tcW w:w="19" w:type="pct"/>
            <w:shd w:val="clear" w:color="auto" w:fill="auto"/>
            <w:vAlign w:val="bottom"/>
          </w:tcPr>
          <w:p w14:paraId="1860015B" w14:textId="77777777" w:rsidR="00A91885" w:rsidRDefault="00A91885">
            <w:pPr>
              <w:rPr>
                <w:rFonts w:ascii="宋体"/>
              </w:rPr>
            </w:pPr>
          </w:p>
        </w:tc>
        <w:tc>
          <w:tcPr>
            <w:tcW w:w="5" w:type="pct"/>
            <w:shd w:val="clear" w:color="auto" w:fill="auto"/>
            <w:vAlign w:val="bottom"/>
          </w:tcPr>
          <w:p w14:paraId="1860015C" w14:textId="77777777" w:rsidR="00A91885" w:rsidRDefault="00A91885">
            <w:pPr>
              <w:rPr>
                <w:rFonts w:ascii="宋体"/>
              </w:rPr>
            </w:pPr>
          </w:p>
        </w:tc>
        <w:tc>
          <w:tcPr>
            <w:tcW w:w="50" w:type="pct"/>
            <w:shd w:val="clear" w:color="auto" w:fill="auto"/>
            <w:vAlign w:val="bottom"/>
          </w:tcPr>
          <w:p w14:paraId="1860015D" w14:textId="77777777" w:rsidR="00A91885" w:rsidRDefault="00A91885">
            <w:pPr>
              <w:rPr>
                <w:rFonts w:ascii="宋体"/>
              </w:rPr>
            </w:pPr>
          </w:p>
        </w:tc>
        <w:tc>
          <w:tcPr>
            <w:tcW w:w="478" w:type="pct"/>
            <w:shd w:val="clear" w:color="auto" w:fill="auto"/>
            <w:vAlign w:val="bottom"/>
          </w:tcPr>
          <w:p w14:paraId="1860015E" w14:textId="77777777" w:rsidR="00A91885" w:rsidRDefault="00A91885">
            <w:pPr>
              <w:rPr>
                <w:rFonts w:ascii="宋体"/>
              </w:rPr>
            </w:pPr>
          </w:p>
        </w:tc>
        <w:tc>
          <w:tcPr>
            <w:tcW w:w="5" w:type="pct"/>
            <w:shd w:val="clear" w:color="auto" w:fill="auto"/>
            <w:vAlign w:val="bottom"/>
          </w:tcPr>
          <w:p w14:paraId="1860015F" w14:textId="77777777" w:rsidR="00A91885" w:rsidRDefault="00A91885">
            <w:pPr>
              <w:rPr>
                <w:rFonts w:ascii="宋体"/>
              </w:rPr>
            </w:pPr>
          </w:p>
        </w:tc>
      </w:tr>
      <w:tr w:rsidR="00A91885" w14:paraId="18600165" w14:textId="77777777">
        <w:tc>
          <w:tcPr>
            <w:tcW w:w="0" w:type="auto"/>
            <w:gridSpan w:val="3"/>
            <w:shd w:val="clear" w:color="auto" w:fill="auto"/>
            <w:tcMar>
              <w:top w:w="40" w:type="dxa"/>
              <w:left w:w="20" w:type="dxa"/>
              <w:bottom w:w="40" w:type="dxa"/>
              <w:right w:w="20" w:type="dxa"/>
            </w:tcMar>
            <w:vAlign w:val="bottom"/>
          </w:tcPr>
          <w:p w14:paraId="18600161" w14:textId="77777777" w:rsidR="00A91885" w:rsidRDefault="009C4196">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18600162"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0163"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0164"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60016E" w14:textId="77777777">
        <w:tc>
          <w:tcPr>
            <w:tcW w:w="0" w:type="auto"/>
            <w:gridSpan w:val="3"/>
            <w:shd w:val="clear" w:color="auto" w:fill="auto"/>
            <w:tcMar>
              <w:top w:w="40" w:type="dxa"/>
              <w:left w:w="20" w:type="dxa"/>
              <w:bottom w:w="40" w:type="dxa"/>
              <w:right w:w="20" w:type="dxa"/>
            </w:tcMar>
            <w:vAlign w:val="bottom"/>
          </w:tcPr>
          <w:p w14:paraId="18600166" w14:textId="77777777" w:rsidR="00A91885" w:rsidRDefault="009C4196">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167"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168"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169"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016A"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16B"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16C"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16D"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60017F" w14:textId="77777777">
        <w:tc>
          <w:tcPr>
            <w:tcW w:w="0" w:type="auto"/>
            <w:gridSpan w:val="3"/>
            <w:shd w:val="clear" w:color="auto" w:fill="E2E2E2"/>
            <w:tcMar>
              <w:top w:w="40" w:type="dxa"/>
              <w:left w:w="20" w:type="dxa"/>
              <w:bottom w:w="40" w:type="dxa"/>
              <w:right w:w="20" w:type="dxa"/>
            </w:tcMar>
            <w:vAlign w:val="bottom"/>
          </w:tcPr>
          <w:p w14:paraId="1860016F" w14:textId="77777777" w:rsidR="00A91885" w:rsidRDefault="009C4196">
            <w:pPr>
              <w:textAlignment w:val="bottom"/>
            </w:pPr>
            <w:r>
              <w:rPr>
                <w:rFonts w:ascii="Arial" w:eastAsia="宋体" w:hAnsi="Arial" w:cs="Arial"/>
                <w:color w:val="000000"/>
                <w:sz w:val="18"/>
                <w:szCs w:val="18"/>
              </w:rPr>
              <w:t>U.S.</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017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171" w14:textId="77777777" w:rsidR="00A91885" w:rsidRDefault="009C4196">
            <w:pPr>
              <w:jc w:val="right"/>
              <w:textAlignment w:val="bottom"/>
            </w:pPr>
            <w:r>
              <w:rPr>
                <w:rFonts w:ascii="Arial" w:eastAsia="宋体" w:hAnsi="Arial" w:cs="Arial"/>
                <w:color w:val="000000"/>
                <w:sz w:val="18"/>
                <w:szCs w:val="18"/>
              </w:rPr>
              <w:t>1,199 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17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173"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17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175" w14:textId="77777777" w:rsidR="00A91885" w:rsidRDefault="009C4196">
            <w:pPr>
              <w:jc w:val="right"/>
              <w:textAlignment w:val="bottom"/>
            </w:pPr>
            <w:r>
              <w:rPr>
                <w:rFonts w:ascii="Arial" w:eastAsia="宋体" w:hAnsi="Arial" w:cs="Arial"/>
                <w:color w:val="000000"/>
                <w:sz w:val="18"/>
                <w:szCs w:val="18"/>
              </w:rPr>
              <w:t>1,304 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17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177"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17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179" w14:textId="77777777" w:rsidR="00A91885" w:rsidRDefault="009C4196">
            <w:pPr>
              <w:jc w:val="right"/>
              <w:textAlignment w:val="bottom"/>
            </w:pPr>
            <w:r>
              <w:rPr>
                <w:rFonts w:ascii="Arial" w:eastAsia="宋体" w:hAnsi="Arial" w:cs="Arial"/>
                <w:color w:val="000000"/>
                <w:sz w:val="18"/>
                <w:szCs w:val="18"/>
              </w:rPr>
              <w:t>2,425 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17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17B"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17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17D" w14:textId="77777777" w:rsidR="00A91885" w:rsidRDefault="009C4196">
            <w:pPr>
              <w:jc w:val="right"/>
              <w:textAlignment w:val="bottom"/>
            </w:pPr>
            <w:r>
              <w:rPr>
                <w:rFonts w:ascii="Arial" w:eastAsia="宋体" w:hAnsi="Arial" w:cs="Arial"/>
                <w:color w:val="000000"/>
                <w:sz w:val="18"/>
                <w:szCs w:val="18"/>
              </w:rPr>
              <w:t>2,600 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17E" w14:textId="77777777" w:rsidR="00A91885" w:rsidRDefault="00A91885">
            <w:pPr>
              <w:jc w:val="right"/>
              <w:rPr>
                <w:rFonts w:ascii="宋体"/>
              </w:rPr>
            </w:pPr>
          </w:p>
        </w:tc>
      </w:tr>
      <w:tr w:rsidR="00A91885" w14:paraId="18600188" w14:textId="77777777">
        <w:trPr>
          <w:hidden/>
        </w:trPr>
        <w:tc>
          <w:tcPr>
            <w:tcW w:w="0" w:type="auto"/>
            <w:gridSpan w:val="3"/>
            <w:shd w:val="clear" w:color="auto" w:fill="auto"/>
            <w:vAlign w:val="bottom"/>
          </w:tcPr>
          <w:p w14:paraId="18600180" w14:textId="77777777" w:rsidR="00A91885" w:rsidRDefault="00A91885">
            <w:pPr>
              <w:rPr>
                <w:rFonts w:ascii="宋体"/>
                <w:vanish/>
              </w:rPr>
            </w:pPr>
          </w:p>
        </w:tc>
        <w:tc>
          <w:tcPr>
            <w:tcW w:w="0" w:type="auto"/>
            <w:gridSpan w:val="3"/>
            <w:shd w:val="clear" w:color="auto" w:fill="auto"/>
            <w:vAlign w:val="bottom"/>
          </w:tcPr>
          <w:p w14:paraId="18600181" w14:textId="77777777" w:rsidR="00A91885" w:rsidRDefault="00A91885">
            <w:pPr>
              <w:rPr>
                <w:rFonts w:ascii="宋体"/>
                <w:vanish/>
              </w:rPr>
            </w:pPr>
          </w:p>
        </w:tc>
        <w:tc>
          <w:tcPr>
            <w:tcW w:w="0" w:type="auto"/>
            <w:gridSpan w:val="3"/>
            <w:shd w:val="clear" w:color="auto" w:fill="auto"/>
            <w:vAlign w:val="bottom"/>
          </w:tcPr>
          <w:p w14:paraId="18600182" w14:textId="77777777" w:rsidR="00A91885" w:rsidRDefault="00A91885">
            <w:pPr>
              <w:rPr>
                <w:rFonts w:ascii="宋体"/>
                <w:vanish/>
              </w:rPr>
            </w:pPr>
          </w:p>
        </w:tc>
        <w:tc>
          <w:tcPr>
            <w:tcW w:w="0" w:type="auto"/>
            <w:gridSpan w:val="3"/>
            <w:shd w:val="clear" w:color="auto" w:fill="auto"/>
            <w:vAlign w:val="bottom"/>
          </w:tcPr>
          <w:p w14:paraId="18600183" w14:textId="77777777" w:rsidR="00A91885" w:rsidRDefault="00A91885">
            <w:pPr>
              <w:rPr>
                <w:rFonts w:ascii="宋体"/>
                <w:vanish/>
              </w:rPr>
            </w:pPr>
          </w:p>
        </w:tc>
        <w:tc>
          <w:tcPr>
            <w:tcW w:w="0" w:type="auto"/>
            <w:gridSpan w:val="3"/>
            <w:shd w:val="clear" w:color="auto" w:fill="auto"/>
            <w:vAlign w:val="bottom"/>
          </w:tcPr>
          <w:p w14:paraId="18600184" w14:textId="77777777" w:rsidR="00A91885" w:rsidRDefault="00A91885">
            <w:pPr>
              <w:rPr>
                <w:rFonts w:ascii="宋体"/>
                <w:vanish/>
              </w:rPr>
            </w:pPr>
          </w:p>
        </w:tc>
        <w:tc>
          <w:tcPr>
            <w:tcW w:w="0" w:type="auto"/>
            <w:gridSpan w:val="3"/>
            <w:shd w:val="clear" w:color="auto" w:fill="auto"/>
            <w:vAlign w:val="bottom"/>
          </w:tcPr>
          <w:p w14:paraId="18600185" w14:textId="77777777" w:rsidR="00A91885" w:rsidRDefault="00A91885">
            <w:pPr>
              <w:rPr>
                <w:rFonts w:ascii="宋体"/>
                <w:vanish/>
              </w:rPr>
            </w:pPr>
          </w:p>
        </w:tc>
        <w:tc>
          <w:tcPr>
            <w:tcW w:w="0" w:type="auto"/>
            <w:gridSpan w:val="3"/>
            <w:shd w:val="clear" w:color="auto" w:fill="auto"/>
            <w:vAlign w:val="bottom"/>
          </w:tcPr>
          <w:p w14:paraId="18600186" w14:textId="77777777" w:rsidR="00A91885" w:rsidRDefault="00A91885">
            <w:pPr>
              <w:rPr>
                <w:rFonts w:ascii="宋体"/>
                <w:vanish/>
              </w:rPr>
            </w:pPr>
          </w:p>
        </w:tc>
        <w:tc>
          <w:tcPr>
            <w:tcW w:w="0" w:type="auto"/>
            <w:gridSpan w:val="3"/>
            <w:shd w:val="clear" w:color="auto" w:fill="auto"/>
            <w:vAlign w:val="bottom"/>
          </w:tcPr>
          <w:p w14:paraId="18600187" w14:textId="77777777" w:rsidR="00A91885" w:rsidRDefault="00A91885">
            <w:pPr>
              <w:rPr>
                <w:rFonts w:ascii="宋体"/>
                <w:vanish/>
              </w:rPr>
            </w:pPr>
          </w:p>
        </w:tc>
      </w:tr>
      <w:tr w:rsidR="00A91885" w14:paraId="18600195" w14:textId="77777777">
        <w:tc>
          <w:tcPr>
            <w:tcW w:w="0" w:type="auto"/>
            <w:gridSpan w:val="3"/>
            <w:shd w:val="clear" w:color="auto" w:fill="FFFFFF"/>
            <w:tcMar>
              <w:top w:w="40" w:type="dxa"/>
              <w:left w:w="20" w:type="dxa"/>
              <w:bottom w:w="40" w:type="dxa"/>
              <w:right w:w="20" w:type="dxa"/>
            </w:tcMar>
            <w:vAlign w:val="bottom"/>
          </w:tcPr>
          <w:p w14:paraId="18600189" w14:textId="77777777" w:rsidR="00A91885" w:rsidRDefault="009C4196">
            <w:pPr>
              <w:textAlignment w:val="bottom"/>
            </w:pPr>
            <w:r>
              <w:rPr>
                <w:rFonts w:ascii="Arial" w:eastAsia="宋体" w:hAnsi="Arial" w:cs="Arial"/>
                <w:color w:val="000000"/>
                <w:sz w:val="18"/>
                <w:szCs w:val="18"/>
              </w:rPr>
              <w:t>United Kingdom</w:t>
            </w:r>
          </w:p>
        </w:tc>
        <w:tc>
          <w:tcPr>
            <w:tcW w:w="0" w:type="auto"/>
            <w:gridSpan w:val="2"/>
            <w:shd w:val="clear" w:color="auto" w:fill="FFFFFF"/>
            <w:tcMar>
              <w:top w:w="40" w:type="dxa"/>
              <w:left w:w="20" w:type="dxa"/>
              <w:bottom w:w="40" w:type="dxa"/>
              <w:right w:w="0" w:type="dxa"/>
            </w:tcMar>
            <w:vAlign w:val="bottom"/>
          </w:tcPr>
          <w:p w14:paraId="1860018A" w14:textId="77777777" w:rsidR="00A91885" w:rsidRDefault="009C4196">
            <w:pPr>
              <w:jc w:val="right"/>
              <w:textAlignment w:val="bottom"/>
            </w:pPr>
            <w:r>
              <w:rPr>
                <w:rFonts w:ascii="Arial" w:eastAsia="宋体" w:hAnsi="Arial" w:cs="Arial"/>
                <w:color w:val="000000"/>
                <w:sz w:val="18"/>
                <w:szCs w:val="18"/>
              </w:rPr>
              <w:t>410 </w:t>
            </w:r>
          </w:p>
        </w:tc>
        <w:tc>
          <w:tcPr>
            <w:tcW w:w="0" w:type="auto"/>
            <w:shd w:val="clear" w:color="auto" w:fill="FFFFFF"/>
            <w:tcMar>
              <w:top w:w="40" w:type="dxa"/>
              <w:left w:w="0" w:type="dxa"/>
              <w:bottom w:w="40" w:type="dxa"/>
              <w:right w:w="20" w:type="dxa"/>
            </w:tcMar>
            <w:vAlign w:val="bottom"/>
          </w:tcPr>
          <w:p w14:paraId="1860018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18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18D" w14:textId="77777777" w:rsidR="00A91885" w:rsidRDefault="009C4196">
            <w:pPr>
              <w:jc w:val="right"/>
              <w:textAlignment w:val="bottom"/>
            </w:pPr>
            <w:r>
              <w:rPr>
                <w:rFonts w:ascii="Arial" w:eastAsia="宋体" w:hAnsi="Arial" w:cs="Arial"/>
                <w:color w:val="000000"/>
                <w:sz w:val="18"/>
                <w:szCs w:val="18"/>
              </w:rPr>
              <w:t>498 </w:t>
            </w:r>
          </w:p>
        </w:tc>
        <w:tc>
          <w:tcPr>
            <w:tcW w:w="0" w:type="auto"/>
            <w:shd w:val="clear" w:color="auto" w:fill="FFFFFF"/>
            <w:tcMar>
              <w:top w:w="40" w:type="dxa"/>
              <w:left w:w="0" w:type="dxa"/>
              <w:bottom w:w="40" w:type="dxa"/>
              <w:right w:w="20" w:type="dxa"/>
            </w:tcMar>
            <w:vAlign w:val="bottom"/>
          </w:tcPr>
          <w:p w14:paraId="1860018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18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190" w14:textId="77777777" w:rsidR="00A91885" w:rsidRDefault="009C4196">
            <w:pPr>
              <w:jc w:val="right"/>
              <w:textAlignment w:val="bottom"/>
            </w:pPr>
            <w:r>
              <w:rPr>
                <w:rFonts w:ascii="Arial" w:eastAsia="宋体" w:hAnsi="Arial" w:cs="Arial"/>
                <w:color w:val="000000"/>
                <w:sz w:val="18"/>
                <w:szCs w:val="18"/>
              </w:rPr>
              <w:t>828 </w:t>
            </w:r>
          </w:p>
        </w:tc>
        <w:tc>
          <w:tcPr>
            <w:tcW w:w="0" w:type="auto"/>
            <w:shd w:val="clear" w:color="auto" w:fill="FFFFFF"/>
            <w:tcMar>
              <w:top w:w="40" w:type="dxa"/>
              <w:left w:w="0" w:type="dxa"/>
              <w:bottom w:w="40" w:type="dxa"/>
              <w:right w:w="20" w:type="dxa"/>
            </w:tcMar>
            <w:vAlign w:val="bottom"/>
          </w:tcPr>
          <w:p w14:paraId="1860019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19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193" w14:textId="77777777" w:rsidR="00A91885" w:rsidRDefault="009C4196">
            <w:pPr>
              <w:jc w:val="right"/>
              <w:textAlignment w:val="bottom"/>
            </w:pPr>
            <w:r>
              <w:rPr>
                <w:rFonts w:ascii="Arial" w:eastAsia="宋体" w:hAnsi="Arial" w:cs="Arial"/>
                <w:color w:val="000000"/>
                <w:sz w:val="18"/>
                <w:szCs w:val="18"/>
              </w:rPr>
              <w:t>1,001 </w:t>
            </w:r>
          </w:p>
        </w:tc>
        <w:tc>
          <w:tcPr>
            <w:tcW w:w="0" w:type="auto"/>
            <w:shd w:val="clear" w:color="auto" w:fill="FFFFFF"/>
            <w:tcMar>
              <w:top w:w="40" w:type="dxa"/>
              <w:left w:w="0" w:type="dxa"/>
              <w:bottom w:w="40" w:type="dxa"/>
              <w:right w:w="20" w:type="dxa"/>
            </w:tcMar>
            <w:vAlign w:val="bottom"/>
          </w:tcPr>
          <w:p w14:paraId="18600194" w14:textId="77777777" w:rsidR="00A91885" w:rsidRDefault="00A91885">
            <w:pPr>
              <w:jc w:val="right"/>
              <w:rPr>
                <w:rFonts w:ascii="宋体"/>
              </w:rPr>
            </w:pPr>
          </w:p>
        </w:tc>
      </w:tr>
      <w:tr w:rsidR="00A91885" w14:paraId="1860019E" w14:textId="77777777">
        <w:trPr>
          <w:hidden/>
        </w:trPr>
        <w:tc>
          <w:tcPr>
            <w:tcW w:w="0" w:type="auto"/>
            <w:gridSpan w:val="3"/>
            <w:shd w:val="clear" w:color="auto" w:fill="auto"/>
            <w:vAlign w:val="bottom"/>
          </w:tcPr>
          <w:p w14:paraId="18600196" w14:textId="77777777" w:rsidR="00A91885" w:rsidRDefault="00A91885">
            <w:pPr>
              <w:rPr>
                <w:rFonts w:ascii="宋体"/>
                <w:vanish/>
              </w:rPr>
            </w:pPr>
          </w:p>
        </w:tc>
        <w:tc>
          <w:tcPr>
            <w:tcW w:w="0" w:type="auto"/>
            <w:gridSpan w:val="3"/>
            <w:shd w:val="clear" w:color="auto" w:fill="auto"/>
            <w:vAlign w:val="bottom"/>
          </w:tcPr>
          <w:p w14:paraId="18600197" w14:textId="77777777" w:rsidR="00A91885" w:rsidRDefault="00A91885">
            <w:pPr>
              <w:rPr>
                <w:rFonts w:ascii="宋体"/>
                <w:vanish/>
              </w:rPr>
            </w:pPr>
          </w:p>
        </w:tc>
        <w:tc>
          <w:tcPr>
            <w:tcW w:w="0" w:type="auto"/>
            <w:gridSpan w:val="3"/>
            <w:shd w:val="clear" w:color="auto" w:fill="auto"/>
            <w:vAlign w:val="bottom"/>
          </w:tcPr>
          <w:p w14:paraId="18600198" w14:textId="77777777" w:rsidR="00A91885" w:rsidRDefault="00A91885">
            <w:pPr>
              <w:rPr>
                <w:rFonts w:ascii="宋体"/>
                <w:vanish/>
              </w:rPr>
            </w:pPr>
          </w:p>
        </w:tc>
        <w:tc>
          <w:tcPr>
            <w:tcW w:w="0" w:type="auto"/>
            <w:gridSpan w:val="3"/>
            <w:shd w:val="clear" w:color="auto" w:fill="auto"/>
            <w:vAlign w:val="bottom"/>
          </w:tcPr>
          <w:p w14:paraId="18600199" w14:textId="77777777" w:rsidR="00A91885" w:rsidRDefault="00A91885">
            <w:pPr>
              <w:rPr>
                <w:rFonts w:ascii="宋体"/>
                <w:vanish/>
              </w:rPr>
            </w:pPr>
          </w:p>
        </w:tc>
        <w:tc>
          <w:tcPr>
            <w:tcW w:w="0" w:type="auto"/>
            <w:gridSpan w:val="3"/>
            <w:shd w:val="clear" w:color="auto" w:fill="auto"/>
            <w:vAlign w:val="bottom"/>
          </w:tcPr>
          <w:p w14:paraId="1860019A" w14:textId="77777777" w:rsidR="00A91885" w:rsidRDefault="00A91885">
            <w:pPr>
              <w:rPr>
                <w:rFonts w:ascii="宋体"/>
                <w:vanish/>
              </w:rPr>
            </w:pPr>
          </w:p>
        </w:tc>
        <w:tc>
          <w:tcPr>
            <w:tcW w:w="0" w:type="auto"/>
            <w:gridSpan w:val="3"/>
            <w:shd w:val="clear" w:color="auto" w:fill="auto"/>
            <w:vAlign w:val="bottom"/>
          </w:tcPr>
          <w:p w14:paraId="1860019B" w14:textId="77777777" w:rsidR="00A91885" w:rsidRDefault="00A91885">
            <w:pPr>
              <w:rPr>
                <w:rFonts w:ascii="宋体"/>
                <w:vanish/>
              </w:rPr>
            </w:pPr>
          </w:p>
        </w:tc>
        <w:tc>
          <w:tcPr>
            <w:tcW w:w="0" w:type="auto"/>
            <w:gridSpan w:val="3"/>
            <w:shd w:val="clear" w:color="auto" w:fill="auto"/>
            <w:vAlign w:val="bottom"/>
          </w:tcPr>
          <w:p w14:paraId="1860019C" w14:textId="77777777" w:rsidR="00A91885" w:rsidRDefault="00A91885">
            <w:pPr>
              <w:rPr>
                <w:rFonts w:ascii="宋体"/>
                <w:vanish/>
              </w:rPr>
            </w:pPr>
          </w:p>
        </w:tc>
        <w:tc>
          <w:tcPr>
            <w:tcW w:w="0" w:type="auto"/>
            <w:gridSpan w:val="3"/>
            <w:shd w:val="clear" w:color="auto" w:fill="auto"/>
            <w:vAlign w:val="bottom"/>
          </w:tcPr>
          <w:p w14:paraId="1860019D" w14:textId="77777777" w:rsidR="00A91885" w:rsidRDefault="00A91885">
            <w:pPr>
              <w:rPr>
                <w:rFonts w:ascii="宋体"/>
                <w:vanish/>
              </w:rPr>
            </w:pPr>
          </w:p>
        </w:tc>
      </w:tr>
      <w:tr w:rsidR="00A91885" w14:paraId="186001AB" w14:textId="77777777">
        <w:tc>
          <w:tcPr>
            <w:tcW w:w="0" w:type="auto"/>
            <w:gridSpan w:val="3"/>
            <w:shd w:val="clear" w:color="auto" w:fill="E2E2E2"/>
            <w:tcMar>
              <w:top w:w="40" w:type="dxa"/>
              <w:left w:w="20" w:type="dxa"/>
              <w:bottom w:w="40" w:type="dxa"/>
              <w:right w:w="20" w:type="dxa"/>
            </w:tcMar>
            <w:vAlign w:val="bottom"/>
          </w:tcPr>
          <w:p w14:paraId="1860019F" w14:textId="77777777" w:rsidR="00A91885" w:rsidRDefault="009C4196">
            <w:pPr>
              <w:textAlignment w:val="bottom"/>
            </w:pPr>
            <w:r>
              <w:rPr>
                <w:rFonts w:ascii="Arial" w:eastAsia="宋体" w:hAnsi="Arial" w:cs="Arial"/>
                <w:color w:val="000000"/>
                <w:sz w:val="18"/>
                <w:szCs w:val="18"/>
              </w:rPr>
              <w:t>Germany</w:t>
            </w:r>
          </w:p>
        </w:tc>
        <w:tc>
          <w:tcPr>
            <w:tcW w:w="0" w:type="auto"/>
            <w:gridSpan w:val="2"/>
            <w:shd w:val="clear" w:color="auto" w:fill="E2E2E2"/>
            <w:tcMar>
              <w:top w:w="40" w:type="dxa"/>
              <w:left w:w="20" w:type="dxa"/>
              <w:bottom w:w="40" w:type="dxa"/>
              <w:right w:w="0" w:type="dxa"/>
            </w:tcMar>
            <w:vAlign w:val="bottom"/>
          </w:tcPr>
          <w:p w14:paraId="186001A0" w14:textId="77777777" w:rsidR="00A91885" w:rsidRDefault="009C4196">
            <w:pPr>
              <w:jc w:val="right"/>
              <w:textAlignment w:val="bottom"/>
            </w:pPr>
            <w:r>
              <w:rPr>
                <w:rFonts w:ascii="Arial" w:eastAsia="宋体" w:hAnsi="Arial" w:cs="Arial"/>
                <w:color w:val="000000"/>
                <w:sz w:val="18"/>
                <w:szCs w:val="18"/>
              </w:rPr>
              <w:t>259 </w:t>
            </w:r>
          </w:p>
        </w:tc>
        <w:tc>
          <w:tcPr>
            <w:tcW w:w="0" w:type="auto"/>
            <w:shd w:val="clear" w:color="auto" w:fill="E2E2E2"/>
            <w:tcMar>
              <w:top w:w="40" w:type="dxa"/>
              <w:left w:w="0" w:type="dxa"/>
              <w:bottom w:w="40" w:type="dxa"/>
              <w:right w:w="20" w:type="dxa"/>
            </w:tcMar>
            <w:vAlign w:val="bottom"/>
          </w:tcPr>
          <w:p w14:paraId="186001A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1A2"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1A3" w14:textId="77777777" w:rsidR="00A91885" w:rsidRDefault="009C4196">
            <w:pPr>
              <w:jc w:val="right"/>
              <w:textAlignment w:val="bottom"/>
            </w:pPr>
            <w:r>
              <w:rPr>
                <w:rFonts w:ascii="Arial" w:eastAsia="宋体" w:hAnsi="Arial" w:cs="Arial"/>
                <w:color w:val="000000"/>
                <w:sz w:val="18"/>
                <w:szCs w:val="18"/>
              </w:rPr>
              <w:t>337 </w:t>
            </w:r>
          </w:p>
        </w:tc>
        <w:tc>
          <w:tcPr>
            <w:tcW w:w="0" w:type="auto"/>
            <w:shd w:val="clear" w:color="auto" w:fill="E2E2E2"/>
            <w:tcMar>
              <w:top w:w="40" w:type="dxa"/>
              <w:left w:w="0" w:type="dxa"/>
              <w:bottom w:w="40" w:type="dxa"/>
              <w:right w:w="20" w:type="dxa"/>
            </w:tcMar>
            <w:vAlign w:val="bottom"/>
          </w:tcPr>
          <w:p w14:paraId="186001A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1A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1A6" w14:textId="77777777" w:rsidR="00A91885" w:rsidRDefault="009C4196">
            <w:pPr>
              <w:jc w:val="right"/>
              <w:textAlignment w:val="bottom"/>
            </w:pPr>
            <w:r>
              <w:rPr>
                <w:rFonts w:ascii="Arial" w:eastAsia="宋体" w:hAnsi="Arial" w:cs="Arial"/>
                <w:color w:val="000000"/>
                <w:sz w:val="18"/>
                <w:szCs w:val="18"/>
              </w:rPr>
              <w:t>532 </w:t>
            </w:r>
          </w:p>
        </w:tc>
        <w:tc>
          <w:tcPr>
            <w:tcW w:w="0" w:type="auto"/>
            <w:shd w:val="clear" w:color="auto" w:fill="E2E2E2"/>
            <w:tcMar>
              <w:top w:w="40" w:type="dxa"/>
              <w:left w:w="0" w:type="dxa"/>
              <w:bottom w:w="40" w:type="dxa"/>
              <w:right w:w="20" w:type="dxa"/>
            </w:tcMar>
            <w:vAlign w:val="bottom"/>
          </w:tcPr>
          <w:p w14:paraId="186001A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1A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1A9" w14:textId="77777777" w:rsidR="00A91885" w:rsidRDefault="009C4196">
            <w:pPr>
              <w:jc w:val="right"/>
              <w:textAlignment w:val="bottom"/>
            </w:pPr>
            <w:r>
              <w:rPr>
                <w:rFonts w:ascii="Arial" w:eastAsia="宋体" w:hAnsi="Arial" w:cs="Arial"/>
                <w:color w:val="000000"/>
                <w:sz w:val="18"/>
                <w:szCs w:val="18"/>
              </w:rPr>
              <w:t>681 </w:t>
            </w:r>
          </w:p>
        </w:tc>
        <w:tc>
          <w:tcPr>
            <w:tcW w:w="0" w:type="auto"/>
            <w:shd w:val="clear" w:color="auto" w:fill="E2E2E2"/>
            <w:tcMar>
              <w:top w:w="40" w:type="dxa"/>
              <w:left w:w="0" w:type="dxa"/>
              <w:bottom w:w="40" w:type="dxa"/>
              <w:right w:w="20" w:type="dxa"/>
            </w:tcMar>
            <w:vAlign w:val="bottom"/>
          </w:tcPr>
          <w:p w14:paraId="186001AA" w14:textId="77777777" w:rsidR="00A91885" w:rsidRDefault="00A91885">
            <w:pPr>
              <w:jc w:val="right"/>
              <w:rPr>
                <w:rFonts w:ascii="宋体"/>
              </w:rPr>
            </w:pPr>
          </w:p>
        </w:tc>
      </w:tr>
      <w:tr w:rsidR="00A91885" w14:paraId="186001B8" w14:textId="77777777">
        <w:tc>
          <w:tcPr>
            <w:tcW w:w="0" w:type="auto"/>
            <w:gridSpan w:val="3"/>
            <w:shd w:val="clear" w:color="auto" w:fill="FFFFFF"/>
            <w:tcMar>
              <w:top w:w="40" w:type="dxa"/>
              <w:left w:w="20" w:type="dxa"/>
              <w:bottom w:w="40" w:type="dxa"/>
              <w:right w:w="20" w:type="dxa"/>
            </w:tcMar>
            <w:vAlign w:val="bottom"/>
          </w:tcPr>
          <w:p w14:paraId="186001AC" w14:textId="77777777" w:rsidR="00A91885" w:rsidRDefault="009C4196">
            <w:pPr>
              <w:textAlignment w:val="bottom"/>
            </w:pPr>
            <w:r>
              <w:rPr>
                <w:rFonts w:ascii="Arial" w:eastAsia="宋体" w:hAnsi="Arial" w:cs="Arial"/>
                <w:color w:val="000000"/>
                <w:sz w:val="18"/>
                <w:szCs w:val="18"/>
              </w:rPr>
              <w:t>Rest of world</w:t>
            </w:r>
          </w:p>
        </w:tc>
        <w:tc>
          <w:tcPr>
            <w:tcW w:w="0" w:type="auto"/>
            <w:gridSpan w:val="2"/>
            <w:shd w:val="clear" w:color="auto" w:fill="FFFFFF"/>
            <w:tcMar>
              <w:top w:w="40" w:type="dxa"/>
              <w:left w:w="20" w:type="dxa"/>
              <w:bottom w:w="40" w:type="dxa"/>
              <w:right w:w="0" w:type="dxa"/>
            </w:tcMar>
            <w:vAlign w:val="bottom"/>
          </w:tcPr>
          <w:p w14:paraId="186001AD" w14:textId="77777777" w:rsidR="00A91885" w:rsidRDefault="009C4196">
            <w:pPr>
              <w:jc w:val="right"/>
              <w:textAlignment w:val="bottom"/>
            </w:pPr>
            <w:r>
              <w:rPr>
                <w:rFonts w:ascii="Arial" w:eastAsia="宋体" w:hAnsi="Arial" w:cs="Arial"/>
                <w:color w:val="000000"/>
                <w:sz w:val="18"/>
                <w:szCs w:val="18"/>
              </w:rPr>
              <w:t>554 </w:t>
            </w:r>
          </w:p>
        </w:tc>
        <w:tc>
          <w:tcPr>
            <w:tcW w:w="0" w:type="auto"/>
            <w:shd w:val="clear" w:color="auto" w:fill="FFFFFF"/>
            <w:tcMar>
              <w:top w:w="40" w:type="dxa"/>
              <w:left w:w="0" w:type="dxa"/>
              <w:bottom w:w="40" w:type="dxa"/>
              <w:right w:w="20" w:type="dxa"/>
            </w:tcMar>
            <w:vAlign w:val="bottom"/>
          </w:tcPr>
          <w:p w14:paraId="186001A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1A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1B0" w14:textId="77777777" w:rsidR="00A91885" w:rsidRDefault="009C4196">
            <w:pPr>
              <w:jc w:val="right"/>
              <w:textAlignment w:val="bottom"/>
            </w:pPr>
            <w:r>
              <w:rPr>
                <w:rFonts w:ascii="Arial" w:eastAsia="宋体" w:hAnsi="Arial" w:cs="Arial"/>
                <w:color w:val="000000"/>
                <w:sz w:val="18"/>
                <w:szCs w:val="18"/>
              </w:rPr>
              <w:t>529 </w:t>
            </w:r>
          </w:p>
        </w:tc>
        <w:tc>
          <w:tcPr>
            <w:tcW w:w="0" w:type="auto"/>
            <w:shd w:val="clear" w:color="auto" w:fill="FFFFFF"/>
            <w:tcMar>
              <w:top w:w="40" w:type="dxa"/>
              <w:left w:w="0" w:type="dxa"/>
              <w:bottom w:w="40" w:type="dxa"/>
              <w:right w:w="20" w:type="dxa"/>
            </w:tcMar>
            <w:vAlign w:val="bottom"/>
          </w:tcPr>
          <w:p w14:paraId="186001B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1B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1B3" w14:textId="77777777" w:rsidR="00A91885" w:rsidRDefault="009C4196">
            <w:pPr>
              <w:jc w:val="right"/>
              <w:textAlignment w:val="bottom"/>
            </w:pPr>
            <w:r>
              <w:rPr>
                <w:rFonts w:ascii="Arial" w:eastAsia="宋体" w:hAnsi="Arial" w:cs="Arial"/>
                <w:color w:val="000000"/>
                <w:sz w:val="18"/>
                <w:szCs w:val="18"/>
              </w:rPr>
              <w:t>1,120 </w:t>
            </w:r>
          </w:p>
        </w:tc>
        <w:tc>
          <w:tcPr>
            <w:tcW w:w="0" w:type="auto"/>
            <w:shd w:val="clear" w:color="auto" w:fill="FFFFFF"/>
            <w:tcMar>
              <w:top w:w="40" w:type="dxa"/>
              <w:left w:w="0" w:type="dxa"/>
              <w:bottom w:w="40" w:type="dxa"/>
              <w:right w:w="20" w:type="dxa"/>
            </w:tcMar>
            <w:vAlign w:val="bottom"/>
          </w:tcPr>
          <w:p w14:paraId="186001B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1B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1B6" w14:textId="77777777" w:rsidR="00A91885" w:rsidRDefault="009C4196">
            <w:pPr>
              <w:jc w:val="right"/>
              <w:textAlignment w:val="bottom"/>
            </w:pPr>
            <w:r>
              <w:rPr>
                <w:rFonts w:ascii="Arial" w:eastAsia="宋体" w:hAnsi="Arial" w:cs="Arial"/>
                <w:color w:val="000000"/>
                <w:sz w:val="18"/>
                <w:szCs w:val="18"/>
              </w:rPr>
              <w:t>1,024 </w:t>
            </w:r>
          </w:p>
        </w:tc>
        <w:tc>
          <w:tcPr>
            <w:tcW w:w="0" w:type="auto"/>
            <w:shd w:val="clear" w:color="auto" w:fill="FFFFFF"/>
            <w:tcMar>
              <w:top w:w="40" w:type="dxa"/>
              <w:left w:w="0" w:type="dxa"/>
              <w:bottom w:w="40" w:type="dxa"/>
              <w:right w:w="20" w:type="dxa"/>
            </w:tcMar>
            <w:vAlign w:val="bottom"/>
          </w:tcPr>
          <w:p w14:paraId="186001B7" w14:textId="77777777" w:rsidR="00A91885" w:rsidRDefault="00A91885">
            <w:pPr>
              <w:jc w:val="right"/>
              <w:rPr>
                <w:rFonts w:ascii="宋体"/>
              </w:rPr>
            </w:pPr>
          </w:p>
        </w:tc>
      </w:tr>
      <w:tr w:rsidR="00A91885" w14:paraId="186001C9" w14:textId="77777777">
        <w:tc>
          <w:tcPr>
            <w:tcW w:w="0" w:type="auto"/>
            <w:gridSpan w:val="3"/>
            <w:shd w:val="clear" w:color="auto" w:fill="E2E2E2"/>
            <w:tcMar>
              <w:top w:w="40" w:type="dxa"/>
              <w:left w:w="245" w:type="dxa"/>
              <w:bottom w:w="40" w:type="dxa"/>
              <w:right w:w="20" w:type="dxa"/>
            </w:tcMar>
            <w:vAlign w:val="bottom"/>
          </w:tcPr>
          <w:p w14:paraId="186001B9" w14:textId="77777777" w:rsidR="00A91885" w:rsidRDefault="009C4196">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1B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1BB" w14:textId="77777777" w:rsidR="00A91885" w:rsidRDefault="009C4196">
            <w:pPr>
              <w:jc w:val="right"/>
              <w:textAlignment w:val="bottom"/>
            </w:pPr>
            <w:r>
              <w:rPr>
                <w:rFonts w:ascii="Arial" w:eastAsia="宋体" w:hAnsi="Arial" w:cs="Arial"/>
                <w:color w:val="000000"/>
                <w:sz w:val="18"/>
                <w:szCs w:val="18"/>
              </w:rPr>
              <w:t>2,422 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1B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1BD"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1B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1BF" w14:textId="77777777" w:rsidR="00A91885" w:rsidRDefault="009C4196">
            <w:pPr>
              <w:jc w:val="right"/>
              <w:textAlignment w:val="bottom"/>
            </w:pPr>
            <w:r>
              <w:rPr>
                <w:rFonts w:ascii="Arial" w:eastAsia="宋体" w:hAnsi="Arial" w:cs="Arial"/>
                <w:color w:val="000000"/>
                <w:sz w:val="18"/>
                <w:szCs w:val="18"/>
              </w:rPr>
              <w:t>2,668 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1C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1C1"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1C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1C3" w14:textId="77777777" w:rsidR="00A91885" w:rsidRDefault="009C4196">
            <w:pPr>
              <w:jc w:val="right"/>
              <w:textAlignment w:val="bottom"/>
            </w:pPr>
            <w:r>
              <w:rPr>
                <w:rFonts w:ascii="Arial" w:eastAsia="宋体" w:hAnsi="Arial" w:cs="Arial"/>
                <w:color w:val="000000"/>
                <w:sz w:val="18"/>
                <w:szCs w:val="18"/>
              </w:rPr>
              <w:t>4,905 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1C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1C5"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1C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1C7" w14:textId="77777777" w:rsidR="00A91885" w:rsidRDefault="009C4196">
            <w:pPr>
              <w:jc w:val="right"/>
              <w:textAlignment w:val="bottom"/>
            </w:pPr>
            <w:r>
              <w:rPr>
                <w:rFonts w:ascii="Arial" w:eastAsia="宋体" w:hAnsi="Arial" w:cs="Arial"/>
                <w:color w:val="000000"/>
                <w:sz w:val="18"/>
                <w:szCs w:val="18"/>
              </w:rPr>
              <w:t>5,306 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1C8" w14:textId="77777777" w:rsidR="00A91885" w:rsidRDefault="00A91885">
            <w:pPr>
              <w:jc w:val="right"/>
              <w:rPr>
                <w:rFonts w:ascii="宋体"/>
              </w:rPr>
            </w:pPr>
          </w:p>
        </w:tc>
      </w:tr>
    </w:tbl>
    <w:p w14:paraId="186001CA" w14:textId="77777777" w:rsidR="00A91885" w:rsidRDefault="00A91885">
      <w:pPr>
        <w:ind w:firstLine="540"/>
        <w:jc w:val="both"/>
      </w:pPr>
    </w:p>
    <w:p w14:paraId="186001CB" w14:textId="77777777" w:rsidR="00A91885" w:rsidRDefault="009C4196">
      <w:pPr>
        <w:ind w:firstLine="540"/>
        <w:jc w:val="both"/>
      </w:pPr>
      <w:r>
        <w:rPr>
          <w:rFonts w:ascii="Arial" w:eastAsia="宋体" w:hAnsi="Arial" w:cs="Arial"/>
          <w:color w:val="000000"/>
          <w:sz w:val="20"/>
          <w:szCs w:val="20"/>
        </w:rPr>
        <w:t>Net revenues, inclusive of the effects of foreign exchange during each period, are attributed to U.S. and international geographies primarily based upon the country in which the seller, platform that displays advertising, other service provider or customer</w:t>
      </w:r>
      <w:r>
        <w:rPr>
          <w:rFonts w:ascii="Arial" w:eastAsia="宋体" w:hAnsi="Arial" w:cs="Arial"/>
          <w:color w:val="000000"/>
          <w:sz w:val="20"/>
          <w:szCs w:val="20"/>
        </w:rPr>
        <w:t xml:space="preserve">, as the case may be, is located. </w:t>
      </w:r>
    </w:p>
    <w:p w14:paraId="186001CC" w14:textId="77777777" w:rsidR="00A91885" w:rsidRDefault="00A91885">
      <w:pPr>
        <w:ind w:firstLine="540"/>
        <w:jc w:val="both"/>
      </w:pPr>
    </w:p>
    <w:p w14:paraId="186001CD" w14:textId="77777777" w:rsidR="00A91885" w:rsidRDefault="00A91885">
      <w:pPr>
        <w:jc w:val="center"/>
      </w:pPr>
    </w:p>
    <w:p w14:paraId="186001CE" w14:textId="77777777" w:rsidR="00A91885" w:rsidRDefault="009C4196">
      <w:pPr>
        <w:jc w:val="center"/>
      </w:pPr>
      <w:r>
        <w:rPr>
          <w:rFonts w:ascii="Arial" w:eastAsia="宋体" w:hAnsi="Arial" w:cs="Arial"/>
          <w:color w:val="000000"/>
          <w:sz w:val="20"/>
          <w:szCs w:val="20"/>
        </w:rPr>
        <w:t>17</w:t>
      </w:r>
    </w:p>
    <w:p w14:paraId="186001CF" w14:textId="77777777" w:rsidR="00A91885" w:rsidRDefault="009C4196">
      <w:r>
        <w:pict w14:anchorId="18602194">
          <v:rect id="_x0000_i1041" style="width:415.3pt;height:1.5pt" o:hralign="center" o:hrstd="t" o:hr="t" fillcolor="#a0a0a0" stroked="f"/>
        </w:pict>
      </w:r>
    </w:p>
    <w:p w14:paraId="186001D0" w14:textId="77777777" w:rsidR="00A91885" w:rsidRDefault="009C4196">
      <w:hyperlink r:id="rId101" w:anchor="ieb971428a625452486c65ae24899afca_7" w:history="1">
        <w:r>
          <w:rPr>
            <w:rStyle w:val="a5"/>
            <w:rFonts w:ascii="Arial" w:eastAsia="宋体" w:hAnsi="Arial" w:cs="Arial"/>
            <w:sz w:val="18"/>
            <w:szCs w:val="18"/>
          </w:rPr>
          <w:t>Table of Contents</w:t>
        </w:r>
      </w:hyperlink>
    </w:p>
    <w:p w14:paraId="186001D1" w14:textId="77777777" w:rsidR="00A91885" w:rsidRDefault="009C4196">
      <w:pPr>
        <w:jc w:val="center"/>
      </w:pPr>
      <w:r>
        <w:rPr>
          <w:rFonts w:ascii="Arial" w:eastAsia="宋体" w:hAnsi="Arial" w:cs="Arial"/>
          <w:b/>
          <w:bCs/>
          <w:color w:val="000000"/>
          <w:sz w:val="20"/>
          <w:szCs w:val="20"/>
        </w:rPr>
        <w:t>eBay Inc.</w:t>
      </w:r>
    </w:p>
    <w:p w14:paraId="186001D2" w14:textId="77777777" w:rsidR="00A91885" w:rsidRDefault="009C4196">
      <w:pPr>
        <w:spacing w:before="80"/>
        <w:jc w:val="center"/>
      </w:pPr>
      <w:r>
        <w:rPr>
          <w:rFonts w:ascii="Arial" w:eastAsia="宋体" w:hAnsi="Arial" w:cs="Arial"/>
          <w:b/>
          <w:bCs/>
          <w:color w:val="000000"/>
          <w:sz w:val="20"/>
          <w:szCs w:val="20"/>
        </w:rPr>
        <w:t xml:space="preserve">NOTES TO CONDENSED </w:t>
      </w:r>
      <w:r>
        <w:rPr>
          <w:rFonts w:ascii="Arial" w:eastAsia="宋体" w:hAnsi="Arial" w:cs="Arial"/>
          <w:b/>
          <w:bCs/>
          <w:color w:val="000000"/>
          <w:sz w:val="20"/>
          <w:szCs w:val="20"/>
        </w:rPr>
        <w:t>CONSOLIDATED FINANCIAL STATEMENTS—(Continued)</w:t>
      </w:r>
    </w:p>
    <w:p w14:paraId="186001D3" w14:textId="77777777" w:rsidR="00A91885" w:rsidRDefault="009C4196">
      <w:r>
        <w:rPr>
          <w:rFonts w:ascii="Arial" w:eastAsia="宋体" w:hAnsi="Arial" w:cs="Arial"/>
          <w:b/>
          <w:bCs/>
          <w:color w:val="000000"/>
          <w:sz w:val="20"/>
          <w:szCs w:val="20"/>
        </w:rPr>
        <w:t>Note 6 — Investments</w:t>
      </w:r>
    </w:p>
    <w:p w14:paraId="186001D4" w14:textId="77777777" w:rsidR="00A91885" w:rsidRDefault="00A91885"/>
    <w:p w14:paraId="186001D5" w14:textId="77777777" w:rsidR="00A91885" w:rsidRDefault="009C4196">
      <w:pPr>
        <w:spacing w:after="120"/>
        <w:ind w:firstLine="540"/>
      </w:pPr>
      <w:r>
        <w:rPr>
          <w:rFonts w:ascii="Arial" w:eastAsia="宋体" w:hAnsi="Arial" w:cs="Arial"/>
          <w:color w:val="000000"/>
          <w:sz w:val="20"/>
          <w:szCs w:val="20"/>
        </w:rPr>
        <w:t>The following tables summarize the unrealized gains and losses and estimated fair value of our investments classified as available-for-sale debt securities and restricted cash as of the da</w:t>
      </w:r>
      <w:r>
        <w:rPr>
          <w:rFonts w:ascii="Arial" w:eastAsia="宋体" w:hAnsi="Arial" w:cs="Arial"/>
          <w:color w:val="000000"/>
          <w:sz w:val="20"/>
          <w:szCs w:val="20"/>
        </w:rPr>
        <w:t>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709"/>
        <w:gridCol w:w="37"/>
        <w:gridCol w:w="122"/>
        <w:gridCol w:w="870"/>
        <w:gridCol w:w="36"/>
        <w:gridCol w:w="37"/>
        <w:gridCol w:w="92"/>
        <w:gridCol w:w="36"/>
        <w:gridCol w:w="122"/>
        <w:gridCol w:w="870"/>
        <w:gridCol w:w="36"/>
        <w:gridCol w:w="37"/>
        <w:gridCol w:w="92"/>
        <w:gridCol w:w="36"/>
        <w:gridCol w:w="122"/>
        <w:gridCol w:w="870"/>
        <w:gridCol w:w="36"/>
        <w:gridCol w:w="36"/>
        <w:gridCol w:w="36"/>
        <w:gridCol w:w="36"/>
        <w:gridCol w:w="122"/>
        <w:gridCol w:w="872"/>
        <w:gridCol w:w="36"/>
      </w:tblGrid>
      <w:tr w:rsidR="00A91885" w14:paraId="186001EE" w14:textId="77777777">
        <w:tc>
          <w:tcPr>
            <w:tcW w:w="50" w:type="pct"/>
            <w:shd w:val="clear" w:color="auto" w:fill="auto"/>
            <w:vAlign w:val="bottom"/>
          </w:tcPr>
          <w:p w14:paraId="186001D6" w14:textId="77777777" w:rsidR="00A91885" w:rsidRDefault="00A91885">
            <w:pPr>
              <w:rPr>
                <w:rFonts w:ascii="宋体"/>
              </w:rPr>
            </w:pPr>
          </w:p>
        </w:tc>
        <w:tc>
          <w:tcPr>
            <w:tcW w:w="2313" w:type="pct"/>
            <w:shd w:val="clear" w:color="auto" w:fill="auto"/>
            <w:vAlign w:val="bottom"/>
          </w:tcPr>
          <w:p w14:paraId="186001D7" w14:textId="77777777" w:rsidR="00A91885" w:rsidRDefault="00A91885">
            <w:pPr>
              <w:rPr>
                <w:rFonts w:ascii="宋体"/>
              </w:rPr>
            </w:pPr>
          </w:p>
        </w:tc>
        <w:tc>
          <w:tcPr>
            <w:tcW w:w="5" w:type="pct"/>
            <w:shd w:val="clear" w:color="auto" w:fill="auto"/>
            <w:vAlign w:val="bottom"/>
          </w:tcPr>
          <w:p w14:paraId="186001D8" w14:textId="77777777" w:rsidR="00A91885" w:rsidRDefault="00A91885">
            <w:pPr>
              <w:rPr>
                <w:rFonts w:ascii="宋体"/>
              </w:rPr>
            </w:pPr>
          </w:p>
        </w:tc>
        <w:tc>
          <w:tcPr>
            <w:tcW w:w="50" w:type="pct"/>
            <w:shd w:val="clear" w:color="auto" w:fill="auto"/>
            <w:vAlign w:val="bottom"/>
          </w:tcPr>
          <w:p w14:paraId="186001D9" w14:textId="77777777" w:rsidR="00A91885" w:rsidRDefault="00A91885">
            <w:pPr>
              <w:rPr>
                <w:rFonts w:ascii="宋体"/>
              </w:rPr>
            </w:pPr>
          </w:p>
        </w:tc>
        <w:tc>
          <w:tcPr>
            <w:tcW w:w="580" w:type="pct"/>
            <w:shd w:val="clear" w:color="auto" w:fill="auto"/>
            <w:vAlign w:val="bottom"/>
          </w:tcPr>
          <w:p w14:paraId="186001DA" w14:textId="77777777" w:rsidR="00A91885" w:rsidRDefault="00A91885">
            <w:pPr>
              <w:rPr>
                <w:rFonts w:ascii="宋体"/>
              </w:rPr>
            </w:pPr>
          </w:p>
        </w:tc>
        <w:tc>
          <w:tcPr>
            <w:tcW w:w="5" w:type="pct"/>
            <w:shd w:val="clear" w:color="auto" w:fill="auto"/>
            <w:vAlign w:val="bottom"/>
          </w:tcPr>
          <w:p w14:paraId="186001DB" w14:textId="77777777" w:rsidR="00A91885" w:rsidRDefault="00A91885">
            <w:pPr>
              <w:rPr>
                <w:rFonts w:ascii="宋体"/>
              </w:rPr>
            </w:pPr>
          </w:p>
        </w:tc>
        <w:tc>
          <w:tcPr>
            <w:tcW w:w="5" w:type="pct"/>
            <w:shd w:val="clear" w:color="auto" w:fill="auto"/>
            <w:vAlign w:val="bottom"/>
          </w:tcPr>
          <w:p w14:paraId="186001DC" w14:textId="77777777" w:rsidR="00A91885" w:rsidRDefault="00A91885">
            <w:pPr>
              <w:rPr>
                <w:rFonts w:ascii="宋体"/>
              </w:rPr>
            </w:pPr>
          </w:p>
        </w:tc>
        <w:tc>
          <w:tcPr>
            <w:tcW w:w="19" w:type="pct"/>
            <w:shd w:val="clear" w:color="auto" w:fill="auto"/>
            <w:vAlign w:val="bottom"/>
          </w:tcPr>
          <w:p w14:paraId="186001DD" w14:textId="77777777" w:rsidR="00A91885" w:rsidRDefault="00A91885">
            <w:pPr>
              <w:rPr>
                <w:rFonts w:ascii="宋体"/>
              </w:rPr>
            </w:pPr>
          </w:p>
        </w:tc>
        <w:tc>
          <w:tcPr>
            <w:tcW w:w="5" w:type="pct"/>
            <w:shd w:val="clear" w:color="auto" w:fill="auto"/>
            <w:vAlign w:val="bottom"/>
          </w:tcPr>
          <w:p w14:paraId="186001DE" w14:textId="77777777" w:rsidR="00A91885" w:rsidRDefault="00A91885">
            <w:pPr>
              <w:rPr>
                <w:rFonts w:ascii="宋体"/>
              </w:rPr>
            </w:pPr>
          </w:p>
        </w:tc>
        <w:tc>
          <w:tcPr>
            <w:tcW w:w="50" w:type="pct"/>
            <w:shd w:val="clear" w:color="auto" w:fill="auto"/>
            <w:vAlign w:val="bottom"/>
          </w:tcPr>
          <w:p w14:paraId="186001DF" w14:textId="77777777" w:rsidR="00A91885" w:rsidRDefault="00A91885">
            <w:pPr>
              <w:rPr>
                <w:rFonts w:ascii="宋体"/>
              </w:rPr>
            </w:pPr>
          </w:p>
        </w:tc>
        <w:tc>
          <w:tcPr>
            <w:tcW w:w="580" w:type="pct"/>
            <w:shd w:val="clear" w:color="auto" w:fill="auto"/>
            <w:vAlign w:val="bottom"/>
          </w:tcPr>
          <w:p w14:paraId="186001E0" w14:textId="77777777" w:rsidR="00A91885" w:rsidRDefault="00A91885">
            <w:pPr>
              <w:rPr>
                <w:rFonts w:ascii="宋体"/>
              </w:rPr>
            </w:pPr>
          </w:p>
        </w:tc>
        <w:tc>
          <w:tcPr>
            <w:tcW w:w="5" w:type="pct"/>
            <w:shd w:val="clear" w:color="auto" w:fill="auto"/>
            <w:vAlign w:val="bottom"/>
          </w:tcPr>
          <w:p w14:paraId="186001E1" w14:textId="77777777" w:rsidR="00A91885" w:rsidRDefault="00A91885">
            <w:pPr>
              <w:rPr>
                <w:rFonts w:ascii="宋体"/>
              </w:rPr>
            </w:pPr>
          </w:p>
        </w:tc>
        <w:tc>
          <w:tcPr>
            <w:tcW w:w="5" w:type="pct"/>
            <w:shd w:val="clear" w:color="auto" w:fill="auto"/>
            <w:vAlign w:val="bottom"/>
          </w:tcPr>
          <w:p w14:paraId="186001E2" w14:textId="77777777" w:rsidR="00A91885" w:rsidRDefault="00A91885">
            <w:pPr>
              <w:rPr>
                <w:rFonts w:ascii="宋体"/>
              </w:rPr>
            </w:pPr>
          </w:p>
        </w:tc>
        <w:tc>
          <w:tcPr>
            <w:tcW w:w="19" w:type="pct"/>
            <w:shd w:val="clear" w:color="auto" w:fill="auto"/>
            <w:vAlign w:val="bottom"/>
          </w:tcPr>
          <w:p w14:paraId="186001E3" w14:textId="77777777" w:rsidR="00A91885" w:rsidRDefault="00A91885">
            <w:pPr>
              <w:rPr>
                <w:rFonts w:ascii="宋体"/>
              </w:rPr>
            </w:pPr>
          </w:p>
        </w:tc>
        <w:tc>
          <w:tcPr>
            <w:tcW w:w="5" w:type="pct"/>
            <w:shd w:val="clear" w:color="auto" w:fill="auto"/>
            <w:vAlign w:val="bottom"/>
          </w:tcPr>
          <w:p w14:paraId="186001E4" w14:textId="77777777" w:rsidR="00A91885" w:rsidRDefault="00A91885">
            <w:pPr>
              <w:rPr>
                <w:rFonts w:ascii="宋体"/>
              </w:rPr>
            </w:pPr>
          </w:p>
        </w:tc>
        <w:tc>
          <w:tcPr>
            <w:tcW w:w="50" w:type="pct"/>
            <w:shd w:val="clear" w:color="auto" w:fill="auto"/>
            <w:vAlign w:val="bottom"/>
          </w:tcPr>
          <w:p w14:paraId="186001E5" w14:textId="77777777" w:rsidR="00A91885" w:rsidRDefault="00A91885">
            <w:pPr>
              <w:rPr>
                <w:rFonts w:ascii="宋体"/>
              </w:rPr>
            </w:pPr>
          </w:p>
        </w:tc>
        <w:tc>
          <w:tcPr>
            <w:tcW w:w="580" w:type="pct"/>
            <w:shd w:val="clear" w:color="auto" w:fill="auto"/>
            <w:vAlign w:val="bottom"/>
          </w:tcPr>
          <w:p w14:paraId="186001E6" w14:textId="77777777" w:rsidR="00A91885" w:rsidRDefault="00A91885">
            <w:pPr>
              <w:rPr>
                <w:rFonts w:ascii="宋体"/>
              </w:rPr>
            </w:pPr>
          </w:p>
        </w:tc>
        <w:tc>
          <w:tcPr>
            <w:tcW w:w="5" w:type="pct"/>
            <w:shd w:val="clear" w:color="auto" w:fill="auto"/>
            <w:vAlign w:val="bottom"/>
          </w:tcPr>
          <w:p w14:paraId="186001E7" w14:textId="77777777" w:rsidR="00A91885" w:rsidRDefault="00A91885">
            <w:pPr>
              <w:rPr>
                <w:rFonts w:ascii="宋体"/>
              </w:rPr>
            </w:pPr>
          </w:p>
        </w:tc>
        <w:tc>
          <w:tcPr>
            <w:tcW w:w="5" w:type="pct"/>
            <w:shd w:val="clear" w:color="auto" w:fill="auto"/>
            <w:vAlign w:val="bottom"/>
          </w:tcPr>
          <w:p w14:paraId="186001E8" w14:textId="77777777" w:rsidR="00A91885" w:rsidRDefault="00A91885">
            <w:pPr>
              <w:rPr>
                <w:rFonts w:ascii="宋体"/>
              </w:rPr>
            </w:pPr>
          </w:p>
        </w:tc>
        <w:tc>
          <w:tcPr>
            <w:tcW w:w="19" w:type="pct"/>
            <w:shd w:val="clear" w:color="auto" w:fill="auto"/>
            <w:vAlign w:val="bottom"/>
          </w:tcPr>
          <w:p w14:paraId="186001E9" w14:textId="77777777" w:rsidR="00A91885" w:rsidRDefault="00A91885">
            <w:pPr>
              <w:rPr>
                <w:rFonts w:ascii="宋体"/>
              </w:rPr>
            </w:pPr>
          </w:p>
        </w:tc>
        <w:tc>
          <w:tcPr>
            <w:tcW w:w="5" w:type="pct"/>
            <w:shd w:val="clear" w:color="auto" w:fill="auto"/>
            <w:vAlign w:val="bottom"/>
          </w:tcPr>
          <w:p w14:paraId="186001EA" w14:textId="77777777" w:rsidR="00A91885" w:rsidRDefault="00A91885">
            <w:pPr>
              <w:rPr>
                <w:rFonts w:ascii="宋体"/>
              </w:rPr>
            </w:pPr>
          </w:p>
        </w:tc>
        <w:tc>
          <w:tcPr>
            <w:tcW w:w="50" w:type="pct"/>
            <w:shd w:val="clear" w:color="auto" w:fill="auto"/>
            <w:vAlign w:val="bottom"/>
          </w:tcPr>
          <w:p w14:paraId="186001EB" w14:textId="77777777" w:rsidR="00A91885" w:rsidRDefault="00A91885">
            <w:pPr>
              <w:rPr>
                <w:rFonts w:ascii="宋体"/>
              </w:rPr>
            </w:pPr>
          </w:p>
        </w:tc>
        <w:tc>
          <w:tcPr>
            <w:tcW w:w="581" w:type="pct"/>
            <w:shd w:val="clear" w:color="auto" w:fill="auto"/>
            <w:vAlign w:val="bottom"/>
          </w:tcPr>
          <w:p w14:paraId="186001EC" w14:textId="77777777" w:rsidR="00A91885" w:rsidRDefault="00A91885">
            <w:pPr>
              <w:rPr>
                <w:rFonts w:ascii="宋体"/>
              </w:rPr>
            </w:pPr>
          </w:p>
        </w:tc>
        <w:tc>
          <w:tcPr>
            <w:tcW w:w="5" w:type="pct"/>
            <w:shd w:val="clear" w:color="auto" w:fill="auto"/>
            <w:vAlign w:val="bottom"/>
          </w:tcPr>
          <w:p w14:paraId="186001ED" w14:textId="77777777" w:rsidR="00A91885" w:rsidRDefault="00A91885">
            <w:pPr>
              <w:rPr>
                <w:rFonts w:ascii="宋体"/>
              </w:rPr>
            </w:pPr>
          </w:p>
        </w:tc>
      </w:tr>
      <w:tr w:rsidR="00A91885" w14:paraId="186001F1" w14:textId="77777777">
        <w:tc>
          <w:tcPr>
            <w:tcW w:w="0" w:type="auto"/>
            <w:gridSpan w:val="3"/>
            <w:shd w:val="clear" w:color="auto" w:fill="auto"/>
            <w:tcMar>
              <w:top w:w="40" w:type="dxa"/>
              <w:left w:w="20" w:type="dxa"/>
              <w:bottom w:w="40" w:type="dxa"/>
              <w:right w:w="20" w:type="dxa"/>
            </w:tcMar>
            <w:vAlign w:val="bottom"/>
          </w:tcPr>
          <w:p w14:paraId="186001EF" w14:textId="77777777" w:rsidR="00A91885" w:rsidRDefault="009C4196">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186001F0" w14:textId="77777777" w:rsidR="00A91885" w:rsidRDefault="009C4196">
            <w:pPr>
              <w:jc w:val="center"/>
              <w:textAlignment w:val="bottom"/>
            </w:pPr>
            <w:r>
              <w:rPr>
                <w:rFonts w:ascii="Arial" w:eastAsia="宋体" w:hAnsi="Arial" w:cs="Arial"/>
                <w:b/>
                <w:bCs/>
                <w:color w:val="000000"/>
                <w:sz w:val="17"/>
                <w:szCs w:val="17"/>
              </w:rPr>
              <w:t>June 30, 2022</w:t>
            </w:r>
          </w:p>
        </w:tc>
      </w:tr>
      <w:tr w:rsidR="00A91885" w14:paraId="186001FA" w14:textId="77777777">
        <w:tc>
          <w:tcPr>
            <w:tcW w:w="0" w:type="auto"/>
            <w:gridSpan w:val="3"/>
            <w:shd w:val="clear" w:color="auto" w:fill="auto"/>
            <w:tcMar>
              <w:top w:w="40" w:type="dxa"/>
              <w:left w:w="20" w:type="dxa"/>
              <w:bottom w:w="40" w:type="dxa"/>
              <w:right w:w="20" w:type="dxa"/>
            </w:tcMar>
            <w:vAlign w:val="bottom"/>
          </w:tcPr>
          <w:p w14:paraId="186001F2" w14:textId="77777777" w:rsidR="00A91885" w:rsidRDefault="009C4196">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1F3" w14:textId="77777777" w:rsidR="00A91885" w:rsidRDefault="009C4196">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Amortized</w:t>
            </w:r>
            <w:r>
              <w:rPr>
                <w:rFonts w:ascii="Arial" w:eastAsia="宋体" w:hAnsi="Arial" w:cs="Arial"/>
                <w:b/>
                <w:bCs/>
                <w:color w:val="000000"/>
                <w:sz w:val="17"/>
                <w:szCs w:val="17"/>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1F4"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1F5" w14:textId="77777777" w:rsidR="00A91885" w:rsidRDefault="009C4196">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Unrealized</w:t>
            </w:r>
            <w:r>
              <w:rPr>
                <w:rFonts w:ascii="Arial" w:eastAsia="宋体" w:hAnsi="Arial" w:cs="Arial"/>
                <w:b/>
                <w:bCs/>
                <w:color w:val="000000"/>
                <w:sz w:val="17"/>
                <w:szCs w:val="17"/>
              </w:rPr>
              <w:b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1F6"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1F7" w14:textId="77777777" w:rsidR="00A91885" w:rsidRDefault="009C4196">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Unrealized</w:t>
            </w:r>
            <w:r>
              <w:rPr>
                <w:rFonts w:ascii="Arial" w:eastAsia="宋体" w:hAnsi="Arial" w:cs="Arial"/>
                <w:b/>
                <w:bCs/>
                <w:color w:val="000000"/>
                <w:sz w:val="17"/>
                <w:szCs w:val="17"/>
              </w:rPr>
              <w:br/>
              <w:t>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1F8"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1F9" w14:textId="77777777" w:rsidR="00A91885" w:rsidRDefault="009C4196">
            <w:pPr>
              <w:jc w:val="center"/>
              <w:textAlignment w:val="bottom"/>
            </w:pPr>
            <w:r>
              <w:rPr>
                <w:rFonts w:ascii="Arial" w:eastAsia="宋体" w:hAnsi="Arial" w:cs="Arial"/>
                <w:b/>
                <w:bCs/>
                <w:color w:val="000000"/>
                <w:sz w:val="17"/>
                <w:szCs w:val="17"/>
              </w:rPr>
              <w:t>Estimated</w:t>
            </w:r>
            <w:r>
              <w:rPr>
                <w:rFonts w:ascii="Arial" w:eastAsia="宋体" w:hAnsi="Arial" w:cs="Arial"/>
                <w:b/>
                <w:bCs/>
                <w:color w:val="000000"/>
                <w:sz w:val="17"/>
                <w:szCs w:val="17"/>
              </w:rPr>
              <w:br/>
              <w:t>Fair Value</w:t>
            </w:r>
          </w:p>
        </w:tc>
      </w:tr>
      <w:tr w:rsidR="00A91885" w14:paraId="18600203" w14:textId="77777777">
        <w:tc>
          <w:tcPr>
            <w:tcW w:w="0" w:type="auto"/>
            <w:gridSpan w:val="3"/>
            <w:shd w:val="clear" w:color="auto" w:fill="E2E2E2"/>
            <w:tcMar>
              <w:top w:w="40" w:type="dxa"/>
              <w:left w:w="20" w:type="dxa"/>
              <w:bottom w:w="40" w:type="dxa"/>
              <w:right w:w="20" w:type="dxa"/>
            </w:tcMar>
            <w:vAlign w:val="bottom"/>
          </w:tcPr>
          <w:p w14:paraId="186001FB" w14:textId="77777777" w:rsidR="00A91885" w:rsidRDefault="009C4196">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1FC"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1FD"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1FE"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1FF"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200"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201"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202" w14:textId="77777777" w:rsidR="00A91885" w:rsidRDefault="00A91885">
            <w:pPr>
              <w:rPr>
                <w:rFonts w:ascii="宋体"/>
              </w:rPr>
            </w:pPr>
          </w:p>
        </w:tc>
      </w:tr>
      <w:tr w:rsidR="00A91885" w14:paraId="18600214" w14:textId="77777777">
        <w:tc>
          <w:tcPr>
            <w:tcW w:w="0" w:type="auto"/>
            <w:gridSpan w:val="3"/>
            <w:shd w:val="clear" w:color="auto" w:fill="FFFFFF"/>
            <w:tcMar>
              <w:top w:w="40" w:type="dxa"/>
              <w:left w:w="245" w:type="dxa"/>
              <w:bottom w:w="40" w:type="dxa"/>
              <w:right w:w="20" w:type="dxa"/>
            </w:tcMar>
            <w:vAlign w:val="bottom"/>
          </w:tcPr>
          <w:p w14:paraId="18600204" w14:textId="77777777" w:rsidR="00A91885" w:rsidRDefault="009C4196">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right w:w="0" w:type="dxa"/>
            </w:tcMar>
            <w:vAlign w:val="bottom"/>
          </w:tcPr>
          <w:p w14:paraId="18600205"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0206" w14:textId="77777777" w:rsidR="00A91885" w:rsidRDefault="009C4196">
            <w:pPr>
              <w:jc w:val="right"/>
              <w:textAlignment w:val="bottom"/>
            </w:pPr>
            <w:r>
              <w:rPr>
                <w:rFonts w:ascii="Arial" w:eastAsia="宋体" w:hAnsi="Arial" w:cs="Arial"/>
                <w:color w:val="000000"/>
                <w:sz w:val="18"/>
                <w:szCs w:val="18"/>
              </w:rPr>
              <w:t>26 </w:t>
            </w:r>
          </w:p>
        </w:tc>
        <w:tc>
          <w:tcPr>
            <w:tcW w:w="0" w:type="auto"/>
            <w:shd w:val="clear" w:color="auto" w:fill="FFFFFF"/>
            <w:tcMar>
              <w:top w:w="40" w:type="dxa"/>
              <w:left w:w="0" w:type="dxa"/>
              <w:bottom w:w="40" w:type="dxa"/>
              <w:right w:w="20" w:type="dxa"/>
            </w:tcMar>
            <w:vAlign w:val="bottom"/>
          </w:tcPr>
          <w:p w14:paraId="1860020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08"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0209"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020A"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20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0C"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020D"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020E"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20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10"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0211"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0212" w14:textId="77777777" w:rsidR="00A91885" w:rsidRDefault="009C4196">
            <w:pPr>
              <w:jc w:val="right"/>
              <w:textAlignment w:val="bottom"/>
            </w:pPr>
            <w:r>
              <w:rPr>
                <w:rFonts w:ascii="Arial" w:eastAsia="宋体" w:hAnsi="Arial" w:cs="Arial"/>
                <w:color w:val="000000"/>
                <w:sz w:val="18"/>
                <w:szCs w:val="18"/>
              </w:rPr>
              <w:t>26 </w:t>
            </w:r>
          </w:p>
        </w:tc>
        <w:tc>
          <w:tcPr>
            <w:tcW w:w="0" w:type="auto"/>
            <w:shd w:val="clear" w:color="auto" w:fill="FFFFFF"/>
            <w:tcMar>
              <w:top w:w="40" w:type="dxa"/>
              <w:left w:w="0" w:type="dxa"/>
              <w:bottom w:w="40" w:type="dxa"/>
              <w:right w:w="20" w:type="dxa"/>
            </w:tcMar>
            <w:vAlign w:val="bottom"/>
          </w:tcPr>
          <w:p w14:paraId="18600213" w14:textId="77777777" w:rsidR="00A91885" w:rsidRDefault="00A91885">
            <w:pPr>
              <w:jc w:val="right"/>
              <w:rPr>
                <w:rFonts w:ascii="宋体"/>
              </w:rPr>
            </w:pPr>
          </w:p>
        </w:tc>
      </w:tr>
      <w:tr w:rsidR="00A91885" w14:paraId="18600221" w14:textId="77777777">
        <w:tc>
          <w:tcPr>
            <w:tcW w:w="0" w:type="auto"/>
            <w:gridSpan w:val="3"/>
            <w:shd w:val="clear" w:color="auto" w:fill="E2E2E2"/>
            <w:tcMar>
              <w:top w:w="40" w:type="dxa"/>
              <w:left w:w="245" w:type="dxa"/>
              <w:bottom w:w="40" w:type="dxa"/>
              <w:right w:w="20" w:type="dxa"/>
            </w:tcMar>
            <w:vAlign w:val="bottom"/>
          </w:tcPr>
          <w:p w14:paraId="18600215" w14:textId="77777777" w:rsidR="00A91885" w:rsidRDefault="009C4196">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18600216" w14:textId="77777777" w:rsidR="00A91885" w:rsidRDefault="009C4196">
            <w:pPr>
              <w:jc w:val="right"/>
              <w:textAlignment w:val="bottom"/>
            </w:pPr>
            <w:r>
              <w:rPr>
                <w:rFonts w:ascii="Arial" w:eastAsia="宋体" w:hAnsi="Arial" w:cs="Arial"/>
                <w:color w:val="000000"/>
                <w:sz w:val="18"/>
                <w:szCs w:val="18"/>
              </w:rPr>
              <w:t>1,196 </w:t>
            </w:r>
          </w:p>
        </w:tc>
        <w:tc>
          <w:tcPr>
            <w:tcW w:w="0" w:type="auto"/>
            <w:shd w:val="clear" w:color="auto" w:fill="E2E2E2"/>
            <w:tcMar>
              <w:top w:w="40" w:type="dxa"/>
              <w:left w:w="0" w:type="dxa"/>
              <w:bottom w:w="40" w:type="dxa"/>
              <w:right w:w="20" w:type="dxa"/>
            </w:tcMar>
            <w:vAlign w:val="bottom"/>
          </w:tcPr>
          <w:p w14:paraId="1860021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21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21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21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21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21C" w14:textId="77777777" w:rsidR="00A91885" w:rsidRDefault="009C4196">
            <w:pPr>
              <w:jc w:val="right"/>
              <w:textAlignment w:val="bottom"/>
            </w:pPr>
            <w:r>
              <w:rPr>
                <w:rFonts w:ascii="Arial" w:eastAsia="宋体" w:hAnsi="Arial" w:cs="Arial"/>
                <w:color w:val="000000"/>
                <w:sz w:val="18"/>
                <w:szCs w:val="18"/>
              </w:rPr>
              <w:t>(1)</w:t>
            </w:r>
          </w:p>
        </w:tc>
        <w:tc>
          <w:tcPr>
            <w:tcW w:w="0" w:type="auto"/>
            <w:shd w:val="clear" w:color="auto" w:fill="E2E2E2"/>
            <w:tcMar>
              <w:top w:w="40" w:type="dxa"/>
              <w:left w:w="0" w:type="dxa"/>
              <w:bottom w:w="40" w:type="dxa"/>
              <w:right w:w="20" w:type="dxa"/>
            </w:tcMar>
            <w:vAlign w:val="bottom"/>
          </w:tcPr>
          <w:p w14:paraId="1860021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21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21F" w14:textId="77777777" w:rsidR="00A91885" w:rsidRDefault="009C4196">
            <w:pPr>
              <w:jc w:val="right"/>
              <w:textAlignment w:val="bottom"/>
            </w:pPr>
            <w:r>
              <w:rPr>
                <w:rFonts w:ascii="Arial" w:eastAsia="宋体" w:hAnsi="Arial" w:cs="Arial"/>
                <w:color w:val="000000"/>
                <w:sz w:val="18"/>
                <w:szCs w:val="18"/>
              </w:rPr>
              <w:t>1,195 </w:t>
            </w:r>
          </w:p>
        </w:tc>
        <w:tc>
          <w:tcPr>
            <w:tcW w:w="0" w:type="auto"/>
            <w:shd w:val="clear" w:color="auto" w:fill="E2E2E2"/>
            <w:tcMar>
              <w:top w:w="40" w:type="dxa"/>
              <w:left w:w="0" w:type="dxa"/>
              <w:bottom w:w="40" w:type="dxa"/>
              <w:right w:w="20" w:type="dxa"/>
            </w:tcMar>
            <w:vAlign w:val="bottom"/>
          </w:tcPr>
          <w:p w14:paraId="18600220" w14:textId="77777777" w:rsidR="00A91885" w:rsidRDefault="00A91885">
            <w:pPr>
              <w:jc w:val="right"/>
              <w:rPr>
                <w:rFonts w:ascii="宋体"/>
              </w:rPr>
            </w:pPr>
          </w:p>
        </w:tc>
      </w:tr>
      <w:tr w:rsidR="00A91885" w14:paraId="1860022E" w14:textId="77777777">
        <w:tc>
          <w:tcPr>
            <w:tcW w:w="0" w:type="auto"/>
            <w:gridSpan w:val="3"/>
            <w:shd w:val="clear" w:color="auto" w:fill="FFFFFF"/>
            <w:tcMar>
              <w:top w:w="40" w:type="dxa"/>
              <w:left w:w="245" w:type="dxa"/>
              <w:bottom w:w="40" w:type="dxa"/>
              <w:right w:w="20" w:type="dxa"/>
            </w:tcMar>
            <w:vAlign w:val="bottom"/>
          </w:tcPr>
          <w:p w14:paraId="18600222" w14:textId="77777777" w:rsidR="00A91885" w:rsidRDefault="009C4196">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18600223" w14:textId="77777777" w:rsidR="00A91885" w:rsidRDefault="009C4196">
            <w:pPr>
              <w:jc w:val="right"/>
              <w:textAlignment w:val="bottom"/>
            </w:pPr>
            <w:r>
              <w:rPr>
                <w:rFonts w:ascii="Arial" w:eastAsia="宋体" w:hAnsi="Arial" w:cs="Arial"/>
                <w:color w:val="000000"/>
                <w:sz w:val="18"/>
                <w:szCs w:val="18"/>
              </w:rPr>
              <w:t>40 </w:t>
            </w:r>
          </w:p>
        </w:tc>
        <w:tc>
          <w:tcPr>
            <w:tcW w:w="0" w:type="auto"/>
            <w:shd w:val="clear" w:color="auto" w:fill="FFFFFF"/>
            <w:tcMar>
              <w:top w:w="40" w:type="dxa"/>
              <w:left w:w="0" w:type="dxa"/>
              <w:bottom w:w="40" w:type="dxa"/>
              <w:right w:w="20" w:type="dxa"/>
            </w:tcMar>
            <w:vAlign w:val="bottom"/>
          </w:tcPr>
          <w:p w14:paraId="1860022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2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226"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22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2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22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22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2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22C" w14:textId="77777777" w:rsidR="00A91885" w:rsidRDefault="009C4196">
            <w:pPr>
              <w:jc w:val="right"/>
              <w:textAlignment w:val="bottom"/>
            </w:pPr>
            <w:r>
              <w:rPr>
                <w:rFonts w:ascii="Arial" w:eastAsia="宋体" w:hAnsi="Arial" w:cs="Arial"/>
                <w:color w:val="000000"/>
                <w:sz w:val="18"/>
                <w:szCs w:val="18"/>
              </w:rPr>
              <w:t>40 </w:t>
            </w:r>
          </w:p>
        </w:tc>
        <w:tc>
          <w:tcPr>
            <w:tcW w:w="0" w:type="auto"/>
            <w:shd w:val="clear" w:color="auto" w:fill="FFFFFF"/>
            <w:tcMar>
              <w:top w:w="40" w:type="dxa"/>
              <w:left w:w="0" w:type="dxa"/>
              <w:bottom w:w="40" w:type="dxa"/>
              <w:right w:w="20" w:type="dxa"/>
            </w:tcMar>
            <w:vAlign w:val="bottom"/>
          </w:tcPr>
          <w:p w14:paraId="1860022D" w14:textId="77777777" w:rsidR="00A91885" w:rsidRDefault="00A91885">
            <w:pPr>
              <w:jc w:val="right"/>
              <w:rPr>
                <w:rFonts w:ascii="宋体"/>
              </w:rPr>
            </w:pPr>
          </w:p>
        </w:tc>
      </w:tr>
      <w:tr w:rsidR="00A91885" w14:paraId="18600237" w14:textId="77777777">
        <w:trPr>
          <w:hidden/>
        </w:trPr>
        <w:tc>
          <w:tcPr>
            <w:tcW w:w="0" w:type="auto"/>
            <w:gridSpan w:val="3"/>
            <w:shd w:val="clear" w:color="auto" w:fill="auto"/>
            <w:vAlign w:val="bottom"/>
          </w:tcPr>
          <w:p w14:paraId="1860022F" w14:textId="77777777" w:rsidR="00A91885" w:rsidRDefault="00A91885">
            <w:pPr>
              <w:rPr>
                <w:rFonts w:ascii="宋体"/>
                <w:vanish/>
              </w:rPr>
            </w:pPr>
          </w:p>
        </w:tc>
        <w:tc>
          <w:tcPr>
            <w:tcW w:w="0" w:type="auto"/>
            <w:gridSpan w:val="3"/>
            <w:shd w:val="clear" w:color="auto" w:fill="auto"/>
            <w:vAlign w:val="bottom"/>
          </w:tcPr>
          <w:p w14:paraId="18600230" w14:textId="77777777" w:rsidR="00A91885" w:rsidRDefault="00A91885">
            <w:pPr>
              <w:rPr>
                <w:rFonts w:ascii="宋体"/>
                <w:vanish/>
              </w:rPr>
            </w:pPr>
          </w:p>
        </w:tc>
        <w:tc>
          <w:tcPr>
            <w:tcW w:w="0" w:type="auto"/>
            <w:gridSpan w:val="3"/>
            <w:shd w:val="clear" w:color="auto" w:fill="auto"/>
            <w:vAlign w:val="bottom"/>
          </w:tcPr>
          <w:p w14:paraId="18600231" w14:textId="77777777" w:rsidR="00A91885" w:rsidRDefault="00A91885">
            <w:pPr>
              <w:rPr>
                <w:rFonts w:ascii="宋体"/>
                <w:vanish/>
              </w:rPr>
            </w:pPr>
          </w:p>
        </w:tc>
        <w:tc>
          <w:tcPr>
            <w:tcW w:w="0" w:type="auto"/>
            <w:gridSpan w:val="3"/>
            <w:shd w:val="clear" w:color="auto" w:fill="auto"/>
            <w:vAlign w:val="bottom"/>
          </w:tcPr>
          <w:p w14:paraId="18600232" w14:textId="77777777" w:rsidR="00A91885" w:rsidRDefault="00A91885">
            <w:pPr>
              <w:rPr>
                <w:rFonts w:ascii="宋体"/>
                <w:vanish/>
              </w:rPr>
            </w:pPr>
          </w:p>
        </w:tc>
        <w:tc>
          <w:tcPr>
            <w:tcW w:w="0" w:type="auto"/>
            <w:gridSpan w:val="3"/>
            <w:shd w:val="clear" w:color="auto" w:fill="auto"/>
            <w:vAlign w:val="bottom"/>
          </w:tcPr>
          <w:p w14:paraId="18600233" w14:textId="77777777" w:rsidR="00A91885" w:rsidRDefault="00A91885">
            <w:pPr>
              <w:rPr>
                <w:rFonts w:ascii="宋体"/>
                <w:vanish/>
              </w:rPr>
            </w:pPr>
          </w:p>
        </w:tc>
        <w:tc>
          <w:tcPr>
            <w:tcW w:w="0" w:type="auto"/>
            <w:gridSpan w:val="3"/>
            <w:shd w:val="clear" w:color="auto" w:fill="auto"/>
            <w:vAlign w:val="bottom"/>
          </w:tcPr>
          <w:p w14:paraId="18600234" w14:textId="77777777" w:rsidR="00A91885" w:rsidRDefault="00A91885">
            <w:pPr>
              <w:rPr>
                <w:rFonts w:ascii="宋体"/>
                <w:vanish/>
              </w:rPr>
            </w:pPr>
          </w:p>
        </w:tc>
        <w:tc>
          <w:tcPr>
            <w:tcW w:w="0" w:type="auto"/>
            <w:gridSpan w:val="3"/>
            <w:shd w:val="clear" w:color="auto" w:fill="auto"/>
            <w:vAlign w:val="bottom"/>
          </w:tcPr>
          <w:p w14:paraId="18600235" w14:textId="77777777" w:rsidR="00A91885" w:rsidRDefault="00A91885">
            <w:pPr>
              <w:rPr>
                <w:rFonts w:ascii="宋体"/>
                <w:vanish/>
              </w:rPr>
            </w:pPr>
          </w:p>
        </w:tc>
        <w:tc>
          <w:tcPr>
            <w:tcW w:w="0" w:type="auto"/>
            <w:gridSpan w:val="3"/>
            <w:shd w:val="clear" w:color="auto" w:fill="auto"/>
            <w:vAlign w:val="bottom"/>
          </w:tcPr>
          <w:p w14:paraId="18600236" w14:textId="77777777" w:rsidR="00A91885" w:rsidRDefault="00A91885">
            <w:pPr>
              <w:rPr>
                <w:rFonts w:ascii="宋体"/>
                <w:vanish/>
              </w:rPr>
            </w:pPr>
          </w:p>
        </w:tc>
      </w:tr>
      <w:tr w:rsidR="00A91885" w14:paraId="18600240" w14:textId="77777777">
        <w:trPr>
          <w:hidden/>
        </w:trPr>
        <w:tc>
          <w:tcPr>
            <w:tcW w:w="0" w:type="auto"/>
            <w:gridSpan w:val="3"/>
            <w:shd w:val="clear" w:color="auto" w:fill="auto"/>
            <w:vAlign w:val="bottom"/>
          </w:tcPr>
          <w:p w14:paraId="18600238" w14:textId="77777777" w:rsidR="00A91885" w:rsidRDefault="00A91885">
            <w:pPr>
              <w:rPr>
                <w:rFonts w:ascii="宋体"/>
                <w:vanish/>
              </w:rPr>
            </w:pPr>
          </w:p>
        </w:tc>
        <w:tc>
          <w:tcPr>
            <w:tcW w:w="0" w:type="auto"/>
            <w:gridSpan w:val="3"/>
            <w:shd w:val="clear" w:color="auto" w:fill="auto"/>
            <w:vAlign w:val="bottom"/>
          </w:tcPr>
          <w:p w14:paraId="18600239" w14:textId="77777777" w:rsidR="00A91885" w:rsidRDefault="00A91885">
            <w:pPr>
              <w:rPr>
                <w:rFonts w:ascii="宋体"/>
                <w:vanish/>
              </w:rPr>
            </w:pPr>
          </w:p>
        </w:tc>
        <w:tc>
          <w:tcPr>
            <w:tcW w:w="0" w:type="auto"/>
            <w:gridSpan w:val="3"/>
            <w:shd w:val="clear" w:color="auto" w:fill="auto"/>
            <w:vAlign w:val="bottom"/>
          </w:tcPr>
          <w:p w14:paraId="1860023A" w14:textId="77777777" w:rsidR="00A91885" w:rsidRDefault="00A91885">
            <w:pPr>
              <w:rPr>
                <w:rFonts w:ascii="宋体"/>
                <w:vanish/>
              </w:rPr>
            </w:pPr>
          </w:p>
        </w:tc>
        <w:tc>
          <w:tcPr>
            <w:tcW w:w="0" w:type="auto"/>
            <w:gridSpan w:val="3"/>
            <w:shd w:val="clear" w:color="auto" w:fill="auto"/>
            <w:vAlign w:val="bottom"/>
          </w:tcPr>
          <w:p w14:paraId="1860023B" w14:textId="77777777" w:rsidR="00A91885" w:rsidRDefault="00A91885">
            <w:pPr>
              <w:rPr>
                <w:rFonts w:ascii="宋体"/>
                <w:vanish/>
              </w:rPr>
            </w:pPr>
          </w:p>
        </w:tc>
        <w:tc>
          <w:tcPr>
            <w:tcW w:w="0" w:type="auto"/>
            <w:gridSpan w:val="3"/>
            <w:shd w:val="clear" w:color="auto" w:fill="auto"/>
            <w:vAlign w:val="bottom"/>
          </w:tcPr>
          <w:p w14:paraId="1860023C" w14:textId="77777777" w:rsidR="00A91885" w:rsidRDefault="00A91885">
            <w:pPr>
              <w:rPr>
                <w:rFonts w:ascii="宋体"/>
                <w:vanish/>
              </w:rPr>
            </w:pPr>
          </w:p>
        </w:tc>
        <w:tc>
          <w:tcPr>
            <w:tcW w:w="0" w:type="auto"/>
            <w:gridSpan w:val="3"/>
            <w:shd w:val="clear" w:color="auto" w:fill="auto"/>
            <w:vAlign w:val="bottom"/>
          </w:tcPr>
          <w:p w14:paraId="1860023D" w14:textId="77777777" w:rsidR="00A91885" w:rsidRDefault="00A91885">
            <w:pPr>
              <w:rPr>
                <w:rFonts w:ascii="宋体"/>
                <w:vanish/>
              </w:rPr>
            </w:pPr>
          </w:p>
        </w:tc>
        <w:tc>
          <w:tcPr>
            <w:tcW w:w="0" w:type="auto"/>
            <w:gridSpan w:val="3"/>
            <w:shd w:val="clear" w:color="auto" w:fill="auto"/>
            <w:vAlign w:val="bottom"/>
          </w:tcPr>
          <w:p w14:paraId="1860023E" w14:textId="77777777" w:rsidR="00A91885" w:rsidRDefault="00A91885">
            <w:pPr>
              <w:rPr>
                <w:rFonts w:ascii="宋体"/>
                <w:vanish/>
              </w:rPr>
            </w:pPr>
          </w:p>
        </w:tc>
        <w:tc>
          <w:tcPr>
            <w:tcW w:w="0" w:type="auto"/>
            <w:gridSpan w:val="3"/>
            <w:shd w:val="clear" w:color="auto" w:fill="auto"/>
            <w:vAlign w:val="bottom"/>
          </w:tcPr>
          <w:p w14:paraId="1860023F" w14:textId="77777777" w:rsidR="00A91885" w:rsidRDefault="00A91885">
            <w:pPr>
              <w:rPr>
                <w:rFonts w:ascii="宋体"/>
                <w:vanish/>
              </w:rPr>
            </w:pPr>
          </w:p>
        </w:tc>
      </w:tr>
      <w:tr w:rsidR="00A91885" w14:paraId="18600249" w14:textId="77777777">
        <w:trPr>
          <w:hidden/>
        </w:trPr>
        <w:tc>
          <w:tcPr>
            <w:tcW w:w="0" w:type="auto"/>
            <w:gridSpan w:val="3"/>
            <w:shd w:val="clear" w:color="auto" w:fill="auto"/>
            <w:vAlign w:val="bottom"/>
          </w:tcPr>
          <w:p w14:paraId="18600241" w14:textId="77777777" w:rsidR="00A91885" w:rsidRDefault="00A91885">
            <w:pPr>
              <w:rPr>
                <w:rFonts w:ascii="宋体"/>
                <w:vanish/>
              </w:rPr>
            </w:pPr>
          </w:p>
        </w:tc>
        <w:tc>
          <w:tcPr>
            <w:tcW w:w="0" w:type="auto"/>
            <w:gridSpan w:val="3"/>
            <w:shd w:val="clear" w:color="auto" w:fill="auto"/>
            <w:vAlign w:val="bottom"/>
          </w:tcPr>
          <w:p w14:paraId="18600242" w14:textId="77777777" w:rsidR="00A91885" w:rsidRDefault="00A91885">
            <w:pPr>
              <w:rPr>
                <w:rFonts w:ascii="宋体"/>
                <w:vanish/>
              </w:rPr>
            </w:pPr>
          </w:p>
        </w:tc>
        <w:tc>
          <w:tcPr>
            <w:tcW w:w="0" w:type="auto"/>
            <w:gridSpan w:val="3"/>
            <w:shd w:val="clear" w:color="auto" w:fill="auto"/>
            <w:vAlign w:val="bottom"/>
          </w:tcPr>
          <w:p w14:paraId="18600243" w14:textId="77777777" w:rsidR="00A91885" w:rsidRDefault="00A91885">
            <w:pPr>
              <w:rPr>
                <w:rFonts w:ascii="宋体"/>
                <w:vanish/>
              </w:rPr>
            </w:pPr>
          </w:p>
        </w:tc>
        <w:tc>
          <w:tcPr>
            <w:tcW w:w="0" w:type="auto"/>
            <w:gridSpan w:val="3"/>
            <w:shd w:val="clear" w:color="auto" w:fill="auto"/>
            <w:vAlign w:val="bottom"/>
          </w:tcPr>
          <w:p w14:paraId="18600244" w14:textId="77777777" w:rsidR="00A91885" w:rsidRDefault="00A91885">
            <w:pPr>
              <w:rPr>
                <w:rFonts w:ascii="宋体"/>
                <w:vanish/>
              </w:rPr>
            </w:pPr>
          </w:p>
        </w:tc>
        <w:tc>
          <w:tcPr>
            <w:tcW w:w="0" w:type="auto"/>
            <w:gridSpan w:val="3"/>
            <w:shd w:val="clear" w:color="auto" w:fill="auto"/>
            <w:vAlign w:val="bottom"/>
          </w:tcPr>
          <w:p w14:paraId="18600245" w14:textId="77777777" w:rsidR="00A91885" w:rsidRDefault="00A91885">
            <w:pPr>
              <w:rPr>
                <w:rFonts w:ascii="宋体"/>
                <w:vanish/>
              </w:rPr>
            </w:pPr>
          </w:p>
        </w:tc>
        <w:tc>
          <w:tcPr>
            <w:tcW w:w="0" w:type="auto"/>
            <w:gridSpan w:val="3"/>
            <w:shd w:val="clear" w:color="auto" w:fill="auto"/>
            <w:vAlign w:val="bottom"/>
          </w:tcPr>
          <w:p w14:paraId="18600246" w14:textId="77777777" w:rsidR="00A91885" w:rsidRDefault="00A91885">
            <w:pPr>
              <w:rPr>
                <w:rFonts w:ascii="宋体"/>
                <w:vanish/>
              </w:rPr>
            </w:pPr>
          </w:p>
        </w:tc>
        <w:tc>
          <w:tcPr>
            <w:tcW w:w="0" w:type="auto"/>
            <w:gridSpan w:val="3"/>
            <w:shd w:val="clear" w:color="auto" w:fill="auto"/>
            <w:vAlign w:val="bottom"/>
          </w:tcPr>
          <w:p w14:paraId="18600247" w14:textId="77777777" w:rsidR="00A91885" w:rsidRDefault="00A91885">
            <w:pPr>
              <w:rPr>
                <w:rFonts w:ascii="宋体"/>
                <w:vanish/>
              </w:rPr>
            </w:pPr>
          </w:p>
        </w:tc>
        <w:tc>
          <w:tcPr>
            <w:tcW w:w="0" w:type="auto"/>
            <w:gridSpan w:val="3"/>
            <w:shd w:val="clear" w:color="auto" w:fill="auto"/>
            <w:vAlign w:val="bottom"/>
          </w:tcPr>
          <w:p w14:paraId="18600248" w14:textId="77777777" w:rsidR="00A91885" w:rsidRDefault="00A91885">
            <w:pPr>
              <w:rPr>
                <w:rFonts w:ascii="宋体"/>
                <w:vanish/>
              </w:rPr>
            </w:pPr>
          </w:p>
        </w:tc>
      </w:tr>
      <w:tr w:rsidR="00A91885" w14:paraId="1860025A" w14:textId="77777777">
        <w:tc>
          <w:tcPr>
            <w:tcW w:w="0" w:type="auto"/>
            <w:gridSpan w:val="3"/>
            <w:shd w:val="clear" w:color="auto" w:fill="E2E2E2"/>
            <w:tcMar>
              <w:top w:w="0" w:type="dxa"/>
              <w:left w:w="20" w:type="dxa"/>
              <w:bottom w:w="0" w:type="dxa"/>
              <w:right w:w="20" w:type="dxa"/>
            </w:tcMar>
            <w:vAlign w:val="bottom"/>
          </w:tcPr>
          <w:p w14:paraId="1860024A"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24B"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24C" w14:textId="77777777" w:rsidR="00A91885" w:rsidRDefault="009C4196">
            <w:pPr>
              <w:jc w:val="right"/>
              <w:textAlignment w:val="bottom"/>
            </w:pPr>
            <w:r>
              <w:rPr>
                <w:rFonts w:ascii="Arial" w:eastAsia="宋体" w:hAnsi="Arial" w:cs="Arial"/>
                <w:color w:val="000000"/>
                <w:sz w:val="18"/>
                <w:szCs w:val="18"/>
              </w:rPr>
              <w:t>1,262 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24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24E"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24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250"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25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252"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25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254" w14:textId="77777777" w:rsidR="00A91885" w:rsidRDefault="009C4196">
            <w:pPr>
              <w:jc w:val="right"/>
              <w:textAlignment w:val="bottom"/>
            </w:pPr>
            <w:r>
              <w:rPr>
                <w:rFonts w:ascii="Arial" w:eastAsia="宋体" w:hAnsi="Arial" w:cs="Arial"/>
                <w:color w:val="000000"/>
                <w:sz w:val="18"/>
                <w:szCs w:val="18"/>
              </w:rPr>
              <w:t>(1)</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25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256"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257"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258" w14:textId="77777777" w:rsidR="00A91885" w:rsidRDefault="009C4196">
            <w:pPr>
              <w:jc w:val="right"/>
              <w:textAlignment w:val="bottom"/>
            </w:pPr>
            <w:r>
              <w:rPr>
                <w:rFonts w:ascii="Arial" w:eastAsia="宋体" w:hAnsi="Arial" w:cs="Arial"/>
                <w:color w:val="000000"/>
                <w:sz w:val="18"/>
                <w:szCs w:val="18"/>
              </w:rPr>
              <w:t>1,261 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259" w14:textId="77777777" w:rsidR="00A91885" w:rsidRDefault="00A91885">
            <w:pPr>
              <w:jc w:val="right"/>
              <w:rPr>
                <w:rFonts w:ascii="宋体"/>
              </w:rPr>
            </w:pPr>
          </w:p>
        </w:tc>
      </w:tr>
      <w:tr w:rsidR="00A91885" w14:paraId="18600263" w14:textId="77777777">
        <w:tc>
          <w:tcPr>
            <w:tcW w:w="0" w:type="auto"/>
            <w:gridSpan w:val="3"/>
            <w:shd w:val="clear" w:color="auto" w:fill="FFFFFF"/>
            <w:tcMar>
              <w:top w:w="40" w:type="dxa"/>
              <w:left w:w="20" w:type="dxa"/>
              <w:bottom w:w="40" w:type="dxa"/>
              <w:right w:w="20" w:type="dxa"/>
            </w:tcMar>
            <w:vAlign w:val="bottom"/>
          </w:tcPr>
          <w:p w14:paraId="1860025B" w14:textId="77777777" w:rsidR="00A91885" w:rsidRDefault="009C4196">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60025C"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25D"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60025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25F"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600260"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261"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600262" w14:textId="77777777" w:rsidR="00A91885" w:rsidRDefault="00A91885">
            <w:pPr>
              <w:rPr>
                <w:rFonts w:ascii="宋体"/>
              </w:rPr>
            </w:pPr>
          </w:p>
        </w:tc>
      </w:tr>
      <w:tr w:rsidR="00A91885" w14:paraId="18600274" w14:textId="77777777">
        <w:tc>
          <w:tcPr>
            <w:tcW w:w="0" w:type="auto"/>
            <w:gridSpan w:val="3"/>
            <w:shd w:val="clear" w:color="auto" w:fill="E2E2E2"/>
            <w:tcMar>
              <w:top w:w="40" w:type="dxa"/>
              <w:left w:w="245" w:type="dxa"/>
              <w:bottom w:w="40" w:type="dxa"/>
              <w:right w:w="20" w:type="dxa"/>
            </w:tcMar>
            <w:vAlign w:val="bottom"/>
          </w:tcPr>
          <w:p w14:paraId="18600264" w14:textId="77777777" w:rsidR="00A91885" w:rsidRDefault="009C4196">
            <w:pPr>
              <w:textAlignment w:val="bottom"/>
            </w:pPr>
            <w:r>
              <w:rPr>
                <w:rFonts w:ascii="Arial" w:eastAsia="宋体" w:hAnsi="Arial" w:cs="Arial"/>
                <w:color w:val="000000"/>
                <w:sz w:val="18"/>
                <w:szCs w:val="18"/>
              </w:rPr>
              <w:t>Restricted cash</w:t>
            </w:r>
          </w:p>
        </w:tc>
        <w:tc>
          <w:tcPr>
            <w:tcW w:w="0" w:type="auto"/>
            <w:shd w:val="clear" w:color="auto" w:fill="E2E2E2"/>
            <w:tcMar>
              <w:top w:w="40" w:type="dxa"/>
              <w:left w:w="20" w:type="dxa"/>
              <w:bottom w:w="40" w:type="dxa"/>
              <w:right w:w="0" w:type="dxa"/>
            </w:tcMar>
            <w:vAlign w:val="bottom"/>
          </w:tcPr>
          <w:p w14:paraId="18600265"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0266" w14:textId="77777777" w:rsidR="00A91885" w:rsidRDefault="009C4196">
            <w:pPr>
              <w:jc w:val="right"/>
              <w:textAlignment w:val="bottom"/>
            </w:pPr>
            <w:r>
              <w:rPr>
                <w:rFonts w:ascii="Arial" w:eastAsia="宋体" w:hAnsi="Arial" w:cs="Arial"/>
                <w:color w:val="000000"/>
                <w:sz w:val="18"/>
                <w:szCs w:val="18"/>
              </w:rPr>
              <w:t>4 </w:t>
            </w:r>
          </w:p>
        </w:tc>
        <w:tc>
          <w:tcPr>
            <w:tcW w:w="0" w:type="auto"/>
            <w:shd w:val="clear" w:color="auto" w:fill="E2E2E2"/>
            <w:tcMar>
              <w:top w:w="40" w:type="dxa"/>
              <w:left w:w="0" w:type="dxa"/>
              <w:bottom w:w="40" w:type="dxa"/>
              <w:right w:w="20" w:type="dxa"/>
            </w:tcMar>
            <w:vAlign w:val="bottom"/>
          </w:tcPr>
          <w:p w14:paraId="1860026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268"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0269"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026A"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26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26C"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026D"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026E"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26F"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270"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0271"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0272" w14:textId="77777777" w:rsidR="00A91885" w:rsidRDefault="009C4196">
            <w:pPr>
              <w:jc w:val="right"/>
              <w:textAlignment w:val="bottom"/>
            </w:pPr>
            <w:r>
              <w:rPr>
                <w:rFonts w:ascii="Arial" w:eastAsia="宋体" w:hAnsi="Arial" w:cs="Arial"/>
                <w:color w:val="000000"/>
                <w:sz w:val="18"/>
                <w:szCs w:val="18"/>
              </w:rPr>
              <w:t>4 </w:t>
            </w:r>
          </w:p>
        </w:tc>
        <w:tc>
          <w:tcPr>
            <w:tcW w:w="0" w:type="auto"/>
            <w:shd w:val="clear" w:color="auto" w:fill="E2E2E2"/>
            <w:tcMar>
              <w:top w:w="40" w:type="dxa"/>
              <w:left w:w="0" w:type="dxa"/>
              <w:bottom w:w="40" w:type="dxa"/>
              <w:right w:w="20" w:type="dxa"/>
            </w:tcMar>
            <w:vAlign w:val="bottom"/>
          </w:tcPr>
          <w:p w14:paraId="18600273" w14:textId="77777777" w:rsidR="00A91885" w:rsidRDefault="00A91885">
            <w:pPr>
              <w:jc w:val="right"/>
              <w:rPr>
                <w:rFonts w:ascii="宋体"/>
              </w:rPr>
            </w:pPr>
          </w:p>
        </w:tc>
      </w:tr>
      <w:tr w:rsidR="00A91885" w14:paraId="18600281" w14:textId="77777777">
        <w:tc>
          <w:tcPr>
            <w:tcW w:w="0" w:type="auto"/>
            <w:gridSpan w:val="3"/>
            <w:shd w:val="clear" w:color="auto" w:fill="FFFFFF"/>
            <w:tcMar>
              <w:top w:w="40" w:type="dxa"/>
              <w:left w:w="245" w:type="dxa"/>
              <w:bottom w:w="40" w:type="dxa"/>
              <w:right w:w="20" w:type="dxa"/>
            </w:tcMar>
            <w:vAlign w:val="bottom"/>
          </w:tcPr>
          <w:p w14:paraId="18600275" w14:textId="77777777" w:rsidR="00A91885" w:rsidRDefault="009C4196">
            <w:pPr>
              <w:textAlignment w:val="bottom"/>
            </w:pPr>
            <w:r>
              <w:rPr>
                <w:rFonts w:ascii="Arial" w:eastAsia="宋体" w:hAnsi="Arial" w:cs="Arial"/>
                <w:color w:val="000000"/>
                <w:sz w:val="18"/>
                <w:szCs w:val="18"/>
              </w:rPr>
              <w:t>Corporate debt securities</w:t>
            </w:r>
          </w:p>
        </w:tc>
        <w:tc>
          <w:tcPr>
            <w:tcW w:w="0" w:type="auto"/>
            <w:gridSpan w:val="2"/>
            <w:shd w:val="clear" w:color="auto" w:fill="FFFFFF"/>
            <w:tcMar>
              <w:top w:w="40" w:type="dxa"/>
              <w:left w:w="20" w:type="dxa"/>
              <w:bottom w:w="40" w:type="dxa"/>
              <w:right w:w="0" w:type="dxa"/>
            </w:tcMar>
            <w:vAlign w:val="bottom"/>
          </w:tcPr>
          <w:p w14:paraId="18600276" w14:textId="77777777" w:rsidR="00A91885" w:rsidRDefault="009C4196">
            <w:pPr>
              <w:jc w:val="right"/>
              <w:textAlignment w:val="bottom"/>
            </w:pPr>
            <w:r>
              <w:rPr>
                <w:rFonts w:ascii="Arial" w:eastAsia="宋体" w:hAnsi="Arial" w:cs="Arial"/>
                <w:color w:val="000000"/>
                <w:sz w:val="18"/>
                <w:szCs w:val="18"/>
              </w:rPr>
              <w:t>807 </w:t>
            </w:r>
          </w:p>
        </w:tc>
        <w:tc>
          <w:tcPr>
            <w:tcW w:w="0" w:type="auto"/>
            <w:shd w:val="clear" w:color="auto" w:fill="FFFFFF"/>
            <w:tcMar>
              <w:top w:w="40" w:type="dxa"/>
              <w:left w:w="0" w:type="dxa"/>
              <w:bottom w:w="40" w:type="dxa"/>
              <w:right w:w="20" w:type="dxa"/>
            </w:tcMar>
            <w:vAlign w:val="bottom"/>
          </w:tcPr>
          <w:p w14:paraId="1860027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7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27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27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7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27C" w14:textId="77777777" w:rsidR="00A91885" w:rsidRDefault="009C4196">
            <w:pPr>
              <w:jc w:val="right"/>
              <w:textAlignment w:val="bottom"/>
            </w:pPr>
            <w:r>
              <w:rPr>
                <w:rFonts w:ascii="Arial" w:eastAsia="宋体" w:hAnsi="Arial" w:cs="Arial"/>
                <w:color w:val="000000"/>
                <w:sz w:val="18"/>
                <w:szCs w:val="18"/>
              </w:rPr>
              <w:t>(40)</w:t>
            </w:r>
          </w:p>
        </w:tc>
        <w:tc>
          <w:tcPr>
            <w:tcW w:w="0" w:type="auto"/>
            <w:shd w:val="clear" w:color="auto" w:fill="FFFFFF"/>
            <w:tcMar>
              <w:top w:w="40" w:type="dxa"/>
              <w:left w:w="0" w:type="dxa"/>
              <w:bottom w:w="40" w:type="dxa"/>
              <w:right w:w="20" w:type="dxa"/>
            </w:tcMar>
            <w:vAlign w:val="bottom"/>
          </w:tcPr>
          <w:p w14:paraId="1860027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7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27F" w14:textId="77777777" w:rsidR="00A91885" w:rsidRDefault="009C4196">
            <w:pPr>
              <w:jc w:val="right"/>
              <w:textAlignment w:val="bottom"/>
            </w:pPr>
            <w:r>
              <w:rPr>
                <w:rFonts w:ascii="Arial" w:eastAsia="宋体" w:hAnsi="Arial" w:cs="Arial"/>
                <w:color w:val="000000"/>
                <w:sz w:val="18"/>
                <w:szCs w:val="18"/>
              </w:rPr>
              <w:t>767 </w:t>
            </w:r>
          </w:p>
        </w:tc>
        <w:tc>
          <w:tcPr>
            <w:tcW w:w="0" w:type="auto"/>
            <w:shd w:val="clear" w:color="auto" w:fill="FFFFFF"/>
            <w:tcMar>
              <w:top w:w="40" w:type="dxa"/>
              <w:left w:w="0" w:type="dxa"/>
              <w:bottom w:w="40" w:type="dxa"/>
              <w:right w:w="20" w:type="dxa"/>
            </w:tcMar>
            <w:vAlign w:val="bottom"/>
          </w:tcPr>
          <w:p w14:paraId="18600280" w14:textId="77777777" w:rsidR="00A91885" w:rsidRDefault="00A91885">
            <w:pPr>
              <w:jc w:val="right"/>
              <w:rPr>
                <w:rFonts w:ascii="宋体"/>
              </w:rPr>
            </w:pPr>
          </w:p>
        </w:tc>
      </w:tr>
      <w:tr w:rsidR="00A91885" w14:paraId="1860028E" w14:textId="77777777">
        <w:tc>
          <w:tcPr>
            <w:tcW w:w="0" w:type="auto"/>
            <w:gridSpan w:val="3"/>
            <w:shd w:val="clear" w:color="auto" w:fill="E2E2E2"/>
            <w:tcMar>
              <w:top w:w="40" w:type="dxa"/>
              <w:left w:w="245" w:type="dxa"/>
              <w:bottom w:w="40" w:type="dxa"/>
              <w:right w:w="20" w:type="dxa"/>
            </w:tcMar>
            <w:vAlign w:val="bottom"/>
          </w:tcPr>
          <w:p w14:paraId="18600282" w14:textId="77777777" w:rsidR="00A91885" w:rsidRDefault="009C4196">
            <w:pPr>
              <w:textAlignment w:val="bottom"/>
            </w:pPr>
            <w:r>
              <w:rPr>
                <w:rFonts w:ascii="Arial" w:eastAsia="宋体" w:hAnsi="Arial" w:cs="Arial"/>
                <w:color w:val="000000"/>
                <w:sz w:val="18"/>
                <w:szCs w:val="18"/>
              </w:rPr>
              <w:t>Government and agency securities</w:t>
            </w:r>
          </w:p>
        </w:tc>
        <w:tc>
          <w:tcPr>
            <w:tcW w:w="0" w:type="auto"/>
            <w:gridSpan w:val="2"/>
            <w:shd w:val="clear" w:color="auto" w:fill="E2E2E2"/>
            <w:tcMar>
              <w:top w:w="40" w:type="dxa"/>
              <w:left w:w="20" w:type="dxa"/>
              <w:bottom w:w="40" w:type="dxa"/>
              <w:right w:w="0" w:type="dxa"/>
            </w:tcMar>
            <w:vAlign w:val="bottom"/>
          </w:tcPr>
          <w:p w14:paraId="18600283" w14:textId="77777777" w:rsidR="00A91885" w:rsidRDefault="009C4196">
            <w:pPr>
              <w:jc w:val="right"/>
              <w:textAlignment w:val="bottom"/>
            </w:pPr>
            <w:r>
              <w:rPr>
                <w:rFonts w:ascii="Arial" w:eastAsia="宋体" w:hAnsi="Arial" w:cs="Arial"/>
                <w:color w:val="000000"/>
                <w:sz w:val="18"/>
                <w:szCs w:val="18"/>
              </w:rPr>
              <w:t>798 </w:t>
            </w:r>
          </w:p>
        </w:tc>
        <w:tc>
          <w:tcPr>
            <w:tcW w:w="0" w:type="auto"/>
            <w:shd w:val="clear" w:color="auto" w:fill="E2E2E2"/>
            <w:tcMar>
              <w:top w:w="40" w:type="dxa"/>
              <w:left w:w="0" w:type="dxa"/>
              <w:bottom w:w="40" w:type="dxa"/>
              <w:right w:w="20" w:type="dxa"/>
            </w:tcMar>
            <w:vAlign w:val="bottom"/>
          </w:tcPr>
          <w:p w14:paraId="18600284" w14:textId="77777777" w:rsidR="00A91885" w:rsidRDefault="00A91885">
            <w:pPr>
              <w:jc w:val="right"/>
              <w:rPr>
                <w:rFonts w:ascii="宋体"/>
              </w:rPr>
            </w:pPr>
          </w:p>
        </w:tc>
        <w:tc>
          <w:tcPr>
            <w:tcW w:w="0" w:type="auto"/>
            <w:gridSpan w:val="3"/>
            <w:shd w:val="clear" w:color="auto" w:fill="E2E2E2"/>
            <w:tcMar>
              <w:top w:w="40" w:type="dxa"/>
              <w:left w:w="20" w:type="dxa"/>
              <w:bottom w:w="40" w:type="dxa"/>
              <w:right w:w="20" w:type="dxa"/>
            </w:tcMar>
            <w:vAlign w:val="bottom"/>
          </w:tcPr>
          <w:p w14:paraId="18600285" w14:textId="77777777" w:rsidR="00A91885" w:rsidRDefault="009C4196">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18600286"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287" w14:textId="77777777" w:rsidR="00A91885" w:rsidRDefault="00A91885">
            <w:pPr>
              <w:jc w:val="right"/>
              <w:rPr>
                <w:rFonts w:ascii="宋体"/>
              </w:rPr>
            </w:pPr>
          </w:p>
        </w:tc>
        <w:tc>
          <w:tcPr>
            <w:tcW w:w="0" w:type="auto"/>
            <w:gridSpan w:val="3"/>
            <w:shd w:val="clear" w:color="auto" w:fill="E2E2E2"/>
            <w:tcMar>
              <w:top w:w="40" w:type="dxa"/>
              <w:left w:w="20" w:type="dxa"/>
              <w:bottom w:w="40" w:type="dxa"/>
              <w:right w:w="20" w:type="dxa"/>
            </w:tcMar>
            <w:vAlign w:val="bottom"/>
          </w:tcPr>
          <w:p w14:paraId="18600288" w14:textId="77777777" w:rsidR="00A91885" w:rsidRDefault="009C4196">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18600289" w14:textId="77777777" w:rsidR="00A91885" w:rsidRDefault="009C4196">
            <w:pPr>
              <w:jc w:val="right"/>
              <w:textAlignment w:val="bottom"/>
            </w:pPr>
            <w:r>
              <w:rPr>
                <w:rFonts w:ascii="Arial" w:eastAsia="宋体" w:hAnsi="Arial" w:cs="Arial"/>
                <w:color w:val="000000"/>
                <w:sz w:val="18"/>
                <w:szCs w:val="18"/>
              </w:rPr>
              <w:t>(36)</w:t>
            </w:r>
          </w:p>
        </w:tc>
        <w:tc>
          <w:tcPr>
            <w:tcW w:w="0" w:type="auto"/>
            <w:shd w:val="clear" w:color="auto" w:fill="E2E2E2"/>
            <w:tcMar>
              <w:top w:w="40" w:type="dxa"/>
              <w:left w:w="0" w:type="dxa"/>
              <w:bottom w:w="40" w:type="dxa"/>
              <w:right w:w="20" w:type="dxa"/>
            </w:tcMar>
            <w:vAlign w:val="bottom"/>
          </w:tcPr>
          <w:p w14:paraId="1860028A" w14:textId="77777777" w:rsidR="00A91885" w:rsidRDefault="00A91885">
            <w:pPr>
              <w:jc w:val="right"/>
              <w:rPr>
                <w:rFonts w:ascii="宋体"/>
              </w:rPr>
            </w:pPr>
          </w:p>
        </w:tc>
        <w:tc>
          <w:tcPr>
            <w:tcW w:w="0" w:type="auto"/>
            <w:gridSpan w:val="3"/>
            <w:shd w:val="clear" w:color="auto" w:fill="E2E2E2"/>
            <w:tcMar>
              <w:top w:w="40" w:type="dxa"/>
              <w:left w:w="20" w:type="dxa"/>
              <w:bottom w:w="40" w:type="dxa"/>
              <w:right w:w="20" w:type="dxa"/>
            </w:tcMar>
            <w:vAlign w:val="bottom"/>
          </w:tcPr>
          <w:p w14:paraId="1860028B" w14:textId="77777777" w:rsidR="00A91885" w:rsidRDefault="009C4196">
            <w:pPr>
              <w:textAlignment w:val="bottom"/>
            </w:pPr>
            <w:r>
              <w:rPr>
                <w:rFonts w:ascii="Arial" w:eastAsia="宋体" w:hAnsi="Arial" w:cs="Arial"/>
                <w:color w:val="000000"/>
                <w:sz w:val="18"/>
                <w:szCs w:val="18"/>
              </w:rPr>
              <w:t> </w:t>
            </w:r>
          </w:p>
        </w:tc>
        <w:tc>
          <w:tcPr>
            <w:tcW w:w="0" w:type="auto"/>
            <w:gridSpan w:val="2"/>
            <w:shd w:val="clear" w:color="auto" w:fill="E2E2E2"/>
            <w:tcMar>
              <w:top w:w="40" w:type="dxa"/>
              <w:left w:w="20" w:type="dxa"/>
              <w:bottom w:w="40" w:type="dxa"/>
              <w:right w:w="0" w:type="dxa"/>
            </w:tcMar>
            <w:vAlign w:val="bottom"/>
          </w:tcPr>
          <w:p w14:paraId="1860028C" w14:textId="77777777" w:rsidR="00A91885" w:rsidRDefault="009C4196">
            <w:pPr>
              <w:jc w:val="right"/>
              <w:textAlignment w:val="bottom"/>
            </w:pPr>
            <w:r>
              <w:rPr>
                <w:rFonts w:ascii="Arial" w:eastAsia="宋体" w:hAnsi="Arial" w:cs="Arial"/>
                <w:color w:val="000000"/>
                <w:sz w:val="18"/>
                <w:szCs w:val="18"/>
              </w:rPr>
              <w:t>762 </w:t>
            </w:r>
          </w:p>
        </w:tc>
        <w:tc>
          <w:tcPr>
            <w:tcW w:w="0" w:type="auto"/>
            <w:shd w:val="clear" w:color="auto" w:fill="E2E2E2"/>
            <w:tcMar>
              <w:top w:w="40" w:type="dxa"/>
              <w:left w:w="0" w:type="dxa"/>
              <w:bottom w:w="40" w:type="dxa"/>
              <w:right w:w="20" w:type="dxa"/>
            </w:tcMar>
            <w:vAlign w:val="bottom"/>
          </w:tcPr>
          <w:p w14:paraId="1860028D" w14:textId="77777777" w:rsidR="00A91885" w:rsidRDefault="00A91885">
            <w:pPr>
              <w:jc w:val="right"/>
              <w:rPr>
                <w:rFonts w:ascii="宋体"/>
              </w:rPr>
            </w:pPr>
          </w:p>
        </w:tc>
      </w:tr>
      <w:tr w:rsidR="00A91885" w14:paraId="1860029F" w14:textId="77777777">
        <w:tc>
          <w:tcPr>
            <w:tcW w:w="0" w:type="auto"/>
            <w:gridSpan w:val="3"/>
            <w:shd w:val="clear" w:color="auto" w:fill="FFFFFF"/>
            <w:tcMar>
              <w:top w:w="0" w:type="dxa"/>
              <w:left w:w="20" w:type="dxa"/>
              <w:bottom w:w="0" w:type="dxa"/>
              <w:right w:w="20" w:type="dxa"/>
            </w:tcMar>
            <w:vAlign w:val="bottom"/>
          </w:tcPr>
          <w:p w14:paraId="1860028F"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29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291" w14:textId="77777777" w:rsidR="00A91885" w:rsidRDefault="009C4196">
            <w:pPr>
              <w:jc w:val="right"/>
              <w:textAlignment w:val="bottom"/>
            </w:pPr>
            <w:r>
              <w:rPr>
                <w:rFonts w:ascii="Arial" w:eastAsia="宋体" w:hAnsi="Arial" w:cs="Arial"/>
                <w:color w:val="000000"/>
                <w:sz w:val="18"/>
                <w:szCs w:val="18"/>
              </w:rPr>
              <w:t>1,609 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29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93"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29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295"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29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97"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29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299" w14:textId="77777777" w:rsidR="00A91885" w:rsidRDefault="009C4196">
            <w:pPr>
              <w:jc w:val="right"/>
              <w:textAlignment w:val="bottom"/>
            </w:pPr>
            <w:r>
              <w:rPr>
                <w:rFonts w:ascii="Arial" w:eastAsia="宋体" w:hAnsi="Arial" w:cs="Arial"/>
                <w:color w:val="000000"/>
                <w:sz w:val="18"/>
                <w:szCs w:val="18"/>
              </w:rPr>
              <w:t>(76)</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29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9B"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29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29D" w14:textId="77777777" w:rsidR="00A91885" w:rsidRDefault="009C4196">
            <w:pPr>
              <w:jc w:val="right"/>
              <w:textAlignment w:val="bottom"/>
            </w:pPr>
            <w:r>
              <w:rPr>
                <w:rFonts w:ascii="Arial" w:eastAsia="宋体" w:hAnsi="Arial" w:cs="Arial"/>
                <w:color w:val="000000"/>
                <w:sz w:val="18"/>
                <w:szCs w:val="18"/>
              </w:rPr>
              <w:t>1,533 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29E" w14:textId="77777777" w:rsidR="00A91885" w:rsidRDefault="00A91885">
            <w:pPr>
              <w:jc w:val="right"/>
              <w:rPr>
                <w:rFonts w:ascii="宋体"/>
              </w:rPr>
            </w:pPr>
          </w:p>
        </w:tc>
      </w:tr>
    </w:tbl>
    <w:p w14:paraId="186002A0" w14:textId="77777777" w:rsidR="00A91885" w:rsidRDefault="00A918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709"/>
        <w:gridCol w:w="37"/>
        <w:gridCol w:w="122"/>
        <w:gridCol w:w="870"/>
        <w:gridCol w:w="36"/>
        <w:gridCol w:w="37"/>
        <w:gridCol w:w="92"/>
        <w:gridCol w:w="36"/>
        <w:gridCol w:w="122"/>
        <w:gridCol w:w="870"/>
        <w:gridCol w:w="36"/>
        <w:gridCol w:w="37"/>
        <w:gridCol w:w="92"/>
        <w:gridCol w:w="36"/>
        <w:gridCol w:w="122"/>
        <w:gridCol w:w="870"/>
        <w:gridCol w:w="36"/>
        <w:gridCol w:w="36"/>
        <w:gridCol w:w="36"/>
        <w:gridCol w:w="36"/>
        <w:gridCol w:w="122"/>
        <w:gridCol w:w="872"/>
        <w:gridCol w:w="36"/>
      </w:tblGrid>
      <w:tr w:rsidR="00A91885" w14:paraId="186002B9" w14:textId="77777777">
        <w:tc>
          <w:tcPr>
            <w:tcW w:w="50" w:type="pct"/>
            <w:shd w:val="clear" w:color="auto" w:fill="auto"/>
            <w:vAlign w:val="bottom"/>
          </w:tcPr>
          <w:p w14:paraId="186002A1" w14:textId="77777777" w:rsidR="00A91885" w:rsidRDefault="00A91885">
            <w:pPr>
              <w:rPr>
                <w:rFonts w:ascii="宋体"/>
              </w:rPr>
            </w:pPr>
          </w:p>
        </w:tc>
        <w:tc>
          <w:tcPr>
            <w:tcW w:w="2313" w:type="pct"/>
            <w:shd w:val="clear" w:color="auto" w:fill="auto"/>
            <w:vAlign w:val="bottom"/>
          </w:tcPr>
          <w:p w14:paraId="186002A2" w14:textId="77777777" w:rsidR="00A91885" w:rsidRDefault="00A91885">
            <w:pPr>
              <w:rPr>
                <w:rFonts w:ascii="宋体"/>
              </w:rPr>
            </w:pPr>
          </w:p>
        </w:tc>
        <w:tc>
          <w:tcPr>
            <w:tcW w:w="5" w:type="pct"/>
            <w:shd w:val="clear" w:color="auto" w:fill="auto"/>
            <w:vAlign w:val="bottom"/>
          </w:tcPr>
          <w:p w14:paraId="186002A3" w14:textId="77777777" w:rsidR="00A91885" w:rsidRDefault="00A91885">
            <w:pPr>
              <w:rPr>
                <w:rFonts w:ascii="宋体"/>
              </w:rPr>
            </w:pPr>
          </w:p>
        </w:tc>
        <w:tc>
          <w:tcPr>
            <w:tcW w:w="50" w:type="pct"/>
            <w:shd w:val="clear" w:color="auto" w:fill="auto"/>
            <w:vAlign w:val="bottom"/>
          </w:tcPr>
          <w:p w14:paraId="186002A4" w14:textId="77777777" w:rsidR="00A91885" w:rsidRDefault="00A91885">
            <w:pPr>
              <w:rPr>
                <w:rFonts w:ascii="宋体"/>
              </w:rPr>
            </w:pPr>
          </w:p>
        </w:tc>
        <w:tc>
          <w:tcPr>
            <w:tcW w:w="580" w:type="pct"/>
            <w:shd w:val="clear" w:color="auto" w:fill="auto"/>
            <w:vAlign w:val="bottom"/>
          </w:tcPr>
          <w:p w14:paraId="186002A5" w14:textId="77777777" w:rsidR="00A91885" w:rsidRDefault="00A91885">
            <w:pPr>
              <w:rPr>
                <w:rFonts w:ascii="宋体"/>
              </w:rPr>
            </w:pPr>
          </w:p>
        </w:tc>
        <w:tc>
          <w:tcPr>
            <w:tcW w:w="5" w:type="pct"/>
            <w:shd w:val="clear" w:color="auto" w:fill="auto"/>
            <w:vAlign w:val="bottom"/>
          </w:tcPr>
          <w:p w14:paraId="186002A6" w14:textId="77777777" w:rsidR="00A91885" w:rsidRDefault="00A91885">
            <w:pPr>
              <w:rPr>
                <w:rFonts w:ascii="宋体"/>
              </w:rPr>
            </w:pPr>
          </w:p>
        </w:tc>
        <w:tc>
          <w:tcPr>
            <w:tcW w:w="5" w:type="pct"/>
            <w:shd w:val="clear" w:color="auto" w:fill="auto"/>
            <w:vAlign w:val="bottom"/>
          </w:tcPr>
          <w:p w14:paraId="186002A7" w14:textId="77777777" w:rsidR="00A91885" w:rsidRDefault="00A91885">
            <w:pPr>
              <w:rPr>
                <w:rFonts w:ascii="宋体"/>
              </w:rPr>
            </w:pPr>
          </w:p>
        </w:tc>
        <w:tc>
          <w:tcPr>
            <w:tcW w:w="19" w:type="pct"/>
            <w:shd w:val="clear" w:color="auto" w:fill="auto"/>
            <w:vAlign w:val="bottom"/>
          </w:tcPr>
          <w:p w14:paraId="186002A8" w14:textId="77777777" w:rsidR="00A91885" w:rsidRDefault="00A91885">
            <w:pPr>
              <w:rPr>
                <w:rFonts w:ascii="宋体"/>
              </w:rPr>
            </w:pPr>
          </w:p>
        </w:tc>
        <w:tc>
          <w:tcPr>
            <w:tcW w:w="5" w:type="pct"/>
            <w:shd w:val="clear" w:color="auto" w:fill="auto"/>
            <w:vAlign w:val="bottom"/>
          </w:tcPr>
          <w:p w14:paraId="186002A9" w14:textId="77777777" w:rsidR="00A91885" w:rsidRDefault="00A91885">
            <w:pPr>
              <w:rPr>
                <w:rFonts w:ascii="宋体"/>
              </w:rPr>
            </w:pPr>
          </w:p>
        </w:tc>
        <w:tc>
          <w:tcPr>
            <w:tcW w:w="50" w:type="pct"/>
            <w:shd w:val="clear" w:color="auto" w:fill="auto"/>
            <w:vAlign w:val="bottom"/>
          </w:tcPr>
          <w:p w14:paraId="186002AA" w14:textId="77777777" w:rsidR="00A91885" w:rsidRDefault="00A91885">
            <w:pPr>
              <w:rPr>
                <w:rFonts w:ascii="宋体"/>
              </w:rPr>
            </w:pPr>
          </w:p>
        </w:tc>
        <w:tc>
          <w:tcPr>
            <w:tcW w:w="580" w:type="pct"/>
            <w:shd w:val="clear" w:color="auto" w:fill="auto"/>
            <w:vAlign w:val="bottom"/>
          </w:tcPr>
          <w:p w14:paraId="186002AB" w14:textId="77777777" w:rsidR="00A91885" w:rsidRDefault="00A91885">
            <w:pPr>
              <w:rPr>
                <w:rFonts w:ascii="宋体"/>
              </w:rPr>
            </w:pPr>
          </w:p>
        </w:tc>
        <w:tc>
          <w:tcPr>
            <w:tcW w:w="5" w:type="pct"/>
            <w:shd w:val="clear" w:color="auto" w:fill="auto"/>
            <w:vAlign w:val="bottom"/>
          </w:tcPr>
          <w:p w14:paraId="186002AC" w14:textId="77777777" w:rsidR="00A91885" w:rsidRDefault="00A91885">
            <w:pPr>
              <w:rPr>
                <w:rFonts w:ascii="宋体"/>
              </w:rPr>
            </w:pPr>
          </w:p>
        </w:tc>
        <w:tc>
          <w:tcPr>
            <w:tcW w:w="5" w:type="pct"/>
            <w:shd w:val="clear" w:color="auto" w:fill="auto"/>
            <w:vAlign w:val="bottom"/>
          </w:tcPr>
          <w:p w14:paraId="186002AD" w14:textId="77777777" w:rsidR="00A91885" w:rsidRDefault="00A91885">
            <w:pPr>
              <w:rPr>
                <w:rFonts w:ascii="宋体"/>
              </w:rPr>
            </w:pPr>
          </w:p>
        </w:tc>
        <w:tc>
          <w:tcPr>
            <w:tcW w:w="19" w:type="pct"/>
            <w:shd w:val="clear" w:color="auto" w:fill="auto"/>
            <w:vAlign w:val="bottom"/>
          </w:tcPr>
          <w:p w14:paraId="186002AE" w14:textId="77777777" w:rsidR="00A91885" w:rsidRDefault="00A91885">
            <w:pPr>
              <w:rPr>
                <w:rFonts w:ascii="宋体"/>
              </w:rPr>
            </w:pPr>
          </w:p>
        </w:tc>
        <w:tc>
          <w:tcPr>
            <w:tcW w:w="5" w:type="pct"/>
            <w:shd w:val="clear" w:color="auto" w:fill="auto"/>
            <w:vAlign w:val="bottom"/>
          </w:tcPr>
          <w:p w14:paraId="186002AF" w14:textId="77777777" w:rsidR="00A91885" w:rsidRDefault="00A91885">
            <w:pPr>
              <w:rPr>
                <w:rFonts w:ascii="宋体"/>
              </w:rPr>
            </w:pPr>
          </w:p>
        </w:tc>
        <w:tc>
          <w:tcPr>
            <w:tcW w:w="50" w:type="pct"/>
            <w:shd w:val="clear" w:color="auto" w:fill="auto"/>
            <w:vAlign w:val="bottom"/>
          </w:tcPr>
          <w:p w14:paraId="186002B0" w14:textId="77777777" w:rsidR="00A91885" w:rsidRDefault="00A91885">
            <w:pPr>
              <w:rPr>
                <w:rFonts w:ascii="宋体"/>
              </w:rPr>
            </w:pPr>
          </w:p>
        </w:tc>
        <w:tc>
          <w:tcPr>
            <w:tcW w:w="580" w:type="pct"/>
            <w:shd w:val="clear" w:color="auto" w:fill="auto"/>
            <w:vAlign w:val="bottom"/>
          </w:tcPr>
          <w:p w14:paraId="186002B1" w14:textId="77777777" w:rsidR="00A91885" w:rsidRDefault="00A91885">
            <w:pPr>
              <w:rPr>
                <w:rFonts w:ascii="宋体"/>
              </w:rPr>
            </w:pPr>
          </w:p>
        </w:tc>
        <w:tc>
          <w:tcPr>
            <w:tcW w:w="5" w:type="pct"/>
            <w:shd w:val="clear" w:color="auto" w:fill="auto"/>
            <w:vAlign w:val="bottom"/>
          </w:tcPr>
          <w:p w14:paraId="186002B2" w14:textId="77777777" w:rsidR="00A91885" w:rsidRDefault="00A91885">
            <w:pPr>
              <w:rPr>
                <w:rFonts w:ascii="宋体"/>
              </w:rPr>
            </w:pPr>
          </w:p>
        </w:tc>
        <w:tc>
          <w:tcPr>
            <w:tcW w:w="5" w:type="pct"/>
            <w:shd w:val="clear" w:color="auto" w:fill="auto"/>
            <w:vAlign w:val="bottom"/>
          </w:tcPr>
          <w:p w14:paraId="186002B3" w14:textId="77777777" w:rsidR="00A91885" w:rsidRDefault="00A91885">
            <w:pPr>
              <w:rPr>
                <w:rFonts w:ascii="宋体"/>
              </w:rPr>
            </w:pPr>
          </w:p>
        </w:tc>
        <w:tc>
          <w:tcPr>
            <w:tcW w:w="19" w:type="pct"/>
            <w:shd w:val="clear" w:color="auto" w:fill="auto"/>
            <w:vAlign w:val="bottom"/>
          </w:tcPr>
          <w:p w14:paraId="186002B4" w14:textId="77777777" w:rsidR="00A91885" w:rsidRDefault="00A91885">
            <w:pPr>
              <w:rPr>
                <w:rFonts w:ascii="宋体"/>
              </w:rPr>
            </w:pPr>
          </w:p>
        </w:tc>
        <w:tc>
          <w:tcPr>
            <w:tcW w:w="5" w:type="pct"/>
            <w:shd w:val="clear" w:color="auto" w:fill="auto"/>
            <w:vAlign w:val="bottom"/>
          </w:tcPr>
          <w:p w14:paraId="186002B5" w14:textId="77777777" w:rsidR="00A91885" w:rsidRDefault="00A91885">
            <w:pPr>
              <w:rPr>
                <w:rFonts w:ascii="宋体"/>
              </w:rPr>
            </w:pPr>
          </w:p>
        </w:tc>
        <w:tc>
          <w:tcPr>
            <w:tcW w:w="50" w:type="pct"/>
            <w:shd w:val="clear" w:color="auto" w:fill="auto"/>
            <w:vAlign w:val="bottom"/>
          </w:tcPr>
          <w:p w14:paraId="186002B6" w14:textId="77777777" w:rsidR="00A91885" w:rsidRDefault="00A91885">
            <w:pPr>
              <w:rPr>
                <w:rFonts w:ascii="宋体"/>
              </w:rPr>
            </w:pPr>
          </w:p>
        </w:tc>
        <w:tc>
          <w:tcPr>
            <w:tcW w:w="581" w:type="pct"/>
            <w:shd w:val="clear" w:color="auto" w:fill="auto"/>
            <w:vAlign w:val="bottom"/>
          </w:tcPr>
          <w:p w14:paraId="186002B7" w14:textId="77777777" w:rsidR="00A91885" w:rsidRDefault="00A91885">
            <w:pPr>
              <w:rPr>
                <w:rFonts w:ascii="宋体"/>
              </w:rPr>
            </w:pPr>
          </w:p>
        </w:tc>
        <w:tc>
          <w:tcPr>
            <w:tcW w:w="5" w:type="pct"/>
            <w:shd w:val="clear" w:color="auto" w:fill="auto"/>
            <w:vAlign w:val="bottom"/>
          </w:tcPr>
          <w:p w14:paraId="186002B8" w14:textId="77777777" w:rsidR="00A91885" w:rsidRDefault="00A91885">
            <w:pPr>
              <w:rPr>
                <w:rFonts w:ascii="宋体"/>
              </w:rPr>
            </w:pPr>
          </w:p>
        </w:tc>
      </w:tr>
      <w:tr w:rsidR="00A91885" w14:paraId="186002BC" w14:textId="77777777">
        <w:tc>
          <w:tcPr>
            <w:tcW w:w="0" w:type="auto"/>
            <w:gridSpan w:val="3"/>
            <w:shd w:val="clear" w:color="auto" w:fill="auto"/>
            <w:tcMar>
              <w:top w:w="40" w:type="dxa"/>
              <w:left w:w="20" w:type="dxa"/>
              <w:bottom w:w="40" w:type="dxa"/>
              <w:right w:w="20" w:type="dxa"/>
            </w:tcMar>
            <w:vAlign w:val="bottom"/>
          </w:tcPr>
          <w:p w14:paraId="186002BA" w14:textId="77777777" w:rsidR="00A91885" w:rsidRDefault="009C4196">
            <w:pPr>
              <w:textAlignment w:val="bottom"/>
            </w:pPr>
            <w:r>
              <w:rPr>
                <w:rFonts w:ascii="Arial" w:eastAsia="宋体" w:hAnsi="Arial" w:cs="Arial"/>
                <w:color w:val="000000"/>
                <w:sz w:val="16"/>
                <w:szCs w:val="16"/>
              </w:rPr>
              <w:t> </w:t>
            </w:r>
          </w:p>
        </w:tc>
        <w:tc>
          <w:tcPr>
            <w:tcW w:w="0" w:type="auto"/>
            <w:gridSpan w:val="21"/>
            <w:shd w:val="clear" w:color="auto" w:fill="auto"/>
            <w:tcMar>
              <w:top w:w="40" w:type="dxa"/>
              <w:left w:w="20" w:type="dxa"/>
              <w:bottom w:w="40" w:type="dxa"/>
              <w:right w:w="20" w:type="dxa"/>
            </w:tcMar>
            <w:vAlign w:val="bottom"/>
          </w:tcPr>
          <w:p w14:paraId="186002BB" w14:textId="77777777" w:rsidR="00A91885" w:rsidRDefault="009C4196">
            <w:pPr>
              <w:jc w:val="center"/>
              <w:textAlignment w:val="bottom"/>
            </w:pPr>
            <w:r>
              <w:rPr>
                <w:rFonts w:ascii="Arial" w:eastAsia="宋体" w:hAnsi="Arial" w:cs="Arial"/>
                <w:b/>
                <w:bCs/>
                <w:color w:val="000000"/>
                <w:sz w:val="17"/>
                <w:szCs w:val="17"/>
              </w:rPr>
              <w:t>December 31, 2021</w:t>
            </w:r>
          </w:p>
        </w:tc>
      </w:tr>
      <w:tr w:rsidR="00A91885" w14:paraId="186002C5" w14:textId="77777777">
        <w:tc>
          <w:tcPr>
            <w:tcW w:w="0" w:type="auto"/>
            <w:gridSpan w:val="3"/>
            <w:shd w:val="clear" w:color="auto" w:fill="auto"/>
            <w:tcMar>
              <w:top w:w="40" w:type="dxa"/>
              <w:left w:w="20" w:type="dxa"/>
              <w:bottom w:w="40" w:type="dxa"/>
              <w:right w:w="20" w:type="dxa"/>
            </w:tcMar>
            <w:vAlign w:val="bottom"/>
          </w:tcPr>
          <w:p w14:paraId="186002BD" w14:textId="77777777" w:rsidR="00A91885" w:rsidRDefault="009C4196">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2BE" w14:textId="77777777" w:rsidR="00A91885" w:rsidRDefault="009C4196">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Amortized</w:t>
            </w:r>
            <w:r>
              <w:rPr>
                <w:rFonts w:ascii="Arial" w:eastAsia="宋体" w:hAnsi="Arial" w:cs="Arial"/>
                <w:b/>
                <w:bCs/>
                <w:color w:val="000000"/>
                <w:sz w:val="17"/>
                <w:szCs w:val="17"/>
              </w:rPr>
              <w:b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2BF"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2C0" w14:textId="77777777" w:rsidR="00A91885" w:rsidRDefault="009C4196">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Unrealized</w:t>
            </w:r>
            <w:r>
              <w:rPr>
                <w:rFonts w:ascii="Arial" w:eastAsia="宋体" w:hAnsi="Arial" w:cs="Arial"/>
                <w:b/>
                <w:bCs/>
                <w:color w:val="000000"/>
                <w:sz w:val="17"/>
                <w:szCs w:val="17"/>
              </w:rPr>
              <w:b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2C1"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2C2" w14:textId="77777777" w:rsidR="00A91885" w:rsidRDefault="009C4196">
            <w:pPr>
              <w:jc w:val="center"/>
              <w:textAlignment w:val="bottom"/>
            </w:pPr>
            <w:r>
              <w:rPr>
                <w:rFonts w:ascii="Arial" w:eastAsia="宋体" w:hAnsi="Arial" w:cs="Arial"/>
                <w:b/>
                <w:bCs/>
                <w:color w:val="000000"/>
                <w:sz w:val="17"/>
                <w:szCs w:val="17"/>
              </w:rPr>
              <w:t>Gross</w:t>
            </w:r>
            <w:r>
              <w:rPr>
                <w:rFonts w:ascii="Arial" w:eastAsia="宋体" w:hAnsi="Arial" w:cs="Arial"/>
                <w:b/>
                <w:bCs/>
                <w:color w:val="000000"/>
                <w:sz w:val="17"/>
                <w:szCs w:val="17"/>
              </w:rPr>
              <w:br/>
              <w:t>Unrealized</w:t>
            </w:r>
            <w:r>
              <w:rPr>
                <w:rFonts w:ascii="Arial" w:eastAsia="宋体" w:hAnsi="Arial" w:cs="Arial"/>
                <w:b/>
                <w:bCs/>
                <w:color w:val="000000"/>
                <w:sz w:val="17"/>
                <w:szCs w:val="17"/>
              </w:rPr>
              <w:br/>
              <w:t>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2C3"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2C4" w14:textId="77777777" w:rsidR="00A91885" w:rsidRDefault="009C4196">
            <w:pPr>
              <w:jc w:val="center"/>
              <w:textAlignment w:val="bottom"/>
            </w:pPr>
            <w:r>
              <w:rPr>
                <w:rFonts w:ascii="Arial" w:eastAsia="宋体" w:hAnsi="Arial" w:cs="Arial"/>
                <w:b/>
                <w:bCs/>
                <w:color w:val="000000"/>
                <w:sz w:val="17"/>
                <w:szCs w:val="17"/>
              </w:rPr>
              <w:t>Estimated</w:t>
            </w:r>
            <w:r>
              <w:rPr>
                <w:rFonts w:ascii="Arial" w:eastAsia="宋体" w:hAnsi="Arial" w:cs="Arial"/>
                <w:b/>
                <w:bCs/>
                <w:color w:val="000000"/>
                <w:sz w:val="17"/>
                <w:szCs w:val="17"/>
              </w:rPr>
              <w:br/>
              <w:t>Fair Value</w:t>
            </w:r>
          </w:p>
        </w:tc>
      </w:tr>
      <w:tr w:rsidR="00A91885" w14:paraId="186002CE" w14:textId="77777777">
        <w:tc>
          <w:tcPr>
            <w:tcW w:w="0" w:type="auto"/>
            <w:gridSpan w:val="3"/>
            <w:shd w:val="clear" w:color="auto" w:fill="E2E2E2"/>
            <w:tcMar>
              <w:top w:w="40" w:type="dxa"/>
              <w:left w:w="20" w:type="dxa"/>
              <w:bottom w:w="40" w:type="dxa"/>
              <w:right w:w="20" w:type="dxa"/>
            </w:tcMar>
            <w:vAlign w:val="bottom"/>
          </w:tcPr>
          <w:p w14:paraId="186002C6" w14:textId="77777777" w:rsidR="00A91885" w:rsidRDefault="009C4196">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2C7"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2C8"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2C9"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2CA"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2CB"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2CC"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2CD" w14:textId="77777777" w:rsidR="00A91885" w:rsidRDefault="00A91885">
            <w:pPr>
              <w:rPr>
                <w:rFonts w:ascii="宋体"/>
              </w:rPr>
            </w:pPr>
          </w:p>
        </w:tc>
      </w:tr>
      <w:tr w:rsidR="00A91885" w14:paraId="186002DF" w14:textId="77777777">
        <w:tc>
          <w:tcPr>
            <w:tcW w:w="0" w:type="auto"/>
            <w:gridSpan w:val="3"/>
            <w:shd w:val="clear" w:color="auto" w:fill="FFFFFF"/>
            <w:tcMar>
              <w:top w:w="40" w:type="dxa"/>
              <w:left w:w="245" w:type="dxa"/>
              <w:bottom w:w="40" w:type="dxa"/>
              <w:right w:w="20" w:type="dxa"/>
            </w:tcMar>
            <w:vAlign w:val="bottom"/>
          </w:tcPr>
          <w:p w14:paraId="186002CF" w14:textId="77777777" w:rsidR="00A91885" w:rsidRDefault="009C4196">
            <w:pPr>
              <w:textAlignment w:val="bottom"/>
            </w:pPr>
            <w:r>
              <w:rPr>
                <w:rFonts w:ascii="Arial" w:eastAsia="宋体" w:hAnsi="Arial" w:cs="Arial"/>
                <w:color w:val="000000"/>
                <w:sz w:val="18"/>
                <w:szCs w:val="18"/>
              </w:rPr>
              <w:t>Restricted cash</w:t>
            </w:r>
          </w:p>
        </w:tc>
        <w:tc>
          <w:tcPr>
            <w:tcW w:w="0" w:type="auto"/>
            <w:shd w:val="clear" w:color="auto" w:fill="FFFFFF"/>
            <w:tcMar>
              <w:top w:w="40" w:type="dxa"/>
              <w:left w:w="20" w:type="dxa"/>
              <w:bottom w:w="40" w:type="dxa"/>
              <w:right w:w="0" w:type="dxa"/>
            </w:tcMar>
            <w:vAlign w:val="bottom"/>
          </w:tcPr>
          <w:p w14:paraId="186002D0"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02D1" w14:textId="77777777" w:rsidR="00A91885" w:rsidRDefault="009C4196">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186002D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D3"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02D4"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02D5"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2D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D7"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02D8"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02D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2D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DB"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02DC"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02DD" w14:textId="77777777" w:rsidR="00A91885" w:rsidRDefault="009C4196">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186002DE" w14:textId="77777777" w:rsidR="00A91885" w:rsidRDefault="00A91885">
            <w:pPr>
              <w:jc w:val="right"/>
              <w:rPr>
                <w:rFonts w:ascii="宋体"/>
              </w:rPr>
            </w:pPr>
          </w:p>
        </w:tc>
      </w:tr>
      <w:tr w:rsidR="00A91885" w14:paraId="186002EC" w14:textId="77777777">
        <w:tc>
          <w:tcPr>
            <w:tcW w:w="0" w:type="auto"/>
            <w:gridSpan w:val="3"/>
            <w:shd w:val="clear" w:color="auto" w:fill="E2E2E2"/>
            <w:tcMar>
              <w:top w:w="40" w:type="dxa"/>
              <w:left w:w="245" w:type="dxa"/>
              <w:bottom w:w="40" w:type="dxa"/>
              <w:right w:w="20" w:type="dxa"/>
            </w:tcMar>
            <w:vAlign w:val="bottom"/>
          </w:tcPr>
          <w:p w14:paraId="186002E0" w14:textId="77777777" w:rsidR="00A91885" w:rsidRDefault="009C4196">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186002E1" w14:textId="77777777" w:rsidR="00A91885" w:rsidRDefault="009C4196">
            <w:pPr>
              <w:jc w:val="right"/>
              <w:textAlignment w:val="bottom"/>
            </w:pPr>
            <w:r>
              <w:rPr>
                <w:rFonts w:ascii="Arial" w:eastAsia="宋体" w:hAnsi="Arial" w:cs="Arial"/>
                <w:color w:val="000000"/>
                <w:sz w:val="18"/>
                <w:szCs w:val="18"/>
              </w:rPr>
              <w:t>4,151 </w:t>
            </w:r>
          </w:p>
        </w:tc>
        <w:tc>
          <w:tcPr>
            <w:tcW w:w="0" w:type="auto"/>
            <w:shd w:val="clear" w:color="auto" w:fill="E2E2E2"/>
            <w:tcMar>
              <w:top w:w="40" w:type="dxa"/>
              <w:left w:w="0" w:type="dxa"/>
              <w:bottom w:w="40" w:type="dxa"/>
              <w:right w:w="20" w:type="dxa"/>
            </w:tcMar>
            <w:vAlign w:val="bottom"/>
          </w:tcPr>
          <w:p w14:paraId="186002E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2E3"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2E4"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186002E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2E6"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2E7"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2E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2E9"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2EA" w14:textId="77777777" w:rsidR="00A91885" w:rsidRDefault="009C4196">
            <w:pPr>
              <w:jc w:val="right"/>
              <w:textAlignment w:val="bottom"/>
            </w:pPr>
            <w:r>
              <w:rPr>
                <w:rFonts w:ascii="Arial" w:eastAsia="宋体" w:hAnsi="Arial" w:cs="Arial"/>
                <w:color w:val="000000"/>
                <w:sz w:val="18"/>
                <w:szCs w:val="18"/>
              </w:rPr>
              <w:t>4,152 </w:t>
            </w:r>
          </w:p>
        </w:tc>
        <w:tc>
          <w:tcPr>
            <w:tcW w:w="0" w:type="auto"/>
            <w:shd w:val="clear" w:color="auto" w:fill="E2E2E2"/>
            <w:tcMar>
              <w:top w:w="40" w:type="dxa"/>
              <w:left w:w="0" w:type="dxa"/>
              <w:bottom w:w="40" w:type="dxa"/>
              <w:right w:w="20" w:type="dxa"/>
            </w:tcMar>
            <w:vAlign w:val="bottom"/>
          </w:tcPr>
          <w:p w14:paraId="186002EB" w14:textId="77777777" w:rsidR="00A91885" w:rsidRDefault="00A91885">
            <w:pPr>
              <w:jc w:val="right"/>
              <w:rPr>
                <w:rFonts w:ascii="宋体"/>
              </w:rPr>
            </w:pPr>
          </w:p>
        </w:tc>
      </w:tr>
      <w:tr w:rsidR="00A91885" w14:paraId="186002F9" w14:textId="77777777">
        <w:tc>
          <w:tcPr>
            <w:tcW w:w="0" w:type="auto"/>
            <w:gridSpan w:val="3"/>
            <w:shd w:val="clear" w:color="auto" w:fill="FFFFFF"/>
            <w:tcMar>
              <w:top w:w="40" w:type="dxa"/>
              <w:left w:w="245" w:type="dxa"/>
              <w:bottom w:w="40" w:type="dxa"/>
              <w:right w:w="20" w:type="dxa"/>
            </w:tcMar>
            <w:vAlign w:val="bottom"/>
          </w:tcPr>
          <w:p w14:paraId="186002ED" w14:textId="77777777" w:rsidR="00A91885" w:rsidRDefault="009C4196">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186002EE" w14:textId="77777777" w:rsidR="00A91885" w:rsidRDefault="009C4196">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186002E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F0"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2F1"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2F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F3"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2F4"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2F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2F6"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2F7" w14:textId="77777777" w:rsidR="00A91885" w:rsidRDefault="009C4196">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186002F8" w14:textId="77777777" w:rsidR="00A91885" w:rsidRDefault="00A91885">
            <w:pPr>
              <w:jc w:val="right"/>
              <w:rPr>
                <w:rFonts w:ascii="宋体"/>
              </w:rPr>
            </w:pPr>
          </w:p>
        </w:tc>
      </w:tr>
      <w:tr w:rsidR="00A91885" w14:paraId="18600302" w14:textId="77777777">
        <w:trPr>
          <w:hidden/>
        </w:trPr>
        <w:tc>
          <w:tcPr>
            <w:tcW w:w="0" w:type="auto"/>
            <w:gridSpan w:val="3"/>
            <w:shd w:val="clear" w:color="auto" w:fill="auto"/>
            <w:vAlign w:val="bottom"/>
          </w:tcPr>
          <w:p w14:paraId="186002FA" w14:textId="77777777" w:rsidR="00A91885" w:rsidRDefault="00A91885">
            <w:pPr>
              <w:rPr>
                <w:rFonts w:ascii="宋体"/>
                <w:vanish/>
              </w:rPr>
            </w:pPr>
          </w:p>
        </w:tc>
        <w:tc>
          <w:tcPr>
            <w:tcW w:w="0" w:type="auto"/>
            <w:gridSpan w:val="3"/>
            <w:shd w:val="clear" w:color="auto" w:fill="auto"/>
            <w:vAlign w:val="bottom"/>
          </w:tcPr>
          <w:p w14:paraId="186002FB" w14:textId="77777777" w:rsidR="00A91885" w:rsidRDefault="00A91885">
            <w:pPr>
              <w:rPr>
                <w:rFonts w:ascii="宋体"/>
                <w:vanish/>
              </w:rPr>
            </w:pPr>
          </w:p>
        </w:tc>
        <w:tc>
          <w:tcPr>
            <w:tcW w:w="0" w:type="auto"/>
            <w:gridSpan w:val="3"/>
            <w:shd w:val="clear" w:color="auto" w:fill="auto"/>
            <w:vAlign w:val="bottom"/>
          </w:tcPr>
          <w:p w14:paraId="186002FC" w14:textId="77777777" w:rsidR="00A91885" w:rsidRDefault="00A91885">
            <w:pPr>
              <w:rPr>
                <w:rFonts w:ascii="宋体"/>
                <w:vanish/>
              </w:rPr>
            </w:pPr>
          </w:p>
        </w:tc>
        <w:tc>
          <w:tcPr>
            <w:tcW w:w="0" w:type="auto"/>
            <w:gridSpan w:val="3"/>
            <w:shd w:val="clear" w:color="auto" w:fill="auto"/>
            <w:vAlign w:val="bottom"/>
          </w:tcPr>
          <w:p w14:paraId="186002FD" w14:textId="77777777" w:rsidR="00A91885" w:rsidRDefault="00A91885">
            <w:pPr>
              <w:rPr>
                <w:rFonts w:ascii="宋体"/>
                <w:vanish/>
              </w:rPr>
            </w:pPr>
          </w:p>
        </w:tc>
        <w:tc>
          <w:tcPr>
            <w:tcW w:w="0" w:type="auto"/>
            <w:gridSpan w:val="3"/>
            <w:shd w:val="clear" w:color="auto" w:fill="auto"/>
            <w:vAlign w:val="bottom"/>
          </w:tcPr>
          <w:p w14:paraId="186002FE" w14:textId="77777777" w:rsidR="00A91885" w:rsidRDefault="00A91885">
            <w:pPr>
              <w:rPr>
                <w:rFonts w:ascii="宋体"/>
                <w:vanish/>
              </w:rPr>
            </w:pPr>
          </w:p>
        </w:tc>
        <w:tc>
          <w:tcPr>
            <w:tcW w:w="0" w:type="auto"/>
            <w:gridSpan w:val="3"/>
            <w:shd w:val="clear" w:color="auto" w:fill="auto"/>
            <w:vAlign w:val="bottom"/>
          </w:tcPr>
          <w:p w14:paraId="186002FF" w14:textId="77777777" w:rsidR="00A91885" w:rsidRDefault="00A91885">
            <w:pPr>
              <w:rPr>
                <w:rFonts w:ascii="宋体"/>
                <w:vanish/>
              </w:rPr>
            </w:pPr>
          </w:p>
        </w:tc>
        <w:tc>
          <w:tcPr>
            <w:tcW w:w="0" w:type="auto"/>
            <w:gridSpan w:val="3"/>
            <w:shd w:val="clear" w:color="auto" w:fill="auto"/>
            <w:vAlign w:val="bottom"/>
          </w:tcPr>
          <w:p w14:paraId="18600300" w14:textId="77777777" w:rsidR="00A91885" w:rsidRDefault="00A91885">
            <w:pPr>
              <w:rPr>
                <w:rFonts w:ascii="宋体"/>
                <w:vanish/>
              </w:rPr>
            </w:pPr>
          </w:p>
        </w:tc>
        <w:tc>
          <w:tcPr>
            <w:tcW w:w="0" w:type="auto"/>
            <w:gridSpan w:val="3"/>
            <w:shd w:val="clear" w:color="auto" w:fill="auto"/>
            <w:vAlign w:val="bottom"/>
          </w:tcPr>
          <w:p w14:paraId="18600301" w14:textId="77777777" w:rsidR="00A91885" w:rsidRDefault="00A91885">
            <w:pPr>
              <w:rPr>
                <w:rFonts w:ascii="宋体"/>
                <w:vanish/>
              </w:rPr>
            </w:pPr>
          </w:p>
        </w:tc>
      </w:tr>
      <w:tr w:rsidR="00A91885" w14:paraId="1860030B" w14:textId="77777777">
        <w:trPr>
          <w:hidden/>
        </w:trPr>
        <w:tc>
          <w:tcPr>
            <w:tcW w:w="0" w:type="auto"/>
            <w:gridSpan w:val="3"/>
            <w:shd w:val="clear" w:color="auto" w:fill="auto"/>
            <w:vAlign w:val="bottom"/>
          </w:tcPr>
          <w:p w14:paraId="18600303" w14:textId="77777777" w:rsidR="00A91885" w:rsidRDefault="00A91885">
            <w:pPr>
              <w:rPr>
                <w:rFonts w:ascii="宋体"/>
                <w:vanish/>
              </w:rPr>
            </w:pPr>
          </w:p>
        </w:tc>
        <w:tc>
          <w:tcPr>
            <w:tcW w:w="0" w:type="auto"/>
            <w:gridSpan w:val="3"/>
            <w:shd w:val="clear" w:color="auto" w:fill="auto"/>
            <w:vAlign w:val="bottom"/>
          </w:tcPr>
          <w:p w14:paraId="18600304" w14:textId="77777777" w:rsidR="00A91885" w:rsidRDefault="00A91885">
            <w:pPr>
              <w:rPr>
                <w:rFonts w:ascii="宋体"/>
                <w:vanish/>
              </w:rPr>
            </w:pPr>
          </w:p>
        </w:tc>
        <w:tc>
          <w:tcPr>
            <w:tcW w:w="0" w:type="auto"/>
            <w:gridSpan w:val="3"/>
            <w:shd w:val="clear" w:color="auto" w:fill="auto"/>
            <w:vAlign w:val="bottom"/>
          </w:tcPr>
          <w:p w14:paraId="18600305" w14:textId="77777777" w:rsidR="00A91885" w:rsidRDefault="00A91885">
            <w:pPr>
              <w:rPr>
                <w:rFonts w:ascii="宋体"/>
                <w:vanish/>
              </w:rPr>
            </w:pPr>
          </w:p>
        </w:tc>
        <w:tc>
          <w:tcPr>
            <w:tcW w:w="0" w:type="auto"/>
            <w:gridSpan w:val="3"/>
            <w:shd w:val="clear" w:color="auto" w:fill="auto"/>
            <w:vAlign w:val="bottom"/>
          </w:tcPr>
          <w:p w14:paraId="18600306" w14:textId="77777777" w:rsidR="00A91885" w:rsidRDefault="00A91885">
            <w:pPr>
              <w:rPr>
                <w:rFonts w:ascii="宋体"/>
                <w:vanish/>
              </w:rPr>
            </w:pPr>
          </w:p>
        </w:tc>
        <w:tc>
          <w:tcPr>
            <w:tcW w:w="0" w:type="auto"/>
            <w:gridSpan w:val="3"/>
            <w:shd w:val="clear" w:color="auto" w:fill="auto"/>
            <w:vAlign w:val="bottom"/>
          </w:tcPr>
          <w:p w14:paraId="18600307" w14:textId="77777777" w:rsidR="00A91885" w:rsidRDefault="00A91885">
            <w:pPr>
              <w:rPr>
                <w:rFonts w:ascii="宋体"/>
                <w:vanish/>
              </w:rPr>
            </w:pPr>
          </w:p>
        </w:tc>
        <w:tc>
          <w:tcPr>
            <w:tcW w:w="0" w:type="auto"/>
            <w:gridSpan w:val="3"/>
            <w:shd w:val="clear" w:color="auto" w:fill="auto"/>
            <w:vAlign w:val="bottom"/>
          </w:tcPr>
          <w:p w14:paraId="18600308" w14:textId="77777777" w:rsidR="00A91885" w:rsidRDefault="00A91885">
            <w:pPr>
              <w:rPr>
                <w:rFonts w:ascii="宋体"/>
                <w:vanish/>
              </w:rPr>
            </w:pPr>
          </w:p>
        </w:tc>
        <w:tc>
          <w:tcPr>
            <w:tcW w:w="0" w:type="auto"/>
            <w:gridSpan w:val="3"/>
            <w:shd w:val="clear" w:color="auto" w:fill="auto"/>
            <w:vAlign w:val="bottom"/>
          </w:tcPr>
          <w:p w14:paraId="18600309" w14:textId="77777777" w:rsidR="00A91885" w:rsidRDefault="00A91885">
            <w:pPr>
              <w:rPr>
                <w:rFonts w:ascii="宋体"/>
                <w:vanish/>
              </w:rPr>
            </w:pPr>
          </w:p>
        </w:tc>
        <w:tc>
          <w:tcPr>
            <w:tcW w:w="0" w:type="auto"/>
            <w:gridSpan w:val="3"/>
            <w:shd w:val="clear" w:color="auto" w:fill="auto"/>
            <w:vAlign w:val="bottom"/>
          </w:tcPr>
          <w:p w14:paraId="1860030A" w14:textId="77777777" w:rsidR="00A91885" w:rsidRDefault="00A91885">
            <w:pPr>
              <w:rPr>
                <w:rFonts w:ascii="宋体"/>
                <w:vanish/>
              </w:rPr>
            </w:pPr>
          </w:p>
        </w:tc>
      </w:tr>
      <w:tr w:rsidR="00A91885" w14:paraId="1860031C" w14:textId="77777777">
        <w:tc>
          <w:tcPr>
            <w:tcW w:w="0" w:type="auto"/>
            <w:gridSpan w:val="3"/>
            <w:shd w:val="clear" w:color="auto" w:fill="E2E2E2"/>
            <w:tcMar>
              <w:top w:w="0" w:type="dxa"/>
              <w:left w:w="20" w:type="dxa"/>
              <w:bottom w:w="0" w:type="dxa"/>
              <w:right w:w="20" w:type="dxa"/>
            </w:tcMar>
            <w:vAlign w:val="bottom"/>
          </w:tcPr>
          <w:p w14:paraId="1860030C"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30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30E" w14:textId="77777777" w:rsidR="00A91885" w:rsidRDefault="009C4196">
            <w:pPr>
              <w:jc w:val="right"/>
              <w:textAlignment w:val="bottom"/>
            </w:pPr>
            <w:r>
              <w:rPr>
                <w:rFonts w:ascii="Arial" w:eastAsia="宋体" w:hAnsi="Arial" w:cs="Arial"/>
                <w:color w:val="000000"/>
                <w:sz w:val="18"/>
                <w:szCs w:val="18"/>
              </w:rPr>
              <w:t>4,198 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30F"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310"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31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312" w14:textId="77777777" w:rsidR="00A91885" w:rsidRDefault="009C4196">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31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314"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31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316"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31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318"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31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31A" w14:textId="77777777" w:rsidR="00A91885" w:rsidRDefault="009C4196">
            <w:pPr>
              <w:jc w:val="right"/>
              <w:textAlignment w:val="bottom"/>
            </w:pPr>
            <w:r>
              <w:rPr>
                <w:rFonts w:ascii="Arial" w:eastAsia="宋体" w:hAnsi="Arial" w:cs="Arial"/>
                <w:color w:val="000000"/>
                <w:sz w:val="18"/>
                <w:szCs w:val="18"/>
              </w:rPr>
              <w:t>4,199 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31B" w14:textId="77777777" w:rsidR="00A91885" w:rsidRDefault="00A91885">
            <w:pPr>
              <w:jc w:val="right"/>
              <w:rPr>
                <w:rFonts w:ascii="宋体"/>
              </w:rPr>
            </w:pPr>
          </w:p>
        </w:tc>
      </w:tr>
      <w:tr w:rsidR="00A91885" w14:paraId="18600325" w14:textId="77777777">
        <w:tc>
          <w:tcPr>
            <w:tcW w:w="0" w:type="auto"/>
            <w:gridSpan w:val="3"/>
            <w:shd w:val="clear" w:color="auto" w:fill="FFFFFF"/>
            <w:tcMar>
              <w:top w:w="40" w:type="dxa"/>
              <w:left w:w="20" w:type="dxa"/>
              <w:bottom w:w="40" w:type="dxa"/>
              <w:right w:w="20" w:type="dxa"/>
            </w:tcMar>
            <w:vAlign w:val="bottom"/>
          </w:tcPr>
          <w:p w14:paraId="1860031D" w14:textId="77777777" w:rsidR="00A91885" w:rsidRDefault="009C4196">
            <w:pPr>
              <w:textAlignment w:val="bottom"/>
            </w:pPr>
            <w:r>
              <w:rPr>
                <w:rFonts w:ascii="Arial" w:eastAsia="宋体" w:hAnsi="Arial" w:cs="Arial"/>
                <w:color w:val="000000"/>
                <w:sz w:val="18"/>
                <w:szCs w:val="18"/>
              </w:rPr>
              <w:t>Long-term investments: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60031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31F"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600320"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321"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600322"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323"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600324" w14:textId="77777777" w:rsidR="00A91885" w:rsidRDefault="00A91885">
            <w:pPr>
              <w:rPr>
                <w:rFonts w:ascii="宋体"/>
              </w:rPr>
            </w:pPr>
          </w:p>
        </w:tc>
      </w:tr>
      <w:tr w:rsidR="00A91885" w14:paraId="18600336" w14:textId="77777777">
        <w:tc>
          <w:tcPr>
            <w:tcW w:w="0" w:type="auto"/>
            <w:gridSpan w:val="3"/>
            <w:shd w:val="clear" w:color="auto" w:fill="E2E2E2"/>
            <w:tcMar>
              <w:top w:w="40" w:type="dxa"/>
              <w:left w:w="245" w:type="dxa"/>
              <w:bottom w:w="40" w:type="dxa"/>
              <w:right w:w="20" w:type="dxa"/>
            </w:tcMar>
            <w:vAlign w:val="bottom"/>
          </w:tcPr>
          <w:p w14:paraId="18600326" w14:textId="77777777" w:rsidR="00A91885" w:rsidRDefault="009C4196">
            <w:pPr>
              <w:textAlignment w:val="bottom"/>
            </w:pPr>
            <w:r>
              <w:rPr>
                <w:rFonts w:ascii="Arial" w:eastAsia="宋体" w:hAnsi="Arial" w:cs="Arial"/>
                <w:color w:val="000000"/>
                <w:sz w:val="18"/>
                <w:szCs w:val="18"/>
              </w:rPr>
              <w:t>Corporate debt securities</w:t>
            </w:r>
          </w:p>
        </w:tc>
        <w:tc>
          <w:tcPr>
            <w:tcW w:w="0" w:type="auto"/>
            <w:shd w:val="clear" w:color="auto" w:fill="E2E2E2"/>
            <w:tcMar>
              <w:top w:w="40" w:type="dxa"/>
              <w:left w:w="20" w:type="dxa"/>
              <w:bottom w:w="40" w:type="dxa"/>
              <w:right w:w="0" w:type="dxa"/>
            </w:tcMar>
            <w:vAlign w:val="bottom"/>
          </w:tcPr>
          <w:p w14:paraId="18600327"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0328" w14:textId="77777777" w:rsidR="00A91885" w:rsidRDefault="009C4196">
            <w:pPr>
              <w:jc w:val="right"/>
              <w:textAlignment w:val="bottom"/>
            </w:pPr>
            <w:r>
              <w:rPr>
                <w:rFonts w:ascii="Arial" w:eastAsia="宋体" w:hAnsi="Arial" w:cs="Arial"/>
                <w:color w:val="000000"/>
                <w:sz w:val="18"/>
                <w:szCs w:val="18"/>
              </w:rPr>
              <w:t>954 </w:t>
            </w:r>
          </w:p>
        </w:tc>
        <w:tc>
          <w:tcPr>
            <w:tcW w:w="0" w:type="auto"/>
            <w:shd w:val="clear" w:color="auto" w:fill="E2E2E2"/>
            <w:tcMar>
              <w:top w:w="40" w:type="dxa"/>
              <w:left w:w="0" w:type="dxa"/>
              <w:bottom w:w="40" w:type="dxa"/>
              <w:right w:w="20" w:type="dxa"/>
            </w:tcMar>
            <w:vAlign w:val="bottom"/>
          </w:tcPr>
          <w:p w14:paraId="18600329"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32A"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032B"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032C"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1860032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32E"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032F"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0330" w14:textId="77777777" w:rsidR="00A91885" w:rsidRDefault="009C4196">
            <w:pPr>
              <w:jc w:val="right"/>
              <w:textAlignment w:val="bottom"/>
            </w:pPr>
            <w:r>
              <w:rPr>
                <w:rFonts w:ascii="Arial" w:eastAsia="宋体" w:hAnsi="Arial" w:cs="Arial"/>
                <w:color w:val="000000"/>
                <w:sz w:val="18"/>
                <w:szCs w:val="18"/>
              </w:rPr>
              <w:t>(5)</w:t>
            </w:r>
          </w:p>
        </w:tc>
        <w:tc>
          <w:tcPr>
            <w:tcW w:w="0" w:type="auto"/>
            <w:shd w:val="clear" w:color="auto" w:fill="E2E2E2"/>
            <w:tcMar>
              <w:top w:w="40" w:type="dxa"/>
              <w:left w:w="0" w:type="dxa"/>
              <w:bottom w:w="40" w:type="dxa"/>
              <w:right w:w="20" w:type="dxa"/>
            </w:tcMar>
            <w:vAlign w:val="bottom"/>
          </w:tcPr>
          <w:p w14:paraId="1860033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332"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0333"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0334" w14:textId="77777777" w:rsidR="00A91885" w:rsidRDefault="009C4196">
            <w:pPr>
              <w:jc w:val="right"/>
              <w:textAlignment w:val="bottom"/>
            </w:pPr>
            <w:r>
              <w:rPr>
                <w:rFonts w:ascii="Arial" w:eastAsia="宋体" w:hAnsi="Arial" w:cs="Arial"/>
                <w:color w:val="000000"/>
                <w:sz w:val="18"/>
                <w:szCs w:val="18"/>
              </w:rPr>
              <w:t>950 </w:t>
            </w:r>
          </w:p>
        </w:tc>
        <w:tc>
          <w:tcPr>
            <w:tcW w:w="0" w:type="auto"/>
            <w:shd w:val="clear" w:color="auto" w:fill="E2E2E2"/>
            <w:tcMar>
              <w:top w:w="40" w:type="dxa"/>
              <w:left w:w="0" w:type="dxa"/>
              <w:bottom w:w="40" w:type="dxa"/>
              <w:right w:w="20" w:type="dxa"/>
            </w:tcMar>
            <w:vAlign w:val="bottom"/>
          </w:tcPr>
          <w:p w14:paraId="18600335" w14:textId="77777777" w:rsidR="00A91885" w:rsidRDefault="00A91885">
            <w:pPr>
              <w:jc w:val="right"/>
              <w:rPr>
                <w:rFonts w:ascii="宋体"/>
              </w:rPr>
            </w:pPr>
          </w:p>
        </w:tc>
      </w:tr>
      <w:tr w:rsidR="00A91885" w14:paraId="18600343" w14:textId="77777777">
        <w:tc>
          <w:tcPr>
            <w:tcW w:w="0" w:type="auto"/>
            <w:gridSpan w:val="3"/>
            <w:shd w:val="clear" w:color="auto" w:fill="FFFFFF"/>
            <w:tcMar>
              <w:top w:w="40" w:type="dxa"/>
              <w:left w:w="245" w:type="dxa"/>
              <w:bottom w:w="40" w:type="dxa"/>
              <w:right w:w="20" w:type="dxa"/>
            </w:tcMar>
            <w:vAlign w:val="bottom"/>
          </w:tcPr>
          <w:p w14:paraId="18600337" w14:textId="77777777" w:rsidR="00A91885" w:rsidRDefault="009C4196">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18600338" w14:textId="77777777" w:rsidR="00A91885" w:rsidRDefault="009C4196">
            <w:pPr>
              <w:jc w:val="right"/>
              <w:textAlignment w:val="bottom"/>
            </w:pPr>
            <w:r>
              <w:rPr>
                <w:rFonts w:ascii="Arial" w:eastAsia="宋体" w:hAnsi="Arial" w:cs="Arial"/>
                <w:color w:val="000000"/>
                <w:sz w:val="18"/>
                <w:szCs w:val="18"/>
              </w:rPr>
              <w:t>779 </w:t>
            </w:r>
          </w:p>
        </w:tc>
        <w:tc>
          <w:tcPr>
            <w:tcW w:w="0" w:type="auto"/>
            <w:shd w:val="clear" w:color="auto" w:fill="FFFFFF"/>
            <w:tcMar>
              <w:top w:w="40" w:type="dxa"/>
              <w:left w:w="0" w:type="dxa"/>
              <w:bottom w:w="40" w:type="dxa"/>
              <w:right w:w="20" w:type="dxa"/>
            </w:tcMar>
            <w:vAlign w:val="bottom"/>
          </w:tcPr>
          <w:p w14:paraId="18600339" w14:textId="77777777" w:rsidR="00A91885" w:rsidRDefault="00A91885">
            <w:pPr>
              <w:jc w:val="right"/>
              <w:rPr>
                <w:rFonts w:ascii="宋体"/>
              </w:rPr>
            </w:pPr>
          </w:p>
        </w:tc>
        <w:tc>
          <w:tcPr>
            <w:tcW w:w="0" w:type="auto"/>
            <w:gridSpan w:val="3"/>
            <w:shd w:val="clear" w:color="auto" w:fill="FFFFFF"/>
            <w:tcMar>
              <w:top w:w="40" w:type="dxa"/>
              <w:left w:w="20" w:type="dxa"/>
              <w:bottom w:w="40" w:type="dxa"/>
              <w:right w:w="20" w:type="dxa"/>
            </w:tcMar>
            <w:vAlign w:val="bottom"/>
          </w:tcPr>
          <w:p w14:paraId="1860033A" w14:textId="77777777" w:rsidR="00A91885" w:rsidRDefault="009C4196">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1860033B"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33C" w14:textId="77777777" w:rsidR="00A91885" w:rsidRDefault="00A91885">
            <w:pPr>
              <w:jc w:val="right"/>
              <w:rPr>
                <w:rFonts w:ascii="宋体"/>
              </w:rPr>
            </w:pPr>
          </w:p>
        </w:tc>
        <w:tc>
          <w:tcPr>
            <w:tcW w:w="0" w:type="auto"/>
            <w:gridSpan w:val="3"/>
            <w:shd w:val="clear" w:color="auto" w:fill="FFFFFF"/>
            <w:tcMar>
              <w:top w:w="40" w:type="dxa"/>
              <w:left w:w="20" w:type="dxa"/>
              <w:bottom w:w="40" w:type="dxa"/>
              <w:right w:w="20" w:type="dxa"/>
            </w:tcMar>
            <w:vAlign w:val="bottom"/>
          </w:tcPr>
          <w:p w14:paraId="1860033D" w14:textId="77777777" w:rsidR="00A91885" w:rsidRDefault="009C4196">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1860033E"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1860033F" w14:textId="77777777" w:rsidR="00A91885" w:rsidRDefault="00A91885">
            <w:pPr>
              <w:jc w:val="right"/>
              <w:rPr>
                <w:rFonts w:ascii="宋体"/>
              </w:rPr>
            </w:pPr>
          </w:p>
        </w:tc>
        <w:tc>
          <w:tcPr>
            <w:tcW w:w="0" w:type="auto"/>
            <w:gridSpan w:val="3"/>
            <w:shd w:val="clear" w:color="auto" w:fill="FFFFFF"/>
            <w:tcMar>
              <w:top w:w="40" w:type="dxa"/>
              <w:left w:w="20" w:type="dxa"/>
              <w:bottom w:w="40" w:type="dxa"/>
              <w:right w:w="20" w:type="dxa"/>
            </w:tcMar>
            <w:vAlign w:val="bottom"/>
          </w:tcPr>
          <w:p w14:paraId="18600340" w14:textId="77777777" w:rsidR="00A91885" w:rsidRDefault="009C4196">
            <w:pPr>
              <w:textAlignment w:val="bottom"/>
            </w:pPr>
            <w:r>
              <w:rPr>
                <w:rFonts w:ascii="Arial" w:eastAsia="宋体" w:hAnsi="Arial" w:cs="Arial"/>
                <w:color w:val="000000"/>
                <w:sz w:val="18"/>
                <w:szCs w:val="18"/>
              </w:rPr>
              <w:t> </w:t>
            </w:r>
          </w:p>
        </w:tc>
        <w:tc>
          <w:tcPr>
            <w:tcW w:w="0" w:type="auto"/>
            <w:gridSpan w:val="2"/>
            <w:shd w:val="clear" w:color="auto" w:fill="FFFFFF"/>
            <w:tcMar>
              <w:top w:w="40" w:type="dxa"/>
              <w:left w:w="20" w:type="dxa"/>
              <w:bottom w:w="40" w:type="dxa"/>
              <w:right w:w="0" w:type="dxa"/>
            </w:tcMar>
            <w:vAlign w:val="bottom"/>
          </w:tcPr>
          <w:p w14:paraId="18600341" w14:textId="77777777" w:rsidR="00A91885" w:rsidRDefault="009C4196">
            <w:pPr>
              <w:jc w:val="right"/>
              <w:textAlignment w:val="bottom"/>
            </w:pPr>
            <w:r>
              <w:rPr>
                <w:rFonts w:ascii="Arial" w:eastAsia="宋体" w:hAnsi="Arial" w:cs="Arial"/>
                <w:color w:val="000000"/>
                <w:sz w:val="18"/>
                <w:szCs w:val="18"/>
              </w:rPr>
              <w:t>777 </w:t>
            </w:r>
          </w:p>
        </w:tc>
        <w:tc>
          <w:tcPr>
            <w:tcW w:w="0" w:type="auto"/>
            <w:shd w:val="clear" w:color="auto" w:fill="FFFFFF"/>
            <w:tcMar>
              <w:top w:w="40" w:type="dxa"/>
              <w:left w:w="0" w:type="dxa"/>
              <w:bottom w:w="40" w:type="dxa"/>
              <w:right w:w="20" w:type="dxa"/>
            </w:tcMar>
            <w:vAlign w:val="bottom"/>
          </w:tcPr>
          <w:p w14:paraId="18600342" w14:textId="77777777" w:rsidR="00A91885" w:rsidRDefault="00A91885">
            <w:pPr>
              <w:jc w:val="right"/>
              <w:rPr>
                <w:rFonts w:ascii="宋体"/>
              </w:rPr>
            </w:pPr>
          </w:p>
        </w:tc>
      </w:tr>
      <w:tr w:rsidR="00A91885" w14:paraId="18600354" w14:textId="77777777">
        <w:tc>
          <w:tcPr>
            <w:tcW w:w="0" w:type="auto"/>
            <w:gridSpan w:val="3"/>
            <w:shd w:val="clear" w:color="auto" w:fill="E2E2E2"/>
            <w:tcMar>
              <w:top w:w="0" w:type="dxa"/>
              <w:left w:w="20" w:type="dxa"/>
              <w:bottom w:w="0" w:type="dxa"/>
              <w:right w:w="20" w:type="dxa"/>
            </w:tcMar>
            <w:vAlign w:val="bottom"/>
          </w:tcPr>
          <w:p w14:paraId="18600344"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34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346" w14:textId="77777777" w:rsidR="00A91885" w:rsidRDefault="009C4196">
            <w:pPr>
              <w:jc w:val="right"/>
              <w:textAlignment w:val="bottom"/>
            </w:pPr>
            <w:r>
              <w:rPr>
                <w:rFonts w:ascii="Arial" w:eastAsia="宋体" w:hAnsi="Arial" w:cs="Arial"/>
                <w:color w:val="000000"/>
                <w:sz w:val="18"/>
                <w:szCs w:val="18"/>
              </w:rPr>
              <w:t>1,733 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34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348"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34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34A" w14:textId="77777777" w:rsidR="00A91885" w:rsidRDefault="009C4196">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34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34C"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34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34E" w14:textId="77777777" w:rsidR="00A91885" w:rsidRDefault="009C4196">
            <w:pPr>
              <w:jc w:val="right"/>
              <w:textAlignment w:val="bottom"/>
            </w:pPr>
            <w:r>
              <w:rPr>
                <w:rFonts w:ascii="Arial" w:eastAsia="宋体" w:hAnsi="Arial" w:cs="Arial"/>
                <w:color w:val="000000"/>
                <w:sz w:val="18"/>
                <w:szCs w:val="18"/>
              </w:rPr>
              <w:t>(7)</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34F"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350"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35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352" w14:textId="77777777" w:rsidR="00A91885" w:rsidRDefault="009C4196">
            <w:pPr>
              <w:jc w:val="right"/>
              <w:textAlignment w:val="bottom"/>
            </w:pPr>
            <w:r>
              <w:rPr>
                <w:rFonts w:ascii="Arial" w:eastAsia="宋体" w:hAnsi="Arial" w:cs="Arial"/>
                <w:color w:val="000000"/>
                <w:sz w:val="18"/>
                <w:szCs w:val="18"/>
              </w:rPr>
              <w:t>1,727 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353" w14:textId="77777777" w:rsidR="00A91885" w:rsidRDefault="00A91885">
            <w:pPr>
              <w:jc w:val="right"/>
              <w:rPr>
                <w:rFonts w:ascii="宋体"/>
              </w:rPr>
            </w:pPr>
          </w:p>
        </w:tc>
      </w:tr>
    </w:tbl>
    <w:p w14:paraId="18600355" w14:textId="77777777" w:rsidR="00A91885" w:rsidRDefault="00A91885"/>
    <w:p w14:paraId="18600356" w14:textId="77777777" w:rsidR="00A91885" w:rsidRDefault="009C4196">
      <w:pPr>
        <w:ind w:firstLine="540"/>
        <w:jc w:val="both"/>
      </w:pPr>
      <w:r>
        <w:rPr>
          <w:rFonts w:ascii="Arial" w:eastAsia="宋体" w:hAnsi="Arial" w:cs="Arial"/>
          <w:color w:val="000000"/>
          <w:sz w:val="20"/>
          <w:szCs w:val="20"/>
        </w:rPr>
        <w:t>We consider cash to be restricted when withdrawal or general use is legally restricted. Restricted cash is held primarily in interest bearing accounts primarily related to our global sabbatical program. Our fixed-income investments consist of predominantly</w:t>
      </w:r>
      <w:r>
        <w:rPr>
          <w:rFonts w:ascii="Arial" w:eastAsia="宋体" w:hAnsi="Arial" w:cs="Arial"/>
          <w:color w:val="000000"/>
          <w:sz w:val="20"/>
          <w:szCs w:val="20"/>
        </w:rPr>
        <w:t xml:space="preserve"> investment grade corporate debt securities and government and agency securities. The corporate debt and government and agency securities that we invest in are generally deemed to be low risk based on their credit ratings from the major rating agencies. </w:t>
      </w:r>
    </w:p>
    <w:p w14:paraId="18600357" w14:textId="77777777" w:rsidR="00A91885" w:rsidRDefault="00A91885">
      <w:pPr>
        <w:ind w:firstLine="540"/>
        <w:jc w:val="both"/>
      </w:pPr>
    </w:p>
    <w:p w14:paraId="18600358" w14:textId="77777777" w:rsidR="00A91885" w:rsidRDefault="009C4196">
      <w:pPr>
        <w:ind w:firstLine="540"/>
        <w:jc w:val="both"/>
      </w:pPr>
      <w:r>
        <w:rPr>
          <w:rFonts w:ascii="Arial" w:eastAsia="宋体" w:hAnsi="Arial" w:cs="Arial"/>
          <w:color w:val="000000"/>
          <w:sz w:val="20"/>
          <w:szCs w:val="20"/>
        </w:rPr>
        <w:t>The longer the duration of these securities, the more susceptible they are to changes in market interest rates and bond yields. As interest rates increase, those securities purchased at a lower yield show a mark-to-market unrealized loss. The unrealized l</w:t>
      </w:r>
      <w:r>
        <w:rPr>
          <w:rFonts w:ascii="Arial" w:eastAsia="宋体" w:hAnsi="Arial" w:cs="Arial"/>
          <w:color w:val="000000"/>
          <w:sz w:val="20"/>
          <w:szCs w:val="20"/>
        </w:rPr>
        <w:t>osses are due primarily to changes in credit spreads and interest rates. We regularly review investment securities for other-than-temporary impairment using both qualitative and quantitative criteria</w:t>
      </w:r>
      <w:r>
        <w:rPr>
          <w:rFonts w:ascii="Arial" w:eastAsia="宋体" w:hAnsi="Arial" w:cs="Arial"/>
          <w:color w:val="EE2724"/>
          <w:sz w:val="20"/>
          <w:szCs w:val="20"/>
        </w:rPr>
        <w:t>.</w:t>
      </w:r>
      <w:r>
        <w:rPr>
          <w:rFonts w:ascii="Arial" w:eastAsia="宋体" w:hAnsi="Arial" w:cs="Arial"/>
          <w:color w:val="000000"/>
          <w:sz w:val="20"/>
          <w:szCs w:val="20"/>
        </w:rPr>
        <w:t xml:space="preserve"> Investments classified as available-for-sale debt secur</w:t>
      </w:r>
      <w:r>
        <w:rPr>
          <w:rFonts w:ascii="Arial" w:eastAsia="宋体" w:hAnsi="Arial" w:cs="Arial"/>
          <w:color w:val="000000"/>
          <w:sz w:val="20"/>
          <w:szCs w:val="20"/>
        </w:rPr>
        <w:t>ities are carried at fair value with changes reflected in other comprehensive income. Where there is an intention or a requirement to sell an impaired available-for-sale debt security, the entire impairment is recognized in earnings with a corresponding ad</w:t>
      </w:r>
      <w:r>
        <w:rPr>
          <w:rFonts w:ascii="Arial" w:eastAsia="宋体" w:hAnsi="Arial" w:cs="Arial"/>
          <w:color w:val="000000"/>
          <w:sz w:val="20"/>
          <w:szCs w:val="20"/>
        </w:rPr>
        <w:t>justment to the amortized cost basis of the security. From time to time, we sell available-for-sale debt securities in an unrealized loss position and recognize an immaterial loss.</w:t>
      </w:r>
    </w:p>
    <w:p w14:paraId="18600359" w14:textId="77777777" w:rsidR="00A91885" w:rsidRDefault="00A91885">
      <w:pPr>
        <w:ind w:firstLine="540"/>
        <w:jc w:val="both"/>
      </w:pPr>
    </w:p>
    <w:p w14:paraId="1860035A" w14:textId="77777777" w:rsidR="00A91885" w:rsidRDefault="00A91885">
      <w:pPr>
        <w:jc w:val="center"/>
      </w:pPr>
    </w:p>
    <w:p w14:paraId="1860035B" w14:textId="77777777" w:rsidR="00A91885" w:rsidRDefault="009C4196">
      <w:pPr>
        <w:jc w:val="center"/>
      </w:pPr>
      <w:r>
        <w:rPr>
          <w:rFonts w:ascii="Arial" w:eastAsia="宋体" w:hAnsi="Arial" w:cs="Arial"/>
          <w:color w:val="000000"/>
          <w:sz w:val="20"/>
          <w:szCs w:val="20"/>
        </w:rPr>
        <w:t>18</w:t>
      </w:r>
    </w:p>
    <w:p w14:paraId="1860035C" w14:textId="77777777" w:rsidR="00A91885" w:rsidRDefault="009C4196">
      <w:r>
        <w:pict w14:anchorId="18602195">
          <v:rect id="_x0000_i1042" style="width:415.3pt;height:1.5pt" o:hralign="center" o:hrstd="t" o:hr="t" fillcolor="#a0a0a0" stroked="f"/>
        </w:pict>
      </w:r>
    </w:p>
    <w:p w14:paraId="1860035D" w14:textId="77777777" w:rsidR="00A91885" w:rsidRDefault="009C4196">
      <w:hyperlink r:id="rId102" w:anchor="ieb971428a625452486c65ae24899afca_7" w:history="1">
        <w:r>
          <w:rPr>
            <w:rStyle w:val="a5"/>
            <w:rFonts w:ascii="Arial" w:eastAsia="宋体" w:hAnsi="Arial" w:cs="Arial"/>
            <w:sz w:val="18"/>
            <w:szCs w:val="18"/>
          </w:rPr>
          <w:t>Table of Contents</w:t>
        </w:r>
      </w:hyperlink>
    </w:p>
    <w:p w14:paraId="1860035E" w14:textId="77777777" w:rsidR="00A91885" w:rsidRDefault="009C4196">
      <w:pPr>
        <w:jc w:val="center"/>
      </w:pPr>
      <w:r>
        <w:rPr>
          <w:rFonts w:ascii="Arial" w:eastAsia="宋体" w:hAnsi="Arial" w:cs="Arial"/>
          <w:b/>
          <w:bCs/>
          <w:color w:val="000000"/>
          <w:sz w:val="20"/>
          <w:szCs w:val="20"/>
        </w:rPr>
        <w:t>eBay Inc.</w:t>
      </w:r>
    </w:p>
    <w:p w14:paraId="1860035F"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0360" w14:textId="77777777" w:rsidR="00A91885" w:rsidRDefault="009C4196">
      <w:pPr>
        <w:ind w:firstLine="540"/>
        <w:jc w:val="both"/>
      </w:pPr>
      <w:r>
        <w:rPr>
          <w:rFonts w:ascii="Arial" w:eastAsia="宋体" w:hAnsi="Arial" w:cs="Arial"/>
          <w:color w:val="000000"/>
          <w:sz w:val="20"/>
          <w:szCs w:val="20"/>
        </w:rPr>
        <w:t>We regularly review investment securities for credit impairment using both qua</w:t>
      </w:r>
      <w:r>
        <w:rPr>
          <w:rFonts w:ascii="Arial" w:eastAsia="宋体" w:hAnsi="Arial" w:cs="Arial"/>
          <w:color w:val="000000"/>
          <w:sz w:val="20"/>
          <w:szCs w:val="20"/>
        </w:rPr>
        <w:t>litative and quantitative criteria. In making this assessment, we consider the extent to which fair value is less than amortized cost, any changes to the rating of the security by a rating agency, any adverse conditions specifically related to the security</w:t>
      </w:r>
      <w:r>
        <w:rPr>
          <w:rFonts w:ascii="Arial" w:eastAsia="宋体" w:hAnsi="Arial" w:cs="Arial"/>
          <w:color w:val="000000"/>
          <w:sz w:val="20"/>
          <w:szCs w:val="20"/>
        </w:rPr>
        <w:t xml:space="preserve">, among other factors. If this assessment indicates that a credit loss exists, the present value of cash flows expected to be collected from the security are compared to the amortized cost basis of the security. If the present value of cash flows expected </w:t>
      </w:r>
      <w:r>
        <w:rPr>
          <w:rFonts w:ascii="Arial" w:eastAsia="宋体" w:hAnsi="Arial" w:cs="Arial"/>
          <w:color w:val="000000"/>
          <w:sz w:val="20"/>
          <w:szCs w:val="20"/>
        </w:rPr>
        <w:t>to be collected is less than the amortized cost basis, a credit loss exists and an allowance for credit losses will be recorded through interest and other, net for the credit loss, limited by the amount that the fair value is less than the amortized cost b</w:t>
      </w:r>
      <w:r>
        <w:rPr>
          <w:rFonts w:ascii="Arial" w:eastAsia="宋体" w:hAnsi="Arial" w:cs="Arial"/>
          <w:color w:val="000000"/>
          <w:sz w:val="20"/>
          <w:szCs w:val="20"/>
        </w:rPr>
        <w:t xml:space="preserve">asis. Any impairment that has not been recorded through an allowance for credit losses is recognized in other comprehensive income. We did not recognize any credit-related impairment through an allowance for credit losses as of June 30, 2022. </w:t>
      </w:r>
    </w:p>
    <w:p w14:paraId="18600361" w14:textId="77777777" w:rsidR="00A91885" w:rsidRDefault="00A91885">
      <w:pPr>
        <w:ind w:firstLine="540"/>
        <w:jc w:val="both"/>
      </w:pPr>
    </w:p>
    <w:p w14:paraId="18600362" w14:textId="77777777" w:rsidR="00A91885" w:rsidRDefault="009C4196">
      <w:pPr>
        <w:ind w:firstLine="540"/>
        <w:jc w:val="both"/>
      </w:pPr>
      <w:r>
        <w:rPr>
          <w:rFonts w:ascii="Arial" w:eastAsia="宋体" w:hAnsi="Arial" w:cs="Arial"/>
          <w:color w:val="000000"/>
          <w:sz w:val="20"/>
          <w:szCs w:val="20"/>
        </w:rPr>
        <w:t xml:space="preserve">Investment </w:t>
      </w:r>
      <w:r>
        <w:rPr>
          <w:rFonts w:ascii="Arial" w:eastAsia="宋体" w:hAnsi="Arial" w:cs="Arial"/>
          <w:color w:val="000000"/>
          <w:sz w:val="20"/>
          <w:szCs w:val="20"/>
        </w:rPr>
        <w:t>securities in a continuous loss position for less than 12 months had an estimated fair value of $3.1 billion and unrealized losses of $73 million as of June 30, 2022, and an estimated fair value of $3.1 billion and an immaterial amount of unrealized losses</w:t>
      </w:r>
      <w:r>
        <w:rPr>
          <w:rFonts w:ascii="Arial" w:eastAsia="宋体" w:hAnsi="Arial" w:cs="Arial"/>
          <w:color w:val="000000"/>
          <w:sz w:val="20"/>
          <w:szCs w:val="20"/>
        </w:rPr>
        <w:t xml:space="preserve"> as of December 31, 2021. Investment securities in a continuous loss position for greater than 12 months had an estimated fair value of $69 million and an immaterial amount of unrealized losses as of June 30, 2022, and there were no investment securities i</w:t>
      </w:r>
      <w:r>
        <w:rPr>
          <w:rFonts w:ascii="Arial" w:eastAsia="宋体" w:hAnsi="Arial" w:cs="Arial"/>
          <w:color w:val="000000"/>
          <w:sz w:val="20"/>
          <w:szCs w:val="20"/>
        </w:rPr>
        <w:t xml:space="preserve">n a continuous loss position for greater than 12 months as of December 31, 2021. Refer to “Note 15 — Accumulated Other Comprehensive Income” for amounts reclassified to earnings from unrealized gains and losses. </w:t>
      </w:r>
    </w:p>
    <w:p w14:paraId="18600363" w14:textId="77777777" w:rsidR="00A91885" w:rsidRDefault="00A91885">
      <w:pPr>
        <w:ind w:firstLine="540"/>
      </w:pPr>
    </w:p>
    <w:p w14:paraId="18600364" w14:textId="77777777" w:rsidR="00A91885" w:rsidRDefault="009C4196">
      <w:pPr>
        <w:spacing w:after="120"/>
        <w:ind w:firstLine="540"/>
        <w:jc w:val="both"/>
      </w:pPr>
      <w:r>
        <w:rPr>
          <w:rFonts w:ascii="Arial" w:eastAsia="宋体" w:hAnsi="Arial" w:cs="Arial"/>
          <w:color w:val="000000"/>
          <w:sz w:val="20"/>
          <w:szCs w:val="20"/>
        </w:rPr>
        <w:t>The following table presents estimated fai</w:t>
      </w:r>
      <w:r>
        <w:rPr>
          <w:rFonts w:ascii="Arial" w:eastAsia="宋体" w:hAnsi="Arial" w:cs="Arial"/>
          <w:color w:val="000000"/>
          <w:sz w:val="20"/>
          <w:szCs w:val="20"/>
        </w:rPr>
        <w:t>r values of our short-term and long-term investments classified as available-for-sale debt securities and restricted cash by date of contractual maturity as of the date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52"/>
        <w:gridCol w:w="7081"/>
        <w:gridCol w:w="36"/>
        <w:gridCol w:w="121"/>
        <w:gridCol w:w="1010"/>
        <w:gridCol w:w="36"/>
      </w:tblGrid>
      <w:tr w:rsidR="00A91885" w14:paraId="1860036B" w14:textId="77777777">
        <w:tc>
          <w:tcPr>
            <w:tcW w:w="50" w:type="pct"/>
            <w:shd w:val="clear" w:color="auto" w:fill="auto"/>
            <w:vAlign w:val="bottom"/>
          </w:tcPr>
          <w:p w14:paraId="18600365" w14:textId="77777777" w:rsidR="00A91885" w:rsidRDefault="00A91885">
            <w:pPr>
              <w:rPr>
                <w:rFonts w:ascii="宋体"/>
              </w:rPr>
            </w:pPr>
          </w:p>
        </w:tc>
        <w:tc>
          <w:tcPr>
            <w:tcW w:w="4265" w:type="pct"/>
            <w:shd w:val="clear" w:color="auto" w:fill="auto"/>
            <w:vAlign w:val="bottom"/>
          </w:tcPr>
          <w:p w14:paraId="18600366" w14:textId="77777777" w:rsidR="00A91885" w:rsidRDefault="00A91885">
            <w:pPr>
              <w:rPr>
                <w:rFonts w:ascii="宋体"/>
              </w:rPr>
            </w:pPr>
          </w:p>
        </w:tc>
        <w:tc>
          <w:tcPr>
            <w:tcW w:w="5" w:type="pct"/>
            <w:shd w:val="clear" w:color="auto" w:fill="auto"/>
            <w:vAlign w:val="bottom"/>
          </w:tcPr>
          <w:p w14:paraId="18600367" w14:textId="77777777" w:rsidR="00A91885" w:rsidRDefault="00A91885">
            <w:pPr>
              <w:rPr>
                <w:rFonts w:ascii="宋体"/>
              </w:rPr>
            </w:pPr>
          </w:p>
        </w:tc>
        <w:tc>
          <w:tcPr>
            <w:tcW w:w="50" w:type="pct"/>
            <w:shd w:val="clear" w:color="auto" w:fill="auto"/>
            <w:vAlign w:val="bottom"/>
          </w:tcPr>
          <w:p w14:paraId="18600368" w14:textId="77777777" w:rsidR="00A91885" w:rsidRDefault="00A91885">
            <w:pPr>
              <w:rPr>
                <w:rFonts w:ascii="宋体"/>
              </w:rPr>
            </w:pPr>
          </w:p>
        </w:tc>
        <w:tc>
          <w:tcPr>
            <w:tcW w:w="624" w:type="pct"/>
            <w:shd w:val="clear" w:color="auto" w:fill="auto"/>
            <w:vAlign w:val="bottom"/>
          </w:tcPr>
          <w:p w14:paraId="18600369" w14:textId="77777777" w:rsidR="00A91885" w:rsidRDefault="00A91885">
            <w:pPr>
              <w:rPr>
                <w:rFonts w:ascii="宋体"/>
              </w:rPr>
            </w:pPr>
          </w:p>
        </w:tc>
        <w:tc>
          <w:tcPr>
            <w:tcW w:w="5" w:type="pct"/>
            <w:shd w:val="clear" w:color="auto" w:fill="auto"/>
            <w:vAlign w:val="bottom"/>
          </w:tcPr>
          <w:p w14:paraId="1860036A" w14:textId="77777777" w:rsidR="00A91885" w:rsidRDefault="00A91885">
            <w:pPr>
              <w:rPr>
                <w:rFonts w:ascii="宋体"/>
              </w:rPr>
            </w:pPr>
          </w:p>
        </w:tc>
      </w:tr>
      <w:tr w:rsidR="00A91885" w14:paraId="1860036E" w14:textId="77777777">
        <w:tc>
          <w:tcPr>
            <w:tcW w:w="0" w:type="auto"/>
            <w:gridSpan w:val="3"/>
            <w:shd w:val="clear" w:color="auto" w:fill="auto"/>
            <w:tcMar>
              <w:top w:w="40" w:type="dxa"/>
              <w:left w:w="20" w:type="dxa"/>
              <w:bottom w:w="40" w:type="dxa"/>
              <w:right w:w="20" w:type="dxa"/>
            </w:tcMar>
            <w:vAlign w:val="bottom"/>
          </w:tcPr>
          <w:p w14:paraId="1860036C" w14:textId="77777777" w:rsidR="00A91885" w:rsidRDefault="009C4196">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860036D" w14:textId="77777777" w:rsidR="00A91885" w:rsidRDefault="009C4196">
            <w:pPr>
              <w:jc w:val="center"/>
              <w:textAlignment w:val="bottom"/>
            </w:pPr>
            <w:r>
              <w:rPr>
                <w:rFonts w:ascii="Arial" w:eastAsia="宋体" w:hAnsi="Arial" w:cs="Arial"/>
                <w:b/>
                <w:bCs/>
                <w:color w:val="000000"/>
                <w:sz w:val="17"/>
                <w:szCs w:val="17"/>
              </w:rPr>
              <w:t>June 30, 2022</w:t>
            </w:r>
          </w:p>
        </w:tc>
      </w:tr>
      <w:tr w:rsidR="00A91885" w14:paraId="18600373" w14:textId="77777777">
        <w:tc>
          <w:tcPr>
            <w:tcW w:w="0" w:type="auto"/>
            <w:gridSpan w:val="3"/>
            <w:shd w:val="clear" w:color="auto" w:fill="E2E2E2"/>
            <w:tcMar>
              <w:top w:w="40" w:type="dxa"/>
              <w:left w:w="20" w:type="dxa"/>
              <w:bottom w:w="40" w:type="dxa"/>
              <w:right w:w="20" w:type="dxa"/>
            </w:tcMar>
            <w:vAlign w:val="bottom"/>
          </w:tcPr>
          <w:p w14:paraId="1860036F" w14:textId="77777777" w:rsidR="00A91885" w:rsidRDefault="009C4196">
            <w:pPr>
              <w:textAlignment w:val="bottom"/>
            </w:pPr>
            <w:r>
              <w:rPr>
                <w:rFonts w:ascii="Arial" w:eastAsia="宋体" w:hAnsi="Arial" w:cs="Arial"/>
                <w:color w:val="000000"/>
                <w:sz w:val="18"/>
                <w:szCs w:val="18"/>
              </w:rPr>
              <w:t xml:space="preserve">One year or less (including </w:t>
            </w:r>
            <w:r>
              <w:rPr>
                <w:rFonts w:ascii="Arial" w:eastAsia="宋体" w:hAnsi="Arial" w:cs="Arial"/>
                <w:color w:val="000000"/>
                <w:sz w:val="18"/>
                <w:szCs w:val="18"/>
              </w:rPr>
              <w:t>restricted cash of $26)</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037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371" w14:textId="77777777" w:rsidR="00A91885" w:rsidRDefault="009C4196">
            <w:pPr>
              <w:jc w:val="right"/>
              <w:textAlignment w:val="bottom"/>
            </w:pPr>
            <w:r>
              <w:rPr>
                <w:rFonts w:ascii="Arial" w:eastAsia="宋体" w:hAnsi="Arial" w:cs="Arial"/>
                <w:color w:val="000000"/>
                <w:sz w:val="18"/>
                <w:szCs w:val="18"/>
              </w:rPr>
              <w:t>1,261 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372" w14:textId="77777777" w:rsidR="00A91885" w:rsidRDefault="00A91885">
            <w:pPr>
              <w:jc w:val="right"/>
              <w:rPr>
                <w:rFonts w:ascii="宋体"/>
              </w:rPr>
            </w:pPr>
          </w:p>
        </w:tc>
      </w:tr>
      <w:tr w:rsidR="00A91885" w14:paraId="18600377" w14:textId="77777777">
        <w:tc>
          <w:tcPr>
            <w:tcW w:w="0" w:type="auto"/>
            <w:gridSpan w:val="3"/>
            <w:shd w:val="clear" w:color="auto" w:fill="FFFFFF"/>
            <w:tcMar>
              <w:top w:w="40" w:type="dxa"/>
              <w:left w:w="20" w:type="dxa"/>
              <w:bottom w:w="40" w:type="dxa"/>
              <w:right w:w="20" w:type="dxa"/>
            </w:tcMar>
            <w:vAlign w:val="bottom"/>
          </w:tcPr>
          <w:p w14:paraId="18600374" w14:textId="77777777" w:rsidR="00A91885" w:rsidRDefault="009C4196">
            <w:pPr>
              <w:textAlignment w:val="bottom"/>
            </w:pPr>
            <w:r>
              <w:rPr>
                <w:rFonts w:ascii="Arial" w:eastAsia="宋体" w:hAnsi="Arial" w:cs="Arial"/>
                <w:color w:val="000000"/>
                <w:sz w:val="18"/>
                <w:szCs w:val="18"/>
              </w:rPr>
              <w:t>One year through two years (including restricted cash of $4)</w:t>
            </w:r>
          </w:p>
        </w:tc>
        <w:tc>
          <w:tcPr>
            <w:tcW w:w="0" w:type="auto"/>
            <w:gridSpan w:val="2"/>
            <w:shd w:val="clear" w:color="auto" w:fill="FFFFFF"/>
            <w:tcMar>
              <w:top w:w="40" w:type="dxa"/>
              <w:left w:w="20" w:type="dxa"/>
              <w:bottom w:w="40" w:type="dxa"/>
              <w:right w:w="0" w:type="dxa"/>
            </w:tcMar>
            <w:vAlign w:val="bottom"/>
          </w:tcPr>
          <w:p w14:paraId="18600375" w14:textId="77777777" w:rsidR="00A91885" w:rsidRDefault="009C4196">
            <w:pPr>
              <w:jc w:val="right"/>
              <w:textAlignment w:val="bottom"/>
            </w:pPr>
            <w:r>
              <w:rPr>
                <w:rFonts w:ascii="Arial" w:eastAsia="宋体" w:hAnsi="Arial" w:cs="Arial"/>
                <w:color w:val="000000"/>
                <w:sz w:val="18"/>
                <w:szCs w:val="18"/>
              </w:rPr>
              <w:t>560 </w:t>
            </w:r>
          </w:p>
        </w:tc>
        <w:tc>
          <w:tcPr>
            <w:tcW w:w="0" w:type="auto"/>
            <w:shd w:val="clear" w:color="auto" w:fill="FFFFFF"/>
            <w:tcMar>
              <w:top w:w="40" w:type="dxa"/>
              <w:left w:w="0" w:type="dxa"/>
              <w:bottom w:w="40" w:type="dxa"/>
              <w:right w:w="20" w:type="dxa"/>
            </w:tcMar>
            <w:vAlign w:val="bottom"/>
          </w:tcPr>
          <w:p w14:paraId="18600376" w14:textId="77777777" w:rsidR="00A91885" w:rsidRDefault="00A91885">
            <w:pPr>
              <w:jc w:val="right"/>
              <w:rPr>
                <w:rFonts w:ascii="宋体"/>
              </w:rPr>
            </w:pPr>
          </w:p>
        </w:tc>
      </w:tr>
      <w:tr w:rsidR="00A91885" w14:paraId="1860037B" w14:textId="77777777">
        <w:tc>
          <w:tcPr>
            <w:tcW w:w="0" w:type="auto"/>
            <w:gridSpan w:val="3"/>
            <w:shd w:val="clear" w:color="auto" w:fill="E2E2E2"/>
            <w:tcMar>
              <w:top w:w="40" w:type="dxa"/>
              <w:left w:w="20" w:type="dxa"/>
              <w:bottom w:w="40" w:type="dxa"/>
              <w:right w:w="20" w:type="dxa"/>
            </w:tcMar>
            <w:vAlign w:val="bottom"/>
          </w:tcPr>
          <w:p w14:paraId="18600378" w14:textId="77777777" w:rsidR="00A91885" w:rsidRDefault="009C4196">
            <w:pPr>
              <w:textAlignment w:val="bottom"/>
            </w:pPr>
            <w:r>
              <w:rPr>
                <w:rFonts w:ascii="Arial" w:eastAsia="宋体" w:hAnsi="Arial" w:cs="Arial"/>
                <w:color w:val="000000"/>
                <w:sz w:val="18"/>
                <w:szCs w:val="18"/>
              </w:rPr>
              <w:t>Two years through three years</w:t>
            </w:r>
          </w:p>
        </w:tc>
        <w:tc>
          <w:tcPr>
            <w:tcW w:w="0" w:type="auto"/>
            <w:gridSpan w:val="2"/>
            <w:shd w:val="clear" w:color="auto" w:fill="E2E2E2"/>
            <w:tcMar>
              <w:top w:w="40" w:type="dxa"/>
              <w:left w:w="20" w:type="dxa"/>
              <w:bottom w:w="40" w:type="dxa"/>
              <w:right w:w="0" w:type="dxa"/>
            </w:tcMar>
            <w:vAlign w:val="bottom"/>
          </w:tcPr>
          <w:p w14:paraId="18600379" w14:textId="77777777" w:rsidR="00A91885" w:rsidRDefault="009C4196">
            <w:pPr>
              <w:jc w:val="right"/>
              <w:textAlignment w:val="bottom"/>
            </w:pPr>
            <w:r>
              <w:rPr>
                <w:rFonts w:ascii="Arial" w:eastAsia="宋体" w:hAnsi="Arial" w:cs="Arial"/>
                <w:color w:val="000000"/>
                <w:sz w:val="18"/>
                <w:szCs w:val="18"/>
              </w:rPr>
              <w:t>657 </w:t>
            </w:r>
          </w:p>
        </w:tc>
        <w:tc>
          <w:tcPr>
            <w:tcW w:w="0" w:type="auto"/>
            <w:shd w:val="clear" w:color="auto" w:fill="E2E2E2"/>
            <w:tcMar>
              <w:top w:w="40" w:type="dxa"/>
              <w:left w:w="0" w:type="dxa"/>
              <w:bottom w:w="40" w:type="dxa"/>
              <w:right w:w="20" w:type="dxa"/>
            </w:tcMar>
            <w:vAlign w:val="bottom"/>
          </w:tcPr>
          <w:p w14:paraId="1860037A" w14:textId="77777777" w:rsidR="00A91885" w:rsidRDefault="00A91885">
            <w:pPr>
              <w:jc w:val="right"/>
              <w:rPr>
                <w:rFonts w:ascii="宋体"/>
              </w:rPr>
            </w:pPr>
          </w:p>
        </w:tc>
      </w:tr>
      <w:tr w:rsidR="00A91885" w14:paraId="1860037F" w14:textId="77777777">
        <w:tc>
          <w:tcPr>
            <w:tcW w:w="0" w:type="auto"/>
            <w:gridSpan w:val="3"/>
            <w:shd w:val="clear" w:color="auto" w:fill="FFFFFF"/>
            <w:tcMar>
              <w:top w:w="40" w:type="dxa"/>
              <w:left w:w="20" w:type="dxa"/>
              <w:bottom w:w="40" w:type="dxa"/>
              <w:right w:w="20" w:type="dxa"/>
            </w:tcMar>
            <w:vAlign w:val="bottom"/>
          </w:tcPr>
          <w:p w14:paraId="1860037C" w14:textId="77777777" w:rsidR="00A91885" w:rsidRDefault="009C4196">
            <w:pPr>
              <w:textAlignment w:val="bottom"/>
            </w:pPr>
            <w:r>
              <w:rPr>
                <w:rFonts w:ascii="Arial" w:eastAsia="宋体" w:hAnsi="Arial" w:cs="Arial"/>
                <w:color w:val="000000"/>
                <w:sz w:val="18"/>
                <w:szCs w:val="18"/>
              </w:rPr>
              <w:t>Three years through four years</w:t>
            </w:r>
          </w:p>
        </w:tc>
        <w:tc>
          <w:tcPr>
            <w:tcW w:w="0" w:type="auto"/>
            <w:gridSpan w:val="2"/>
            <w:shd w:val="clear" w:color="auto" w:fill="FFFFFF"/>
            <w:tcMar>
              <w:top w:w="40" w:type="dxa"/>
              <w:left w:w="20" w:type="dxa"/>
              <w:bottom w:w="40" w:type="dxa"/>
              <w:right w:w="0" w:type="dxa"/>
            </w:tcMar>
            <w:vAlign w:val="bottom"/>
          </w:tcPr>
          <w:p w14:paraId="1860037D" w14:textId="77777777" w:rsidR="00A91885" w:rsidRDefault="009C4196">
            <w:pPr>
              <w:jc w:val="right"/>
              <w:textAlignment w:val="bottom"/>
            </w:pPr>
            <w:r>
              <w:rPr>
                <w:rFonts w:ascii="Arial" w:eastAsia="宋体" w:hAnsi="Arial" w:cs="Arial"/>
                <w:color w:val="000000"/>
                <w:sz w:val="18"/>
                <w:szCs w:val="18"/>
              </w:rPr>
              <w:t>242 </w:t>
            </w:r>
          </w:p>
        </w:tc>
        <w:tc>
          <w:tcPr>
            <w:tcW w:w="0" w:type="auto"/>
            <w:shd w:val="clear" w:color="auto" w:fill="FFFFFF"/>
            <w:tcMar>
              <w:top w:w="40" w:type="dxa"/>
              <w:left w:w="0" w:type="dxa"/>
              <w:bottom w:w="40" w:type="dxa"/>
              <w:right w:w="20" w:type="dxa"/>
            </w:tcMar>
            <w:vAlign w:val="bottom"/>
          </w:tcPr>
          <w:p w14:paraId="1860037E" w14:textId="77777777" w:rsidR="00A91885" w:rsidRDefault="00A91885">
            <w:pPr>
              <w:jc w:val="right"/>
              <w:rPr>
                <w:rFonts w:ascii="宋体"/>
              </w:rPr>
            </w:pPr>
          </w:p>
        </w:tc>
      </w:tr>
      <w:tr w:rsidR="00A91885" w14:paraId="18600383" w14:textId="77777777">
        <w:tc>
          <w:tcPr>
            <w:tcW w:w="0" w:type="auto"/>
            <w:gridSpan w:val="3"/>
            <w:shd w:val="clear" w:color="auto" w:fill="E2E2E2"/>
            <w:tcMar>
              <w:top w:w="40" w:type="dxa"/>
              <w:left w:w="20" w:type="dxa"/>
              <w:bottom w:w="40" w:type="dxa"/>
              <w:right w:w="20" w:type="dxa"/>
            </w:tcMar>
            <w:vAlign w:val="bottom"/>
          </w:tcPr>
          <w:p w14:paraId="18600380" w14:textId="77777777" w:rsidR="00A91885" w:rsidRDefault="009C4196">
            <w:pPr>
              <w:textAlignment w:val="bottom"/>
            </w:pPr>
            <w:r>
              <w:rPr>
                <w:rFonts w:ascii="Arial" w:eastAsia="宋体" w:hAnsi="Arial" w:cs="Arial"/>
                <w:color w:val="000000"/>
                <w:sz w:val="18"/>
                <w:szCs w:val="18"/>
              </w:rPr>
              <w:t>Four years through five years</w:t>
            </w:r>
          </w:p>
        </w:tc>
        <w:tc>
          <w:tcPr>
            <w:tcW w:w="0" w:type="auto"/>
            <w:gridSpan w:val="2"/>
            <w:shd w:val="clear" w:color="auto" w:fill="E2E2E2"/>
            <w:tcMar>
              <w:top w:w="40" w:type="dxa"/>
              <w:left w:w="20" w:type="dxa"/>
              <w:bottom w:w="40" w:type="dxa"/>
              <w:right w:w="0" w:type="dxa"/>
            </w:tcMar>
            <w:vAlign w:val="bottom"/>
          </w:tcPr>
          <w:p w14:paraId="18600381" w14:textId="77777777" w:rsidR="00A91885" w:rsidRDefault="009C4196">
            <w:pPr>
              <w:jc w:val="right"/>
              <w:textAlignment w:val="bottom"/>
            </w:pPr>
            <w:r>
              <w:rPr>
                <w:rFonts w:ascii="Arial" w:eastAsia="宋体" w:hAnsi="Arial" w:cs="Arial"/>
                <w:color w:val="000000"/>
                <w:sz w:val="18"/>
                <w:szCs w:val="18"/>
              </w:rPr>
              <w:t>74 </w:t>
            </w:r>
          </w:p>
        </w:tc>
        <w:tc>
          <w:tcPr>
            <w:tcW w:w="0" w:type="auto"/>
            <w:shd w:val="clear" w:color="auto" w:fill="E2E2E2"/>
            <w:tcMar>
              <w:top w:w="40" w:type="dxa"/>
              <w:left w:w="0" w:type="dxa"/>
              <w:bottom w:w="40" w:type="dxa"/>
              <w:right w:w="20" w:type="dxa"/>
            </w:tcMar>
            <w:vAlign w:val="bottom"/>
          </w:tcPr>
          <w:p w14:paraId="18600382" w14:textId="77777777" w:rsidR="00A91885" w:rsidRDefault="00A91885">
            <w:pPr>
              <w:jc w:val="right"/>
              <w:rPr>
                <w:rFonts w:ascii="宋体"/>
              </w:rPr>
            </w:pPr>
          </w:p>
        </w:tc>
      </w:tr>
      <w:tr w:rsidR="00A91885" w14:paraId="18600386" w14:textId="77777777">
        <w:trPr>
          <w:hidden/>
        </w:trPr>
        <w:tc>
          <w:tcPr>
            <w:tcW w:w="0" w:type="auto"/>
            <w:gridSpan w:val="3"/>
            <w:shd w:val="clear" w:color="auto" w:fill="auto"/>
            <w:vAlign w:val="bottom"/>
          </w:tcPr>
          <w:p w14:paraId="18600384" w14:textId="77777777" w:rsidR="00A91885" w:rsidRDefault="00A91885">
            <w:pPr>
              <w:rPr>
                <w:rFonts w:ascii="宋体"/>
                <w:vanish/>
              </w:rPr>
            </w:pPr>
          </w:p>
        </w:tc>
        <w:tc>
          <w:tcPr>
            <w:tcW w:w="0" w:type="auto"/>
            <w:gridSpan w:val="3"/>
            <w:shd w:val="clear" w:color="auto" w:fill="auto"/>
            <w:vAlign w:val="bottom"/>
          </w:tcPr>
          <w:p w14:paraId="18600385" w14:textId="77777777" w:rsidR="00A91885" w:rsidRDefault="00A91885">
            <w:pPr>
              <w:rPr>
                <w:rFonts w:ascii="宋体"/>
                <w:vanish/>
              </w:rPr>
            </w:pPr>
          </w:p>
        </w:tc>
      </w:tr>
      <w:tr w:rsidR="00A91885" w14:paraId="1860038B" w14:textId="77777777">
        <w:tc>
          <w:tcPr>
            <w:tcW w:w="0" w:type="auto"/>
            <w:gridSpan w:val="3"/>
            <w:shd w:val="clear" w:color="auto" w:fill="FFFFFF"/>
            <w:tcMar>
              <w:top w:w="0" w:type="dxa"/>
              <w:left w:w="20" w:type="dxa"/>
              <w:bottom w:w="0" w:type="dxa"/>
              <w:right w:w="20" w:type="dxa"/>
            </w:tcMar>
            <w:vAlign w:val="bottom"/>
          </w:tcPr>
          <w:p w14:paraId="18600387"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38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389" w14:textId="77777777" w:rsidR="00A91885" w:rsidRDefault="009C4196">
            <w:pPr>
              <w:jc w:val="right"/>
              <w:textAlignment w:val="bottom"/>
            </w:pPr>
            <w:r>
              <w:rPr>
                <w:rFonts w:ascii="Arial" w:eastAsia="宋体" w:hAnsi="Arial" w:cs="Arial"/>
                <w:color w:val="000000"/>
                <w:sz w:val="18"/>
                <w:szCs w:val="18"/>
              </w:rPr>
              <w:t>2,794 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38A" w14:textId="77777777" w:rsidR="00A91885" w:rsidRDefault="00A91885">
            <w:pPr>
              <w:jc w:val="right"/>
              <w:rPr>
                <w:rFonts w:ascii="宋体"/>
              </w:rPr>
            </w:pPr>
          </w:p>
        </w:tc>
      </w:tr>
    </w:tbl>
    <w:p w14:paraId="1860038C" w14:textId="77777777" w:rsidR="00A91885" w:rsidRDefault="00A91885"/>
    <w:p w14:paraId="1860038D" w14:textId="77777777" w:rsidR="00A91885" w:rsidRDefault="009C4196">
      <w:r>
        <w:rPr>
          <w:rFonts w:ascii="Arial" w:eastAsia="宋体" w:hAnsi="Arial" w:cs="Arial"/>
          <w:b/>
          <w:bCs/>
          <w:color w:val="000000"/>
          <w:sz w:val="20"/>
          <w:szCs w:val="20"/>
        </w:rPr>
        <w:t xml:space="preserve">Equity Investments </w:t>
      </w:r>
    </w:p>
    <w:p w14:paraId="1860038E" w14:textId="77777777" w:rsidR="00A91885" w:rsidRDefault="00A91885">
      <w:pPr>
        <w:ind w:firstLine="495"/>
      </w:pPr>
    </w:p>
    <w:p w14:paraId="1860038F" w14:textId="77777777" w:rsidR="00A91885" w:rsidRDefault="009C4196">
      <w:pPr>
        <w:spacing w:after="120"/>
        <w:ind w:firstLine="540"/>
        <w:jc w:val="both"/>
      </w:pPr>
      <w:r>
        <w:rPr>
          <w:rFonts w:ascii="Arial" w:eastAsia="宋体" w:hAnsi="Arial" w:cs="Arial"/>
          <w:color w:val="000000"/>
          <w:sz w:val="20"/>
          <w:szCs w:val="20"/>
        </w:rPr>
        <w:t>The following table summarizes our equity investments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764"/>
        <w:gridCol w:w="37"/>
        <w:gridCol w:w="41"/>
        <w:gridCol w:w="1907"/>
        <w:gridCol w:w="37"/>
        <w:gridCol w:w="36"/>
        <w:gridCol w:w="36"/>
        <w:gridCol w:w="36"/>
        <w:gridCol w:w="121"/>
        <w:gridCol w:w="989"/>
        <w:gridCol w:w="36"/>
        <w:gridCol w:w="36"/>
        <w:gridCol w:w="36"/>
        <w:gridCol w:w="36"/>
        <w:gridCol w:w="122"/>
        <w:gridCol w:w="992"/>
        <w:gridCol w:w="36"/>
      </w:tblGrid>
      <w:tr w:rsidR="00A91885" w14:paraId="186003A2" w14:textId="77777777">
        <w:tc>
          <w:tcPr>
            <w:tcW w:w="50" w:type="pct"/>
            <w:shd w:val="clear" w:color="auto" w:fill="auto"/>
            <w:vAlign w:val="bottom"/>
          </w:tcPr>
          <w:p w14:paraId="18600390" w14:textId="77777777" w:rsidR="00A91885" w:rsidRDefault="00A91885">
            <w:pPr>
              <w:rPr>
                <w:rFonts w:ascii="宋体"/>
              </w:rPr>
            </w:pPr>
          </w:p>
        </w:tc>
        <w:tc>
          <w:tcPr>
            <w:tcW w:w="2291" w:type="pct"/>
            <w:shd w:val="clear" w:color="auto" w:fill="auto"/>
            <w:vAlign w:val="bottom"/>
          </w:tcPr>
          <w:p w14:paraId="18600391" w14:textId="77777777" w:rsidR="00A91885" w:rsidRDefault="00A91885">
            <w:pPr>
              <w:rPr>
                <w:rFonts w:ascii="宋体"/>
              </w:rPr>
            </w:pPr>
          </w:p>
        </w:tc>
        <w:tc>
          <w:tcPr>
            <w:tcW w:w="5" w:type="pct"/>
            <w:shd w:val="clear" w:color="auto" w:fill="auto"/>
            <w:vAlign w:val="bottom"/>
          </w:tcPr>
          <w:p w14:paraId="18600392" w14:textId="77777777" w:rsidR="00A91885" w:rsidRDefault="00A91885">
            <w:pPr>
              <w:rPr>
                <w:rFonts w:ascii="宋体"/>
              </w:rPr>
            </w:pPr>
          </w:p>
        </w:tc>
        <w:tc>
          <w:tcPr>
            <w:tcW w:w="50" w:type="pct"/>
            <w:shd w:val="clear" w:color="auto" w:fill="auto"/>
            <w:vAlign w:val="bottom"/>
          </w:tcPr>
          <w:p w14:paraId="18600393" w14:textId="77777777" w:rsidR="00A91885" w:rsidRDefault="00A91885">
            <w:pPr>
              <w:rPr>
                <w:rFonts w:ascii="宋体"/>
              </w:rPr>
            </w:pPr>
          </w:p>
        </w:tc>
        <w:tc>
          <w:tcPr>
            <w:tcW w:w="1180" w:type="pct"/>
            <w:shd w:val="clear" w:color="auto" w:fill="auto"/>
            <w:vAlign w:val="bottom"/>
          </w:tcPr>
          <w:p w14:paraId="18600394" w14:textId="77777777" w:rsidR="00A91885" w:rsidRDefault="00A91885">
            <w:pPr>
              <w:rPr>
                <w:rFonts w:ascii="宋体"/>
              </w:rPr>
            </w:pPr>
          </w:p>
        </w:tc>
        <w:tc>
          <w:tcPr>
            <w:tcW w:w="5" w:type="pct"/>
            <w:shd w:val="clear" w:color="auto" w:fill="auto"/>
            <w:vAlign w:val="bottom"/>
          </w:tcPr>
          <w:p w14:paraId="18600395" w14:textId="77777777" w:rsidR="00A91885" w:rsidRDefault="00A91885">
            <w:pPr>
              <w:rPr>
                <w:rFonts w:ascii="宋体"/>
              </w:rPr>
            </w:pPr>
          </w:p>
        </w:tc>
        <w:tc>
          <w:tcPr>
            <w:tcW w:w="5" w:type="pct"/>
            <w:shd w:val="clear" w:color="auto" w:fill="auto"/>
            <w:vAlign w:val="bottom"/>
          </w:tcPr>
          <w:p w14:paraId="18600396" w14:textId="77777777" w:rsidR="00A91885" w:rsidRDefault="00A91885">
            <w:pPr>
              <w:rPr>
                <w:rFonts w:ascii="宋体"/>
              </w:rPr>
            </w:pPr>
          </w:p>
        </w:tc>
        <w:tc>
          <w:tcPr>
            <w:tcW w:w="19" w:type="pct"/>
            <w:shd w:val="clear" w:color="auto" w:fill="auto"/>
            <w:vAlign w:val="bottom"/>
          </w:tcPr>
          <w:p w14:paraId="18600397" w14:textId="77777777" w:rsidR="00A91885" w:rsidRDefault="00A91885">
            <w:pPr>
              <w:rPr>
                <w:rFonts w:ascii="宋体"/>
              </w:rPr>
            </w:pPr>
          </w:p>
        </w:tc>
        <w:tc>
          <w:tcPr>
            <w:tcW w:w="5" w:type="pct"/>
            <w:shd w:val="clear" w:color="auto" w:fill="auto"/>
            <w:vAlign w:val="bottom"/>
          </w:tcPr>
          <w:p w14:paraId="18600398" w14:textId="77777777" w:rsidR="00A91885" w:rsidRDefault="00A91885">
            <w:pPr>
              <w:rPr>
                <w:rFonts w:ascii="宋体"/>
              </w:rPr>
            </w:pPr>
          </w:p>
        </w:tc>
        <w:tc>
          <w:tcPr>
            <w:tcW w:w="50" w:type="pct"/>
            <w:shd w:val="clear" w:color="auto" w:fill="auto"/>
            <w:vAlign w:val="bottom"/>
          </w:tcPr>
          <w:p w14:paraId="18600399" w14:textId="77777777" w:rsidR="00A91885" w:rsidRDefault="00A91885">
            <w:pPr>
              <w:rPr>
                <w:rFonts w:ascii="宋体"/>
              </w:rPr>
            </w:pPr>
          </w:p>
        </w:tc>
        <w:tc>
          <w:tcPr>
            <w:tcW w:w="624" w:type="pct"/>
            <w:shd w:val="clear" w:color="auto" w:fill="auto"/>
            <w:vAlign w:val="bottom"/>
          </w:tcPr>
          <w:p w14:paraId="1860039A" w14:textId="77777777" w:rsidR="00A91885" w:rsidRDefault="00A91885">
            <w:pPr>
              <w:rPr>
                <w:rFonts w:ascii="宋体"/>
              </w:rPr>
            </w:pPr>
          </w:p>
        </w:tc>
        <w:tc>
          <w:tcPr>
            <w:tcW w:w="5" w:type="pct"/>
            <w:shd w:val="clear" w:color="auto" w:fill="auto"/>
            <w:vAlign w:val="bottom"/>
          </w:tcPr>
          <w:p w14:paraId="1860039B" w14:textId="77777777" w:rsidR="00A91885" w:rsidRDefault="00A91885">
            <w:pPr>
              <w:rPr>
                <w:rFonts w:ascii="宋体"/>
              </w:rPr>
            </w:pPr>
          </w:p>
        </w:tc>
        <w:tc>
          <w:tcPr>
            <w:tcW w:w="5" w:type="pct"/>
            <w:shd w:val="clear" w:color="auto" w:fill="auto"/>
            <w:vAlign w:val="bottom"/>
          </w:tcPr>
          <w:p w14:paraId="1860039C" w14:textId="77777777" w:rsidR="00A91885" w:rsidRDefault="00A91885">
            <w:pPr>
              <w:rPr>
                <w:rFonts w:ascii="宋体"/>
              </w:rPr>
            </w:pPr>
          </w:p>
        </w:tc>
        <w:tc>
          <w:tcPr>
            <w:tcW w:w="19" w:type="pct"/>
            <w:shd w:val="clear" w:color="auto" w:fill="auto"/>
            <w:vAlign w:val="bottom"/>
          </w:tcPr>
          <w:p w14:paraId="1860039D" w14:textId="77777777" w:rsidR="00A91885" w:rsidRDefault="00A91885">
            <w:pPr>
              <w:rPr>
                <w:rFonts w:ascii="宋体"/>
              </w:rPr>
            </w:pPr>
          </w:p>
        </w:tc>
        <w:tc>
          <w:tcPr>
            <w:tcW w:w="5" w:type="pct"/>
            <w:shd w:val="clear" w:color="auto" w:fill="auto"/>
            <w:vAlign w:val="bottom"/>
          </w:tcPr>
          <w:p w14:paraId="1860039E" w14:textId="77777777" w:rsidR="00A91885" w:rsidRDefault="00A91885">
            <w:pPr>
              <w:rPr>
                <w:rFonts w:ascii="宋体"/>
              </w:rPr>
            </w:pPr>
          </w:p>
        </w:tc>
        <w:tc>
          <w:tcPr>
            <w:tcW w:w="50" w:type="pct"/>
            <w:shd w:val="clear" w:color="auto" w:fill="auto"/>
            <w:vAlign w:val="bottom"/>
          </w:tcPr>
          <w:p w14:paraId="1860039F" w14:textId="77777777" w:rsidR="00A91885" w:rsidRDefault="00A91885">
            <w:pPr>
              <w:rPr>
                <w:rFonts w:ascii="宋体"/>
              </w:rPr>
            </w:pPr>
          </w:p>
        </w:tc>
        <w:tc>
          <w:tcPr>
            <w:tcW w:w="625" w:type="pct"/>
            <w:shd w:val="clear" w:color="auto" w:fill="auto"/>
            <w:vAlign w:val="bottom"/>
          </w:tcPr>
          <w:p w14:paraId="186003A0" w14:textId="77777777" w:rsidR="00A91885" w:rsidRDefault="00A91885">
            <w:pPr>
              <w:rPr>
                <w:rFonts w:ascii="宋体"/>
              </w:rPr>
            </w:pPr>
          </w:p>
        </w:tc>
        <w:tc>
          <w:tcPr>
            <w:tcW w:w="5" w:type="pct"/>
            <w:shd w:val="clear" w:color="auto" w:fill="auto"/>
            <w:vAlign w:val="bottom"/>
          </w:tcPr>
          <w:p w14:paraId="186003A1" w14:textId="77777777" w:rsidR="00A91885" w:rsidRDefault="00A91885">
            <w:pPr>
              <w:rPr>
                <w:rFonts w:ascii="宋体"/>
              </w:rPr>
            </w:pPr>
          </w:p>
        </w:tc>
      </w:tr>
      <w:tr w:rsidR="00A91885" w14:paraId="186003A9" w14:textId="77777777">
        <w:tc>
          <w:tcPr>
            <w:tcW w:w="0" w:type="auto"/>
            <w:gridSpan w:val="3"/>
            <w:shd w:val="clear" w:color="auto" w:fill="auto"/>
            <w:tcMar>
              <w:top w:w="40" w:type="dxa"/>
              <w:left w:w="20" w:type="dxa"/>
              <w:bottom w:w="40" w:type="dxa"/>
              <w:right w:w="20" w:type="dxa"/>
            </w:tcMar>
            <w:vAlign w:val="bottom"/>
          </w:tcPr>
          <w:p w14:paraId="186003A3" w14:textId="77777777" w:rsidR="00A91885" w:rsidRDefault="009C4196">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86003A4" w14:textId="77777777" w:rsidR="00A91885" w:rsidRDefault="009C4196">
            <w:pPr>
              <w:jc w:val="right"/>
              <w:textAlignment w:val="bottom"/>
            </w:pPr>
            <w:r>
              <w:rPr>
                <w:rFonts w:ascii="Arial" w:eastAsia="宋体" w:hAnsi="Arial" w:cs="Arial"/>
                <w:b/>
                <w:bCs/>
                <w:color w:val="000000"/>
                <w:sz w:val="17"/>
                <w:szCs w:val="17"/>
              </w:rPr>
              <w:t>Balance Sheet Location</w:t>
            </w:r>
          </w:p>
        </w:tc>
        <w:tc>
          <w:tcPr>
            <w:tcW w:w="0" w:type="auto"/>
            <w:gridSpan w:val="3"/>
            <w:shd w:val="clear" w:color="auto" w:fill="auto"/>
            <w:tcMar>
              <w:top w:w="0" w:type="dxa"/>
              <w:left w:w="20" w:type="dxa"/>
              <w:bottom w:w="0" w:type="dxa"/>
              <w:right w:w="20" w:type="dxa"/>
            </w:tcMar>
            <w:vAlign w:val="bottom"/>
          </w:tcPr>
          <w:p w14:paraId="186003A5"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3A6" w14:textId="77777777" w:rsidR="00A91885" w:rsidRDefault="009C4196">
            <w:pPr>
              <w:jc w:val="center"/>
              <w:textAlignment w:val="bottom"/>
            </w:pPr>
            <w:r>
              <w:rPr>
                <w:rFonts w:ascii="Arial" w:eastAsia="宋体" w:hAnsi="Arial" w:cs="Arial"/>
                <w:b/>
                <w:bCs/>
                <w:color w:val="000000"/>
                <w:sz w:val="17"/>
                <w:szCs w:val="17"/>
              </w:rPr>
              <w:t>June 30, 2022</w:t>
            </w:r>
          </w:p>
        </w:tc>
        <w:tc>
          <w:tcPr>
            <w:tcW w:w="0" w:type="auto"/>
            <w:gridSpan w:val="3"/>
            <w:shd w:val="clear" w:color="auto" w:fill="auto"/>
            <w:tcMar>
              <w:top w:w="0" w:type="dxa"/>
              <w:left w:w="20" w:type="dxa"/>
              <w:bottom w:w="0" w:type="dxa"/>
              <w:right w:w="20" w:type="dxa"/>
            </w:tcMar>
            <w:vAlign w:val="bottom"/>
          </w:tcPr>
          <w:p w14:paraId="186003A7"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3A8" w14:textId="77777777" w:rsidR="00A91885" w:rsidRDefault="009C4196">
            <w:pPr>
              <w:jc w:val="center"/>
              <w:textAlignment w:val="bottom"/>
            </w:pPr>
            <w:r>
              <w:rPr>
                <w:rFonts w:ascii="Arial" w:eastAsia="宋体" w:hAnsi="Arial" w:cs="Arial"/>
                <w:b/>
                <w:bCs/>
                <w:color w:val="000000"/>
                <w:sz w:val="17"/>
                <w:szCs w:val="17"/>
              </w:rPr>
              <w:t>December 31, 2021</w:t>
            </w:r>
          </w:p>
        </w:tc>
      </w:tr>
      <w:tr w:rsidR="00A91885" w14:paraId="186003B4" w14:textId="77777777">
        <w:tc>
          <w:tcPr>
            <w:tcW w:w="0" w:type="auto"/>
            <w:gridSpan w:val="3"/>
            <w:shd w:val="clear" w:color="auto" w:fill="DBDBDB"/>
            <w:tcMar>
              <w:top w:w="40" w:type="dxa"/>
              <w:left w:w="20" w:type="dxa"/>
              <w:bottom w:w="40" w:type="dxa"/>
              <w:right w:w="20" w:type="dxa"/>
            </w:tcMar>
            <w:vAlign w:val="bottom"/>
          </w:tcPr>
          <w:p w14:paraId="186003AA" w14:textId="77777777" w:rsidR="00A91885" w:rsidRDefault="009C4196">
            <w:pPr>
              <w:textAlignment w:val="bottom"/>
            </w:pPr>
            <w:r>
              <w:rPr>
                <w:rFonts w:ascii="Arial" w:eastAsia="宋体" w:hAnsi="Arial" w:cs="Arial"/>
                <w:color w:val="000000"/>
                <w:sz w:val="18"/>
                <w:szCs w:val="18"/>
              </w:rPr>
              <w:t xml:space="preserve">Equity investments with readily determinable fair </w:t>
            </w:r>
            <w:r>
              <w:rPr>
                <w:rFonts w:ascii="Arial" w:eastAsia="宋体" w:hAnsi="Arial" w:cs="Arial"/>
                <w:color w:val="000000"/>
                <w:sz w:val="18"/>
                <w:szCs w:val="18"/>
              </w:rPr>
              <w:t>values</w:t>
            </w:r>
          </w:p>
        </w:tc>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186003AB" w14:textId="77777777" w:rsidR="00A91885" w:rsidRDefault="009C4196">
            <w:pPr>
              <w:jc w:val="right"/>
              <w:textAlignment w:val="bottom"/>
            </w:pPr>
            <w:r>
              <w:rPr>
                <w:rFonts w:ascii="Arial" w:eastAsia="宋体" w:hAnsi="Arial" w:cs="Arial"/>
                <w:color w:val="000000"/>
                <w:sz w:val="18"/>
                <w:szCs w:val="18"/>
              </w:rPr>
              <w:t>Short-term investments</w:t>
            </w:r>
          </w:p>
        </w:tc>
        <w:tc>
          <w:tcPr>
            <w:tcW w:w="0" w:type="auto"/>
            <w:gridSpan w:val="3"/>
            <w:shd w:val="clear" w:color="auto" w:fill="DBDBDB"/>
            <w:tcMar>
              <w:top w:w="0" w:type="dxa"/>
              <w:left w:w="20" w:type="dxa"/>
              <w:bottom w:w="0" w:type="dxa"/>
              <w:right w:w="20" w:type="dxa"/>
            </w:tcMar>
            <w:vAlign w:val="bottom"/>
          </w:tcPr>
          <w:p w14:paraId="186003AC"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6003A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6003AE" w14:textId="77777777" w:rsidR="00A91885" w:rsidRDefault="009C4196">
            <w:pPr>
              <w:jc w:val="right"/>
              <w:textAlignment w:val="bottom"/>
            </w:pPr>
            <w:r>
              <w:rPr>
                <w:rFonts w:ascii="Arial" w:eastAsia="宋体" w:hAnsi="Arial" w:cs="Arial"/>
                <w:color w:val="000000"/>
                <w:sz w:val="18"/>
                <w:szCs w:val="18"/>
              </w:rPr>
              <w:t>222 </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03AF"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3B0"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6003B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6003B2" w14:textId="77777777" w:rsidR="00A91885" w:rsidRDefault="009C4196">
            <w:pPr>
              <w:jc w:val="right"/>
              <w:textAlignment w:val="bottom"/>
            </w:pPr>
            <w:r>
              <w:rPr>
                <w:rFonts w:ascii="Arial" w:eastAsia="宋体" w:hAnsi="Arial" w:cs="Arial"/>
                <w:color w:val="000000"/>
                <w:sz w:val="18"/>
                <w:szCs w:val="18"/>
              </w:rPr>
              <w:t>1,745 </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03B3" w14:textId="77777777" w:rsidR="00A91885" w:rsidRDefault="00A91885">
            <w:pPr>
              <w:jc w:val="right"/>
              <w:rPr>
                <w:rFonts w:ascii="宋体"/>
              </w:rPr>
            </w:pPr>
          </w:p>
        </w:tc>
      </w:tr>
      <w:tr w:rsidR="00A91885" w14:paraId="186003BD" w14:textId="77777777">
        <w:tc>
          <w:tcPr>
            <w:tcW w:w="0" w:type="auto"/>
            <w:gridSpan w:val="3"/>
            <w:shd w:val="clear" w:color="auto" w:fill="FFFFFF"/>
            <w:tcMar>
              <w:top w:w="40" w:type="dxa"/>
              <w:left w:w="20" w:type="dxa"/>
              <w:bottom w:w="40" w:type="dxa"/>
              <w:right w:w="20" w:type="dxa"/>
            </w:tcMar>
            <w:vAlign w:val="bottom"/>
          </w:tcPr>
          <w:p w14:paraId="186003B5" w14:textId="77777777" w:rsidR="00A91885" w:rsidRDefault="009C4196">
            <w:pPr>
              <w:textAlignment w:val="bottom"/>
            </w:pPr>
            <w:r>
              <w:rPr>
                <w:rFonts w:ascii="Arial" w:eastAsia="宋体" w:hAnsi="Arial" w:cs="Arial"/>
                <w:color w:val="000000"/>
                <w:sz w:val="18"/>
                <w:szCs w:val="18"/>
              </w:rPr>
              <w:t>Equity investment in Adevinta</w:t>
            </w:r>
          </w:p>
        </w:tc>
        <w:tc>
          <w:tcPr>
            <w:tcW w:w="0" w:type="auto"/>
            <w:gridSpan w:val="3"/>
            <w:shd w:val="clear" w:color="auto" w:fill="FFFFFF"/>
            <w:tcMar>
              <w:top w:w="40" w:type="dxa"/>
              <w:left w:w="20" w:type="dxa"/>
              <w:bottom w:w="40" w:type="dxa"/>
              <w:right w:w="20" w:type="dxa"/>
            </w:tcMar>
            <w:vAlign w:val="bottom"/>
          </w:tcPr>
          <w:p w14:paraId="186003B6" w14:textId="77777777" w:rsidR="00A91885" w:rsidRDefault="009C4196">
            <w:pPr>
              <w:jc w:val="right"/>
              <w:textAlignment w:val="bottom"/>
            </w:pPr>
            <w:r>
              <w:rPr>
                <w:rFonts w:ascii="Arial" w:eastAsia="宋体" w:hAnsi="Arial" w:cs="Arial"/>
                <w:color w:val="000000"/>
                <w:sz w:val="18"/>
                <w:szCs w:val="18"/>
              </w:rPr>
              <w:t>Equity investment in Adevinta</w:t>
            </w:r>
          </w:p>
        </w:tc>
        <w:tc>
          <w:tcPr>
            <w:tcW w:w="0" w:type="auto"/>
            <w:gridSpan w:val="3"/>
            <w:shd w:val="clear" w:color="auto" w:fill="FFFFFF"/>
            <w:tcMar>
              <w:top w:w="0" w:type="dxa"/>
              <w:left w:w="20" w:type="dxa"/>
              <w:bottom w:w="0" w:type="dxa"/>
              <w:right w:w="20" w:type="dxa"/>
            </w:tcMar>
            <w:vAlign w:val="bottom"/>
          </w:tcPr>
          <w:p w14:paraId="186003B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3B8" w14:textId="77777777" w:rsidR="00A91885" w:rsidRDefault="009C4196">
            <w:pPr>
              <w:jc w:val="right"/>
              <w:textAlignment w:val="bottom"/>
            </w:pPr>
            <w:r>
              <w:rPr>
                <w:rFonts w:ascii="Arial" w:eastAsia="宋体" w:hAnsi="Arial" w:cs="Arial"/>
                <w:color w:val="000000"/>
                <w:sz w:val="18"/>
                <w:szCs w:val="18"/>
              </w:rPr>
              <w:t>2,919 </w:t>
            </w:r>
          </w:p>
        </w:tc>
        <w:tc>
          <w:tcPr>
            <w:tcW w:w="0" w:type="auto"/>
            <w:shd w:val="clear" w:color="auto" w:fill="FFFFFF"/>
            <w:tcMar>
              <w:top w:w="40" w:type="dxa"/>
              <w:left w:w="0" w:type="dxa"/>
              <w:bottom w:w="40" w:type="dxa"/>
              <w:right w:w="20" w:type="dxa"/>
            </w:tcMar>
            <w:vAlign w:val="bottom"/>
          </w:tcPr>
          <w:p w14:paraId="186003B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3B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3BB" w14:textId="77777777" w:rsidR="00A91885" w:rsidRDefault="009C4196">
            <w:pPr>
              <w:jc w:val="right"/>
              <w:textAlignment w:val="bottom"/>
            </w:pPr>
            <w:r>
              <w:rPr>
                <w:rFonts w:ascii="Arial" w:eastAsia="宋体" w:hAnsi="Arial" w:cs="Arial"/>
                <w:color w:val="000000"/>
                <w:sz w:val="18"/>
                <w:szCs w:val="18"/>
              </w:rPr>
              <w:t>5,391 </w:t>
            </w:r>
          </w:p>
        </w:tc>
        <w:tc>
          <w:tcPr>
            <w:tcW w:w="0" w:type="auto"/>
            <w:shd w:val="clear" w:color="auto" w:fill="FFFFFF"/>
            <w:tcMar>
              <w:top w:w="40" w:type="dxa"/>
              <w:left w:w="0" w:type="dxa"/>
              <w:bottom w:w="40" w:type="dxa"/>
              <w:right w:w="20" w:type="dxa"/>
            </w:tcMar>
            <w:vAlign w:val="bottom"/>
          </w:tcPr>
          <w:p w14:paraId="186003BC" w14:textId="77777777" w:rsidR="00A91885" w:rsidRDefault="00A91885">
            <w:pPr>
              <w:jc w:val="right"/>
              <w:rPr>
                <w:rFonts w:ascii="宋体"/>
              </w:rPr>
            </w:pPr>
          </w:p>
        </w:tc>
      </w:tr>
      <w:tr w:rsidR="00A91885" w14:paraId="186003C6" w14:textId="77777777">
        <w:tc>
          <w:tcPr>
            <w:tcW w:w="0" w:type="auto"/>
            <w:gridSpan w:val="3"/>
            <w:shd w:val="clear" w:color="auto" w:fill="DBDBDB"/>
            <w:tcMar>
              <w:top w:w="40" w:type="dxa"/>
              <w:left w:w="20" w:type="dxa"/>
              <w:bottom w:w="40" w:type="dxa"/>
              <w:right w:w="20" w:type="dxa"/>
            </w:tcMar>
            <w:vAlign w:val="bottom"/>
          </w:tcPr>
          <w:p w14:paraId="186003BE" w14:textId="77777777" w:rsidR="00A91885" w:rsidRDefault="009C4196">
            <w:pPr>
              <w:textAlignment w:val="bottom"/>
            </w:pPr>
            <w:r>
              <w:rPr>
                <w:rFonts w:ascii="Arial" w:eastAsia="宋体" w:hAnsi="Arial" w:cs="Arial"/>
                <w:color w:val="000000"/>
                <w:sz w:val="18"/>
                <w:szCs w:val="18"/>
              </w:rPr>
              <w:t>Equity investments under the fair value option</w:t>
            </w:r>
          </w:p>
        </w:tc>
        <w:tc>
          <w:tcPr>
            <w:tcW w:w="0" w:type="auto"/>
            <w:gridSpan w:val="3"/>
            <w:shd w:val="clear" w:color="auto" w:fill="DBDBDB"/>
            <w:tcMar>
              <w:top w:w="40" w:type="dxa"/>
              <w:left w:w="20" w:type="dxa"/>
              <w:bottom w:w="40" w:type="dxa"/>
              <w:right w:w="20" w:type="dxa"/>
            </w:tcMar>
            <w:vAlign w:val="bottom"/>
          </w:tcPr>
          <w:p w14:paraId="186003BF" w14:textId="77777777" w:rsidR="00A91885" w:rsidRDefault="009C4196">
            <w:pPr>
              <w:jc w:val="right"/>
              <w:textAlignment w:val="bottom"/>
            </w:pPr>
            <w:r>
              <w:rPr>
                <w:rFonts w:ascii="Arial" w:eastAsia="宋体" w:hAnsi="Arial" w:cs="Arial"/>
                <w:color w:val="000000"/>
                <w:sz w:val="18"/>
                <w:szCs w:val="18"/>
              </w:rPr>
              <w:t>Long-term investments</w:t>
            </w:r>
          </w:p>
        </w:tc>
        <w:tc>
          <w:tcPr>
            <w:tcW w:w="0" w:type="auto"/>
            <w:gridSpan w:val="3"/>
            <w:shd w:val="clear" w:color="auto" w:fill="DBDBDB"/>
            <w:tcMar>
              <w:top w:w="0" w:type="dxa"/>
              <w:left w:w="20" w:type="dxa"/>
              <w:bottom w:w="0" w:type="dxa"/>
              <w:right w:w="20" w:type="dxa"/>
            </w:tcMar>
            <w:vAlign w:val="bottom"/>
          </w:tcPr>
          <w:p w14:paraId="186003C0"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3C1" w14:textId="77777777" w:rsidR="00A91885" w:rsidRDefault="009C4196">
            <w:pPr>
              <w:jc w:val="right"/>
              <w:textAlignment w:val="bottom"/>
            </w:pPr>
            <w:r>
              <w:rPr>
                <w:rFonts w:ascii="Arial" w:eastAsia="宋体" w:hAnsi="Arial" w:cs="Arial"/>
                <w:color w:val="000000"/>
                <w:sz w:val="18"/>
                <w:szCs w:val="18"/>
              </w:rPr>
              <w:t>504 </w:t>
            </w:r>
          </w:p>
        </w:tc>
        <w:tc>
          <w:tcPr>
            <w:tcW w:w="0" w:type="auto"/>
            <w:shd w:val="clear" w:color="auto" w:fill="DBDBDB"/>
            <w:tcMar>
              <w:top w:w="40" w:type="dxa"/>
              <w:left w:w="0" w:type="dxa"/>
              <w:bottom w:w="40" w:type="dxa"/>
              <w:right w:w="20" w:type="dxa"/>
            </w:tcMar>
            <w:vAlign w:val="bottom"/>
          </w:tcPr>
          <w:p w14:paraId="186003C2"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3C3"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3C4" w14:textId="77777777" w:rsidR="00A91885" w:rsidRDefault="009C4196">
            <w:pPr>
              <w:jc w:val="right"/>
              <w:textAlignment w:val="bottom"/>
            </w:pPr>
            <w:r>
              <w:rPr>
                <w:rFonts w:ascii="Arial" w:eastAsia="宋体" w:hAnsi="Arial" w:cs="Arial"/>
                <w:color w:val="000000"/>
                <w:sz w:val="18"/>
                <w:szCs w:val="18"/>
              </w:rPr>
              <w:t>725 </w:t>
            </w:r>
          </w:p>
        </w:tc>
        <w:tc>
          <w:tcPr>
            <w:tcW w:w="0" w:type="auto"/>
            <w:shd w:val="clear" w:color="auto" w:fill="DBDBDB"/>
            <w:tcMar>
              <w:top w:w="40" w:type="dxa"/>
              <w:left w:w="0" w:type="dxa"/>
              <w:bottom w:w="40" w:type="dxa"/>
              <w:right w:w="20" w:type="dxa"/>
            </w:tcMar>
            <w:vAlign w:val="bottom"/>
          </w:tcPr>
          <w:p w14:paraId="186003C5" w14:textId="77777777" w:rsidR="00A91885" w:rsidRDefault="00A91885">
            <w:pPr>
              <w:jc w:val="right"/>
              <w:rPr>
                <w:rFonts w:ascii="宋体"/>
              </w:rPr>
            </w:pPr>
          </w:p>
        </w:tc>
      </w:tr>
      <w:tr w:rsidR="00A91885" w14:paraId="186003CF" w14:textId="77777777">
        <w:tc>
          <w:tcPr>
            <w:tcW w:w="0" w:type="auto"/>
            <w:gridSpan w:val="3"/>
            <w:shd w:val="clear" w:color="auto" w:fill="FFFFFF"/>
            <w:tcMar>
              <w:top w:w="40" w:type="dxa"/>
              <w:left w:w="20" w:type="dxa"/>
              <w:bottom w:w="40" w:type="dxa"/>
              <w:right w:w="20" w:type="dxa"/>
            </w:tcMar>
            <w:vAlign w:val="bottom"/>
          </w:tcPr>
          <w:p w14:paraId="186003C7" w14:textId="77777777" w:rsidR="00A91885" w:rsidRDefault="009C4196">
            <w:pPr>
              <w:textAlignment w:val="bottom"/>
            </w:pPr>
            <w:r>
              <w:rPr>
                <w:rFonts w:ascii="Arial" w:eastAsia="宋体" w:hAnsi="Arial" w:cs="Arial"/>
                <w:color w:val="000000"/>
                <w:sz w:val="18"/>
                <w:szCs w:val="18"/>
              </w:rPr>
              <w:t xml:space="preserve">Equity investments without readily </w:t>
            </w:r>
            <w:r>
              <w:rPr>
                <w:rFonts w:ascii="Arial" w:eastAsia="宋体" w:hAnsi="Arial" w:cs="Arial"/>
                <w:color w:val="000000"/>
                <w:sz w:val="18"/>
                <w:szCs w:val="18"/>
              </w:rPr>
              <w:t>determinable fair values</w:t>
            </w:r>
          </w:p>
        </w:tc>
        <w:tc>
          <w:tcPr>
            <w:tcW w:w="0" w:type="auto"/>
            <w:gridSpan w:val="3"/>
            <w:shd w:val="clear" w:color="auto" w:fill="FFFFFF"/>
            <w:tcMar>
              <w:top w:w="40" w:type="dxa"/>
              <w:left w:w="20" w:type="dxa"/>
              <w:bottom w:w="40" w:type="dxa"/>
              <w:right w:w="20" w:type="dxa"/>
            </w:tcMar>
            <w:vAlign w:val="bottom"/>
          </w:tcPr>
          <w:p w14:paraId="186003C8" w14:textId="77777777" w:rsidR="00A91885" w:rsidRDefault="009C4196">
            <w:pPr>
              <w:jc w:val="right"/>
              <w:textAlignment w:val="bottom"/>
            </w:pPr>
            <w:r>
              <w:rPr>
                <w:rFonts w:ascii="Arial" w:eastAsia="宋体" w:hAnsi="Arial" w:cs="Arial"/>
                <w:color w:val="000000"/>
                <w:sz w:val="18"/>
                <w:szCs w:val="18"/>
              </w:rPr>
              <w:t>Long-term investments</w:t>
            </w:r>
          </w:p>
        </w:tc>
        <w:tc>
          <w:tcPr>
            <w:tcW w:w="0" w:type="auto"/>
            <w:gridSpan w:val="3"/>
            <w:shd w:val="clear" w:color="auto" w:fill="FFFFFF"/>
            <w:tcMar>
              <w:top w:w="0" w:type="dxa"/>
              <w:left w:w="20" w:type="dxa"/>
              <w:bottom w:w="0" w:type="dxa"/>
              <w:right w:w="20" w:type="dxa"/>
            </w:tcMar>
            <w:vAlign w:val="bottom"/>
          </w:tcPr>
          <w:p w14:paraId="186003C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3CA" w14:textId="77777777" w:rsidR="00A91885" w:rsidRDefault="009C4196">
            <w:pPr>
              <w:jc w:val="right"/>
              <w:textAlignment w:val="bottom"/>
            </w:pPr>
            <w:r>
              <w:rPr>
                <w:rFonts w:ascii="Arial" w:eastAsia="宋体" w:hAnsi="Arial" w:cs="Arial"/>
                <w:color w:val="000000"/>
                <w:sz w:val="18"/>
                <w:szCs w:val="18"/>
              </w:rPr>
              <w:t>76 </w:t>
            </w:r>
          </w:p>
        </w:tc>
        <w:tc>
          <w:tcPr>
            <w:tcW w:w="0" w:type="auto"/>
            <w:shd w:val="clear" w:color="auto" w:fill="FFFFFF"/>
            <w:tcMar>
              <w:top w:w="40" w:type="dxa"/>
              <w:left w:w="0" w:type="dxa"/>
              <w:bottom w:w="40" w:type="dxa"/>
              <w:right w:w="20" w:type="dxa"/>
            </w:tcMar>
            <w:vAlign w:val="bottom"/>
          </w:tcPr>
          <w:p w14:paraId="186003C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3C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3CD" w14:textId="77777777" w:rsidR="00A91885" w:rsidRDefault="009C4196">
            <w:pPr>
              <w:jc w:val="right"/>
              <w:textAlignment w:val="bottom"/>
            </w:pPr>
            <w:r>
              <w:rPr>
                <w:rFonts w:ascii="Arial" w:eastAsia="宋体" w:hAnsi="Arial" w:cs="Arial"/>
                <w:color w:val="000000"/>
                <w:sz w:val="18"/>
                <w:szCs w:val="18"/>
              </w:rPr>
              <w:t>85 </w:t>
            </w:r>
          </w:p>
        </w:tc>
        <w:tc>
          <w:tcPr>
            <w:tcW w:w="0" w:type="auto"/>
            <w:shd w:val="clear" w:color="auto" w:fill="FFFFFF"/>
            <w:tcMar>
              <w:top w:w="40" w:type="dxa"/>
              <w:left w:w="0" w:type="dxa"/>
              <w:bottom w:w="40" w:type="dxa"/>
              <w:right w:w="20" w:type="dxa"/>
            </w:tcMar>
            <w:vAlign w:val="bottom"/>
          </w:tcPr>
          <w:p w14:paraId="186003CE" w14:textId="77777777" w:rsidR="00A91885" w:rsidRDefault="00A91885">
            <w:pPr>
              <w:jc w:val="right"/>
              <w:rPr>
                <w:rFonts w:ascii="宋体"/>
              </w:rPr>
            </w:pPr>
          </w:p>
        </w:tc>
      </w:tr>
      <w:tr w:rsidR="00A91885" w14:paraId="186003D8" w14:textId="77777777">
        <w:tc>
          <w:tcPr>
            <w:tcW w:w="0" w:type="auto"/>
            <w:gridSpan w:val="3"/>
            <w:shd w:val="clear" w:color="auto" w:fill="DBDBDB"/>
            <w:tcMar>
              <w:top w:w="40" w:type="dxa"/>
              <w:left w:w="20" w:type="dxa"/>
              <w:bottom w:w="40" w:type="dxa"/>
              <w:right w:w="20" w:type="dxa"/>
            </w:tcMar>
            <w:vAlign w:val="bottom"/>
          </w:tcPr>
          <w:p w14:paraId="186003D0" w14:textId="77777777" w:rsidR="00A91885" w:rsidRDefault="009C4196">
            <w:pPr>
              <w:textAlignment w:val="bottom"/>
            </w:pPr>
            <w:r>
              <w:rPr>
                <w:rFonts w:ascii="Arial" w:eastAsia="宋体" w:hAnsi="Arial" w:cs="Arial"/>
                <w:color w:val="000000"/>
                <w:sz w:val="18"/>
                <w:szCs w:val="18"/>
              </w:rPr>
              <w:t>Equity investments under the equity method of accounting</w:t>
            </w:r>
          </w:p>
        </w:tc>
        <w:tc>
          <w:tcPr>
            <w:tcW w:w="0" w:type="auto"/>
            <w:gridSpan w:val="3"/>
            <w:shd w:val="clear" w:color="auto" w:fill="DBDBDB"/>
            <w:tcMar>
              <w:top w:w="40" w:type="dxa"/>
              <w:left w:w="20" w:type="dxa"/>
              <w:bottom w:w="40" w:type="dxa"/>
              <w:right w:w="20" w:type="dxa"/>
            </w:tcMar>
            <w:vAlign w:val="bottom"/>
          </w:tcPr>
          <w:p w14:paraId="186003D1" w14:textId="77777777" w:rsidR="00A91885" w:rsidRDefault="009C4196">
            <w:pPr>
              <w:jc w:val="right"/>
              <w:textAlignment w:val="bottom"/>
            </w:pPr>
            <w:r>
              <w:rPr>
                <w:rFonts w:ascii="Arial" w:eastAsia="宋体" w:hAnsi="Arial" w:cs="Arial"/>
                <w:color w:val="000000"/>
                <w:sz w:val="18"/>
                <w:szCs w:val="18"/>
              </w:rPr>
              <w:t>Long-term investments</w:t>
            </w:r>
          </w:p>
        </w:tc>
        <w:tc>
          <w:tcPr>
            <w:tcW w:w="0" w:type="auto"/>
            <w:gridSpan w:val="3"/>
            <w:shd w:val="clear" w:color="auto" w:fill="DBDBDB"/>
            <w:tcMar>
              <w:top w:w="0" w:type="dxa"/>
              <w:left w:w="20" w:type="dxa"/>
              <w:bottom w:w="0" w:type="dxa"/>
              <w:right w:w="20" w:type="dxa"/>
            </w:tcMar>
            <w:vAlign w:val="bottom"/>
          </w:tcPr>
          <w:p w14:paraId="186003D2"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3D3" w14:textId="77777777" w:rsidR="00A91885" w:rsidRDefault="009C4196">
            <w:pPr>
              <w:jc w:val="right"/>
              <w:textAlignment w:val="bottom"/>
            </w:pPr>
            <w:r>
              <w:rPr>
                <w:rFonts w:ascii="Arial" w:eastAsia="宋体" w:hAnsi="Arial" w:cs="Arial"/>
                <w:color w:val="000000"/>
                <w:sz w:val="18"/>
                <w:szCs w:val="18"/>
              </w:rPr>
              <w:t>33 </w:t>
            </w:r>
          </w:p>
        </w:tc>
        <w:tc>
          <w:tcPr>
            <w:tcW w:w="0" w:type="auto"/>
            <w:shd w:val="clear" w:color="auto" w:fill="DBDBDB"/>
            <w:tcMar>
              <w:top w:w="40" w:type="dxa"/>
              <w:left w:w="0" w:type="dxa"/>
              <w:bottom w:w="40" w:type="dxa"/>
              <w:right w:w="20" w:type="dxa"/>
            </w:tcMar>
            <w:vAlign w:val="bottom"/>
          </w:tcPr>
          <w:p w14:paraId="186003D4"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3D5"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3D6" w14:textId="77777777" w:rsidR="00A91885" w:rsidRDefault="009C4196">
            <w:pPr>
              <w:jc w:val="right"/>
              <w:textAlignment w:val="bottom"/>
            </w:pPr>
            <w:r>
              <w:rPr>
                <w:rFonts w:ascii="Arial" w:eastAsia="宋体" w:hAnsi="Arial" w:cs="Arial"/>
                <w:color w:val="000000"/>
                <w:sz w:val="18"/>
                <w:szCs w:val="18"/>
              </w:rPr>
              <w:t>38 </w:t>
            </w:r>
          </w:p>
        </w:tc>
        <w:tc>
          <w:tcPr>
            <w:tcW w:w="0" w:type="auto"/>
            <w:shd w:val="clear" w:color="auto" w:fill="DBDBDB"/>
            <w:tcMar>
              <w:top w:w="40" w:type="dxa"/>
              <w:left w:w="0" w:type="dxa"/>
              <w:bottom w:w="40" w:type="dxa"/>
              <w:right w:w="20" w:type="dxa"/>
            </w:tcMar>
            <w:vAlign w:val="bottom"/>
          </w:tcPr>
          <w:p w14:paraId="186003D7" w14:textId="77777777" w:rsidR="00A91885" w:rsidRDefault="00A91885">
            <w:pPr>
              <w:jc w:val="right"/>
              <w:rPr>
                <w:rFonts w:ascii="宋体"/>
              </w:rPr>
            </w:pPr>
          </w:p>
        </w:tc>
      </w:tr>
      <w:tr w:rsidR="00A91885" w14:paraId="186003E3" w14:textId="77777777">
        <w:tc>
          <w:tcPr>
            <w:tcW w:w="0" w:type="auto"/>
            <w:gridSpan w:val="3"/>
            <w:shd w:val="clear" w:color="auto" w:fill="FFFFFF"/>
            <w:tcMar>
              <w:top w:w="40" w:type="dxa"/>
              <w:left w:w="245" w:type="dxa"/>
              <w:bottom w:w="40" w:type="dxa"/>
              <w:right w:w="20" w:type="dxa"/>
            </w:tcMar>
            <w:vAlign w:val="bottom"/>
          </w:tcPr>
          <w:p w14:paraId="186003D9" w14:textId="77777777" w:rsidR="00A91885" w:rsidRDefault="009C4196">
            <w:pPr>
              <w:textAlignment w:val="bottom"/>
            </w:pPr>
            <w:r>
              <w:rPr>
                <w:rFonts w:ascii="Arial" w:eastAsia="宋体" w:hAnsi="Arial" w:cs="Arial"/>
                <w:color w:val="000000"/>
                <w:sz w:val="18"/>
                <w:szCs w:val="18"/>
              </w:rPr>
              <w:t>Total equity investments</w:t>
            </w:r>
          </w:p>
        </w:tc>
        <w:tc>
          <w:tcPr>
            <w:tcW w:w="0" w:type="auto"/>
            <w:gridSpan w:val="3"/>
            <w:shd w:val="clear" w:color="auto" w:fill="FFFFFF"/>
            <w:tcMar>
              <w:top w:w="0" w:type="dxa"/>
              <w:left w:w="20" w:type="dxa"/>
              <w:bottom w:w="0" w:type="dxa"/>
              <w:right w:w="20" w:type="dxa"/>
            </w:tcMar>
            <w:vAlign w:val="bottom"/>
          </w:tcPr>
          <w:p w14:paraId="186003D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3DB"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3D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3DD" w14:textId="77777777" w:rsidR="00A91885" w:rsidRDefault="009C4196">
            <w:pPr>
              <w:jc w:val="right"/>
              <w:textAlignment w:val="bottom"/>
            </w:pPr>
            <w:r>
              <w:rPr>
                <w:rFonts w:ascii="Arial" w:eastAsia="宋体" w:hAnsi="Arial" w:cs="Arial"/>
                <w:color w:val="000000"/>
                <w:sz w:val="18"/>
                <w:szCs w:val="18"/>
              </w:rPr>
              <w:t>3,754 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3D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3DF"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3E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3E1" w14:textId="77777777" w:rsidR="00A91885" w:rsidRDefault="009C4196">
            <w:pPr>
              <w:jc w:val="right"/>
              <w:textAlignment w:val="bottom"/>
            </w:pPr>
            <w:r>
              <w:rPr>
                <w:rFonts w:ascii="Arial" w:eastAsia="宋体" w:hAnsi="Arial" w:cs="Arial"/>
                <w:color w:val="000000"/>
                <w:sz w:val="18"/>
                <w:szCs w:val="18"/>
              </w:rPr>
              <w:t>7,984 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3E2" w14:textId="77777777" w:rsidR="00A91885" w:rsidRDefault="00A91885">
            <w:pPr>
              <w:jc w:val="right"/>
              <w:rPr>
                <w:rFonts w:ascii="宋体"/>
              </w:rPr>
            </w:pPr>
          </w:p>
        </w:tc>
      </w:tr>
    </w:tbl>
    <w:p w14:paraId="186003E4" w14:textId="77777777" w:rsidR="00A91885" w:rsidRDefault="00A91885">
      <w:pPr>
        <w:jc w:val="both"/>
      </w:pPr>
    </w:p>
    <w:p w14:paraId="186003E5" w14:textId="77777777" w:rsidR="00A91885" w:rsidRDefault="009C4196">
      <w:pPr>
        <w:ind w:firstLine="270"/>
        <w:jc w:val="both"/>
      </w:pPr>
      <w:r>
        <w:rPr>
          <w:rFonts w:ascii="Arial" w:eastAsia="宋体" w:hAnsi="Arial" w:cs="Arial"/>
          <w:b/>
          <w:bCs/>
          <w:i/>
          <w:iCs/>
          <w:color w:val="000000"/>
          <w:sz w:val="20"/>
          <w:szCs w:val="20"/>
        </w:rPr>
        <w:t>Equity</w:t>
      </w:r>
      <w:r>
        <w:rPr>
          <w:rFonts w:ascii="Arial" w:eastAsia="宋体" w:hAnsi="Arial" w:cs="Arial"/>
          <w:b/>
          <w:bCs/>
          <w:i/>
          <w:iCs/>
          <w:color w:val="000000"/>
          <w:sz w:val="20"/>
          <w:szCs w:val="20"/>
        </w:rPr>
        <w:t xml:space="preserve"> investment in Adevinta</w:t>
      </w:r>
    </w:p>
    <w:p w14:paraId="186003E6" w14:textId="77777777" w:rsidR="00A91885" w:rsidRDefault="00A91885">
      <w:pPr>
        <w:ind w:firstLine="540"/>
        <w:jc w:val="both"/>
      </w:pPr>
    </w:p>
    <w:p w14:paraId="186003E7" w14:textId="77777777" w:rsidR="00A91885" w:rsidRDefault="009C4196">
      <w:pPr>
        <w:ind w:firstLine="540"/>
        <w:jc w:val="both"/>
      </w:pPr>
      <w:r>
        <w:rPr>
          <w:rFonts w:ascii="Arial" w:eastAsia="宋体" w:hAnsi="Arial" w:cs="Arial"/>
          <w:color w:val="222222"/>
          <w:sz w:val="20"/>
          <w:szCs w:val="20"/>
        </w:rPr>
        <w:t>We account for equity investments through which we exercise significant influence but do not have control over the investee under the fair value option or under the equity method. O</w:t>
      </w:r>
      <w:r>
        <w:rPr>
          <w:rFonts w:ascii="Arial" w:eastAsia="宋体" w:hAnsi="Arial" w:cs="Arial"/>
          <w:color w:val="000000"/>
          <w:sz w:val="20"/>
          <w:szCs w:val="20"/>
        </w:rPr>
        <w:t xml:space="preserve">ur equity investment in Adevinta is accounted for under the fair value option. </w:t>
      </w:r>
    </w:p>
    <w:p w14:paraId="186003E8" w14:textId="77777777" w:rsidR="00A91885" w:rsidRDefault="00A91885">
      <w:pPr>
        <w:ind w:firstLine="540"/>
        <w:jc w:val="both"/>
      </w:pPr>
    </w:p>
    <w:p w14:paraId="186003E9" w14:textId="77777777" w:rsidR="00A91885" w:rsidRDefault="00A91885">
      <w:pPr>
        <w:ind w:firstLine="540"/>
        <w:jc w:val="both"/>
      </w:pPr>
    </w:p>
    <w:p w14:paraId="186003EA" w14:textId="77777777" w:rsidR="00A91885" w:rsidRDefault="00A91885">
      <w:pPr>
        <w:jc w:val="center"/>
      </w:pPr>
    </w:p>
    <w:p w14:paraId="186003EB" w14:textId="77777777" w:rsidR="00A91885" w:rsidRDefault="009C4196">
      <w:pPr>
        <w:jc w:val="center"/>
      </w:pPr>
      <w:r>
        <w:rPr>
          <w:rFonts w:ascii="Arial" w:eastAsia="宋体" w:hAnsi="Arial" w:cs="Arial"/>
          <w:color w:val="000000"/>
          <w:sz w:val="20"/>
          <w:szCs w:val="20"/>
        </w:rPr>
        <w:t>19</w:t>
      </w:r>
    </w:p>
    <w:p w14:paraId="186003EC" w14:textId="77777777" w:rsidR="00A91885" w:rsidRDefault="009C4196">
      <w:r>
        <w:pict w14:anchorId="18602196">
          <v:rect id="_x0000_i1043" style="width:415.3pt;height:1.5pt" o:hralign="center" o:hrstd="t" o:hr="t" fillcolor="#a0a0a0" stroked="f"/>
        </w:pict>
      </w:r>
    </w:p>
    <w:p w14:paraId="186003ED" w14:textId="77777777" w:rsidR="00A91885" w:rsidRDefault="009C4196">
      <w:hyperlink r:id="rId103" w:anchor="ieb971428a625452486c65ae24899afca_7" w:history="1">
        <w:r>
          <w:rPr>
            <w:rStyle w:val="a5"/>
            <w:rFonts w:ascii="Arial" w:eastAsia="宋体" w:hAnsi="Arial" w:cs="Arial"/>
            <w:sz w:val="18"/>
            <w:szCs w:val="18"/>
          </w:rPr>
          <w:t>Table of Contents</w:t>
        </w:r>
      </w:hyperlink>
    </w:p>
    <w:p w14:paraId="186003EE" w14:textId="77777777" w:rsidR="00A91885" w:rsidRDefault="009C4196">
      <w:pPr>
        <w:jc w:val="center"/>
      </w:pPr>
      <w:r>
        <w:rPr>
          <w:rFonts w:ascii="Arial" w:eastAsia="宋体" w:hAnsi="Arial" w:cs="Arial"/>
          <w:b/>
          <w:bCs/>
          <w:color w:val="000000"/>
          <w:sz w:val="20"/>
          <w:szCs w:val="20"/>
        </w:rPr>
        <w:t>eBay Inc.</w:t>
      </w:r>
    </w:p>
    <w:p w14:paraId="186003EF"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03F0" w14:textId="77777777" w:rsidR="00A91885" w:rsidRDefault="009C4196">
      <w:pPr>
        <w:ind w:firstLine="540"/>
        <w:jc w:val="both"/>
      </w:pPr>
      <w:r>
        <w:rPr>
          <w:rFonts w:ascii="Arial" w:eastAsia="宋体" w:hAnsi="Arial" w:cs="Arial"/>
          <w:color w:val="222222"/>
          <w:sz w:val="20"/>
          <w:szCs w:val="20"/>
        </w:rPr>
        <w:t xml:space="preserve">Upon completion of the transfer of our Classifieds business to Adevinta on June 24, 2021, we received an equity investment of </w:t>
      </w:r>
      <w:r>
        <w:rPr>
          <w:rFonts w:ascii="Arial" w:eastAsia="宋体" w:hAnsi="Arial" w:cs="Arial"/>
          <w:color w:val="000000"/>
          <w:sz w:val="20"/>
          <w:szCs w:val="20"/>
        </w:rPr>
        <w:t>44%</w:t>
      </w:r>
      <w:r>
        <w:rPr>
          <w:rFonts w:ascii="Arial" w:eastAsia="宋体" w:hAnsi="Arial" w:cs="Arial"/>
          <w:color w:val="222222"/>
          <w:sz w:val="20"/>
          <w:szCs w:val="20"/>
        </w:rPr>
        <w:t xml:space="preserve"> in Adevinta valued at </w:t>
      </w:r>
      <w:r>
        <w:rPr>
          <w:rFonts w:ascii="Arial" w:eastAsia="宋体" w:hAnsi="Arial" w:cs="Arial"/>
          <w:color w:val="000000"/>
          <w:sz w:val="20"/>
          <w:szCs w:val="20"/>
        </w:rPr>
        <w:t>$10.8 billion</w:t>
      </w:r>
      <w:r>
        <w:rPr>
          <w:rFonts w:ascii="Arial" w:eastAsia="宋体" w:hAnsi="Arial" w:cs="Arial"/>
          <w:color w:val="222222"/>
          <w:sz w:val="20"/>
          <w:szCs w:val="20"/>
        </w:rPr>
        <w:t xml:space="preserve"> at the close of the transfer. On November 18, 2021, we completed the sale of approximately</w:t>
      </w:r>
      <w:r>
        <w:rPr>
          <w:rFonts w:ascii="Arial" w:eastAsia="宋体" w:hAnsi="Arial" w:cs="Arial"/>
          <w:color w:val="222222"/>
          <w:sz w:val="20"/>
          <w:szCs w:val="20"/>
        </w:rPr>
        <w:t xml:space="preserve"> </w:t>
      </w:r>
      <w:r>
        <w:rPr>
          <w:rFonts w:ascii="Arial" w:eastAsia="宋体" w:hAnsi="Arial" w:cs="Arial"/>
          <w:color w:val="000000"/>
          <w:sz w:val="20"/>
          <w:szCs w:val="20"/>
        </w:rPr>
        <w:t>135 million</w:t>
      </w:r>
      <w:r>
        <w:rPr>
          <w:rFonts w:ascii="Arial" w:eastAsia="宋体" w:hAnsi="Arial" w:cs="Arial"/>
          <w:color w:val="222222"/>
          <w:sz w:val="20"/>
          <w:szCs w:val="20"/>
        </w:rPr>
        <w:t xml:space="preserve"> of our voting shares in Adevinta to Permira, inclusive of the option exercised by Permira to purchase additional voting shares, for total cash consideration of approximately $2.3 billion which reduced our ownership in Adevinta to </w:t>
      </w:r>
      <w:r>
        <w:rPr>
          <w:rFonts w:ascii="Arial" w:eastAsia="宋体" w:hAnsi="Arial" w:cs="Arial"/>
          <w:color w:val="000000"/>
          <w:sz w:val="20"/>
          <w:szCs w:val="20"/>
        </w:rPr>
        <w:t>33%</w:t>
      </w:r>
      <w:r>
        <w:rPr>
          <w:rFonts w:ascii="Arial" w:eastAsia="宋体" w:hAnsi="Arial" w:cs="Arial"/>
          <w:color w:val="222222"/>
          <w:sz w:val="20"/>
          <w:szCs w:val="20"/>
        </w:rPr>
        <w:t>. Followin</w:t>
      </w:r>
      <w:r>
        <w:rPr>
          <w:rFonts w:ascii="Arial" w:eastAsia="宋体" w:hAnsi="Arial" w:cs="Arial"/>
          <w:color w:val="222222"/>
          <w:sz w:val="20"/>
          <w:szCs w:val="20"/>
        </w:rPr>
        <w:t xml:space="preserve">g the close of the share sale in November 2021, our equity investment in Adevinta is reported in the long-term assets section on the condensed consolidated balance sheet to reflect our contractual requirement to retain at least </w:t>
      </w:r>
      <w:r>
        <w:rPr>
          <w:rFonts w:ascii="Arial" w:eastAsia="宋体" w:hAnsi="Arial" w:cs="Arial"/>
          <w:color w:val="000000"/>
          <w:sz w:val="20"/>
          <w:szCs w:val="20"/>
        </w:rPr>
        <w:t>25%</w:t>
      </w:r>
      <w:r>
        <w:rPr>
          <w:rFonts w:ascii="Arial" w:eastAsia="宋体" w:hAnsi="Arial" w:cs="Arial"/>
          <w:color w:val="222222"/>
          <w:sz w:val="20"/>
          <w:szCs w:val="20"/>
        </w:rPr>
        <w:t xml:space="preserve"> of the total number of i</w:t>
      </w:r>
      <w:r>
        <w:rPr>
          <w:rFonts w:ascii="Arial" w:eastAsia="宋体" w:hAnsi="Arial" w:cs="Arial"/>
          <w:color w:val="222222"/>
          <w:sz w:val="20"/>
          <w:szCs w:val="20"/>
        </w:rPr>
        <w:t>ssued and outstanding equity securities of Adevinta until October 14, 2023, subject to certain exceptions specified in the agreement.</w:t>
      </w:r>
    </w:p>
    <w:p w14:paraId="186003F1" w14:textId="77777777" w:rsidR="00A91885" w:rsidRDefault="00A91885">
      <w:pPr>
        <w:ind w:firstLine="540"/>
        <w:jc w:val="both"/>
      </w:pPr>
    </w:p>
    <w:p w14:paraId="186003F2" w14:textId="77777777" w:rsidR="00A91885" w:rsidRDefault="009C4196">
      <w:pPr>
        <w:ind w:firstLine="540"/>
        <w:jc w:val="both"/>
      </w:pPr>
      <w:r>
        <w:rPr>
          <w:rFonts w:ascii="Arial" w:eastAsia="宋体" w:hAnsi="Arial" w:cs="Arial"/>
          <w:color w:val="000000"/>
          <w:sz w:val="20"/>
          <w:szCs w:val="20"/>
        </w:rPr>
        <w:t>At the initial recognition of the equity investment, we elected the fair value option where subsequent changes in fair va</w:t>
      </w:r>
      <w:r>
        <w:rPr>
          <w:rFonts w:ascii="Arial" w:eastAsia="宋体" w:hAnsi="Arial" w:cs="Arial"/>
          <w:color w:val="000000"/>
          <w:sz w:val="20"/>
          <w:szCs w:val="20"/>
        </w:rPr>
        <w:t>lue are recognized in earnings. The investment is classified within Level 1 in the fair value hierarchy as the valuation can be obtained from real time quotes in active markets. The fair value of the equity investment is measured based on Adevinta’s closin</w:t>
      </w:r>
      <w:r>
        <w:rPr>
          <w:rFonts w:ascii="Arial" w:eastAsia="宋体" w:hAnsi="Arial" w:cs="Arial"/>
          <w:color w:val="000000"/>
          <w:sz w:val="20"/>
          <w:szCs w:val="20"/>
        </w:rPr>
        <w:t>g stock price and prevailing foreign exchange rate at each balance sheet date and the changes in fair value are reflected in gain (loss) on equity investments and warrant, net in the condensed consolidated statement of income. We believe the fair value opt</w:t>
      </w:r>
      <w:r>
        <w:rPr>
          <w:rFonts w:ascii="Arial" w:eastAsia="宋体" w:hAnsi="Arial" w:cs="Arial"/>
          <w:color w:val="000000"/>
          <w:sz w:val="20"/>
          <w:szCs w:val="20"/>
        </w:rPr>
        <w:t>ion election creates more transparency of the current value in the equity investment in Adevinta. Our non-voting shares are convertible to voting shares on a one-to-one basis, subject to a limitation of 33% voting interest. For the three months ended June </w:t>
      </w:r>
      <w:r>
        <w:rPr>
          <w:rFonts w:ascii="Arial" w:eastAsia="宋体" w:hAnsi="Arial" w:cs="Arial"/>
          <w:color w:val="000000"/>
          <w:sz w:val="20"/>
          <w:szCs w:val="20"/>
        </w:rPr>
        <w:t>30, 2022 and 2021, unrealized losses of $829 million and $422 million, respectively, were recorded related to the change in fair value of the investment, and for the six months ended June 30, 2022 and 2021, unrealized losses of $2,472 million and $422 mill</w:t>
      </w:r>
      <w:r>
        <w:rPr>
          <w:rFonts w:ascii="Arial" w:eastAsia="宋体" w:hAnsi="Arial" w:cs="Arial"/>
          <w:color w:val="000000"/>
          <w:sz w:val="20"/>
          <w:szCs w:val="20"/>
        </w:rPr>
        <w:t>ion, respectively, were recorded related to the change in fair value of the investment in gain (loss) on equity investments and warrant, net on our condensed consolidated statement of income. The fair value of the investment was $2,919 million and $5,391 m</w:t>
      </w:r>
      <w:r>
        <w:rPr>
          <w:rFonts w:ascii="Arial" w:eastAsia="宋体" w:hAnsi="Arial" w:cs="Arial"/>
          <w:color w:val="000000"/>
          <w:sz w:val="20"/>
          <w:szCs w:val="20"/>
        </w:rPr>
        <w:t xml:space="preserve">illion </w:t>
      </w:r>
      <w:r>
        <w:rPr>
          <w:rFonts w:ascii="Arial" w:eastAsia="宋体" w:hAnsi="Arial" w:cs="Arial"/>
          <w:color w:val="222222"/>
          <w:sz w:val="20"/>
          <w:szCs w:val="20"/>
        </w:rPr>
        <w:t xml:space="preserve">as of </w:t>
      </w:r>
      <w:r>
        <w:rPr>
          <w:rFonts w:ascii="Arial" w:eastAsia="宋体" w:hAnsi="Arial" w:cs="Arial"/>
          <w:color w:val="000000"/>
          <w:sz w:val="20"/>
          <w:szCs w:val="20"/>
        </w:rPr>
        <w:t>June 30, 2022 and December 31, 2021, respectively</w:t>
      </w:r>
      <w:r>
        <w:rPr>
          <w:rFonts w:ascii="Arial" w:eastAsia="宋体" w:hAnsi="Arial" w:cs="Arial"/>
          <w:color w:val="222222"/>
          <w:sz w:val="20"/>
          <w:szCs w:val="20"/>
        </w:rPr>
        <w:t>.</w:t>
      </w:r>
    </w:p>
    <w:p w14:paraId="186003F3" w14:textId="77777777" w:rsidR="00A91885" w:rsidRDefault="00A91885">
      <w:pPr>
        <w:ind w:firstLine="540"/>
        <w:jc w:val="both"/>
      </w:pPr>
    </w:p>
    <w:p w14:paraId="186003F4" w14:textId="77777777" w:rsidR="00A91885" w:rsidRDefault="009C4196">
      <w:pPr>
        <w:ind w:firstLine="270"/>
      </w:pPr>
      <w:r>
        <w:rPr>
          <w:rFonts w:ascii="Arial" w:eastAsia="宋体" w:hAnsi="Arial" w:cs="Arial"/>
          <w:b/>
          <w:bCs/>
          <w:i/>
          <w:iCs/>
          <w:color w:val="000000"/>
          <w:sz w:val="20"/>
          <w:szCs w:val="20"/>
        </w:rPr>
        <w:t xml:space="preserve">Equity investments with readily determinable fair values </w:t>
      </w:r>
    </w:p>
    <w:p w14:paraId="186003F5" w14:textId="77777777" w:rsidR="00A91885" w:rsidRDefault="00A91885">
      <w:pPr>
        <w:ind w:firstLine="540"/>
        <w:jc w:val="both"/>
      </w:pPr>
    </w:p>
    <w:p w14:paraId="186003F6" w14:textId="77777777" w:rsidR="00A91885" w:rsidRDefault="009C4196">
      <w:pPr>
        <w:ind w:firstLine="540"/>
        <w:jc w:val="both"/>
      </w:pPr>
      <w:r>
        <w:rPr>
          <w:rFonts w:ascii="Arial" w:eastAsia="宋体" w:hAnsi="Arial" w:cs="Arial"/>
          <w:color w:val="000000"/>
          <w:sz w:val="20"/>
          <w:szCs w:val="20"/>
        </w:rPr>
        <w:t xml:space="preserve">Equity investments with readily determinable fair values are classified within Level 1 in the fair value hierarchy as the </w:t>
      </w:r>
      <w:r>
        <w:rPr>
          <w:rFonts w:ascii="Arial" w:eastAsia="宋体" w:hAnsi="Arial" w:cs="Arial"/>
          <w:color w:val="000000"/>
          <w:sz w:val="20"/>
          <w:szCs w:val="20"/>
        </w:rPr>
        <w:t>valuation can be obtained from real time quotes in active markets. Subsequent changes in fair value are reflected in gain (loss) on equity investments and warrant, net in the condensed consolidated statement of income.</w:t>
      </w:r>
    </w:p>
    <w:p w14:paraId="186003F7" w14:textId="77777777" w:rsidR="00A91885" w:rsidRDefault="00A91885">
      <w:pPr>
        <w:ind w:firstLine="540"/>
        <w:jc w:val="both"/>
      </w:pPr>
    </w:p>
    <w:p w14:paraId="186003F8" w14:textId="77777777" w:rsidR="00A91885" w:rsidRDefault="009C4196">
      <w:pPr>
        <w:ind w:firstLine="540"/>
        <w:jc w:val="both"/>
      </w:pPr>
      <w:r>
        <w:rPr>
          <w:rFonts w:ascii="Arial" w:eastAsia="宋体" w:hAnsi="Arial" w:cs="Arial"/>
          <w:color w:val="000000"/>
          <w:sz w:val="20"/>
          <w:szCs w:val="20"/>
        </w:rPr>
        <w:t>In August 2021, one of our equity in</w:t>
      </w:r>
      <w:r>
        <w:rPr>
          <w:rFonts w:ascii="Arial" w:eastAsia="宋体" w:hAnsi="Arial" w:cs="Arial"/>
          <w:color w:val="000000"/>
          <w:sz w:val="20"/>
          <w:szCs w:val="20"/>
        </w:rPr>
        <w:t>vestments, KakaoBank Corp. (“KakaoBank”), which previously did not have a readily determinable fair value, completed its initial public offering which resulted in this investment having a readily determinable fair value. The fair value of the equity invest</w:t>
      </w:r>
      <w:r>
        <w:rPr>
          <w:rFonts w:ascii="Arial" w:eastAsia="宋体" w:hAnsi="Arial" w:cs="Arial"/>
          <w:color w:val="000000"/>
          <w:sz w:val="20"/>
          <w:szCs w:val="20"/>
        </w:rPr>
        <w:t xml:space="preserve">ment is measured based on KakaoBank’s closing stock price and prevailing foreign exchange rate at each balance sheet date. For the three and six months ended June 30, 2022, unrealized losses of $105 million and $196 million, respectively, were recorded in </w:t>
      </w:r>
      <w:r>
        <w:rPr>
          <w:rFonts w:ascii="Arial" w:eastAsia="宋体" w:hAnsi="Arial" w:cs="Arial"/>
          <w:color w:val="000000"/>
          <w:sz w:val="20"/>
          <w:szCs w:val="20"/>
        </w:rPr>
        <w:t>gain (loss) on equity investments and warrant, net on our condensed consolidated statement of income related to the change in fair value of the investment. During the three and six months ended June 30, 2022, we sold a portion of our shares in KakaoBank fo</w:t>
      </w:r>
      <w:r>
        <w:rPr>
          <w:rFonts w:ascii="Arial" w:eastAsia="宋体" w:hAnsi="Arial" w:cs="Arial"/>
          <w:color w:val="000000"/>
          <w:sz w:val="20"/>
          <w:szCs w:val="20"/>
        </w:rPr>
        <w:t>r $242 million and $287 million, respectively, and recorded realized losses on the change in fair value of shares sold of $67 million and $75 million, respectively, in gain (loss) on equity investments and warrant, net on our condensed consolidated stateme</w:t>
      </w:r>
      <w:r>
        <w:rPr>
          <w:rFonts w:ascii="Arial" w:eastAsia="宋体" w:hAnsi="Arial" w:cs="Arial"/>
          <w:color w:val="000000"/>
          <w:sz w:val="20"/>
          <w:szCs w:val="20"/>
        </w:rPr>
        <w:t xml:space="preserve">nt of income. The fair value of the investment was $126 million and $684 million </w:t>
      </w:r>
      <w:r>
        <w:rPr>
          <w:rFonts w:ascii="Arial" w:eastAsia="宋体" w:hAnsi="Arial" w:cs="Arial"/>
          <w:color w:val="222222"/>
          <w:sz w:val="20"/>
          <w:szCs w:val="20"/>
        </w:rPr>
        <w:t xml:space="preserve">as of </w:t>
      </w:r>
      <w:r>
        <w:rPr>
          <w:rFonts w:ascii="Arial" w:eastAsia="宋体" w:hAnsi="Arial" w:cs="Arial"/>
          <w:color w:val="000000"/>
          <w:sz w:val="20"/>
          <w:szCs w:val="20"/>
        </w:rPr>
        <w:t xml:space="preserve">June 30, 2022 and December 31, 2021, respectively </w:t>
      </w:r>
      <w:r>
        <w:rPr>
          <w:rFonts w:ascii="Arial" w:eastAsia="宋体" w:hAnsi="Arial" w:cs="Arial"/>
          <w:color w:val="222222"/>
          <w:sz w:val="20"/>
          <w:szCs w:val="20"/>
        </w:rPr>
        <w:t>and is reported within short-term investments in our condensed consolidated balance sheet.</w:t>
      </w:r>
    </w:p>
    <w:p w14:paraId="186003F9" w14:textId="77777777" w:rsidR="00A91885" w:rsidRDefault="00A91885">
      <w:pPr>
        <w:ind w:firstLine="540"/>
        <w:jc w:val="both"/>
      </w:pPr>
    </w:p>
    <w:p w14:paraId="186003FA" w14:textId="77777777" w:rsidR="00A91885" w:rsidRDefault="009C4196">
      <w:pPr>
        <w:ind w:firstLine="540"/>
        <w:jc w:val="both"/>
      </w:pPr>
      <w:r>
        <w:rPr>
          <w:rFonts w:ascii="Arial" w:eastAsia="宋体" w:hAnsi="Arial" w:cs="Arial"/>
          <w:color w:val="000000"/>
          <w:sz w:val="20"/>
          <w:szCs w:val="20"/>
        </w:rPr>
        <w:t>We entered into a warrant a</w:t>
      </w:r>
      <w:r>
        <w:rPr>
          <w:rFonts w:ascii="Arial" w:eastAsia="宋体" w:hAnsi="Arial" w:cs="Arial"/>
          <w:color w:val="000000"/>
          <w:sz w:val="20"/>
          <w:szCs w:val="20"/>
        </w:rPr>
        <w:t>greement in conjunction with a commercial agreement with Adyen that vests in a series of four tranches, at a specified price per share upon meeting processing volume milestone targets on a calendar year basis. When a relevant milestone is reached, the warr</w:t>
      </w:r>
      <w:r>
        <w:rPr>
          <w:rFonts w:ascii="Arial" w:eastAsia="宋体" w:hAnsi="Arial" w:cs="Arial"/>
          <w:color w:val="000000"/>
          <w:sz w:val="20"/>
          <w:szCs w:val="20"/>
        </w:rPr>
        <w:t>ant becomes exercisable with respect to the corresponding tranche of warrant shares up until the warrant expiration date of January 31, 2025. In the fourth quarter of 2021, we met the processing volume milestone target to vest the first tranche of the warr</w:t>
      </w:r>
      <w:r>
        <w:rPr>
          <w:rFonts w:ascii="Arial" w:eastAsia="宋体" w:hAnsi="Arial" w:cs="Arial"/>
          <w:color w:val="000000"/>
          <w:sz w:val="20"/>
          <w:szCs w:val="20"/>
        </w:rPr>
        <w:t xml:space="preserve">ant. Upon vesting of the first tranche, we exercised the option to purchase shares of Adyen valued at $1.1 billion in exchange for approximately $110 million in cash. The fair value of the equity investment is measured based on Adyen’s closing stock price </w:t>
      </w:r>
      <w:r>
        <w:rPr>
          <w:rFonts w:ascii="Arial" w:eastAsia="宋体" w:hAnsi="Arial" w:cs="Arial"/>
          <w:color w:val="000000"/>
          <w:sz w:val="20"/>
          <w:szCs w:val="20"/>
        </w:rPr>
        <w:t xml:space="preserve">and prevailing foreign exchange rate at each balance sheet date. </w:t>
      </w:r>
    </w:p>
    <w:p w14:paraId="186003FB" w14:textId="77777777" w:rsidR="00A91885" w:rsidRDefault="00A91885">
      <w:pPr>
        <w:ind w:firstLine="540"/>
        <w:jc w:val="both"/>
      </w:pPr>
    </w:p>
    <w:p w14:paraId="186003FC" w14:textId="77777777" w:rsidR="00A91885" w:rsidRDefault="00A91885">
      <w:pPr>
        <w:ind w:firstLine="540"/>
        <w:jc w:val="both"/>
      </w:pPr>
    </w:p>
    <w:p w14:paraId="186003FD" w14:textId="77777777" w:rsidR="00A91885" w:rsidRDefault="00A91885">
      <w:pPr>
        <w:jc w:val="center"/>
      </w:pPr>
    </w:p>
    <w:p w14:paraId="186003FE" w14:textId="77777777" w:rsidR="00A91885" w:rsidRDefault="009C4196">
      <w:pPr>
        <w:jc w:val="center"/>
      </w:pPr>
      <w:r>
        <w:rPr>
          <w:rFonts w:ascii="Arial" w:eastAsia="宋体" w:hAnsi="Arial" w:cs="Arial"/>
          <w:color w:val="000000"/>
          <w:sz w:val="20"/>
          <w:szCs w:val="20"/>
        </w:rPr>
        <w:t>20</w:t>
      </w:r>
    </w:p>
    <w:p w14:paraId="186003FF" w14:textId="77777777" w:rsidR="00A91885" w:rsidRDefault="009C4196">
      <w:r>
        <w:pict w14:anchorId="18602197">
          <v:rect id="_x0000_i1044" style="width:415.3pt;height:1.5pt" o:hralign="center" o:hrstd="t" o:hr="t" fillcolor="#a0a0a0" stroked="f"/>
        </w:pict>
      </w:r>
    </w:p>
    <w:p w14:paraId="18600400" w14:textId="77777777" w:rsidR="00A91885" w:rsidRDefault="009C4196">
      <w:hyperlink r:id="rId104" w:anchor="ieb971428a625452486c65ae24899afca_7" w:history="1">
        <w:r>
          <w:rPr>
            <w:rStyle w:val="a5"/>
            <w:rFonts w:ascii="Arial" w:eastAsia="宋体" w:hAnsi="Arial" w:cs="Arial"/>
            <w:sz w:val="18"/>
            <w:szCs w:val="18"/>
          </w:rPr>
          <w:t>Table of Contents</w:t>
        </w:r>
      </w:hyperlink>
    </w:p>
    <w:p w14:paraId="18600401" w14:textId="77777777" w:rsidR="00A91885" w:rsidRDefault="009C4196">
      <w:pPr>
        <w:jc w:val="center"/>
      </w:pPr>
      <w:r>
        <w:rPr>
          <w:rFonts w:ascii="Arial" w:eastAsia="宋体" w:hAnsi="Arial" w:cs="Arial"/>
          <w:b/>
          <w:bCs/>
          <w:color w:val="000000"/>
          <w:sz w:val="20"/>
          <w:szCs w:val="20"/>
        </w:rPr>
        <w:t>eBay Inc.</w:t>
      </w:r>
    </w:p>
    <w:p w14:paraId="18600402" w14:textId="77777777" w:rsidR="00A91885" w:rsidRDefault="009C4196">
      <w:pPr>
        <w:spacing w:before="80"/>
        <w:jc w:val="center"/>
      </w:pPr>
      <w:r>
        <w:rPr>
          <w:rFonts w:ascii="Arial" w:eastAsia="宋体" w:hAnsi="Arial" w:cs="Arial"/>
          <w:b/>
          <w:bCs/>
          <w:color w:val="000000"/>
          <w:sz w:val="20"/>
          <w:szCs w:val="20"/>
        </w:rPr>
        <w:t>N</w:t>
      </w:r>
      <w:r>
        <w:rPr>
          <w:rFonts w:ascii="Arial" w:eastAsia="宋体" w:hAnsi="Arial" w:cs="Arial"/>
          <w:b/>
          <w:bCs/>
          <w:color w:val="000000"/>
          <w:sz w:val="20"/>
          <w:szCs w:val="20"/>
        </w:rPr>
        <w:t>OTES TO CONDENSED CONSOLIDATED FINANCIAL STATEMENTS—(Continued)</w:t>
      </w:r>
    </w:p>
    <w:p w14:paraId="18600403" w14:textId="77777777" w:rsidR="00A91885" w:rsidRDefault="009C4196">
      <w:pPr>
        <w:ind w:firstLine="540"/>
        <w:jc w:val="both"/>
      </w:pPr>
      <w:r>
        <w:rPr>
          <w:rFonts w:ascii="Arial" w:eastAsia="宋体" w:hAnsi="Arial" w:cs="Arial"/>
          <w:color w:val="000000"/>
          <w:sz w:val="20"/>
          <w:szCs w:val="20"/>
        </w:rPr>
        <w:t>For the three and six months ended June 30, 2022, unrealized losses of $38 million and $118 million, respectively, were recorded in gain (loss) on equity investments and warrant, net on our co</w:t>
      </w:r>
      <w:r>
        <w:rPr>
          <w:rFonts w:ascii="Arial" w:eastAsia="宋体" w:hAnsi="Arial" w:cs="Arial"/>
          <w:color w:val="000000"/>
          <w:sz w:val="20"/>
          <w:szCs w:val="20"/>
        </w:rPr>
        <w:t>ndensed consolidated statement of income related to the change in fair value of the investment. During the three and six months ended June 30, 2022, we sold a portion of our shares in Adyen for $129 million and $680 million, respectively, and recorded real</w:t>
      </w:r>
      <w:r>
        <w:rPr>
          <w:rFonts w:ascii="Arial" w:eastAsia="宋体" w:hAnsi="Arial" w:cs="Arial"/>
          <w:color w:val="000000"/>
          <w:sz w:val="20"/>
          <w:szCs w:val="20"/>
        </w:rPr>
        <w:t>ized losses on the change in fair value of shares sold of $1 million and $167 million, respectively, in gain (loss) on equity investments and warrant, net on our condensed consolidated statement of income. As of June 30, 2022 and December 31, 2021, the fai</w:t>
      </w:r>
      <w:r>
        <w:rPr>
          <w:rFonts w:ascii="Arial" w:eastAsia="宋体" w:hAnsi="Arial" w:cs="Arial"/>
          <w:color w:val="000000"/>
          <w:sz w:val="20"/>
          <w:szCs w:val="20"/>
        </w:rPr>
        <w:t xml:space="preserve">r value of the investment was $96 million and $1,061 million, respectively </w:t>
      </w:r>
      <w:r>
        <w:rPr>
          <w:rFonts w:ascii="Arial" w:eastAsia="宋体" w:hAnsi="Arial" w:cs="Arial"/>
          <w:color w:val="222222"/>
          <w:sz w:val="20"/>
          <w:szCs w:val="20"/>
        </w:rPr>
        <w:t>and</w:t>
      </w:r>
      <w:r>
        <w:rPr>
          <w:rFonts w:ascii="Arial" w:eastAsia="宋体" w:hAnsi="Arial" w:cs="Arial"/>
          <w:color w:val="000000"/>
          <w:sz w:val="20"/>
          <w:szCs w:val="20"/>
        </w:rPr>
        <w:t xml:space="preserve"> is reported within short-term investments in our condensed consolidated balance sheet. Refer to “Note 7 —</w:t>
      </w:r>
      <w:r>
        <w:rPr>
          <w:rFonts w:ascii="Arial" w:eastAsia="宋体" w:hAnsi="Arial" w:cs="Arial"/>
          <w:b/>
          <w:bCs/>
          <w:color w:val="000000"/>
          <w:sz w:val="20"/>
          <w:szCs w:val="20"/>
        </w:rPr>
        <w:t xml:space="preserve"> </w:t>
      </w:r>
      <w:r>
        <w:rPr>
          <w:rFonts w:ascii="Arial" w:eastAsia="宋体" w:hAnsi="Arial" w:cs="Arial"/>
          <w:color w:val="000000"/>
          <w:sz w:val="20"/>
          <w:szCs w:val="20"/>
        </w:rPr>
        <w:t>Derivative Instruments” for more information about the warrant.</w:t>
      </w:r>
    </w:p>
    <w:p w14:paraId="18600404" w14:textId="77777777" w:rsidR="00A91885" w:rsidRDefault="00A91885">
      <w:pPr>
        <w:ind w:firstLine="540"/>
        <w:jc w:val="both"/>
      </w:pPr>
    </w:p>
    <w:p w14:paraId="18600405" w14:textId="77777777" w:rsidR="00A91885" w:rsidRDefault="009C4196">
      <w:pPr>
        <w:ind w:firstLine="540"/>
        <w:jc w:val="both"/>
      </w:pPr>
      <w:r>
        <w:rPr>
          <w:rFonts w:ascii="Arial" w:eastAsia="宋体" w:hAnsi="Arial" w:cs="Arial"/>
          <w:color w:val="000000"/>
          <w:sz w:val="20"/>
          <w:szCs w:val="20"/>
        </w:rPr>
        <w:t>Subseq</w:t>
      </w:r>
      <w:r>
        <w:rPr>
          <w:rFonts w:ascii="Arial" w:eastAsia="宋体" w:hAnsi="Arial" w:cs="Arial"/>
          <w:color w:val="000000"/>
          <w:sz w:val="20"/>
          <w:szCs w:val="20"/>
        </w:rPr>
        <w:t>uent to June 30, 2022, we sold additional shares in Adyen for $84 million and recorded a realized gain on the change in fair value of shares sold of $17 million in gain (loss) on equity investments and warrant, net on our condensed consolidated statement o</w:t>
      </w:r>
      <w:r>
        <w:rPr>
          <w:rFonts w:ascii="Arial" w:eastAsia="宋体" w:hAnsi="Arial" w:cs="Arial"/>
          <w:color w:val="000000"/>
          <w:sz w:val="20"/>
          <w:szCs w:val="20"/>
        </w:rPr>
        <w:t>f income.</w:t>
      </w:r>
    </w:p>
    <w:p w14:paraId="18600406" w14:textId="77777777" w:rsidR="00A91885" w:rsidRDefault="00A91885">
      <w:pPr>
        <w:ind w:firstLine="540"/>
        <w:jc w:val="both"/>
      </w:pPr>
    </w:p>
    <w:p w14:paraId="18600407" w14:textId="77777777" w:rsidR="00A91885" w:rsidRDefault="009C4196">
      <w:pPr>
        <w:ind w:firstLine="270"/>
        <w:jc w:val="both"/>
      </w:pPr>
      <w:r>
        <w:rPr>
          <w:rFonts w:ascii="Arial" w:eastAsia="宋体" w:hAnsi="Arial" w:cs="Arial"/>
          <w:b/>
          <w:bCs/>
          <w:i/>
          <w:iCs/>
          <w:color w:val="000000"/>
          <w:sz w:val="20"/>
          <w:szCs w:val="20"/>
        </w:rPr>
        <w:t>Equity investments under the fair value option</w:t>
      </w:r>
    </w:p>
    <w:p w14:paraId="18600408" w14:textId="77777777" w:rsidR="00A91885" w:rsidRDefault="00A91885">
      <w:pPr>
        <w:ind w:firstLine="540"/>
        <w:jc w:val="both"/>
      </w:pPr>
    </w:p>
    <w:p w14:paraId="18600409" w14:textId="77777777" w:rsidR="00A91885" w:rsidRDefault="009C4196">
      <w:pPr>
        <w:ind w:firstLine="540"/>
        <w:jc w:val="both"/>
      </w:pPr>
      <w:r>
        <w:rPr>
          <w:rFonts w:ascii="Arial" w:eastAsia="宋体" w:hAnsi="Arial" w:cs="Arial"/>
          <w:color w:val="222222"/>
          <w:sz w:val="20"/>
          <w:szCs w:val="20"/>
        </w:rPr>
        <w:t xml:space="preserve">We account for equity investments through which we exercise significant influence but do not have control over the investee under the fair value option or under the equity method. Our equity </w:t>
      </w:r>
      <w:r>
        <w:rPr>
          <w:rFonts w:ascii="Arial" w:eastAsia="宋体" w:hAnsi="Arial" w:cs="Arial"/>
          <w:color w:val="222222"/>
          <w:sz w:val="20"/>
          <w:szCs w:val="20"/>
        </w:rPr>
        <w:t>investment in Gmarket and certain other immaterial equity investments are accounted for under the fair value option.</w:t>
      </w:r>
    </w:p>
    <w:p w14:paraId="1860040A" w14:textId="77777777" w:rsidR="00A91885" w:rsidRDefault="00A91885">
      <w:pPr>
        <w:ind w:firstLine="540"/>
        <w:jc w:val="both"/>
      </w:pPr>
    </w:p>
    <w:p w14:paraId="1860040B" w14:textId="77777777" w:rsidR="00A91885" w:rsidRDefault="009C4196">
      <w:pPr>
        <w:ind w:firstLine="540"/>
        <w:jc w:val="both"/>
      </w:pPr>
      <w:r>
        <w:rPr>
          <w:rFonts w:ascii="Arial" w:eastAsia="宋体" w:hAnsi="Arial" w:cs="Arial"/>
          <w:color w:val="222222"/>
          <w:sz w:val="20"/>
          <w:szCs w:val="20"/>
        </w:rPr>
        <w:t xml:space="preserve">On November 14, 2021, we completed the previously announced sale of </w:t>
      </w:r>
      <w:r>
        <w:rPr>
          <w:rFonts w:ascii="Arial" w:eastAsia="宋体" w:hAnsi="Arial" w:cs="Arial"/>
          <w:color w:val="000000"/>
          <w:sz w:val="20"/>
          <w:szCs w:val="20"/>
        </w:rPr>
        <w:t>80.01%</w:t>
      </w:r>
      <w:r>
        <w:rPr>
          <w:rFonts w:ascii="Arial" w:eastAsia="宋体" w:hAnsi="Arial" w:cs="Arial"/>
          <w:color w:val="222222"/>
          <w:sz w:val="20"/>
          <w:szCs w:val="20"/>
        </w:rPr>
        <w:t xml:space="preserve"> of the outstanding equity interests of eBay Korea to Emart. Upon completion of the sale, we retained </w:t>
      </w:r>
      <w:r>
        <w:rPr>
          <w:rFonts w:ascii="Arial" w:eastAsia="宋体" w:hAnsi="Arial" w:cs="Arial"/>
          <w:color w:val="000000"/>
          <w:sz w:val="20"/>
          <w:szCs w:val="20"/>
        </w:rPr>
        <w:t>19.99%</w:t>
      </w:r>
      <w:r>
        <w:rPr>
          <w:rFonts w:ascii="Arial" w:eastAsia="宋体" w:hAnsi="Arial" w:cs="Arial"/>
          <w:color w:val="222222"/>
          <w:sz w:val="20"/>
          <w:szCs w:val="20"/>
        </w:rPr>
        <w:t xml:space="preserve"> of the outstanding equity interest of the new entity, Gmarket, over whom we are able to exercise significant influence based on the terms of the se</w:t>
      </w:r>
      <w:r>
        <w:rPr>
          <w:rFonts w:ascii="Arial" w:eastAsia="宋体" w:hAnsi="Arial" w:cs="Arial"/>
          <w:color w:val="222222"/>
          <w:sz w:val="20"/>
          <w:szCs w:val="20"/>
        </w:rPr>
        <w:t xml:space="preserve">curities purchase agreement, including through our board representation. Our equity investment in Gmarket was valued at </w:t>
      </w:r>
      <w:r>
        <w:rPr>
          <w:rFonts w:ascii="Arial" w:eastAsia="宋体" w:hAnsi="Arial" w:cs="Arial"/>
          <w:color w:val="000000"/>
          <w:sz w:val="20"/>
          <w:szCs w:val="20"/>
        </w:rPr>
        <w:t>$728 million</w:t>
      </w:r>
      <w:r>
        <w:rPr>
          <w:rFonts w:ascii="Arial" w:eastAsia="宋体" w:hAnsi="Arial" w:cs="Arial"/>
          <w:color w:val="222222"/>
          <w:sz w:val="20"/>
          <w:szCs w:val="20"/>
        </w:rPr>
        <w:t xml:space="preserve"> as of the transaction close date. At the initial recognition of this equity investment, we elected the fair value option wh</w:t>
      </w:r>
      <w:r>
        <w:rPr>
          <w:rFonts w:ascii="Arial" w:eastAsia="宋体" w:hAnsi="Arial" w:cs="Arial"/>
          <w:color w:val="222222"/>
          <w:sz w:val="20"/>
          <w:szCs w:val="20"/>
        </w:rPr>
        <w:t>ere subsequent changes in fair value are recognized in gain (loss) on equity investments and warrant, net in the condensed consolidated statement of income. We believe the fair value option election creates more transparency of the current value in the equ</w:t>
      </w:r>
      <w:r>
        <w:rPr>
          <w:rFonts w:ascii="Arial" w:eastAsia="宋体" w:hAnsi="Arial" w:cs="Arial"/>
          <w:color w:val="222222"/>
          <w:sz w:val="20"/>
          <w:szCs w:val="20"/>
        </w:rPr>
        <w:t>ity investment in Gmarket. Our retained investment in Gmarket is subject to a two year right held by Emart to purchase the remaining interest at the close price of the sale.</w:t>
      </w:r>
    </w:p>
    <w:p w14:paraId="1860040C" w14:textId="77777777" w:rsidR="00A91885" w:rsidRDefault="00A91885">
      <w:pPr>
        <w:ind w:firstLine="540"/>
        <w:jc w:val="both"/>
      </w:pPr>
    </w:p>
    <w:p w14:paraId="1860040D" w14:textId="77777777" w:rsidR="00A91885" w:rsidRDefault="009C4196">
      <w:pPr>
        <w:ind w:firstLine="540"/>
        <w:jc w:val="both"/>
      </w:pPr>
      <w:r>
        <w:rPr>
          <w:rFonts w:ascii="Arial" w:eastAsia="宋体" w:hAnsi="Arial" w:cs="Arial"/>
          <w:color w:val="000000"/>
          <w:sz w:val="20"/>
          <w:szCs w:val="20"/>
        </w:rPr>
        <w:t>For the three and six months ended June 30, 2022, unrealized losses of $77 millio</w:t>
      </w:r>
      <w:r>
        <w:rPr>
          <w:rFonts w:ascii="Arial" w:eastAsia="宋体" w:hAnsi="Arial" w:cs="Arial"/>
          <w:color w:val="000000"/>
          <w:sz w:val="20"/>
          <w:szCs w:val="20"/>
        </w:rPr>
        <w:t xml:space="preserve">n and $259 million, respectively, were recorded in gain (loss) on equity investments and warrant, net related to the change in fair value of the investment. </w:t>
      </w:r>
      <w:r>
        <w:rPr>
          <w:rFonts w:ascii="Arial" w:eastAsia="宋体" w:hAnsi="Arial" w:cs="Arial"/>
          <w:color w:val="222222"/>
          <w:sz w:val="20"/>
          <w:szCs w:val="20"/>
        </w:rPr>
        <w:t xml:space="preserve">As of June 30, 2022 and </w:t>
      </w:r>
      <w:r>
        <w:rPr>
          <w:rFonts w:ascii="Arial" w:eastAsia="宋体" w:hAnsi="Arial" w:cs="Arial"/>
          <w:color w:val="000000"/>
          <w:sz w:val="20"/>
          <w:szCs w:val="20"/>
        </w:rPr>
        <w:t>December 31, 2021</w:t>
      </w:r>
      <w:r>
        <w:rPr>
          <w:rFonts w:ascii="Arial" w:eastAsia="宋体" w:hAnsi="Arial" w:cs="Arial"/>
          <w:color w:val="222222"/>
          <w:sz w:val="20"/>
          <w:szCs w:val="20"/>
        </w:rPr>
        <w:t>, the fair value of the investment was $466 million and $7</w:t>
      </w:r>
      <w:r>
        <w:rPr>
          <w:rFonts w:ascii="Arial" w:eastAsia="宋体" w:hAnsi="Arial" w:cs="Arial"/>
          <w:color w:val="222222"/>
          <w:sz w:val="20"/>
          <w:szCs w:val="20"/>
        </w:rPr>
        <w:t xml:space="preserve">25 million, respectively and is reported within long-term investments in our condensed consolidated balance sheet. </w:t>
      </w:r>
    </w:p>
    <w:p w14:paraId="1860040E" w14:textId="77777777" w:rsidR="00A91885" w:rsidRDefault="00A91885">
      <w:pPr>
        <w:ind w:firstLine="540"/>
        <w:jc w:val="both"/>
      </w:pPr>
    </w:p>
    <w:p w14:paraId="1860040F" w14:textId="77777777" w:rsidR="00A91885" w:rsidRDefault="009C4196">
      <w:pPr>
        <w:ind w:firstLine="540"/>
        <w:jc w:val="both"/>
      </w:pPr>
      <w:r>
        <w:rPr>
          <w:rFonts w:ascii="Arial" w:eastAsia="宋体" w:hAnsi="Arial" w:cs="Arial"/>
          <w:color w:val="000000"/>
          <w:sz w:val="20"/>
          <w:szCs w:val="20"/>
        </w:rPr>
        <w:t>The investment is classified as Level 3 in the fair value hierarchy as the valuation reflects management’s estimate of assumptions that mar</w:t>
      </w:r>
      <w:r>
        <w:rPr>
          <w:rFonts w:ascii="Arial" w:eastAsia="宋体" w:hAnsi="Arial" w:cs="Arial"/>
          <w:color w:val="000000"/>
          <w:sz w:val="20"/>
          <w:szCs w:val="20"/>
        </w:rPr>
        <w:t xml:space="preserve">ket participants would use in pricing the equity investment. Certain other immaterial equity investments aggregating to $38 million as of </w:t>
      </w:r>
      <w:r>
        <w:rPr>
          <w:rFonts w:ascii="Arial" w:eastAsia="宋体" w:hAnsi="Arial" w:cs="Arial"/>
          <w:color w:val="222222"/>
          <w:sz w:val="20"/>
          <w:szCs w:val="20"/>
        </w:rPr>
        <w:t xml:space="preserve">June 30, 2022 are measured at fair value using the net asset value per share (or its equivalent) practical expedient, </w:t>
      </w:r>
      <w:r>
        <w:rPr>
          <w:rFonts w:ascii="Arial" w:eastAsia="宋体" w:hAnsi="Arial" w:cs="Arial"/>
          <w:color w:val="222222"/>
          <w:sz w:val="20"/>
          <w:szCs w:val="20"/>
        </w:rPr>
        <w:t xml:space="preserve">and have not been classified in the fair value hierarchy. </w:t>
      </w:r>
      <w:r>
        <w:rPr>
          <w:rFonts w:ascii="Arial" w:eastAsia="宋体" w:hAnsi="Arial" w:cs="Arial"/>
          <w:color w:val="000000"/>
          <w:sz w:val="20"/>
          <w:szCs w:val="20"/>
        </w:rPr>
        <w:t>Refer to “Note 8 — Fair Value Measurement of Assets and Liabilities” for more information.</w:t>
      </w:r>
    </w:p>
    <w:p w14:paraId="18600410" w14:textId="77777777" w:rsidR="00A91885" w:rsidRDefault="00A91885">
      <w:pPr>
        <w:ind w:firstLine="540"/>
        <w:jc w:val="both"/>
      </w:pPr>
    </w:p>
    <w:p w14:paraId="18600411" w14:textId="77777777" w:rsidR="00A91885" w:rsidRDefault="009C4196">
      <w:pPr>
        <w:ind w:firstLine="270"/>
        <w:jc w:val="both"/>
      </w:pPr>
      <w:r>
        <w:rPr>
          <w:rFonts w:ascii="Arial" w:eastAsia="宋体" w:hAnsi="Arial" w:cs="Arial"/>
          <w:b/>
          <w:bCs/>
          <w:i/>
          <w:iCs/>
          <w:color w:val="000000"/>
          <w:sz w:val="20"/>
          <w:szCs w:val="20"/>
        </w:rPr>
        <w:t>Other equity method investments</w:t>
      </w:r>
    </w:p>
    <w:p w14:paraId="18600412" w14:textId="77777777" w:rsidR="00A91885" w:rsidRDefault="00A91885">
      <w:pPr>
        <w:ind w:firstLine="540"/>
        <w:jc w:val="both"/>
      </w:pPr>
    </w:p>
    <w:p w14:paraId="18600413" w14:textId="77777777" w:rsidR="00A91885" w:rsidRDefault="009C4196">
      <w:pPr>
        <w:ind w:firstLine="540"/>
        <w:jc w:val="both"/>
      </w:pPr>
      <w:r>
        <w:rPr>
          <w:rFonts w:ascii="Arial" w:eastAsia="宋体" w:hAnsi="Arial" w:cs="Arial"/>
          <w:color w:val="222222"/>
          <w:sz w:val="20"/>
          <w:szCs w:val="20"/>
        </w:rPr>
        <w:t>We account for equity investments through which we exercise significant i</w:t>
      </w:r>
      <w:r>
        <w:rPr>
          <w:rFonts w:ascii="Arial" w:eastAsia="宋体" w:hAnsi="Arial" w:cs="Arial"/>
          <w:color w:val="222222"/>
          <w:sz w:val="20"/>
          <w:szCs w:val="20"/>
        </w:rPr>
        <w:t xml:space="preserve">nfluence but do not have control over the investee under the fair value option or under the equity method. For equity investments accounted for under the equity method, our consolidated results of operations include, as a component of </w:t>
      </w:r>
      <w:r>
        <w:rPr>
          <w:rFonts w:ascii="Arial" w:eastAsia="宋体" w:hAnsi="Arial" w:cs="Arial"/>
          <w:color w:val="000000"/>
          <w:sz w:val="20"/>
          <w:szCs w:val="20"/>
        </w:rPr>
        <w:t>gain (loss) on equity</w:t>
      </w:r>
      <w:r>
        <w:rPr>
          <w:rFonts w:ascii="Arial" w:eastAsia="宋体" w:hAnsi="Arial" w:cs="Arial"/>
          <w:color w:val="000000"/>
          <w:sz w:val="20"/>
          <w:szCs w:val="20"/>
        </w:rPr>
        <w:t xml:space="preserve"> investments and warrant</w:t>
      </w:r>
      <w:r>
        <w:rPr>
          <w:rFonts w:ascii="Arial" w:eastAsia="宋体" w:hAnsi="Arial" w:cs="Arial"/>
          <w:color w:val="222222"/>
          <w:sz w:val="20"/>
          <w:szCs w:val="20"/>
        </w:rPr>
        <w:t>, net, our share of the net income or loss of the equity investments accounted for under the equity method of accounting.</w:t>
      </w:r>
    </w:p>
    <w:p w14:paraId="18600414" w14:textId="77777777" w:rsidR="00A91885" w:rsidRDefault="00A91885">
      <w:pPr>
        <w:ind w:firstLine="540"/>
        <w:jc w:val="both"/>
      </w:pPr>
    </w:p>
    <w:p w14:paraId="18600415" w14:textId="77777777" w:rsidR="00A91885" w:rsidRDefault="00A91885">
      <w:pPr>
        <w:jc w:val="center"/>
      </w:pPr>
    </w:p>
    <w:p w14:paraId="18600416" w14:textId="77777777" w:rsidR="00A91885" w:rsidRDefault="009C4196">
      <w:pPr>
        <w:jc w:val="center"/>
      </w:pPr>
      <w:r>
        <w:rPr>
          <w:rFonts w:ascii="Arial" w:eastAsia="宋体" w:hAnsi="Arial" w:cs="Arial"/>
          <w:color w:val="000000"/>
          <w:sz w:val="20"/>
          <w:szCs w:val="20"/>
        </w:rPr>
        <w:t>21</w:t>
      </w:r>
    </w:p>
    <w:p w14:paraId="18600417" w14:textId="77777777" w:rsidR="00A91885" w:rsidRDefault="009C4196">
      <w:r>
        <w:pict w14:anchorId="18602198">
          <v:rect id="_x0000_i1045" style="width:415.3pt;height:1.5pt" o:hralign="center" o:hrstd="t" o:hr="t" fillcolor="#a0a0a0" stroked="f"/>
        </w:pict>
      </w:r>
    </w:p>
    <w:p w14:paraId="18600418" w14:textId="77777777" w:rsidR="00A91885" w:rsidRDefault="009C4196">
      <w:hyperlink r:id="rId105" w:anchor="ieb971428a625452486c65ae24899afca_7" w:history="1">
        <w:r>
          <w:rPr>
            <w:rStyle w:val="a5"/>
            <w:rFonts w:ascii="Arial" w:eastAsia="宋体" w:hAnsi="Arial" w:cs="Arial"/>
            <w:sz w:val="18"/>
            <w:szCs w:val="18"/>
          </w:rPr>
          <w:t>Table of Contents</w:t>
        </w:r>
      </w:hyperlink>
    </w:p>
    <w:p w14:paraId="18600419" w14:textId="77777777" w:rsidR="00A91885" w:rsidRDefault="009C4196">
      <w:pPr>
        <w:jc w:val="center"/>
      </w:pPr>
      <w:r>
        <w:rPr>
          <w:rFonts w:ascii="Arial" w:eastAsia="宋体" w:hAnsi="Arial" w:cs="Arial"/>
          <w:b/>
          <w:bCs/>
          <w:color w:val="000000"/>
          <w:sz w:val="20"/>
          <w:szCs w:val="20"/>
        </w:rPr>
        <w:t>eBay Inc.</w:t>
      </w:r>
    </w:p>
    <w:p w14:paraId="1860041A"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041B" w14:textId="77777777" w:rsidR="00A91885" w:rsidRDefault="009C4196">
      <w:pPr>
        <w:ind w:firstLine="270"/>
        <w:jc w:val="both"/>
      </w:pPr>
      <w:r>
        <w:rPr>
          <w:rFonts w:ascii="Arial" w:eastAsia="宋体" w:hAnsi="Arial" w:cs="Arial"/>
          <w:b/>
          <w:bCs/>
          <w:i/>
          <w:iCs/>
          <w:color w:val="000000"/>
          <w:sz w:val="20"/>
          <w:szCs w:val="20"/>
        </w:rPr>
        <w:t>Equity investments without readily determinable fair values</w:t>
      </w:r>
    </w:p>
    <w:p w14:paraId="1860041C" w14:textId="77777777" w:rsidR="00A91885" w:rsidRDefault="00A91885">
      <w:pPr>
        <w:ind w:firstLine="270"/>
        <w:jc w:val="both"/>
      </w:pPr>
    </w:p>
    <w:p w14:paraId="1860041D" w14:textId="77777777" w:rsidR="00A91885" w:rsidRDefault="009C4196">
      <w:pPr>
        <w:spacing w:after="120"/>
        <w:ind w:firstLine="540"/>
        <w:jc w:val="both"/>
      </w:pPr>
      <w:r>
        <w:rPr>
          <w:rFonts w:ascii="Arial" w:eastAsia="宋体" w:hAnsi="Arial" w:cs="Arial"/>
          <w:color w:val="000000"/>
          <w:sz w:val="20"/>
          <w:szCs w:val="20"/>
        </w:rPr>
        <w:t xml:space="preserve">The following table summarizes the change in </w:t>
      </w:r>
      <w:r>
        <w:rPr>
          <w:rFonts w:ascii="Arial" w:eastAsia="宋体" w:hAnsi="Arial" w:cs="Arial"/>
          <w:color w:val="000000"/>
          <w:sz w:val="20"/>
          <w:szCs w:val="20"/>
        </w:rPr>
        <w:t>total carrying value related to equity investments without readily determinable fair values still held for the periods indicated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427"/>
        <w:gridCol w:w="38"/>
        <w:gridCol w:w="122"/>
        <w:gridCol w:w="719"/>
        <w:gridCol w:w="37"/>
        <w:gridCol w:w="36"/>
        <w:gridCol w:w="36"/>
        <w:gridCol w:w="36"/>
        <w:gridCol w:w="121"/>
        <w:gridCol w:w="719"/>
        <w:gridCol w:w="36"/>
        <w:gridCol w:w="36"/>
        <w:gridCol w:w="36"/>
        <w:gridCol w:w="36"/>
        <w:gridCol w:w="122"/>
        <w:gridCol w:w="719"/>
        <w:gridCol w:w="37"/>
        <w:gridCol w:w="36"/>
        <w:gridCol w:w="36"/>
        <w:gridCol w:w="36"/>
        <w:gridCol w:w="121"/>
        <w:gridCol w:w="719"/>
        <w:gridCol w:w="36"/>
      </w:tblGrid>
      <w:tr w:rsidR="00A91885" w14:paraId="18600436" w14:textId="77777777">
        <w:trPr>
          <w:jc w:val="center"/>
        </w:trPr>
        <w:tc>
          <w:tcPr>
            <w:tcW w:w="50" w:type="pct"/>
            <w:shd w:val="clear" w:color="auto" w:fill="auto"/>
            <w:vAlign w:val="bottom"/>
          </w:tcPr>
          <w:p w14:paraId="1860041E" w14:textId="77777777" w:rsidR="00A91885" w:rsidRDefault="00A91885">
            <w:pPr>
              <w:rPr>
                <w:rFonts w:ascii="宋体"/>
              </w:rPr>
            </w:pPr>
          </w:p>
        </w:tc>
        <w:tc>
          <w:tcPr>
            <w:tcW w:w="2722" w:type="pct"/>
            <w:shd w:val="clear" w:color="auto" w:fill="auto"/>
            <w:vAlign w:val="bottom"/>
          </w:tcPr>
          <w:p w14:paraId="1860041F" w14:textId="77777777" w:rsidR="00A91885" w:rsidRDefault="00A91885">
            <w:pPr>
              <w:rPr>
                <w:rFonts w:ascii="宋体"/>
              </w:rPr>
            </w:pPr>
          </w:p>
        </w:tc>
        <w:tc>
          <w:tcPr>
            <w:tcW w:w="5" w:type="pct"/>
            <w:shd w:val="clear" w:color="auto" w:fill="auto"/>
            <w:vAlign w:val="bottom"/>
          </w:tcPr>
          <w:p w14:paraId="18600420" w14:textId="77777777" w:rsidR="00A91885" w:rsidRDefault="00A91885">
            <w:pPr>
              <w:rPr>
                <w:rFonts w:ascii="宋体"/>
              </w:rPr>
            </w:pPr>
          </w:p>
        </w:tc>
        <w:tc>
          <w:tcPr>
            <w:tcW w:w="50" w:type="pct"/>
            <w:shd w:val="clear" w:color="auto" w:fill="auto"/>
            <w:vAlign w:val="bottom"/>
          </w:tcPr>
          <w:p w14:paraId="18600421" w14:textId="77777777" w:rsidR="00A91885" w:rsidRDefault="00A91885">
            <w:pPr>
              <w:rPr>
                <w:rFonts w:ascii="宋体"/>
              </w:rPr>
            </w:pPr>
          </w:p>
        </w:tc>
        <w:tc>
          <w:tcPr>
            <w:tcW w:w="478" w:type="pct"/>
            <w:shd w:val="clear" w:color="auto" w:fill="auto"/>
            <w:vAlign w:val="bottom"/>
          </w:tcPr>
          <w:p w14:paraId="18600422" w14:textId="77777777" w:rsidR="00A91885" w:rsidRDefault="00A91885">
            <w:pPr>
              <w:rPr>
                <w:rFonts w:ascii="宋体"/>
              </w:rPr>
            </w:pPr>
          </w:p>
        </w:tc>
        <w:tc>
          <w:tcPr>
            <w:tcW w:w="5" w:type="pct"/>
            <w:shd w:val="clear" w:color="auto" w:fill="auto"/>
            <w:vAlign w:val="bottom"/>
          </w:tcPr>
          <w:p w14:paraId="18600423" w14:textId="77777777" w:rsidR="00A91885" w:rsidRDefault="00A91885">
            <w:pPr>
              <w:rPr>
                <w:rFonts w:ascii="宋体"/>
              </w:rPr>
            </w:pPr>
          </w:p>
        </w:tc>
        <w:tc>
          <w:tcPr>
            <w:tcW w:w="5" w:type="pct"/>
            <w:shd w:val="clear" w:color="auto" w:fill="auto"/>
            <w:vAlign w:val="bottom"/>
          </w:tcPr>
          <w:p w14:paraId="18600424" w14:textId="77777777" w:rsidR="00A91885" w:rsidRDefault="00A91885">
            <w:pPr>
              <w:rPr>
                <w:rFonts w:ascii="宋体"/>
              </w:rPr>
            </w:pPr>
          </w:p>
        </w:tc>
        <w:tc>
          <w:tcPr>
            <w:tcW w:w="19" w:type="pct"/>
            <w:shd w:val="clear" w:color="auto" w:fill="auto"/>
            <w:vAlign w:val="bottom"/>
          </w:tcPr>
          <w:p w14:paraId="18600425" w14:textId="77777777" w:rsidR="00A91885" w:rsidRDefault="00A91885">
            <w:pPr>
              <w:rPr>
                <w:rFonts w:ascii="宋体"/>
              </w:rPr>
            </w:pPr>
          </w:p>
        </w:tc>
        <w:tc>
          <w:tcPr>
            <w:tcW w:w="5" w:type="pct"/>
            <w:shd w:val="clear" w:color="auto" w:fill="auto"/>
            <w:vAlign w:val="bottom"/>
          </w:tcPr>
          <w:p w14:paraId="18600426" w14:textId="77777777" w:rsidR="00A91885" w:rsidRDefault="00A91885">
            <w:pPr>
              <w:rPr>
                <w:rFonts w:ascii="宋体"/>
              </w:rPr>
            </w:pPr>
          </w:p>
        </w:tc>
        <w:tc>
          <w:tcPr>
            <w:tcW w:w="50" w:type="pct"/>
            <w:shd w:val="clear" w:color="auto" w:fill="auto"/>
            <w:vAlign w:val="bottom"/>
          </w:tcPr>
          <w:p w14:paraId="18600427" w14:textId="77777777" w:rsidR="00A91885" w:rsidRDefault="00A91885">
            <w:pPr>
              <w:rPr>
                <w:rFonts w:ascii="宋体"/>
              </w:rPr>
            </w:pPr>
          </w:p>
        </w:tc>
        <w:tc>
          <w:tcPr>
            <w:tcW w:w="478" w:type="pct"/>
            <w:shd w:val="clear" w:color="auto" w:fill="auto"/>
            <w:vAlign w:val="bottom"/>
          </w:tcPr>
          <w:p w14:paraId="18600428" w14:textId="77777777" w:rsidR="00A91885" w:rsidRDefault="00A91885">
            <w:pPr>
              <w:rPr>
                <w:rFonts w:ascii="宋体"/>
              </w:rPr>
            </w:pPr>
          </w:p>
        </w:tc>
        <w:tc>
          <w:tcPr>
            <w:tcW w:w="5" w:type="pct"/>
            <w:shd w:val="clear" w:color="auto" w:fill="auto"/>
            <w:vAlign w:val="bottom"/>
          </w:tcPr>
          <w:p w14:paraId="18600429" w14:textId="77777777" w:rsidR="00A91885" w:rsidRDefault="00A91885">
            <w:pPr>
              <w:rPr>
                <w:rFonts w:ascii="宋体"/>
              </w:rPr>
            </w:pPr>
          </w:p>
        </w:tc>
        <w:tc>
          <w:tcPr>
            <w:tcW w:w="5" w:type="pct"/>
            <w:shd w:val="clear" w:color="auto" w:fill="auto"/>
            <w:vAlign w:val="bottom"/>
          </w:tcPr>
          <w:p w14:paraId="1860042A" w14:textId="77777777" w:rsidR="00A91885" w:rsidRDefault="00A91885">
            <w:pPr>
              <w:rPr>
                <w:rFonts w:ascii="宋体"/>
              </w:rPr>
            </w:pPr>
          </w:p>
        </w:tc>
        <w:tc>
          <w:tcPr>
            <w:tcW w:w="19" w:type="pct"/>
            <w:shd w:val="clear" w:color="auto" w:fill="auto"/>
            <w:vAlign w:val="bottom"/>
          </w:tcPr>
          <w:p w14:paraId="1860042B" w14:textId="77777777" w:rsidR="00A91885" w:rsidRDefault="00A91885">
            <w:pPr>
              <w:rPr>
                <w:rFonts w:ascii="宋体"/>
              </w:rPr>
            </w:pPr>
          </w:p>
        </w:tc>
        <w:tc>
          <w:tcPr>
            <w:tcW w:w="5" w:type="pct"/>
            <w:shd w:val="clear" w:color="auto" w:fill="auto"/>
            <w:vAlign w:val="bottom"/>
          </w:tcPr>
          <w:p w14:paraId="1860042C" w14:textId="77777777" w:rsidR="00A91885" w:rsidRDefault="00A91885">
            <w:pPr>
              <w:rPr>
                <w:rFonts w:ascii="宋体"/>
              </w:rPr>
            </w:pPr>
          </w:p>
        </w:tc>
        <w:tc>
          <w:tcPr>
            <w:tcW w:w="50" w:type="pct"/>
            <w:shd w:val="clear" w:color="auto" w:fill="auto"/>
            <w:vAlign w:val="bottom"/>
          </w:tcPr>
          <w:p w14:paraId="1860042D" w14:textId="77777777" w:rsidR="00A91885" w:rsidRDefault="00A91885">
            <w:pPr>
              <w:rPr>
                <w:rFonts w:ascii="宋体"/>
              </w:rPr>
            </w:pPr>
          </w:p>
        </w:tc>
        <w:tc>
          <w:tcPr>
            <w:tcW w:w="478" w:type="pct"/>
            <w:shd w:val="clear" w:color="auto" w:fill="auto"/>
            <w:vAlign w:val="bottom"/>
          </w:tcPr>
          <w:p w14:paraId="1860042E" w14:textId="77777777" w:rsidR="00A91885" w:rsidRDefault="00A91885">
            <w:pPr>
              <w:rPr>
                <w:rFonts w:ascii="宋体"/>
              </w:rPr>
            </w:pPr>
          </w:p>
        </w:tc>
        <w:tc>
          <w:tcPr>
            <w:tcW w:w="5" w:type="pct"/>
            <w:shd w:val="clear" w:color="auto" w:fill="auto"/>
            <w:vAlign w:val="bottom"/>
          </w:tcPr>
          <w:p w14:paraId="1860042F" w14:textId="77777777" w:rsidR="00A91885" w:rsidRDefault="00A91885">
            <w:pPr>
              <w:rPr>
                <w:rFonts w:ascii="宋体"/>
              </w:rPr>
            </w:pPr>
          </w:p>
        </w:tc>
        <w:tc>
          <w:tcPr>
            <w:tcW w:w="5" w:type="pct"/>
            <w:shd w:val="clear" w:color="auto" w:fill="auto"/>
            <w:vAlign w:val="bottom"/>
          </w:tcPr>
          <w:p w14:paraId="18600430" w14:textId="77777777" w:rsidR="00A91885" w:rsidRDefault="00A91885">
            <w:pPr>
              <w:rPr>
                <w:rFonts w:ascii="宋体"/>
              </w:rPr>
            </w:pPr>
          </w:p>
        </w:tc>
        <w:tc>
          <w:tcPr>
            <w:tcW w:w="19" w:type="pct"/>
            <w:shd w:val="clear" w:color="auto" w:fill="auto"/>
            <w:vAlign w:val="bottom"/>
          </w:tcPr>
          <w:p w14:paraId="18600431" w14:textId="77777777" w:rsidR="00A91885" w:rsidRDefault="00A91885">
            <w:pPr>
              <w:rPr>
                <w:rFonts w:ascii="宋体"/>
              </w:rPr>
            </w:pPr>
          </w:p>
        </w:tc>
        <w:tc>
          <w:tcPr>
            <w:tcW w:w="5" w:type="pct"/>
            <w:shd w:val="clear" w:color="auto" w:fill="auto"/>
            <w:vAlign w:val="bottom"/>
          </w:tcPr>
          <w:p w14:paraId="18600432" w14:textId="77777777" w:rsidR="00A91885" w:rsidRDefault="00A91885">
            <w:pPr>
              <w:rPr>
                <w:rFonts w:ascii="宋体"/>
              </w:rPr>
            </w:pPr>
          </w:p>
        </w:tc>
        <w:tc>
          <w:tcPr>
            <w:tcW w:w="50" w:type="pct"/>
            <w:shd w:val="clear" w:color="auto" w:fill="auto"/>
            <w:vAlign w:val="bottom"/>
          </w:tcPr>
          <w:p w14:paraId="18600433" w14:textId="77777777" w:rsidR="00A91885" w:rsidRDefault="00A91885">
            <w:pPr>
              <w:rPr>
                <w:rFonts w:ascii="宋体"/>
              </w:rPr>
            </w:pPr>
          </w:p>
        </w:tc>
        <w:tc>
          <w:tcPr>
            <w:tcW w:w="478" w:type="pct"/>
            <w:shd w:val="clear" w:color="auto" w:fill="auto"/>
            <w:vAlign w:val="bottom"/>
          </w:tcPr>
          <w:p w14:paraId="18600434" w14:textId="77777777" w:rsidR="00A91885" w:rsidRDefault="00A91885">
            <w:pPr>
              <w:rPr>
                <w:rFonts w:ascii="宋体"/>
              </w:rPr>
            </w:pPr>
          </w:p>
        </w:tc>
        <w:tc>
          <w:tcPr>
            <w:tcW w:w="5" w:type="pct"/>
            <w:shd w:val="clear" w:color="auto" w:fill="auto"/>
            <w:vAlign w:val="bottom"/>
          </w:tcPr>
          <w:p w14:paraId="18600435" w14:textId="77777777" w:rsidR="00A91885" w:rsidRDefault="00A91885">
            <w:pPr>
              <w:rPr>
                <w:rFonts w:ascii="宋体"/>
              </w:rPr>
            </w:pPr>
          </w:p>
        </w:tc>
      </w:tr>
      <w:tr w:rsidR="00A91885" w14:paraId="1860043B" w14:textId="77777777">
        <w:trPr>
          <w:jc w:val="center"/>
        </w:trPr>
        <w:tc>
          <w:tcPr>
            <w:tcW w:w="0" w:type="auto"/>
            <w:gridSpan w:val="3"/>
            <w:shd w:val="clear" w:color="auto" w:fill="auto"/>
            <w:tcMar>
              <w:top w:w="0" w:type="dxa"/>
              <w:left w:w="20" w:type="dxa"/>
              <w:bottom w:w="0" w:type="dxa"/>
              <w:right w:w="20" w:type="dxa"/>
            </w:tcMar>
            <w:vAlign w:val="bottom"/>
          </w:tcPr>
          <w:p w14:paraId="18600437"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0438"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0439"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043A"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600444" w14:textId="77777777">
        <w:trPr>
          <w:jc w:val="center"/>
        </w:trPr>
        <w:tc>
          <w:tcPr>
            <w:tcW w:w="0" w:type="auto"/>
            <w:gridSpan w:val="3"/>
            <w:shd w:val="clear" w:color="auto" w:fill="auto"/>
            <w:tcMar>
              <w:top w:w="0" w:type="dxa"/>
              <w:left w:w="20" w:type="dxa"/>
              <w:bottom w:w="0" w:type="dxa"/>
              <w:right w:w="20" w:type="dxa"/>
            </w:tcMar>
            <w:vAlign w:val="bottom"/>
          </w:tcPr>
          <w:p w14:paraId="1860043C"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43D"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43E"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43F"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0440"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441"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442"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443"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600455" w14:textId="77777777">
        <w:trPr>
          <w:jc w:val="center"/>
        </w:trPr>
        <w:tc>
          <w:tcPr>
            <w:tcW w:w="0" w:type="auto"/>
            <w:gridSpan w:val="3"/>
            <w:shd w:val="clear" w:color="auto" w:fill="E2E2E2"/>
            <w:tcMar>
              <w:top w:w="40" w:type="dxa"/>
              <w:left w:w="20" w:type="dxa"/>
              <w:bottom w:w="40" w:type="dxa"/>
              <w:right w:w="20" w:type="dxa"/>
            </w:tcMar>
            <w:vAlign w:val="bottom"/>
          </w:tcPr>
          <w:p w14:paraId="18600445" w14:textId="77777777" w:rsidR="00A91885" w:rsidRDefault="009C4196">
            <w:pPr>
              <w:textAlignment w:val="bottom"/>
            </w:pPr>
            <w:r>
              <w:rPr>
                <w:rFonts w:ascii="Arial" w:eastAsia="宋体" w:hAnsi="Arial" w:cs="Arial"/>
                <w:color w:val="000000"/>
                <w:sz w:val="18"/>
                <w:szCs w:val="18"/>
              </w:rPr>
              <w:t>Carrying value, beginning of period</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044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447" w14:textId="77777777" w:rsidR="00A91885" w:rsidRDefault="009C4196">
            <w:pPr>
              <w:jc w:val="right"/>
              <w:textAlignment w:val="bottom"/>
            </w:pPr>
            <w:r>
              <w:rPr>
                <w:rFonts w:ascii="Arial" w:eastAsia="宋体" w:hAnsi="Arial" w:cs="Arial"/>
                <w:color w:val="000000"/>
                <w:sz w:val="18"/>
                <w:szCs w:val="18"/>
              </w:rPr>
              <w:t>78 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44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449"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44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44B" w14:textId="77777777" w:rsidR="00A91885" w:rsidRDefault="009C4196">
            <w:pPr>
              <w:jc w:val="right"/>
              <w:textAlignment w:val="bottom"/>
            </w:pPr>
            <w:r>
              <w:rPr>
                <w:rFonts w:ascii="Arial" w:eastAsia="宋体" w:hAnsi="Arial" w:cs="Arial"/>
                <w:color w:val="000000"/>
                <w:sz w:val="18"/>
                <w:szCs w:val="18"/>
              </w:rPr>
              <w:t>528 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44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44D"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44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44F" w14:textId="77777777" w:rsidR="00A91885" w:rsidRDefault="009C4196">
            <w:pPr>
              <w:jc w:val="right"/>
              <w:textAlignment w:val="bottom"/>
            </w:pPr>
            <w:r>
              <w:rPr>
                <w:rFonts w:ascii="Arial" w:eastAsia="宋体" w:hAnsi="Arial" w:cs="Arial"/>
                <w:color w:val="000000"/>
                <w:sz w:val="18"/>
                <w:szCs w:val="18"/>
              </w:rPr>
              <w:t>85 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45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451"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45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453" w14:textId="77777777" w:rsidR="00A91885" w:rsidRDefault="009C4196">
            <w:pPr>
              <w:jc w:val="right"/>
              <w:textAlignment w:val="bottom"/>
            </w:pPr>
            <w:r>
              <w:rPr>
                <w:rFonts w:ascii="Arial" w:eastAsia="宋体" w:hAnsi="Arial" w:cs="Arial"/>
                <w:color w:val="000000"/>
                <w:sz w:val="18"/>
                <w:szCs w:val="18"/>
              </w:rPr>
              <w:t>539 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454" w14:textId="77777777" w:rsidR="00A91885" w:rsidRDefault="00A91885">
            <w:pPr>
              <w:jc w:val="right"/>
              <w:rPr>
                <w:rFonts w:ascii="宋体"/>
              </w:rPr>
            </w:pPr>
          </w:p>
        </w:tc>
      </w:tr>
      <w:tr w:rsidR="00A91885" w14:paraId="18600462" w14:textId="77777777">
        <w:trPr>
          <w:jc w:val="center"/>
        </w:trPr>
        <w:tc>
          <w:tcPr>
            <w:tcW w:w="0" w:type="auto"/>
            <w:gridSpan w:val="3"/>
            <w:shd w:val="clear" w:color="auto" w:fill="FFFFFF"/>
            <w:tcMar>
              <w:top w:w="40" w:type="dxa"/>
              <w:left w:w="155" w:type="dxa"/>
              <w:bottom w:w="40" w:type="dxa"/>
              <w:right w:w="20" w:type="dxa"/>
            </w:tcMar>
            <w:vAlign w:val="bottom"/>
          </w:tcPr>
          <w:p w14:paraId="18600456" w14:textId="77777777" w:rsidR="00A91885" w:rsidRDefault="009C4196">
            <w:pPr>
              <w:textAlignment w:val="bottom"/>
            </w:pPr>
            <w:r>
              <w:rPr>
                <w:rFonts w:ascii="Arial" w:eastAsia="宋体" w:hAnsi="Arial" w:cs="Arial"/>
                <w:color w:val="000000"/>
                <w:sz w:val="18"/>
                <w:szCs w:val="18"/>
              </w:rPr>
              <w:t>Additions</w:t>
            </w:r>
          </w:p>
        </w:tc>
        <w:tc>
          <w:tcPr>
            <w:tcW w:w="0" w:type="auto"/>
            <w:gridSpan w:val="2"/>
            <w:shd w:val="clear" w:color="auto" w:fill="FFFFFF"/>
            <w:tcMar>
              <w:top w:w="40" w:type="dxa"/>
              <w:left w:w="20" w:type="dxa"/>
              <w:bottom w:w="40" w:type="dxa"/>
              <w:right w:w="0" w:type="dxa"/>
            </w:tcMar>
            <w:vAlign w:val="bottom"/>
          </w:tcPr>
          <w:p w14:paraId="18600457"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45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45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45A"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860045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45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45D"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45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45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460"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8600461" w14:textId="77777777" w:rsidR="00A91885" w:rsidRDefault="00A91885">
            <w:pPr>
              <w:jc w:val="right"/>
              <w:rPr>
                <w:rFonts w:ascii="宋体"/>
              </w:rPr>
            </w:pPr>
          </w:p>
        </w:tc>
      </w:tr>
      <w:tr w:rsidR="00A91885" w14:paraId="1860046B" w14:textId="77777777">
        <w:trPr>
          <w:jc w:val="center"/>
          <w:hidden/>
        </w:trPr>
        <w:tc>
          <w:tcPr>
            <w:tcW w:w="0" w:type="auto"/>
            <w:gridSpan w:val="3"/>
            <w:shd w:val="clear" w:color="auto" w:fill="auto"/>
            <w:vAlign w:val="bottom"/>
          </w:tcPr>
          <w:p w14:paraId="18600463" w14:textId="77777777" w:rsidR="00A91885" w:rsidRDefault="00A91885">
            <w:pPr>
              <w:rPr>
                <w:rFonts w:ascii="宋体"/>
                <w:vanish/>
              </w:rPr>
            </w:pPr>
          </w:p>
        </w:tc>
        <w:tc>
          <w:tcPr>
            <w:tcW w:w="0" w:type="auto"/>
            <w:gridSpan w:val="3"/>
            <w:shd w:val="clear" w:color="auto" w:fill="auto"/>
            <w:vAlign w:val="bottom"/>
          </w:tcPr>
          <w:p w14:paraId="18600464" w14:textId="77777777" w:rsidR="00A91885" w:rsidRDefault="00A91885">
            <w:pPr>
              <w:rPr>
                <w:rFonts w:ascii="宋体"/>
                <w:vanish/>
              </w:rPr>
            </w:pPr>
          </w:p>
        </w:tc>
        <w:tc>
          <w:tcPr>
            <w:tcW w:w="0" w:type="auto"/>
            <w:gridSpan w:val="3"/>
            <w:shd w:val="clear" w:color="auto" w:fill="auto"/>
            <w:vAlign w:val="bottom"/>
          </w:tcPr>
          <w:p w14:paraId="18600465" w14:textId="77777777" w:rsidR="00A91885" w:rsidRDefault="00A91885">
            <w:pPr>
              <w:rPr>
                <w:rFonts w:ascii="宋体"/>
                <w:vanish/>
              </w:rPr>
            </w:pPr>
          </w:p>
        </w:tc>
        <w:tc>
          <w:tcPr>
            <w:tcW w:w="0" w:type="auto"/>
            <w:gridSpan w:val="3"/>
            <w:shd w:val="clear" w:color="auto" w:fill="auto"/>
            <w:vAlign w:val="bottom"/>
          </w:tcPr>
          <w:p w14:paraId="18600466" w14:textId="77777777" w:rsidR="00A91885" w:rsidRDefault="00A91885">
            <w:pPr>
              <w:rPr>
                <w:rFonts w:ascii="宋体"/>
                <w:vanish/>
              </w:rPr>
            </w:pPr>
          </w:p>
        </w:tc>
        <w:tc>
          <w:tcPr>
            <w:tcW w:w="0" w:type="auto"/>
            <w:gridSpan w:val="3"/>
            <w:shd w:val="clear" w:color="auto" w:fill="auto"/>
            <w:vAlign w:val="bottom"/>
          </w:tcPr>
          <w:p w14:paraId="18600467" w14:textId="77777777" w:rsidR="00A91885" w:rsidRDefault="00A91885">
            <w:pPr>
              <w:rPr>
                <w:rFonts w:ascii="宋体"/>
                <w:vanish/>
              </w:rPr>
            </w:pPr>
          </w:p>
        </w:tc>
        <w:tc>
          <w:tcPr>
            <w:tcW w:w="0" w:type="auto"/>
            <w:gridSpan w:val="3"/>
            <w:shd w:val="clear" w:color="auto" w:fill="auto"/>
            <w:vAlign w:val="bottom"/>
          </w:tcPr>
          <w:p w14:paraId="18600468" w14:textId="77777777" w:rsidR="00A91885" w:rsidRDefault="00A91885">
            <w:pPr>
              <w:rPr>
                <w:rFonts w:ascii="宋体"/>
                <w:vanish/>
              </w:rPr>
            </w:pPr>
          </w:p>
        </w:tc>
        <w:tc>
          <w:tcPr>
            <w:tcW w:w="0" w:type="auto"/>
            <w:gridSpan w:val="3"/>
            <w:shd w:val="clear" w:color="auto" w:fill="auto"/>
            <w:vAlign w:val="bottom"/>
          </w:tcPr>
          <w:p w14:paraId="18600469" w14:textId="77777777" w:rsidR="00A91885" w:rsidRDefault="00A91885">
            <w:pPr>
              <w:rPr>
                <w:rFonts w:ascii="宋体"/>
                <w:vanish/>
              </w:rPr>
            </w:pPr>
          </w:p>
        </w:tc>
        <w:tc>
          <w:tcPr>
            <w:tcW w:w="0" w:type="auto"/>
            <w:gridSpan w:val="3"/>
            <w:shd w:val="clear" w:color="auto" w:fill="auto"/>
            <w:vAlign w:val="bottom"/>
          </w:tcPr>
          <w:p w14:paraId="1860046A" w14:textId="77777777" w:rsidR="00A91885" w:rsidRDefault="00A91885">
            <w:pPr>
              <w:rPr>
                <w:rFonts w:ascii="宋体"/>
                <w:vanish/>
              </w:rPr>
            </w:pPr>
          </w:p>
        </w:tc>
      </w:tr>
      <w:tr w:rsidR="00A91885" w14:paraId="18600478" w14:textId="77777777">
        <w:trPr>
          <w:jc w:val="center"/>
        </w:trPr>
        <w:tc>
          <w:tcPr>
            <w:tcW w:w="0" w:type="auto"/>
            <w:gridSpan w:val="3"/>
            <w:shd w:val="clear" w:color="auto" w:fill="E2E2E2"/>
            <w:tcMar>
              <w:top w:w="40" w:type="dxa"/>
              <w:left w:w="155" w:type="dxa"/>
              <w:bottom w:w="40" w:type="dxa"/>
              <w:right w:w="20" w:type="dxa"/>
            </w:tcMar>
            <w:vAlign w:val="bottom"/>
          </w:tcPr>
          <w:p w14:paraId="1860046C" w14:textId="77777777" w:rsidR="00A91885" w:rsidRDefault="009C4196">
            <w:pPr>
              <w:textAlignment w:val="bottom"/>
            </w:pPr>
            <w:r>
              <w:rPr>
                <w:rFonts w:ascii="Arial" w:eastAsia="宋体" w:hAnsi="Arial" w:cs="Arial"/>
                <w:color w:val="000000"/>
                <w:sz w:val="18"/>
                <w:szCs w:val="18"/>
              </w:rPr>
              <w:t>Upward adjustments for observable price changes</w:t>
            </w:r>
          </w:p>
        </w:tc>
        <w:tc>
          <w:tcPr>
            <w:tcW w:w="0" w:type="auto"/>
            <w:gridSpan w:val="2"/>
            <w:shd w:val="clear" w:color="auto" w:fill="E2E2E2"/>
            <w:tcMar>
              <w:top w:w="40" w:type="dxa"/>
              <w:left w:w="20" w:type="dxa"/>
              <w:bottom w:w="40" w:type="dxa"/>
              <w:right w:w="0" w:type="dxa"/>
            </w:tcMar>
            <w:vAlign w:val="bottom"/>
          </w:tcPr>
          <w:p w14:paraId="1860046D"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46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46F"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470" w14:textId="77777777" w:rsidR="00A91885" w:rsidRDefault="009C4196">
            <w:pPr>
              <w:jc w:val="right"/>
              <w:textAlignment w:val="bottom"/>
            </w:pPr>
            <w:r>
              <w:rPr>
                <w:rFonts w:ascii="Arial" w:eastAsia="宋体" w:hAnsi="Arial" w:cs="Arial"/>
                <w:color w:val="000000"/>
                <w:sz w:val="18"/>
                <w:szCs w:val="18"/>
              </w:rPr>
              <w:t>41 </w:t>
            </w:r>
          </w:p>
        </w:tc>
        <w:tc>
          <w:tcPr>
            <w:tcW w:w="0" w:type="auto"/>
            <w:shd w:val="clear" w:color="auto" w:fill="E2E2E2"/>
            <w:tcMar>
              <w:top w:w="40" w:type="dxa"/>
              <w:left w:w="0" w:type="dxa"/>
              <w:bottom w:w="40" w:type="dxa"/>
              <w:right w:w="20" w:type="dxa"/>
            </w:tcMar>
            <w:vAlign w:val="bottom"/>
          </w:tcPr>
          <w:p w14:paraId="1860047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472"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473"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47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47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476" w14:textId="77777777" w:rsidR="00A91885" w:rsidRDefault="009C4196">
            <w:pPr>
              <w:jc w:val="right"/>
              <w:textAlignment w:val="bottom"/>
            </w:pPr>
            <w:r>
              <w:rPr>
                <w:rFonts w:ascii="Arial" w:eastAsia="宋体" w:hAnsi="Arial" w:cs="Arial"/>
                <w:color w:val="000000"/>
                <w:sz w:val="18"/>
                <w:szCs w:val="18"/>
              </w:rPr>
              <w:t>41 </w:t>
            </w:r>
          </w:p>
        </w:tc>
        <w:tc>
          <w:tcPr>
            <w:tcW w:w="0" w:type="auto"/>
            <w:shd w:val="clear" w:color="auto" w:fill="E2E2E2"/>
            <w:tcMar>
              <w:top w:w="40" w:type="dxa"/>
              <w:left w:w="0" w:type="dxa"/>
              <w:bottom w:w="40" w:type="dxa"/>
              <w:right w:w="20" w:type="dxa"/>
            </w:tcMar>
            <w:vAlign w:val="bottom"/>
          </w:tcPr>
          <w:p w14:paraId="18600477" w14:textId="77777777" w:rsidR="00A91885" w:rsidRDefault="00A91885">
            <w:pPr>
              <w:jc w:val="right"/>
              <w:rPr>
                <w:rFonts w:ascii="宋体"/>
              </w:rPr>
            </w:pPr>
          </w:p>
        </w:tc>
      </w:tr>
      <w:tr w:rsidR="00A91885" w14:paraId="18600485" w14:textId="77777777">
        <w:trPr>
          <w:jc w:val="center"/>
        </w:trPr>
        <w:tc>
          <w:tcPr>
            <w:tcW w:w="0" w:type="auto"/>
            <w:gridSpan w:val="3"/>
            <w:shd w:val="clear" w:color="auto" w:fill="FFFFFF"/>
            <w:tcMar>
              <w:top w:w="40" w:type="dxa"/>
              <w:left w:w="155" w:type="dxa"/>
              <w:bottom w:w="40" w:type="dxa"/>
              <w:right w:w="20" w:type="dxa"/>
            </w:tcMar>
            <w:vAlign w:val="bottom"/>
          </w:tcPr>
          <w:p w14:paraId="18600479" w14:textId="77777777" w:rsidR="00A91885" w:rsidRDefault="009C4196">
            <w:pPr>
              <w:textAlignment w:val="bottom"/>
            </w:pPr>
            <w:r>
              <w:rPr>
                <w:rFonts w:ascii="Arial" w:eastAsia="宋体" w:hAnsi="Arial" w:cs="Arial"/>
                <w:color w:val="000000"/>
                <w:sz w:val="18"/>
                <w:szCs w:val="18"/>
              </w:rPr>
              <w:t>Downward adjustments for observable price changes and impairment</w:t>
            </w:r>
          </w:p>
        </w:tc>
        <w:tc>
          <w:tcPr>
            <w:tcW w:w="0" w:type="auto"/>
            <w:gridSpan w:val="2"/>
            <w:shd w:val="clear" w:color="auto" w:fill="FFFFFF"/>
            <w:tcMar>
              <w:top w:w="40" w:type="dxa"/>
              <w:left w:w="20" w:type="dxa"/>
              <w:bottom w:w="40" w:type="dxa"/>
              <w:right w:w="0" w:type="dxa"/>
            </w:tcMar>
            <w:vAlign w:val="bottom"/>
          </w:tcPr>
          <w:p w14:paraId="1860047A"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47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47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47D"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47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47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480" w14:textId="77777777" w:rsidR="00A91885" w:rsidRDefault="009C4196">
            <w:pPr>
              <w:jc w:val="right"/>
              <w:textAlignment w:val="bottom"/>
            </w:pPr>
            <w:r>
              <w:rPr>
                <w:rFonts w:ascii="Arial" w:eastAsia="宋体" w:hAnsi="Arial" w:cs="Arial"/>
                <w:color w:val="000000"/>
                <w:sz w:val="18"/>
                <w:szCs w:val="18"/>
              </w:rPr>
              <w:t>(7)</w:t>
            </w:r>
          </w:p>
        </w:tc>
        <w:tc>
          <w:tcPr>
            <w:tcW w:w="0" w:type="auto"/>
            <w:shd w:val="clear" w:color="auto" w:fill="FFFFFF"/>
            <w:tcMar>
              <w:top w:w="40" w:type="dxa"/>
              <w:left w:w="0" w:type="dxa"/>
              <w:bottom w:w="40" w:type="dxa"/>
              <w:right w:w="20" w:type="dxa"/>
            </w:tcMar>
            <w:vAlign w:val="bottom"/>
          </w:tcPr>
          <w:p w14:paraId="1860048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48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483"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484" w14:textId="77777777" w:rsidR="00A91885" w:rsidRDefault="00A91885">
            <w:pPr>
              <w:jc w:val="right"/>
              <w:rPr>
                <w:rFonts w:ascii="宋体"/>
              </w:rPr>
            </w:pPr>
          </w:p>
        </w:tc>
      </w:tr>
      <w:tr w:rsidR="00A91885" w14:paraId="1860048E" w14:textId="77777777">
        <w:trPr>
          <w:jc w:val="center"/>
          <w:hidden/>
        </w:trPr>
        <w:tc>
          <w:tcPr>
            <w:tcW w:w="0" w:type="auto"/>
            <w:gridSpan w:val="3"/>
            <w:shd w:val="clear" w:color="auto" w:fill="auto"/>
            <w:vAlign w:val="bottom"/>
          </w:tcPr>
          <w:p w14:paraId="18600486" w14:textId="77777777" w:rsidR="00A91885" w:rsidRDefault="00A91885">
            <w:pPr>
              <w:rPr>
                <w:rFonts w:ascii="宋体"/>
                <w:vanish/>
              </w:rPr>
            </w:pPr>
          </w:p>
        </w:tc>
        <w:tc>
          <w:tcPr>
            <w:tcW w:w="0" w:type="auto"/>
            <w:gridSpan w:val="3"/>
            <w:shd w:val="clear" w:color="auto" w:fill="auto"/>
            <w:vAlign w:val="bottom"/>
          </w:tcPr>
          <w:p w14:paraId="18600487" w14:textId="77777777" w:rsidR="00A91885" w:rsidRDefault="00A91885">
            <w:pPr>
              <w:rPr>
                <w:rFonts w:ascii="宋体"/>
                <w:vanish/>
              </w:rPr>
            </w:pPr>
          </w:p>
        </w:tc>
        <w:tc>
          <w:tcPr>
            <w:tcW w:w="0" w:type="auto"/>
            <w:gridSpan w:val="3"/>
            <w:shd w:val="clear" w:color="auto" w:fill="auto"/>
            <w:vAlign w:val="bottom"/>
          </w:tcPr>
          <w:p w14:paraId="18600488" w14:textId="77777777" w:rsidR="00A91885" w:rsidRDefault="00A91885">
            <w:pPr>
              <w:rPr>
                <w:rFonts w:ascii="宋体"/>
                <w:vanish/>
              </w:rPr>
            </w:pPr>
          </w:p>
        </w:tc>
        <w:tc>
          <w:tcPr>
            <w:tcW w:w="0" w:type="auto"/>
            <w:gridSpan w:val="3"/>
            <w:shd w:val="clear" w:color="auto" w:fill="auto"/>
            <w:vAlign w:val="bottom"/>
          </w:tcPr>
          <w:p w14:paraId="18600489" w14:textId="77777777" w:rsidR="00A91885" w:rsidRDefault="00A91885">
            <w:pPr>
              <w:rPr>
                <w:rFonts w:ascii="宋体"/>
                <w:vanish/>
              </w:rPr>
            </w:pPr>
          </w:p>
        </w:tc>
        <w:tc>
          <w:tcPr>
            <w:tcW w:w="0" w:type="auto"/>
            <w:gridSpan w:val="3"/>
            <w:shd w:val="clear" w:color="auto" w:fill="auto"/>
            <w:vAlign w:val="bottom"/>
          </w:tcPr>
          <w:p w14:paraId="1860048A" w14:textId="77777777" w:rsidR="00A91885" w:rsidRDefault="00A91885">
            <w:pPr>
              <w:rPr>
                <w:rFonts w:ascii="宋体"/>
                <w:vanish/>
              </w:rPr>
            </w:pPr>
          </w:p>
        </w:tc>
        <w:tc>
          <w:tcPr>
            <w:tcW w:w="0" w:type="auto"/>
            <w:gridSpan w:val="3"/>
            <w:shd w:val="clear" w:color="auto" w:fill="auto"/>
            <w:vAlign w:val="bottom"/>
          </w:tcPr>
          <w:p w14:paraId="1860048B" w14:textId="77777777" w:rsidR="00A91885" w:rsidRDefault="00A91885">
            <w:pPr>
              <w:rPr>
                <w:rFonts w:ascii="宋体"/>
                <w:vanish/>
              </w:rPr>
            </w:pPr>
          </w:p>
        </w:tc>
        <w:tc>
          <w:tcPr>
            <w:tcW w:w="0" w:type="auto"/>
            <w:gridSpan w:val="3"/>
            <w:shd w:val="clear" w:color="auto" w:fill="auto"/>
            <w:vAlign w:val="bottom"/>
          </w:tcPr>
          <w:p w14:paraId="1860048C" w14:textId="77777777" w:rsidR="00A91885" w:rsidRDefault="00A91885">
            <w:pPr>
              <w:rPr>
                <w:rFonts w:ascii="宋体"/>
                <w:vanish/>
              </w:rPr>
            </w:pPr>
          </w:p>
        </w:tc>
        <w:tc>
          <w:tcPr>
            <w:tcW w:w="0" w:type="auto"/>
            <w:gridSpan w:val="3"/>
            <w:shd w:val="clear" w:color="auto" w:fill="auto"/>
            <w:vAlign w:val="bottom"/>
          </w:tcPr>
          <w:p w14:paraId="1860048D" w14:textId="77777777" w:rsidR="00A91885" w:rsidRDefault="00A91885">
            <w:pPr>
              <w:rPr>
                <w:rFonts w:ascii="宋体"/>
                <w:vanish/>
              </w:rPr>
            </w:pPr>
          </w:p>
        </w:tc>
      </w:tr>
      <w:tr w:rsidR="00A91885" w14:paraId="1860049B" w14:textId="77777777">
        <w:trPr>
          <w:jc w:val="center"/>
        </w:trPr>
        <w:tc>
          <w:tcPr>
            <w:tcW w:w="0" w:type="auto"/>
            <w:gridSpan w:val="3"/>
            <w:shd w:val="clear" w:color="auto" w:fill="E2E2E2"/>
            <w:tcMar>
              <w:top w:w="40" w:type="dxa"/>
              <w:left w:w="155" w:type="dxa"/>
              <w:bottom w:w="40" w:type="dxa"/>
              <w:right w:w="20" w:type="dxa"/>
            </w:tcMar>
            <w:vAlign w:val="bottom"/>
          </w:tcPr>
          <w:p w14:paraId="1860048F" w14:textId="77777777" w:rsidR="00A91885" w:rsidRDefault="009C4196">
            <w:pPr>
              <w:textAlignment w:val="bottom"/>
            </w:pPr>
            <w:r>
              <w:rPr>
                <w:rFonts w:ascii="Arial" w:eastAsia="宋体" w:hAnsi="Arial" w:cs="Arial"/>
                <w:color w:val="000000"/>
                <w:sz w:val="18"/>
                <w:szCs w:val="18"/>
              </w:rPr>
              <w:t>Foreign currency translation and other</w:t>
            </w:r>
          </w:p>
        </w:tc>
        <w:tc>
          <w:tcPr>
            <w:tcW w:w="0" w:type="auto"/>
            <w:gridSpan w:val="2"/>
            <w:shd w:val="clear" w:color="auto" w:fill="E2E2E2"/>
            <w:tcMar>
              <w:top w:w="40" w:type="dxa"/>
              <w:left w:w="20" w:type="dxa"/>
              <w:bottom w:w="40" w:type="dxa"/>
              <w:right w:w="0" w:type="dxa"/>
            </w:tcMar>
            <w:vAlign w:val="bottom"/>
          </w:tcPr>
          <w:p w14:paraId="18600490"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E2E2E2"/>
            <w:tcMar>
              <w:top w:w="40" w:type="dxa"/>
              <w:left w:w="0" w:type="dxa"/>
              <w:bottom w:w="40" w:type="dxa"/>
              <w:right w:w="20" w:type="dxa"/>
            </w:tcMar>
            <w:vAlign w:val="bottom"/>
          </w:tcPr>
          <w:p w14:paraId="1860049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492"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493"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1860049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49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496"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E2E2E2"/>
            <w:tcMar>
              <w:top w:w="40" w:type="dxa"/>
              <w:left w:w="0" w:type="dxa"/>
              <w:bottom w:w="40" w:type="dxa"/>
              <w:right w:w="20" w:type="dxa"/>
            </w:tcMar>
            <w:vAlign w:val="bottom"/>
          </w:tcPr>
          <w:p w14:paraId="1860049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49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499" w14:textId="77777777" w:rsidR="00A91885" w:rsidRDefault="009C4196">
            <w:pPr>
              <w:jc w:val="right"/>
              <w:textAlignment w:val="bottom"/>
            </w:pPr>
            <w:r>
              <w:rPr>
                <w:rFonts w:ascii="Arial" w:eastAsia="宋体" w:hAnsi="Arial" w:cs="Arial"/>
                <w:color w:val="000000"/>
                <w:sz w:val="18"/>
                <w:szCs w:val="18"/>
              </w:rPr>
              <w:t>(10)</w:t>
            </w:r>
          </w:p>
        </w:tc>
        <w:tc>
          <w:tcPr>
            <w:tcW w:w="0" w:type="auto"/>
            <w:shd w:val="clear" w:color="auto" w:fill="E2E2E2"/>
            <w:tcMar>
              <w:top w:w="40" w:type="dxa"/>
              <w:left w:w="0" w:type="dxa"/>
              <w:bottom w:w="40" w:type="dxa"/>
              <w:right w:w="20" w:type="dxa"/>
            </w:tcMar>
            <w:vAlign w:val="bottom"/>
          </w:tcPr>
          <w:p w14:paraId="1860049A" w14:textId="77777777" w:rsidR="00A91885" w:rsidRDefault="00A91885">
            <w:pPr>
              <w:jc w:val="right"/>
              <w:rPr>
                <w:rFonts w:ascii="宋体"/>
              </w:rPr>
            </w:pPr>
          </w:p>
        </w:tc>
      </w:tr>
      <w:tr w:rsidR="00A91885" w14:paraId="186004AC" w14:textId="77777777">
        <w:trPr>
          <w:jc w:val="center"/>
        </w:trPr>
        <w:tc>
          <w:tcPr>
            <w:tcW w:w="0" w:type="auto"/>
            <w:gridSpan w:val="3"/>
            <w:shd w:val="clear" w:color="auto" w:fill="FFFFFF"/>
            <w:tcMar>
              <w:top w:w="40" w:type="dxa"/>
              <w:left w:w="20" w:type="dxa"/>
              <w:bottom w:w="40" w:type="dxa"/>
              <w:right w:w="20" w:type="dxa"/>
            </w:tcMar>
            <w:vAlign w:val="bottom"/>
          </w:tcPr>
          <w:p w14:paraId="1860049C" w14:textId="77777777" w:rsidR="00A91885" w:rsidRDefault="009C4196">
            <w:pPr>
              <w:textAlignment w:val="bottom"/>
            </w:pPr>
            <w:r>
              <w:rPr>
                <w:rFonts w:ascii="Arial" w:eastAsia="宋体" w:hAnsi="Arial" w:cs="Arial"/>
                <w:color w:val="000000"/>
                <w:sz w:val="18"/>
                <w:szCs w:val="18"/>
              </w:rPr>
              <w:t>Carrying value,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49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49E" w14:textId="77777777" w:rsidR="00A91885" w:rsidRDefault="009C4196">
            <w:pPr>
              <w:jc w:val="right"/>
              <w:textAlignment w:val="bottom"/>
            </w:pPr>
            <w:r>
              <w:rPr>
                <w:rFonts w:ascii="Arial" w:eastAsia="宋体" w:hAnsi="Arial" w:cs="Arial"/>
                <w:color w:val="000000"/>
                <w:sz w:val="18"/>
                <w:szCs w:val="18"/>
              </w:rPr>
              <w:t>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49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4A0"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4A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4A2" w14:textId="77777777" w:rsidR="00A91885" w:rsidRDefault="009C4196">
            <w:pPr>
              <w:jc w:val="right"/>
              <w:textAlignment w:val="bottom"/>
            </w:pPr>
            <w:r>
              <w:rPr>
                <w:rFonts w:ascii="Arial" w:eastAsia="宋体" w:hAnsi="Arial" w:cs="Arial"/>
                <w:color w:val="000000"/>
                <w:sz w:val="18"/>
                <w:szCs w:val="18"/>
              </w:rPr>
              <w:t>571 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4A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4A4"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4A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4A6" w14:textId="77777777" w:rsidR="00A91885" w:rsidRDefault="009C4196">
            <w:pPr>
              <w:jc w:val="right"/>
              <w:textAlignment w:val="bottom"/>
            </w:pPr>
            <w:r>
              <w:rPr>
                <w:rFonts w:ascii="Arial" w:eastAsia="宋体" w:hAnsi="Arial" w:cs="Arial"/>
                <w:color w:val="000000"/>
                <w:sz w:val="18"/>
                <w:szCs w:val="18"/>
              </w:rPr>
              <w:t>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4A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4A8"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4A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4AA" w14:textId="77777777" w:rsidR="00A91885" w:rsidRDefault="009C4196">
            <w:pPr>
              <w:jc w:val="right"/>
              <w:textAlignment w:val="bottom"/>
            </w:pPr>
            <w:r>
              <w:rPr>
                <w:rFonts w:ascii="Arial" w:eastAsia="宋体" w:hAnsi="Arial" w:cs="Arial"/>
                <w:color w:val="000000"/>
                <w:sz w:val="18"/>
                <w:szCs w:val="18"/>
              </w:rPr>
              <w:t>571 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4AB" w14:textId="77777777" w:rsidR="00A91885" w:rsidRDefault="00A91885">
            <w:pPr>
              <w:jc w:val="right"/>
              <w:rPr>
                <w:rFonts w:ascii="宋体"/>
              </w:rPr>
            </w:pPr>
          </w:p>
        </w:tc>
      </w:tr>
    </w:tbl>
    <w:p w14:paraId="186004AD" w14:textId="77777777" w:rsidR="00A91885" w:rsidRDefault="00A91885"/>
    <w:p w14:paraId="186004AE" w14:textId="77777777" w:rsidR="00A91885" w:rsidRDefault="009C4196">
      <w:pPr>
        <w:ind w:firstLine="540"/>
        <w:jc w:val="both"/>
      </w:pPr>
      <w:r>
        <w:rPr>
          <w:rFonts w:ascii="Arial" w:eastAsia="宋体" w:hAnsi="Arial" w:cs="Arial"/>
          <w:color w:val="000000"/>
          <w:sz w:val="20"/>
          <w:szCs w:val="20"/>
        </w:rPr>
        <w:t xml:space="preserve">For the six </w:t>
      </w:r>
      <w:r>
        <w:rPr>
          <w:rFonts w:ascii="Arial" w:eastAsia="宋体" w:hAnsi="Arial" w:cs="Arial"/>
          <w:color w:val="000000"/>
          <w:sz w:val="20"/>
          <w:szCs w:val="20"/>
        </w:rPr>
        <w:t>months ended June 30, 2022, we recorded downward adjustments $7 million to the carrying value of a strategic investment in gain (loss) on equity investments and warrant, net on our condensed consolidated statement of income.</w:t>
      </w:r>
    </w:p>
    <w:p w14:paraId="186004AF" w14:textId="77777777" w:rsidR="00A91885" w:rsidRDefault="00A91885">
      <w:pPr>
        <w:ind w:firstLine="540"/>
        <w:jc w:val="both"/>
      </w:pPr>
    </w:p>
    <w:p w14:paraId="186004B0" w14:textId="77777777" w:rsidR="00A91885" w:rsidRDefault="009C4196">
      <w:pPr>
        <w:ind w:firstLine="540"/>
        <w:jc w:val="both"/>
      </w:pPr>
      <w:r>
        <w:rPr>
          <w:rFonts w:ascii="Arial" w:eastAsia="宋体" w:hAnsi="Arial" w:cs="Arial"/>
          <w:color w:val="000000"/>
          <w:sz w:val="20"/>
          <w:szCs w:val="20"/>
        </w:rPr>
        <w:t>For such equity investments wi</w:t>
      </w:r>
      <w:r>
        <w:rPr>
          <w:rFonts w:ascii="Arial" w:eastAsia="宋体" w:hAnsi="Arial" w:cs="Arial"/>
          <w:color w:val="000000"/>
          <w:sz w:val="20"/>
          <w:szCs w:val="20"/>
        </w:rPr>
        <w:t xml:space="preserve">thout readily determinable fair values still held at June 30, 2022, the cumulative upward adjustment for observable price changes was $41 million and cumulative downward adjustment for observable price changes and impairments was $298 million. </w:t>
      </w:r>
    </w:p>
    <w:p w14:paraId="186004B1" w14:textId="77777777" w:rsidR="00A91885" w:rsidRDefault="00A91885">
      <w:pPr>
        <w:ind w:firstLine="630"/>
        <w:jc w:val="both"/>
      </w:pPr>
    </w:p>
    <w:p w14:paraId="186004B2" w14:textId="77777777" w:rsidR="00A91885" w:rsidRDefault="009C4196">
      <w:pPr>
        <w:spacing w:after="120"/>
        <w:ind w:firstLine="540"/>
        <w:jc w:val="both"/>
      </w:pPr>
      <w:r>
        <w:rPr>
          <w:rFonts w:ascii="Arial" w:eastAsia="宋体" w:hAnsi="Arial" w:cs="Arial"/>
          <w:color w:val="000000"/>
          <w:sz w:val="20"/>
          <w:szCs w:val="20"/>
        </w:rPr>
        <w:t>The follow</w:t>
      </w:r>
      <w:r>
        <w:rPr>
          <w:rFonts w:ascii="Arial" w:eastAsia="宋体" w:hAnsi="Arial" w:cs="Arial"/>
          <w:color w:val="000000"/>
          <w:sz w:val="20"/>
          <w:szCs w:val="20"/>
        </w:rPr>
        <w:t>ing table summarizes unrealized gains and losses related to equity investments held at June 30, 2022 and presented within gain (loss) on equity investments and warrant, net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430"/>
        <w:gridCol w:w="37"/>
        <w:gridCol w:w="121"/>
        <w:gridCol w:w="719"/>
        <w:gridCol w:w="36"/>
        <w:gridCol w:w="36"/>
        <w:gridCol w:w="36"/>
        <w:gridCol w:w="36"/>
        <w:gridCol w:w="121"/>
        <w:gridCol w:w="720"/>
        <w:gridCol w:w="36"/>
        <w:gridCol w:w="36"/>
        <w:gridCol w:w="36"/>
        <w:gridCol w:w="36"/>
        <w:gridCol w:w="121"/>
        <w:gridCol w:w="720"/>
        <w:gridCol w:w="36"/>
        <w:gridCol w:w="36"/>
        <w:gridCol w:w="36"/>
        <w:gridCol w:w="36"/>
        <w:gridCol w:w="121"/>
        <w:gridCol w:w="720"/>
        <w:gridCol w:w="36"/>
      </w:tblGrid>
      <w:tr w:rsidR="00A91885" w14:paraId="186004CB" w14:textId="77777777">
        <w:tc>
          <w:tcPr>
            <w:tcW w:w="50" w:type="pct"/>
            <w:shd w:val="clear" w:color="auto" w:fill="auto"/>
            <w:vAlign w:val="bottom"/>
          </w:tcPr>
          <w:p w14:paraId="186004B3" w14:textId="77777777" w:rsidR="00A91885" w:rsidRDefault="00A91885">
            <w:pPr>
              <w:rPr>
                <w:rFonts w:ascii="宋体"/>
              </w:rPr>
            </w:pPr>
          </w:p>
        </w:tc>
        <w:tc>
          <w:tcPr>
            <w:tcW w:w="2722" w:type="pct"/>
            <w:shd w:val="clear" w:color="auto" w:fill="auto"/>
            <w:vAlign w:val="bottom"/>
          </w:tcPr>
          <w:p w14:paraId="186004B4" w14:textId="77777777" w:rsidR="00A91885" w:rsidRDefault="00A91885">
            <w:pPr>
              <w:rPr>
                <w:rFonts w:ascii="宋体"/>
              </w:rPr>
            </w:pPr>
          </w:p>
        </w:tc>
        <w:tc>
          <w:tcPr>
            <w:tcW w:w="5" w:type="pct"/>
            <w:shd w:val="clear" w:color="auto" w:fill="auto"/>
            <w:vAlign w:val="bottom"/>
          </w:tcPr>
          <w:p w14:paraId="186004B5" w14:textId="77777777" w:rsidR="00A91885" w:rsidRDefault="00A91885">
            <w:pPr>
              <w:rPr>
                <w:rFonts w:ascii="宋体"/>
              </w:rPr>
            </w:pPr>
          </w:p>
        </w:tc>
        <w:tc>
          <w:tcPr>
            <w:tcW w:w="50" w:type="pct"/>
            <w:shd w:val="clear" w:color="auto" w:fill="auto"/>
            <w:vAlign w:val="bottom"/>
          </w:tcPr>
          <w:p w14:paraId="186004B6" w14:textId="77777777" w:rsidR="00A91885" w:rsidRDefault="00A91885">
            <w:pPr>
              <w:rPr>
                <w:rFonts w:ascii="宋体"/>
              </w:rPr>
            </w:pPr>
          </w:p>
        </w:tc>
        <w:tc>
          <w:tcPr>
            <w:tcW w:w="478" w:type="pct"/>
            <w:shd w:val="clear" w:color="auto" w:fill="auto"/>
            <w:vAlign w:val="bottom"/>
          </w:tcPr>
          <w:p w14:paraId="186004B7" w14:textId="77777777" w:rsidR="00A91885" w:rsidRDefault="00A91885">
            <w:pPr>
              <w:rPr>
                <w:rFonts w:ascii="宋体"/>
              </w:rPr>
            </w:pPr>
          </w:p>
        </w:tc>
        <w:tc>
          <w:tcPr>
            <w:tcW w:w="5" w:type="pct"/>
            <w:shd w:val="clear" w:color="auto" w:fill="auto"/>
            <w:vAlign w:val="bottom"/>
          </w:tcPr>
          <w:p w14:paraId="186004B8" w14:textId="77777777" w:rsidR="00A91885" w:rsidRDefault="00A91885">
            <w:pPr>
              <w:rPr>
                <w:rFonts w:ascii="宋体"/>
              </w:rPr>
            </w:pPr>
          </w:p>
        </w:tc>
        <w:tc>
          <w:tcPr>
            <w:tcW w:w="5" w:type="pct"/>
            <w:shd w:val="clear" w:color="auto" w:fill="auto"/>
            <w:vAlign w:val="bottom"/>
          </w:tcPr>
          <w:p w14:paraId="186004B9" w14:textId="77777777" w:rsidR="00A91885" w:rsidRDefault="00A91885">
            <w:pPr>
              <w:rPr>
                <w:rFonts w:ascii="宋体"/>
              </w:rPr>
            </w:pPr>
          </w:p>
        </w:tc>
        <w:tc>
          <w:tcPr>
            <w:tcW w:w="19" w:type="pct"/>
            <w:shd w:val="clear" w:color="auto" w:fill="auto"/>
            <w:vAlign w:val="bottom"/>
          </w:tcPr>
          <w:p w14:paraId="186004BA" w14:textId="77777777" w:rsidR="00A91885" w:rsidRDefault="00A91885">
            <w:pPr>
              <w:rPr>
                <w:rFonts w:ascii="宋体"/>
              </w:rPr>
            </w:pPr>
          </w:p>
        </w:tc>
        <w:tc>
          <w:tcPr>
            <w:tcW w:w="5" w:type="pct"/>
            <w:shd w:val="clear" w:color="auto" w:fill="auto"/>
            <w:vAlign w:val="bottom"/>
          </w:tcPr>
          <w:p w14:paraId="186004BB" w14:textId="77777777" w:rsidR="00A91885" w:rsidRDefault="00A91885">
            <w:pPr>
              <w:rPr>
                <w:rFonts w:ascii="宋体"/>
              </w:rPr>
            </w:pPr>
          </w:p>
        </w:tc>
        <w:tc>
          <w:tcPr>
            <w:tcW w:w="50" w:type="pct"/>
            <w:shd w:val="clear" w:color="auto" w:fill="auto"/>
            <w:vAlign w:val="bottom"/>
          </w:tcPr>
          <w:p w14:paraId="186004BC" w14:textId="77777777" w:rsidR="00A91885" w:rsidRDefault="00A91885">
            <w:pPr>
              <w:rPr>
                <w:rFonts w:ascii="宋体"/>
              </w:rPr>
            </w:pPr>
          </w:p>
        </w:tc>
        <w:tc>
          <w:tcPr>
            <w:tcW w:w="478" w:type="pct"/>
            <w:shd w:val="clear" w:color="auto" w:fill="auto"/>
            <w:vAlign w:val="bottom"/>
          </w:tcPr>
          <w:p w14:paraId="186004BD" w14:textId="77777777" w:rsidR="00A91885" w:rsidRDefault="00A91885">
            <w:pPr>
              <w:rPr>
                <w:rFonts w:ascii="宋体"/>
              </w:rPr>
            </w:pPr>
          </w:p>
        </w:tc>
        <w:tc>
          <w:tcPr>
            <w:tcW w:w="5" w:type="pct"/>
            <w:shd w:val="clear" w:color="auto" w:fill="auto"/>
            <w:vAlign w:val="bottom"/>
          </w:tcPr>
          <w:p w14:paraId="186004BE" w14:textId="77777777" w:rsidR="00A91885" w:rsidRDefault="00A91885">
            <w:pPr>
              <w:rPr>
                <w:rFonts w:ascii="宋体"/>
              </w:rPr>
            </w:pPr>
          </w:p>
        </w:tc>
        <w:tc>
          <w:tcPr>
            <w:tcW w:w="5" w:type="pct"/>
            <w:shd w:val="clear" w:color="auto" w:fill="auto"/>
            <w:vAlign w:val="bottom"/>
          </w:tcPr>
          <w:p w14:paraId="186004BF" w14:textId="77777777" w:rsidR="00A91885" w:rsidRDefault="00A91885">
            <w:pPr>
              <w:rPr>
                <w:rFonts w:ascii="宋体"/>
              </w:rPr>
            </w:pPr>
          </w:p>
        </w:tc>
        <w:tc>
          <w:tcPr>
            <w:tcW w:w="19" w:type="pct"/>
            <w:shd w:val="clear" w:color="auto" w:fill="auto"/>
            <w:vAlign w:val="bottom"/>
          </w:tcPr>
          <w:p w14:paraId="186004C0" w14:textId="77777777" w:rsidR="00A91885" w:rsidRDefault="00A91885">
            <w:pPr>
              <w:rPr>
                <w:rFonts w:ascii="宋体"/>
              </w:rPr>
            </w:pPr>
          </w:p>
        </w:tc>
        <w:tc>
          <w:tcPr>
            <w:tcW w:w="5" w:type="pct"/>
            <w:shd w:val="clear" w:color="auto" w:fill="auto"/>
            <w:vAlign w:val="bottom"/>
          </w:tcPr>
          <w:p w14:paraId="186004C1" w14:textId="77777777" w:rsidR="00A91885" w:rsidRDefault="00A91885">
            <w:pPr>
              <w:rPr>
                <w:rFonts w:ascii="宋体"/>
              </w:rPr>
            </w:pPr>
          </w:p>
        </w:tc>
        <w:tc>
          <w:tcPr>
            <w:tcW w:w="50" w:type="pct"/>
            <w:shd w:val="clear" w:color="auto" w:fill="auto"/>
            <w:vAlign w:val="bottom"/>
          </w:tcPr>
          <w:p w14:paraId="186004C2" w14:textId="77777777" w:rsidR="00A91885" w:rsidRDefault="00A91885">
            <w:pPr>
              <w:rPr>
                <w:rFonts w:ascii="宋体"/>
              </w:rPr>
            </w:pPr>
          </w:p>
        </w:tc>
        <w:tc>
          <w:tcPr>
            <w:tcW w:w="478" w:type="pct"/>
            <w:shd w:val="clear" w:color="auto" w:fill="auto"/>
            <w:vAlign w:val="bottom"/>
          </w:tcPr>
          <w:p w14:paraId="186004C3" w14:textId="77777777" w:rsidR="00A91885" w:rsidRDefault="00A91885">
            <w:pPr>
              <w:rPr>
                <w:rFonts w:ascii="宋体"/>
              </w:rPr>
            </w:pPr>
          </w:p>
        </w:tc>
        <w:tc>
          <w:tcPr>
            <w:tcW w:w="5" w:type="pct"/>
            <w:shd w:val="clear" w:color="auto" w:fill="auto"/>
            <w:vAlign w:val="bottom"/>
          </w:tcPr>
          <w:p w14:paraId="186004C4" w14:textId="77777777" w:rsidR="00A91885" w:rsidRDefault="00A91885">
            <w:pPr>
              <w:rPr>
                <w:rFonts w:ascii="宋体"/>
              </w:rPr>
            </w:pPr>
          </w:p>
        </w:tc>
        <w:tc>
          <w:tcPr>
            <w:tcW w:w="5" w:type="pct"/>
            <w:shd w:val="clear" w:color="auto" w:fill="auto"/>
            <w:vAlign w:val="bottom"/>
          </w:tcPr>
          <w:p w14:paraId="186004C5" w14:textId="77777777" w:rsidR="00A91885" w:rsidRDefault="00A91885">
            <w:pPr>
              <w:rPr>
                <w:rFonts w:ascii="宋体"/>
              </w:rPr>
            </w:pPr>
          </w:p>
        </w:tc>
        <w:tc>
          <w:tcPr>
            <w:tcW w:w="19" w:type="pct"/>
            <w:shd w:val="clear" w:color="auto" w:fill="auto"/>
            <w:vAlign w:val="bottom"/>
          </w:tcPr>
          <w:p w14:paraId="186004C6" w14:textId="77777777" w:rsidR="00A91885" w:rsidRDefault="00A91885">
            <w:pPr>
              <w:rPr>
                <w:rFonts w:ascii="宋体"/>
              </w:rPr>
            </w:pPr>
          </w:p>
        </w:tc>
        <w:tc>
          <w:tcPr>
            <w:tcW w:w="5" w:type="pct"/>
            <w:shd w:val="clear" w:color="auto" w:fill="auto"/>
            <w:vAlign w:val="bottom"/>
          </w:tcPr>
          <w:p w14:paraId="186004C7" w14:textId="77777777" w:rsidR="00A91885" w:rsidRDefault="00A91885">
            <w:pPr>
              <w:rPr>
                <w:rFonts w:ascii="宋体"/>
              </w:rPr>
            </w:pPr>
          </w:p>
        </w:tc>
        <w:tc>
          <w:tcPr>
            <w:tcW w:w="50" w:type="pct"/>
            <w:shd w:val="clear" w:color="auto" w:fill="auto"/>
            <w:vAlign w:val="bottom"/>
          </w:tcPr>
          <w:p w14:paraId="186004C8" w14:textId="77777777" w:rsidR="00A91885" w:rsidRDefault="00A91885">
            <w:pPr>
              <w:rPr>
                <w:rFonts w:ascii="宋体"/>
              </w:rPr>
            </w:pPr>
          </w:p>
        </w:tc>
        <w:tc>
          <w:tcPr>
            <w:tcW w:w="478" w:type="pct"/>
            <w:shd w:val="clear" w:color="auto" w:fill="auto"/>
            <w:vAlign w:val="bottom"/>
          </w:tcPr>
          <w:p w14:paraId="186004C9" w14:textId="77777777" w:rsidR="00A91885" w:rsidRDefault="00A91885">
            <w:pPr>
              <w:rPr>
                <w:rFonts w:ascii="宋体"/>
              </w:rPr>
            </w:pPr>
          </w:p>
        </w:tc>
        <w:tc>
          <w:tcPr>
            <w:tcW w:w="5" w:type="pct"/>
            <w:shd w:val="clear" w:color="auto" w:fill="auto"/>
            <w:vAlign w:val="bottom"/>
          </w:tcPr>
          <w:p w14:paraId="186004CA" w14:textId="77777777" w:rsidR="00A91885" w:rsidRDefault="00A91885">
            <w:pPr>
              <w:rPr>
                <w:rFonts w:ascii="宋体"/>
              </w:rPr>
            </w:pPr>
          </w:p>
        </w:tc>
      </w:tr>
      <w:tr w:rsidR="00A91885" w14:paraId="186004D0" w14:textId="77777777">
        <w:tc>
          <w:tcPr>
            <w:tcW w:w="0" w:type="auto"/>
            <w:gridSpan w:val="3"/>
            <w:shd w:val="clear" w:color="auto" w:fill="auto"/>
            <w:tcMar>
              <w:top w:w="40" w:type="dxa"/>
              <w:left w:w="20" w:type="dxa"/>
              <w:bottom w:w="40" w:type="dxa"/>
              <w:right w:w="20" w:type="dxa"/>
            </w:tcMar>
            <w:vAlign w:val="bottom"/>
          </w:tcPr>
          <w:p w14:paraId="186004CC" w14:textId="77777777" w:rsidR="00A91885" w:rsidRDefault="009C4196">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186004CD"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04CE"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04CF"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6004D9" w14:textId="77777777">
        <w:tc>
          <w:tcPr>
            <w:tcW w:w="0" w:type="auto"/>
            <w:gridSpan w:val="3"/>
            <w:shd w:val="clear" w:color="auto" w:fill="auto"/>
            <w:tcMar>
              <w:top w:w="0" w:type="dxa"/>
              <w:left w:w="20" w:type="dxa"/>
              <w:bottom w:w="0" w:type="dxa"/>
              <w:right w:w="20" w:type="dxa"/>
            </w:tcMar>
            <w:vAlign w:val="bottom"/>
          </w:tcPr>
          <w:p w14:paraId="186004D1"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4D2"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4D3"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4D4"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04D5"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4D6"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4D7"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4D8"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6004EA" w14:textId="77777777">
        <w:tc>
          <w:tcPr>
            <w:tcW w:w="0" w:type="auto"/>
            <w:gridSpan w:val="3"/>
            <w:shd w:val="clear" w:color="auto" w:fill="E1E1E1"/>
            <w:tcMar>
              <w:top w:w="40" w:type="dxa"/>
              <w:left w:w="20" w:type="dxa"/>
              <w:bottom w:w="40" w:type="dxa"/>
              <w:right w:w="20" w:type="dxa"/>
            </w:tcMar>
            <w:vAlign w:val="bottom"/>
          </w:tcPr>
          <w:p w14:paraId="186004DA" w14:textId="77777777" w:rsidR="00A91885" w:rsidRDefault="009C4196">
            <w:pPr>
              <w:textAlignment w:val="bottom"/>
            </w:pPr>
            <w:r>
              <w:rPr>
                <w:rFonts w:ascii="Arial" w:eastAsia="宋体" w:hAnsi="Arial" w:cs="Arial"/>
                <w:color w:val="000000"/>
                <w:sz w:val="18"/>
                <w:szCs w:val="18"/>
              </w:rPr>
              <w:t>Net gains/(losses) recognized during the period on equity investments</w:t>
            </w:r>
          </w:p>
        </w:tc>
        <w:tc>
          <w:tcPr>
            <w:tcW w:w="0" w:type="auto"/>
            <w:tcBorders>
              <w:top w:val="single" w:sz="8" w:space="0" w:color="000000"/>
            </w:tcBorders>
            <w:shd w:val="clear" w:color="auto" w:fill="E1E1E1"/>
            <w:tcMar>
              <w:top w:w="40" w:type="dxa"/>
              <w:left w:w="20" w:type="dxa"/>
              <w:bottom w:w="40" w:type="dxa"/>
              <w:right w:w="0" w:type="dxa"/>
            </w:tcMar>
            <w:vAlign w:val="bottom"/>
          </w:tcPr>
          <w:p w14:paraId="186004DB"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6004DC" w14:textId="77777777" w:rsidR="00A91885" w:rsidRDefault="009C4196">
            <w:pPr>
              <w:jc w:val="right"/>
              <w:textAlignment w:val="bottom"/>
            </w:pPr>
            <w:r>
              <w:rPr>
                <w:rFonts w:ascii="Arial" w:eastAsia="宋体" w:hAnsi="Arial" w:cs="Arial"/>
                <w:color w:val="000000"/>
                <w:sz w:val="18"/>
                <w:szCs w:val="18"/>
              </w:rPr>
              <w:t>(1,116)</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04DD"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04DE"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6004D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6004E0" w14:textId="77777777" w:rsidR="00A91885" w:rsidRDefault="009C4196">
            <w:pPr>
              <w:jc w:val="right"/>
              <w:textAlignment w:val="bottom"/>
            </w:pPr>
            <w:r>
              <w:rPr>
                <w:rFonts w:ascii="Arial" w:eastAsia="宋体" w:hAnsi="Arial" w:cs="Arial"/>
                <w:color w:val="000000"/>
                <w:sz w:val="18"/>
                <w:szCs w:val="18"/>
              </w:rPr>
              <w:t>(380)</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04E1"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04E2"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6004E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6004E4" w14:textId="77777777" w:rsidR="00A91885" w:rsidRDefault="009C4196">
            <w:pPr>
              <w:jc w:val="right"/>
              <w:textAlignment w:val="bottom"/>
            </w:pPr>
            <w:r>
              <w:rPr>
                <w:rFonts w:ascii="Arial" w:eastAsia="宋体" w:hAnsi="Arial" w:cs="Arial"/>
                <w:color w:val="000000"/>
                <w:sz w:val="18"/>
                <w:szCs w:val="18"/>
              </w:rPr>
              <w:t>(3,293)</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04E5"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04E6"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6004E7"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6004E8" w14:textId="77777777" w:rsidR="00A91885" w:rsidRDefault="009C4196">
            <w:pPr>
              <w:jc w:val="right"/>
              <w:textAlignment w:val="bottom"/>
            </w:pPr>
            <w:r>
              <w:rPr>
                <w:rFonts w:ascii="Arial" w:eastAsia="宋体" w:hAnsi="Arial" w:cs="Arial"/>
                <w:color w:val="000000"/>
                <w:sz w:val="18"/>
                <w:szCs w:val="18"/>
              </w:rPr>
              <w:t>(380)</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04E9" w14:textId="77777777" w:rsidR="00A91885" w:rsidRDefault="00A91885">
            <w:pPr>
              <w:jc w:val="right"/>
              <w:rPr>
                <w:rFonts w:ascii="宋体"/>
              </w:rPr>
            </w:pPr>
          </w:p>
        </w:tc>
      </w:tr>
      <w:tr w:rsidR="00A91885" w14:paraId="186004F7" w14:textId="77777777">
        <w:tc>
          <w:tcPr>
            <w:tcW w:w="0" w:type="auto"/>
            <w:gridSpan w:val="3"/>
            <w:shd w:val="clear" w:color="auto" w:fill="FFFFFF"/>
            <w:tcMar>
              <w:top w:w="40" w:type="dxa"/>
              <w:left w:w="140" w:type="dxa"/>
              <w:bottom w:w="40" w:type="dxa"/>
              <w:right w:w="20" w:type="dxa"/>
            </w:tcMar>
            <w:vAlign w:val="bottom"/>
          </w:tcPr>
          <w:p w14:paraId="186004EB" w14:textId="77777777" w:rsidR="00A91885" w:rsidRDefault="009C4196">
            <w:pPr>
              <w:textAlignment w:val="bottom"/>
            </w:pPr>
            <w:r>
              <w:rPr>
                <w:rFonts w:ascii="Arial" w:eastAsia="宋体" w:hAnsi="Arial" w:cs="Arial"/>
                <w:color w:val="000000"/>
                <w:sz w:val="18"/>
                <w:szCs w:val="18"/>
              </w:rPr>
              <w:t>Less: Net gains/(losses) recognized during the period on equity investments sold during the period</w:t>
            </w:r>
          </w:p>
        </w:tc>
        <w:tc>
          <w:tcPr>
            <w:tcW w:w="0" w:type="auto"/>
            <w:gridSpan w:val="2"/>
            <w:shd w:val="clear" w:color="auto" w:fill="FFFFFF"/>
            <w:tcMar>
              <w:top w:w="40" w:type="dxa"/>
              <w:left w:w="20" w:type="dxa"/>
              <w:bottom w:w="40" w:type="dxa"/>
              <w:right w:w="0" w:type="dxa"/>
            </w:tcMar>
            <w:vAlign w:val="bottom"/>
          </w:tcPr>
          <w:p w14:paraId="186004EC" w14:textId="77777777" w:rsidR="00A91885" w:rsidRDefault="009C4196">
            <w:pPr>
              <w:jc w:val="right"/>
              <w:textAlignment w:val="bottom"/>
            </w:pPr>
            <w:r>
              <w:rPr>
                <w:rFonts w:ascii="Arial" w:eastAsia="宋体" w:hAnsi="Arial" w:cs="Arial"/>
                <w:color w:val="000000"/>
                <w:sz w:val="18"/>
                <w:szCs w:val="18"/>
              </w:rPr>
              <w:t>(68)</w:t>
            </w:r>
          </w:p>
        </w:tc>
        <w:tc>
          <w:tcPr>
            <w:tcW w:w="0" w:type="auto"/>
            <w:shd w:val="clear" w:color="auto" w:fill="FFFFFF"/>
            <w:tcMar>
              <w:top w:w="40" w:type="dxa"/>
              <w:left w:w="0" w:type="dxa"/>
              <w:bottom w:w="40" w:type="dxa"/>
              <w:right w:w="20" w:type="dxa"/>
            </w:tcMar>
            <w:vAlign w:val="bottom"/>
          </w:tcPr>
          <w:p w14:paraId="186004E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4E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4EF"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4F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4F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4F2" w14:textId="77777777" w:rsidR="00A91885" w:rsidRDefault="009C4196">
            <w:pPr>
              <w:jc w:val="right"/>
              <w:textAlignment w:val="bottom"/>
            </w:pPr>
            <w:r>
              <w:rPr>
                <w:rFonts w:ascii="Arial" w:eastAsia="宋体" w:hAnsi="Arial" w:cs="Arial"/>
                <w:color w:val="000000"/>
                <w:sz w:val="18"/>
                <w:szCs w:val="18"/>
              </w:rPr>
              <w:t>(242)</w:t>
            </w:r>
          </w:p>
        </w:tc>
        <w:tc>
          <w:tcPr>
            <w:tcW w:w="0" w:type="auto"/>
            <w:shd w:val="clear" w:color="auto" w:fill="FFFFFF"/>
            <w:tcMar>
              <w:top w:w="40" w:type="dxa"/>
              <w:left w:w="0" w:type="dxa"/>
              <w:bottom w:w="40" w:type="dxa"/>
              <w:right w:w="20" w:type="dxa"/>
            </w:tcMar>
            <w:vAlign w:val="bottom"/>
          </w:tcPr>
          <w:p w14:paraId="186004F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4F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4F5"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4F6" w14:textId="77777777" w:rsidR="00A91885" w:rsidRDefault="00A91885">
            <w:pPr>
              <w:jc w:val="right"/>
              <w:rPr>
                <w:rFonts w:ascii="宋体"/>
              </w:rPr>
            </w:pPr>
          </w:p>
        </w:tc>
      </w:tr>
      <w:tr w:rsidR="00A91885" w14:paraId="18600508" w14:textId="77777777">
        <w:tc>
          <w:tcPr>
            <w:tcW w:w="0" w:type="auto"/>
            <w:gridSpan w:val="3"/>
            <w:shd w:val="clear" w:color="auto" w:fill="E1E1E1"/>
            <w:tcMar>
              <w:top w:w="40" w:type="dxa"/>
              <w:left w:w="20" w:type="dxa"/>
              <w:bottom w:w="40" w:type="dxa"/>
              <w:right w:w="20" w:type="dxa"/>
            </w:tcMar>
            <w:vAlign w:val="bottom"/>
          </w:tcPr>
          <w:p w14:paraId="186004F8" w14:textId="77777777" w:rsidR="00A91885" w:rsidRDefault="009C4196">
            <w:pPr>
              <w:textAlignment w:val="bottom"/>
            </w:pPr>
            <w:r>
              <w:rPr>
                <w:rFonts w:ascii="Arial" w:eastAsia="宋体" w:hAnsi="Arial" w:cs="Arial"/>
                <w:color w:val="000000"/>
                <w:sz w:val="18"/>
                <w:szCs w:val="18"/>
              </w:rPr>
              <w:t>Total unrealized gains/(losses) on equity investments held at June 30, 2022</w:t>
            </w: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6004F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6004FA" w14:textId="77777777" w:rsidR="00A91885" w:rsidRDefault="009C4196">
            <w:pPr>
              <w:jc w:val="right"/>
              <w:textAlignment w:val="bottom"/>
            </w:pPr>
            <w:r>
              <w:rPr>
                <w:rFonts w:ascii="Arial" w:eastAsia="宋体" w:hAnsi="Arial" w:cs="Arial"/>
                <w:color w:val="000000"/>
                <w:sz w:val="18"/>
                <w:szCs w:val="18"/>
              </w:rPr>
              <w:t>(1,048)</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6004FB"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04FC" w14:textId="77777777" w:rsidR="00A91885" w:rsidRDefault="00A91885">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6004F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6004FE" w14:textId="77777777" w:rsidR="00A91885" w:rsidRDefault="009C4196">
            <w:pPr>
              <w:jc w:val="right"/>
              <w:textAlignment w:val="bottom"/>
            </w:pPr>
            <w:r>
              <w:rPr>
                <w:rFonts w:ascii="Arial" w:eastAsia="宋体" w:hAnsi="Arial" w:cs="Arial"/>
                <w:color w:val="000000"/>
                <w:sz w:val="18"/>
                <w:szCs w:val="18"/>
              </w:rPr>
              <w:t>(380)</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6004FF"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0500" w14:textId="77777777" w:rsidR="00A91885" w:rsidRDefault="00A91885">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60050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600502" w14:textId="77777777" w:rsidR="00A91885" w:rsidRDefault="009C4196">
            <w:pPr>
              <w:jc w:val="right"/>
              <w:textAlignment w:val="bottom"/>
            </w:pPr>
            <w:r>
              <w:rPr>
                <w:rFonts w:ascii="Arial" w:eastAsia="宋体" w:hAnsi="Arial" w:cs="Arial"/>
                <w:color w:val="000000"/>
                <w:sz w:val="18"/>
                <w:szCs w:val="18"/>
              </w:rPr>
              <w:t>(3,051)</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600503"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0504" w14:textId="77777777" w:rsidR="00A91885" w:rsidRDefault="00A91885">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60050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600506" w14:textId="77777777" w:rsidR="00A91885" w:rsidRDefault="009C4196">
            <w:pPr>
              <w:jc w:val="right"/>
              <w:textAlignment w:val="bottom"/>
            </w:pPr>
            <w:r>
              <w:rPr>
                <w:rFonts w:ascii="Arial" w:eastAsia="宋体" w:hAnsi="Arial" w:cs="Arial"/>
                <w:color w:val="000000"/>
                <w:sz w:val="18"/>
                <w:szCs w:val="18"/>
              </w:rPr>
              <w:t>(380)</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600507" w14:textId="77777777" w:rsidR="00A91885" w:rsidRDefault="00A91885">
            <w:pPr>
              <w:jc w:val="right"/>
              <w:rPr>
                <w:rFonts w:ascii="宋体"/>
              </w:rPr>
            </w:pPr>
          </w:p>
        </w:tc>
      </w:tr>
    </w:tbl>
    <w:p w14:paraId="18600509" w14:textId="77777777" w:rsidR="00A91885" w:rsidRDefault="00A91885">
      <w:pPr>
        <w:jc w:val="both"/>
      </w:pPr>
    </w:p>
    <w:p w14:paraId="1860050A" w14:textId="77777777" w:rsidR="00A91885" w:rsidRDefault="00A91885">
      <w:pPr>
        <w:jc w:val="both"/>
      </w:pPr>
    </w:p>
    <w:p w14:paraId="1860050B" w14:textId="77777777" w:rsidR="00A91885" w:rsidRDefault="00A91885">
      <w:pPr>
        <w:jc w:val="center"/>
      </w:pPr>
    </w:p>
    <w:p w14:paraId="1860050C" w14:textId="77777777" w:rsidR="00A91885" w:rsidRDefault="009C4196">
      <w:pPr>
        <w:jc w:val="center"/>
      </w:pPr>
      <w:r>
        <w:rPr>
          <w:rFonts w:ascii="Arial" w:eastAsia="宋体" w:hAnsi="Arial" w:cs="Arial"/>
          <w:color w:val="000000"/>
          <w:sz w:val="20"/>
          <w:szCs w:val="20"/>
        </w:rPr>
        <w:t>22</w:t>
      </w:r>
    </w:p>
    <w:p w14:paraId="1860050D" w14:textId="77777777" w:rsidR="00A91885" w:rsidRDefault="009C4196">
      <w:r>
        <w:pict w14:anchorId="18602199">
          <v:rect id="_x0000_i1046" style="width:415.3pt;height:1.5pt" o:hralign="center" o:hrstd="t" o:hr="t" fillcolor="#a0a0a0" stroked="f"/>
        </w:pict>
      </w:r>
    </w:p>
    <w:p w14:paraId="1860050E" w14:textId="77777777" w:rsidR="00A91885" w:rsidRDefault="009C4196">
      <w:hyperlink r:id="rId106" w:anchor="ieb971428a625452486c65ae24899afca_7" w:history="1">
        <w:r>
          <w:rPr>
            <w:rStyle w:val="a5"/>
            <w:rFonts w:ascii="Arial" w:eastAsia="宋体" w:hAnsi="Arial" w:cs="Arial"/>
            <w:sz w:val="18"/>
            <w:szCs w:val="18"/>
          </w:rPr>
          <w:t>Table of Contents</w:t>
        </w:r>
      </w:hyperlink>
    </w:p>
    <w:p w14:paraId="1860050F" w14:textId="77777777" w:rsidR="00A91885" w:rsidRDefault="009C4196">
      <w:pPr>
        <w:jc w:val="center"/>
      </w:pPr>
      <w:r>
        <w:rPr>
          <w:rFonts w:ascii="Arial" w:eastAsia="宋体" w:hAnsi="Arial" w:cs="Arial"/>
          <w:b/>
          <w:bCs/>
          <w:color w:val="000000"/>
          <w:sz w:val="20"/>
          <w:szCs w:val="20"/>
        </w:rPr>
        <w:t>eBay Inc.</w:t>
      </w:r>
    </w:p>
    <w:p w14:paraId="18600510"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0511" w14:textId="77777777" w:rsidR="00A91885" w:rsidRDefault="009C4196">
      <w:r>
        <w:rPr>
          <w:rFonts w:ascii="Arial" w:eastAsia="宋体" w:hAnsi="Arial" w:cs="Arial"/>
          <w:b/>
          <w:bCs/>
          <w:color w:val="000000"/>
          <w:sz w:val="20"/>
          <w:szCs w:val="20"/>
        </w:rPr>
        <w:t>Note 7 — D</w:t>
      </w:r>
      <w:r>
        <w:rPr>
          <w:rFonts w:ascii="Arial" w:eastAsia="宋体" w:hAnsi="Arial" w:cs="Arial"/>
          <w:b/>
          <w:bCs/>
          <w:color w:val="000000"/>
          <w:sz w:val="20"/>
          <w:szCs w:val="20"/>
        </w:rPr>
        <w:t xml:space="preserve">erivative Instruments </w:t>
      </w:r>
    </w:p>
    <w:p w14:paraId="18600512" w14:textId="77777777" w:rsidR="00A91885" w:rsidRDefault="00A91885"/>
    <w:p w14:paraId="18600513" w14:textId="77777777" w:rsidR="00A91885" w:rsidRDefault="009C4196">
      <w:pPr>
        <w:ind w:firstLine="540"/>
        <w:jc w:val="both"/>
      </w:pPr>
      <w:r>
        <w:rPr>
          <w:rFonts w:ascii="Arial" w:eastAsia="宋体" w:hAnsi="Arial" w:cs="Arial"/>
          <w:color w:val="000000"/>
          <w:sz w:val="20"/>
          <w:szCs w:val="20"/>
        </w:rPr>
        <w:t>Our primary objective in holding derivatives is to reduce the volatility of earnings and cash flows associated with changes in foreign currency exchange rates and interest rates. These hedging contracts reduce, but do not entirely e</w:t>
      </w:r>
      <w:r>
        <w:rPr>
          <w:rFonts w:ascii="Arial" w:eastAsia="宋体" w:hAnsi="Arial" w:cs="Arial"/>
          <w:color w:val="000000"/>
          <w:sz w:val="20"/>
          <w:szCs w:val="20"/>
        </w:rPr>
        <w:t>liminate, the impact of adverse foreign exchange rate and interest rate movements. We do not use any of our derivative instruments for trading purposes.</w:t>
      </w:r>
    </w:p>
    <w:p w14:paraId="18600514" w14:textId="77777777" w:rsidR="00A91885" w:rsidRDefault="00A91885">
      <w:pPr>
        <w:ind w:firstLine="540"/>
        <w:jc w:val="both"/>
      </w:pPr>
    </w:p>
    <w:p w14:paraId="18600515" w14:textId="77777777" w:rsidR="00A91885" w:rsidRDefault="009C4196">
      <w:pPr>
        <w:ind w:firstLine="540"/>
        <w:jc w:val="both"/>
      </w:pPr>
      <w:r>
        <w:rPr>
          <w:rFonts w:ascii="Arial" w:eastAsia="宋体" w:hAnsi="Arial" w:cs="Arial"/>
          <w:color w:val="000000"/>
          <w:sz w:val="20"/>
          <w:szCs w:val="20"/>
        </w:rPr>
        <w:t>We use foreign currency exchange contracts to reduce the volatility of cash flows related to forecaste</w:t>
      </w:r>
      <w:r>
        <w:rPr>
          <w:rFonts w:ascii="Arial" w:eastAsia="宋体" w:hAnsi="Arial" w:cs="Arial"/>
          <w:color w:val="000000"/>
          <w:sz w:val="20"/>
          <w:szCs w:val="20"/>
        </w:rPr>
        <w:t>d revenues, expenses, assets and liabilities, including intercompany balances denominated in foreign currencies. These contracts are generally one month to one year in duration but with maturities up to 24 months. The objective of the foreign exchange cont</w:t>
      </w:r>
      <w:r>
        <w:rPr>
          <w:rFonts w:ascii="Arial" w:eastAsia="宋体" w:hAnsi="Arial" w:cs="Arial"/>
          <w:color w:val="000000"/>
          <w:sz w:val="20"/>
          <w:szCs w:val="20"/>
        </w:rPr>
        <w:t xml:space="preserve">racts is to ensure that ultimately the U.S. dollar-equivalent cash flows are not adversely affected by changes in the applicable U.S. dollar/foreign currency exchange rate. We evaluate the effectiveness of our foreign exchange contracts designated as cash </w:t>
      </w:r>
      <w:r>
        <w:rPr>
          <w:rFonts w:ascii="Arial" w:eastAsia="宋体" w:hAnsi="Arial" w:cs="Arial"/>
          <w:color w:val="000000"/>
          <w:sz w:val="20"/>
          <w:szCs w:val="20"/>
        </w:rPr>
        <w:t xml:space="preserve">flow or net investment hedges on a quarterly basis. </w:t>
      </w:r>
    </w:p>
    <w:p w14:paraId="18600516" w14:textId="77777777" w:rsidR="00A91885" w:rsidRDefault="00A91885">
      <w:pPr>
        <w:ind w:firstLine="540"/>
        <w:jc w:val="both"/>
      </w:pPr>
    </w:p>
    <w:p w14:paraId="18600517" w14:textId="77777777" w:rsidR="00A91885" w:rsidRDefault="009C4196">
      <w:pPr>
        <w:ind w:firstLine="540"/>
        <w:jc w:val="both"/>
      </w:pPr>
      <w:r>
        <w:rPr>
          <w:rFonts w:ascii="Arial" w:eastAsia="宋体" w:hAnsi="Arial" w:cs="Arial"/>
          <w:color w:val="000000"/>
          <w:sz w:val="20"/>
          <w:szCs w:val="20"/>
        </w:rPr>
        <w:t>In the second quarter of 2022, we began to hedge the variability of forecasted interest payments on anticipated debt issuance using forward-starting interest rate swaps. The total notional amount of the</w:t>
      </w:r>
      <w:r>
        <w:rPr>
          <w:rFonts w:ascii="Arial" w:eastAsia="宋体" w:hAnsi="Arial" w:cs="Arial"/>
          <w:color w:val="000000"/>
          <w:sz w:val="20"/>
          <w:szCs w:val="20"/>
        </w:rPr>
        <w:t>se forward-starting interest rate swaps was $150 million as of June 30, 2022 with terms calling for us to receive interest at a variable rate and to pay interest at a fixed rate. These interest rate swaps effectively fix the benchmark interest rate and hav</w:t>
      </w:r>
      <w:r>
        <w:rPr>
          <w:rFonts w:ascii="Arial" w:eastAsia="宋体" w:hAnsi="Arial" w:cs="Arial"/>
          <w:color w:val="000000"/>
          <w:sz w:val="20"/>
          <w:szCs w:val="20"/>
        </w:rPr>
        <w:t xml:space="preserve">e the economic effect of hedging the variability of forecasted interest payments for up to 10 years on an anticipated debt issuance by the second quarter of 2023, and they will be terminated upon issuance of the debt. </w:t>
      </w:r>
    </w:p>
    <w:p w14:paraId="18600518" w14:textId="77777777" w:rsidR="00A91885" w:rsidRDefault="00A91885">
      <w:pPr>
        <w:ind w:firstLine="540"/>
        <w:jc w:val="both"/>
      </w:pPr>
    </w:p>
    <w:p w14:paraId="18600519" w14:textId="77777777" w:rsidR="00A91885" w:rsidRDefault="009C4196">
      <w:pPr>
        <w:ind w:firstLine="540"/>
        <w:jc w:val="both"/>
      </w:pPr>
      <w:r>
        <w:rPr>
          <w:rFonts w:ascii="Arial" w:eastAsia="宋体" w:hAnsi="Arial" w:cs="Arial"/>
          <w:color w:val="000000"/>
          <w:sz w:val="20"/>
          <w:szCs w:val="20"/>
        </w:rPr>
        <w:t>Additionally in 2020, we began to he</w:t>
      </w:r>
      <w:r>
        <w:rPr>
          <w:rFonts w:ascii="Arial" w:eastAsia="宋体" w:hAnsi="Arial" w:cs="Arial"/>
          <w:color w:val="000000"/>
          <w:sz w:val="20"/>
          <w:szCs w:val="20"/>
        </w:rPr>
        <w:t>dge the variability of forecasted interest payments on anticipated debt issuance using forward-starting interest rate swaps and recorded changes in the fair value of these interest rate swaps in AOCI until the anticipated debt issuance. In May 2021, we iss</w:t>
      </w:r>
      <w:r>
        <w:rPr>
          <w:rFonts w:ascii="Arial" w:eastAsia="宋体" w:hAnsi="Arial" w:cs="Arial"/>
          <w:color w:val="000000"/>
          <w:sz w:val="20"/>
          <w:szCs w:val="20"/>
        </w:rPr>
        <w:t>ued $2.5 billion of senior unsecured notes, which consisted of notes maturing in 2026, 2031 and 2051. As a result, we terminated the interest rate swaps and the gain associated with the termination of approximately $45 million is amortized to interest expe</w:t>
      </w:r>
      <w:r>
        <w:rPr>
          <w:rFonts w:ascii="Arial" w:eastAsia="宋体" w:hAnsi="Arial" w:cs="Arial"/>
          <w:color w:val="000000"/>
          <w:sz w:val="20"/>
          <w:szCs w:val="20"/>
        </w:rPr>
        <w:t>nse over the terms of our notes due in May 2026 and May 2031.</w:t>
      </w:r>
    </w:p>
    <w:p w14:paraId="1860051A" w14:textId="77777777" w:rsidR="00A91885" w:rsidRDefault="00A91885">
      <w:pPr>
        <w:ind w:firstLine="540"/>
        <w:jc w:val="both"/>
      </w:pPr>
    </w:p>
    <w:p w14:paraId="1860051B" w14:textId="77777777" w:rsidR="00A91885" w:rsidRDefault="009C4196">
      <w:pPr>
        <w:ind w:firstLine="540"/>
        <w:jc w:val="both"/>
      </w:pPr>
      <w:r>
        <w:rPr>
          <w:rFonts w:ascii="Arial" w:eastAsia="宋体" w:hAnsi="Arial" w:cs="Arial"/>
          <w:color w:val="000000"/>
          <w:sz w:val="20"/>
          <w:szCs w:val="20"/>
        </w:rPr>
        <w:t>Similar to other cash flow hedges, we record changes in the fair value of these interest rate swaps in accumulated other comprehensive income (loss) (“AOCI”) until the anticipated debt issuance</w:t>
      </w:r>
      <w:r>
        <w:rPr>
          <w:rFonts w:ascii="Arial" w:eastAsia="宋体" w:hAnsi="Arial" w:cs="Arial"/>
          <w:color w:val="000000"/>
          <w:sz w:val="20"/>
          <w:szCs w:val="20"/>
        </w:rPr>
        <w:t>. Upon debt issuance and termination of the derivative instruments, their fair value will be amortized over the term of the new debt to interest expense. We evaluate the effectiveness of interest rate swaps designated as cash flow hedges on a quarterly bas</w:t>
      </w:r>
      <w:r>
        <w:rPr>
          <w:rFonts w:ascii="Arial" w:eastAsia="宋体" w:hAnsi="Arial" w:cs="Arial"/>
          <w:color w:val="000000"/>
          <w:sz w:val="20"/>
          <w:szCs w:val="20"/>
        </w:rPr>
        <w:t>is.</w:t>
      </w:r>
    </w:p>
    <w:p w14:paraId="1860051C" w14:textId="77777777" w:rsidR="00A91885" w:rsidRDefault="00A91885">
      <w:pPr>
        <w:ind w:firstLine="540"/>
        <w:jc w:val="both"/>
      </w:pPr>
    </w:p>
    <w:p w14:paraId="1860051D" w14:textId="77777777" w:rsidR="00A91885" w:rsidRDefault="009C4196">
      <w:pPr>
        <w:ind w:firstLine="540"/>
        <w:jc w:val="both"/>
      </w:pPr>
      <w:r>
        <w:rPr>
          <w:rFonts w:ascii="Arial" w:eastAsia="宋体" w:hAnsi="Arial" w:cs="Arial"/>
          <w:color w:val="000000"/>
          <w:sz w:val="20"/>
          <w:szCs w:val="20"/>
        </w:rPr>
        <w:t>During 2020, we began to hedge the variability of the cash flows in interest payments associated with our floating-rate debt using interest rate swaps. These interest rate swap agreements effectively convert our floating-rate debt that is based on Lon</w:t>
      </w:r>
      <w:r>
        <w:rPr>
          <w:rFonts w:ascii="Arial" w:eastAsia="宋体" w:hAnsi="Arial" w:cs="Arial"/>
          <w:color w:val="000000"/>
          <w:sz w:val="20"/>
          <w:szCs w:val="20"/>
        </w:rPr>
        <w:t>don Interbank Offered Rate (“LIBOR”) to a fixed-rate basis, reducing the impact of interest-rate changes on future interest expense. The total notional amount of these interest rate swaps was $400 million as of June 30, 2022 with terms calling for us to re</w:t>
      </w:r>
      <w:r>
        <w:rPr>
          <w:rFonts w:ascii="Arial" w:eastAsia="宋体" w:hAnsi="Arial" w:cs="Arial"/>
          <w:color w:val="000000"/>
          <w:sz w:val="20"/>
          <w:szCs w:val="20"/>
        </w:rPr>
        <w:t xml:space="preserve">ceive interest at a variable rate and to pay interest at a fixed rate. Our interest rate swap contracts have maturity dates in 2023. Similar to other cash flow hedges, we record changes in the fair value of these interest rate swaps in AOCI and their fair </w:t>
      </w:r>
      <w:r>
        <w:rPr>
          <w:rFonts w:ascii="Arial" w:eastAsia="宋体" w:hAnsi="Arial" w:cs="Arial"/>
          <w:color w:val="000000"/>
          <w:sz w:val="20"/>
          <w:szCs w:val="20"/>
        </w:rPr>
        <w:t xml:space="preserve">value is amortized over the term of the debt to interest expense. </w:t>
      </w:r>
    </w:p>
    <w:p w14:paraId="1860051E" w14:textId="77777777" w:rsidR="00A91885" w:rsidRDefault="00A91885">
      <w:pPr>
        <w:ind w:firstLine="540"/>
        <w:jc w:val="both"/>
      </w:pPr>
    </w:p>
    <w:p w14:paraId="1860051F" w14:textId="77777777" w:rsidR="00A91885" w:rsidRDefault="009C4196">
      <w:pPr>
        <w:jc w:val="both"/>
      </w:pPr>
      <w:r>
        <w:rPr>
          <w:rFonts w:ascii="Arial" w:eastAsia="宋体" w:hAnsi="Arial" w:cs="Arial"/>
          <w:b/>
          <w:bCs/>
          <w:i/>
          <w:iCs/>
          <w:color w:val="000000"/>
          <w:sz w:val="20"/>
          <w:szCs w:val="20"/>
        </w:rPr>
        <w:t>Cash Flow Hedges</w:t>
      </w:r>
    </w:p>
    <w:p w14:paraId="18600520" w14:textId="77777777" w:rsidR="00A91885" w:rsidRDefault="00A91885">
      <w:pPr>
        <w:ind w:firstLine="540"/>
        <w:jc w:val="both"/>
      </w:pPr>
    </w:p>
    <w:p w14:paraId="18600521" w14:textId="77777777" w:rsidR="00A91885" w:rsidRDefault="009C4196">
      <w:pPr>
        <w:ind w:firstLine="540"/>
        <w:jc w:val="both"/>
      </w:pPr>
      <w:r>
        <w:rPr>
          <w:rFonts w:ascii="Arial" w:eastAsia="宋体" w:hAnsi="Arial" w:cs="Arial"/>
          <w:color w:val="000000"/>
          <w:sz w:val="20"/>
          <w:szCs w:val="20"/>
        </w:rPr>
        <w:t>For derivative instruments that are designated as cash flow hedges, the derivative’s gain or loss is initially reported as a component of AOCI and subsequently reclassifi</w:t>
      </w:r>
      <w:r>
        <w:rPr>
          <w:rFonts w:ascii="Arial" w:eastAsia="宋体" w:hAnsi="Arial" w:cs="Arial"/>
          <w:color w:val="000000"/>
          <w:sz w:val="20"/>
          <w:szCs w:val="20"/>
        </w:rPr>
        <w:t>ed into earnings in the same period the forecasted hedged transaction affects earnings. Derivative instruments designated as cash flow hedges must be de-designated as hedges when it is probable the forecasted hedged transaction will not occur in the initia</w:t>
      </w:r>
      <w:r>
        <w:rPr>
          <w:rFonts w:ascii="Arial" w:eastAsia="宋体" w:hAnsi="Arial" w:cs="Arial"/>
          <w:color w:val="000000"/>
          <w:sz w:val="20"/>
          <w:szCs w:val="20"/>
        </w:rPr>
        <w:t>lly identified time period or within a subsequent two-month time period. Unrealized gains and losses in AOCI associated with such derivative instruments are immediately reclassified into earnings</w:t>
      </w:r>
      <w:r>
        <w:rPr>
          <w:rFonts w:ascii="Times New Roman" w:eastAsia="宋体" w:hAnsi="Times New Roman"/>
          <w:color w:val="000000"/>
          <w:sz w:val="20"/>
          <w:szCs w:val="20"/>
        </w:rPr>
        <w:t xml:space="preserve">. </w:t>
      </w:r>
      <w:r>
        <w:rPr>
          <w:rFonts w:ascii="Arial" w:eastAsia="宋体" w:hAnsi="Arial" w:cs="Arial"/>
          <w:color w:val="000000"/>
          <w:sz w:val="20"/>
          <w:szCs w:val="20"/>
        </w:rPr>
        <w:t xml:space="preserve">As of June 30, 2022, we have estimated that </w:t>
      </w:r>
      <w:r>
        <w:rPr>
          <w:rFonts w:ascii="Arial" w:eastAsia="宋体" w:hAnsi="Arial" w:cs="Arial"/>
          <w:color w:val="000000"/>
          <w:sz w:val="20"/>
          <w:szCs w:val="20"/>
        </w:rPr>
        <w:t>approximately $122 million of net derivative gains related to our foreign exchange cash flow hedges and $11 million net derivative gains related to our interest rate cash flow hedges included in AOCI will be reclassified into earnings within the next 12 mo</w:t>
      </w:r>
      <w:r>
        <w:rPr>
          <w:rFonts w:ascii="Arial" w:eastAsia="宋体" w:hAnsi="Arial" w:cs="Arial"/>
          <w:color w:val="000000"/>
          <w:sz w:val="20"/>
          <w:szCs w:val="20"/>
        </w:rPr>
        <w:t>nths. We classify cash flows related to our cash flow hedges as operating activities in our condensed consolidated statement of cash flows.</w:t>
      </w:r>
    </w:p>
    <w:p w14:paraId="18600522" w14:textId="77777777" w:rsidR="00A91885" w:rsidRDefault="00A91885">
      <w:pPr>
        <w:ind w:firstLine="540"/>
        <w:jc w:val="both"/>
      </w:pPr>
    </w:p>
    <w:p w14:paraId="18600523" w14:textId="77777777" w:rsidR="00A91885" w:rsidRDefault="00A91885">
      <w:pPr>
        <w:jc w:val="center"/>
      </w:pPr>
    </w:p>
    <w:p w14:paraId="18600524" w14:textId="77777777" w:rsidR="00A91885" w:rsidRDefault="009C4196">
      <w:pPr>
        <w:jc w:val="center"/>
      </w:pPr>
      <w:r>
        <w:rPr>
          <w:rFonts w:ascii="Arial" w:eastAsia="宋体" w:hAnsi="Arial" w:cs="Arial"/>
          <w:color w:val="000000"/>
          <w:sz w:val="20"/>
          <w:szCs w:val="20"/>
        </w:rPr>
        <w:t>23</w:t>
      </w:r>
    </w:p>
    <w:p w14:paraId="18600525" w14:textId="77777777" w:rsidR="00A91885" w:rsidRDefault="009C4196">
      <w:r>
        <w:pict w14:anchorId="1860219A">
          <v:rect id="_x0000_i1047" style="width:415.3pt;height:1.5pt" o:hralign="center" o:hrstd="t" o:hr="t" fillcolor="#a0a0a0" stroked="f"/>
        </w:pict>
      </w:r>
    </w:p>
    <w:p w14:paraId="18600526" w14:textId="77777777" w:rsidR="00A91885" w:rsidRDefault="009C4196">
      <w:hyperlink r:id="rId107" w:anchor="ieb971428a625452486c65ae24899afca_7" w:history="1">
        <w:r>
          <w:rPr>
            <w:rStyle w:val="a5"/>
            <w:rFonts w:ascii="Arial" w:eastAsia="宋体" w:hAnsi="Arial" w:cs="Arial"/>
            <w:sz w:val="18"/>
            <w:szCs w:val="18"/>
          </w:rPr>
          <w:t>Table of Contents</w:t>
        </w:r>
      </w:hyperlink>
    </w:p>
    <w:p w14:paraId="18600527" w14:textId="77777777" w:rsidR="00A91885" w:rsidRDefault="009C4196">
      <w:pPr>
        <w:jc w:val="center"/>
      </w:pPr>
      <w:r>
        <w:rPr>
          <w:rFonts w:ascii="Arial" w:eastAsia="宋体" w:hAnsi="Arial" w:cs="Arial"/>
          <w:b/>
          <w:bCs/>
          <w:color w:val="000000"/>
          <w:sz w:val="20"/>
          <w:szCs w:val="20"/>
        </w:rPr>
        <w:t>eBay Inc.</w:t>
      </w:r>
    </w:p>
    <w:p w14:paraId="18600528"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0529" w14:textId="77777777" w:rsidR="00A91885" w:rsidRDefault="009C4196">
      <w:r>
        <w:rPr>
          <w:rFonts w:ascii="Arial" w:eastAsia="宋体" w:hAnsi="Arial" w:cs="Arial"/>
          <w:b/>
          <w:bCs/>
          <w:i/>
          <w:iCs/>
          <w:color w:val="000000"/>
          <w:sz w:val="20"/>
          <w:szCs w:val="20"/>
        </w:rPr>
        <w:t>Non-Design</w:t>
      </w:r>
      <w:r>
        <w:rPr>
          <w:rFonts w:ascii="Arial" w:eastAsia="宋体" w:hAnsi="Arial" w:cs="Arial"/>
          <w:b/>
          <w:bCs/>
          <w:i/>
          <w:iCs/>
          <w:color w:val="000000"/>
          <w:sz w:val="20"/>
          <w:szCs w:val="20"/>
        </w:rPr>
        <w:t>ated Hedges</w:t>
      </w:r>
    </w:p>
    <w:p w14:paraId="1860052A" w14:textId="77777777" w:rsidR="00A91885" w:rsidRDefault="00A91885"/>
    <w:p w14:paraId="1860052B" w14:textId="77777777" w:rsidR="00A91885" w:rsidRDefault="009C4196">
      <w:pPr>
        <w:ind w:firstLine="540"/>
        <w:jc w:val="both"/>
      </w:pPr>
      <w:r>
        <w:rPr>
          <w:rFonts w:ascii="Arial" w:eastAsia="宋体" w:hAnsi="Arial" w:cs="Arial"/>
          <w:color w:val="000000"/>
          <w:sz w:val="20"/>
          <w:szCs w:val="20"/>
        </w:rPr>
        <w:t>Our derivatives not designated as hedging instruments consist of foreign currency forward contracts that we primarily use to hedge monetary assets or liabilities, including intercompany balances and equity investments denominated in non-functi</w:t>
      </w:r>
      <w:r>
        <w:rPr>
          <w:rFonts w:ascii="Arial" w:eastAsia="宋体" w:hAnsi="Arial" w:cs="Arial"/>
          <w:color w:val="000000"/>
          <w:sz w:val="20"/>
          <w:szCs w:val="20"/>
        </w:rPr>
        <w:t>onal currencies. The gains and losses on our derivatives not designated as hedging instruments are recorded in interest and other, net, which are offset by the foreign currency gains and losses on the related assets and liabilities that are also recorded i</w:t>
      </w:r>
      <w:r>
        <w:rPr>
          <w:rFonts w:ascii="Arial" w:eastAsia="宋体" w:hAnsi="Arial" w:cs="Arial"/>
          <w:color w:val="000000"/>
          <w:sz w:val="20"/>
          <w:szCs w:val="20"/>
        </w:rPr>
        <w:t>n interest and other, net. We classify cash flows related to our non-designated hedging instruments in the same line item as the cash flows of the related assets or liabilities, which is generally within operating activities in our condensed consolidated s</w:t>
      </w:r>
      <w:r>
        <w:rPr>
          <w:rFonts w:ascii="Arial" w:eastAsia="宋体" w:hAnsi="Arial" w:cs="Arial"/>
          <w:color w:val="000000"/>
          <w:sz w:val="20"/>
          <w:szCs w:val="20"/>
        </w:rPr>
        <w:t>tatement of cash flows. Cash flows related to the settlement of non-designated hedging instruments related to equity investments are classified within investing activities in our condensed consolidated statement of cash flows.</w:t>
      </w:r>
    </w:p>
    <w:p w14:paraId="1860052C" w14:textId="77777777" w:rsidR="00A91885" w:rsidRDefault="00A91885">
      <w:pPr>
        <w:ind w:firstLine="540"/>
        <w:jc w:val="both"/>
      </w:pPr>
    </w:p>
    <w:p w14:paraId="1860052D" w14:textId="77777777" w:rsidR="00A91885" w:rsidRDefault="009C4196">
      <w:r>
        <w:rPr>
          <w:rFonts w:ascii="Arial" w:eastAsia="宋体" w:hAnsi="Arial" w:cs="Arial"/>
          <w:b/>
          <w:bCs/>
          <w:i/>
          <w:iCs/>
          <w:color w:val="000000"/>
          <w:sz w:val="20"/>
          <w:szCs w:val="20"/>
        </w:rPr>
        <w:t>Warrant</w:t>
      </w:r>
    </w:p>
    <w:p w14:paraId="1860052E" w14:textId="77777777" w:rsidR="00A91885" w:rsidRDefault="00A91885"/>
    <w:p w14:paraId="1860052F" w14:textId="77777777" w:rsidR="00A91885" w:rsidRDefault="009C4196">
      <w:pPr>
        <w:ind w:firstLine="540"/>
        <w:jc w:val="both"/>
      </w:pPr>
      <w:r>
        <w:rPr>
          <w:rFonts w:ascii="Arial" w:eastAsia="宋体" w:hAnsi="Arial" w:cs="Arial"/>
          <w:color w:val="000000"/>
          <w:sz w:val="20"/>
          <w:szCs w:val="20"/>
        </w:rPr>
        <w:t>We entered into a w</w:t>
      </w:r>
      <w:r>
        <w:rPr>
          <w:rFonts w:ascii="Arial" w:eastAsia="宋体" w:hAnsi="Arial" w:cs="Arial"/>
          <w:color w:val="000000"/>
          <w:sz w:val="20"/>
          <w:szCs w:val="20"/>
        </w:rPr>
        <w:t>arrant agreement in conjunction with a commercial agreement with Adyen that, subject to meeting certain conditions, entitles us to acquire a fixed number of shares up to 5% of Adyen’s fully diluted issued and outstanding share capital at a specific date. T</w:t>
      </w:r>
      <w:r>
        <w:rPr>
          <w:rFonts w:ascii="Arial" w:eastAsia="宋体" w:hAnsi="Arial" w:cs="Arial"/>
          <w:color w:val="000000"/>
          <w:sz w:val="20"/>
          <w:szCs w:val="20"/>
        </w:rPr>
        <w:t>he warrant has a term of seven years and vests in a series of four tranches, at a specified price per share (fixed for the first two tranches) upon meeting processing volume milestone targets on a calendar year basis. When or if a relevant milestone is rea</w:t>
      </w:r>
      <w:r>
        <w:rPr>
          <w:rFonts w:ascii="Arial" w:eastAsia="宋体" w:hAnsi="Arial" w:cs="Arial"/>
          <w:color w:val="000000"/>
          <w:sz w:val="20"/>
          <w:szCs w:val="20"/>
        </w:rPr>
        <w:t>ched, the warrant becomes exercisable with respect to the corresponding tranche of warrant shares up until the warrant expiration date of January 31, 2025. The maximum number of tranches that can vest in one calendar year is two.</w:t>
      </w:r>
    </w:p>
    <w:p w14:paraId="18600530" w14:textId="77777777" w:rsidR="00A91885" w:rsidRDefault="00A91885">
      <w:pPr>
        <w:ind w:firstLine="540"/>
        <w:jc w:val="both"/>
      </w:pPr>
    </w:p>
    <w:p w14:paraId="18600531" w14:textId="77777777" w:rsidR="00A91885" w:rsidRDefault="009C4196">
      <w:pPr>
        <w:ind w:firstLine="540"/>
        <w:jc w:val="both"/>
      </w:pPr>
      <w:r>
        <w:rPr>
          <w:rFonts w:ascii="Arial" w:eastAsia="宋体" w:hAnsi="Arial" w:cs="Arial"/>
          <w:color w:val="000000"/>
          <w:sz w:val="20"/>
          <w:szCs w:val="20"/>
        </w:rPr>
        <w:t>In 2021, we met the proce</w:t>
      </w:r>
      <w:r>
        <w:rPr>
          <w:rFonts w:ascii="Arial" w:eastAsia="宋体" w:hAnsi="Arial" w:cs="Arial"/>
          <w:color w:val="000000"/>
          <w:sz w:val="20"/>
          <w:szCs w:val="20"/>
        </w:rPr>
        <w:t>ssing volume milestone target to vest the first tranche of the warrant. Upon vesting of the first tranche, we exercised the option to purchase shares of Adyen valued at approximately $1.1 billion in exchange for approximately $110 million in cash. Our equi</w:t>
      </w:r>
      <w:r>
        <w:rPr>
          <w:rFonts w:ascii="Arial" w:eastAsia="宋体" w:hAnsi="Arial" w:cs="Arial"/>
          <w:color w:val="000000"/>
          <w:sz w:val="20"/>
          <w:szCs w:val="20"/>
        </w:rPr>
        <w:t>ty investment in Adyen is accounted for as an equity investment with a readily determinable fair value. Refer to “Note 6 —</w:t>
      </w:r>
      <w:r>
        <w:rPr>
          <w:rFonts w:ascii="Arial" w:eastAsia="宋体" w:hAnsi="Arial" w:cs="Arial"/>
          <w:b/>
          <w:bCs/>
          <w:color w:val="000000"/>
          <w:sz w:val="20"/>
          <w:szCs w:val="20"/>
        </w:rPr>
        <w:t xml:space="preserve"> </w:t>
      </w:r>
      <w:r>
        <w:rPr>
          <w:rFonts w:ascii="Arial" w:eastAsia="宋体" w:hAnsi="Arial" w:cs="Arial"/>
          <w:color w:val="000000"/>
          <w:sz w:val="20"/>
          <w:szCs w:val="20"/>
        </w:rPr>
        <w:t xml:space="preserve">Investments” for more information about our equity investments. </w:t>
      </w:r>
    </w:p>
    <w:p w14:paraId="18600532" w14:textId="77777777" w:rsidR="00A91885" w:rsidRDefault="009C4196">
      <w:pPr>
        <w:ind w:firstLine="450"/>
        <w:jc w:val="both"/>
      </w:pPr>
      <w:r>
        <w:rPr>
          <w:rFonts w:ascii="Arial" w:eastAsia="宋体" w:hAnsi="Arial" w:cs="Arial"/>
          <w:color w:val="000000"/>
          <w:sz w:val="20"/>
          <w:szCs w:val="20"/>
        </w:rPr>
        <w:t> </w:t>
      </w:r>
    </w:p>
    <w:p w14:paraId="18600533" w14:textId="77777777" w:rsidR="00A91885" w:rsidRDefault="009C4196">
      <w:pPr>
        <w:ind w:firstLine="540"/>
        <w:jc w:val="both"/>
      </w:pPr>
      <w:r>
        <w:rPr>
          <w:rFonts w:ascii="Arial" w:eastAsia="宋体" w:hAnsi="Arial" w:cs="Arial"/>
          <w:color w:val="000000"/>
          <w:sz w:val="20"/>
          <w:szCs w:val="20"/>
        </w:rPr>
        <w:t xml:space="preserve">The warrant is accounted for as a derivative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xml:space="preserve">. We report the warrant at fair value within warrant asset in our condensed consolidated balance sheets and changes in the fair value of the warrant are recognized in gain (loss) on equity investments and warrant, net in our </w:t>
      </w:r>
      <w:r>
        <w:rPr>
          <w:rFonts w:ascii="Arial" w:eastAsia="宋体" w:hAnsi="Arial" w:cs="Arial"/>
          <w:color w:val="000000"/>
          <w:sz w:val="20"/>
          <w:szCs w:val="20"/>
        </w:rPr>
        <w:t>condensed consolidated statement of income. The day-one value attributable to the other side of the warrant, which was recorded as a deferred credit, is reported within other liabilities in our condensed consolidated balance sheets and is amortized over th</w:t>
      </w:r>
      <w:r>
        <w:rPr>
          <w:rFonts w:ascii="Arial" w:eastAsia="宋体" w:hAnsi="Arial" w:cs="Arial"/>
          <w:color w:val="000000"/>
          <w:sz w:val="20"/>
          <w:szCs w:val="20"/>
        </w:rPr>
        <w:t>e life of the commercial arrangement. See “Note 8 — Fair Value Measurements” for information about the fair value measurement of the warrant.</w:t>
      </w:r>
    </w:p>
    <w:p w14:paraId="18600534" w14:textId="77777777" w:rsidR="00A91885" w:rsidRDefault="00A91885">
      <w:pPr>
        <w:ind w:firstLine="540"/>
        <w:jc w:val="both"/>
      </w:pPr>
    </w:p>
    <w:p w14:paraId="18600535" w14:textId="77777777" w:rsidR="00A91885" w:rsidRDefault="00A91885">
      <w:pPr>
        <w:jc w:val="center"/>
      </w:pPr>
    </w:p>
    <w:p w14:paraId="18600536" w14:textId="77777777" w:rsidR="00A91885" w:rsidRDefault="009C4196">
      <w:pPr>
        <w:jc w:val="center"/>
      </w:pPr>
      <w:r>
        <w:rPr>
          <w:rFonts w:ascii="Arial" w:eastAsia="宋体" w:hAnsi="Arial" w:cs="Arial"/>
          <w:color w:val="000000"/>
          <w:sz w:val="20"/>
          <w:szCs w:val="20"/>
        </w:rPr>
        <w:t>24</w:t>
      </w:r>
    </w:p>
    <w:p w14:paraId="18600537" w14:textId="77777777" w:rsidR="00A91885" w:rsidRDefault="009C4196">
      <w:r>
        <w:pict w14:anchorId="1860219B">
          <v:rect id="_x0000_i1048" style="width:415.3pt;height:1.5pt" o:hralign="center" o:hrstd="t" o:hr="t" fillcolor="#a0a0a0" stroked="f"/>
        </w:pict>
      </w:r>
    </w:p>
    <w:p w14:paraId="18600538" w14:textId="77777777" w:rsidR="00A91885" w:rsidRDefault="009C4196">
      <w:hyperlink r:id="rId108" w:anchor="ieb971428a625452486c65ae24899afca_7" w:history="1">
        <w:r>
          <w:rPr>
            <w:rStyle w:val="a5"/>
            <w:rFonts w:ascii="Arial" w:eastAsia="宋体" w:hAnsi="Arial" w:cs="Arial"/>
            <w:sz w:val="18"/>
            <w:szCs w:val="18"/>
          </w:rPr>
          <w:t>Table of Contents</w:t>
        </w:r>
      </w:hyperlink>
    </w:p>
    <w:p w14:paraId="18600539" w14:textId="77777777" w:rsidR="00A91885" w:rsidRDefault="009C4196">
      <w:pPr>
        <w:jc w:val="center"/>
      </w:pPr>
      <w:r>
        <w:rPr>
          <w:rFonts w:ascii="Arial" w:eastAsia="宋体" w:hAnsi="Arial" w:cs="Arial"/>
          <w:b/>
          <w:bCs/>
          <w:color w:val="000000"/>
          <w:sz w:val="20"/>
          <w:szCs w:val="20"/>
        </w:rPr>
        <w:t>eBay Inc.</w:t>
      </w:r>
    </w:p>
    <w:p w14:paraId="1860053A"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053B" w14:textId="77777777" w:rsidR="00A91885" w:rsidRDefault="009C4196">
      <w:r>
        <w:rPr>
          <w:rFonts w:ascii="Arial" w:eastAsia="宋体" w:hAnsi="Arial" w:cs="Arial"/>
          <w:b/>
          <w:bCs/>
          <w:i/>
          <w:iCs/>
          <w:color w:val="000000"/>
          <w:sz w:val="20"/>
          <w:szCs w:val="20"/>
        </w:rPr>
        <w:t>Fair Value of Derivative Contracts</w:t>
      </w:r>
    </w:p>
    <w:p w14:paraId="1860053C" w14:textId="77777777" w:rsidR="00A91885" w:rsidRDefault="00A91885">
      <w:pPr>
        <w:ind w:firstLine="720"/>
      </w:pPr>
    </w:p>
    <w:p w14:paraId="1860053D" w14:textId="77777777" w:rsidR="00A91885" w:rsidRDefault="009C4196">
      <w:pPr>
        <w:spacing w:after="120"/>
        <w:ind w:firstLine="540"/>
      </w:pPr>
      <w:r>
        <w:rPr>
          <w:rFonts w:ascii="Arial" w:eastAsia="宋体" w:hAnsi="Arial" w:cs="Arial"/>
          <w:color w:val="000000"/>
          <w:sz w:val="20"/>
          <w:szCs w:val="20"/>
        </w:rPr>
        <w:t xml:space="preserve">The following table presents fair values of our outstanding derivative </w:t>
      </w:r>
      <w:r>
        <w:rPr>
          <w:rFonts w:ascii="Arial" w:eastAsia="宋体" w:hAnsi="Arial" w:cs="Arial"/>
          <w:color w:val="000000"/>
          <w:sz w:val="20"/>
          <w:szCs w:val="20"/>
        </w:rPr>
        <w:t>instruments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298"/>
        <w:gridCol w:w="39"/>
        <w:gridCol w:w="38"/>
        <w:gridCol w:w="1520"/>
        <w:gridCol w:w="36"/>
        <w:gridCol w:w="36"/>
        <w:gridCol w:w="36"/>
        <w:gridCol w:w="36"/>
        <w:gridCol w:w="121"/>
        <w:gridCol w:w="916"/>
        <w:gridCol w:w="36"/>
        <w:gridCol w:w="36"/>
        <w:gridCol w:w="36"/>
        <w:gridCol w:w="36"/>
        <w:gridCol w:w="122"/>
        <w:gridCol w:w="918"/>
        <w:gridCol w:w="36"/>
      </w:tblGrid>
      <w:tr w:rsidR="00A91885" w14:paraId="18600550" w14:textId="77777777">
        <w:tc>
          <w:tcPr>
            <w:tcW w:w="50" w:type="pct"/>
            <w:shd w:val="clear" w:color="auto" w:fill="auto"/>
            <w:vAlign w:val="bottom"/>
          </w:tcPr>
          <w:p w14:paraId="1860053E" w14:textId="77777777" w:rsidR="00A91885" w:rsidRDefault="00A91885">
            <w:pPr>
              <w:rPr>
                <w:rFonts w:ascii="宋体"/>
              </w:rPr>
            </w:pPr>
          </w:p>
        </w:tc>
        <w:tc>
          <w:tcPr>
            <w:tcW w:w="2613" w:type="pct"/>
            <w:shd w:val="clear" w:color="auto" w:fill="auto"/>
            <w:vAlign w:val="bottom"/>
          </w:tcPr>
          <w:p w14:paraId="1860053F" w14:textId="77777777" w:rsidR="00A91885" w:rsidRDefault="00A91885">
            <w:pPr>
              <w:rPr>
                <w:rFonts w:ascii="宋体"/>
              </w:rPr>
            </w:pPr>
          </w:p>
        </w:tc>
        <w:tc>
          <w:tcPr>
            <w:tcW w:w="5" w:type="pct"/>
            <w:shd w:val="clear" w:color="auto" w:fill="auto"/>
            <w:vAlign w:val="bottom"/>
          </w:tcPr>
          <w:p w14:paraId="18600540" w14:textId="77777777" w:rsidR="00A91885" w:rsidRDefault="00A91885">
            <w:pPr>
              <w:rPr>
                <w:rFonts w:ascii="宋体"/>
              </w:rPr>
            </w:pPr>
          </w:p>
        </w:tc>
        <w:tc>
          <w:tcPr>
            <w:tcW w:w="50" w:type="pct"/>
            <w:shd w:val="clear" w:color="auto" w:fill="auto"/>
            <w:vAlign w:val="bottom"/>
          </w:tcPr>
          <w:p w14:paraId="18600541" w14:textId="77777777" w:rsidR="00A91885" w:rsidRDefault="00A91885">
            <w:pPr>
              <w:rPr>
                <w:rFonts w:ascii="宋体"/>
              </w:rPr>
            </w:pPr>
          </w:p>
        </w:tc>
        <w:tc>
          <w:tcPr>
            <w:tcW w:w="946" w:type="pct"/>
            <w:shd w:val="clear" w:color="auto" w:fill="auto"/>
            <w:vAlign w:val="bottom"/>
          </w:tcPr>
          <w:p w14:paraId="18600542" w14:textId="77777777" w:rsidR="00A91885" w:rsidRDefault="00A91885">
            <w:pPr>
              <w:rPr>
                <w:rFonts w:ascii="宋体"/>
              </w:rPr>
            </w:pPr>
          </w:p>
        </w:tc>
        <w:tc>
          <w:tcPr>
            <w:tcW w:w="5" w:type="pct"/>
            <w:shd w:val="clear" w:color="auto" w:fill="auto"/>
            <w:vAlign w:val="bottom"/>
          </w:tcPr>
          <w:p w14:paraId="18600543" w14:textId="77777777" w:rsidR="00A91885" w:rsidRDefault="00A91885">
            <w:pPr>
              <w:rPr>
                <w:rFonts w:ascii="宋体"/>
              </w:rPr>
            </w:pPr>
          </w:p>
        </w:tc>
        <w:tc>
          <w:tcPr>
            <w:tcW w:w="5" w:type="pct"/>
            <w:shd w:val="clear" w:color="auto" w:fill="auto"/>
            <w:vAlign w:val="bottom"/>
          </w:tcPr>
          <w:p w14:paraId="18600544" w14:textId="77777777" w:rsidR="00A91885" w:rsidRDefault="00A91885">
            <w:pPr>
              <w:rPr>
                <w:rFonts w:ascii="宋体"/>
              </w:rPr>
            </w:pPr>
          </w:p>
        </w:tc>
        <w:tc>
          <w:tcPr>
            <w:tcW w:w="19" w:type="pct"/>
            <w:shd w:val="clear" w:color="auto" w:fill="auto"/>
            <w:vAlign w:val="bottom"/>
          </w:tcPr>
          <w:p w14:paraId="18600545" w14:textId="77777777" w:rsidR="00A91885" w:rsidRDefault="00A91885">
            <w:pPr>
              <w:rPr>
                <w:rFonts w:ascii="宋体"/>
              </w:rPr>
            </w:pPr>
          </w:p>
        </w:tc>
        <w:tc>
          <w:tcPr>
            <w:tcW w:w="5" w:type="pct"/>
            <w:shd w:val="clear" w:color="auto" w:fill="auto"/>
            <w:vAlign w:val="bottom"/>
          </w:tcPr>
          <w:p w14:paraId="18600546" w14:textId="77777777" w:rsidR="00A91885" w:rsidRDefault="00A91885">
            <w:pPr>
              <w:rPr>
                <w:rFonts w:ascii="宋体"/>
              </w:rPr>
            </w:pPr>
          </w:p>
        </w:tc>
        <w:tc>
          <w:tcPr>
            <w:tcW w:w="50" w:type="pct"/>
            <w:shd w:val="clear" w:color="auto" w:fill="auto"/>
            <w:vAlign w:val="bottom"/>
          </w:tcPr>
          <w:p w14:paraId="18600547" w14:textId="77777777" w:rsidR="00A91885" w:rsidRDefault="00A91885">
            <w:pPr>
              <w:rPr>
                <w:rFonts w:ascii="宋体"/>
              </w:rPr>
            </w:pPr>
          </w:p>
        </w:tc>
        <w:tc>
          <w:tcPr>
            <w:tcW w:w="580" w:type="pct"/>
            <w:shd w:val="clear" w:color="auto" w:fill="auto"/>
            <w:vAlign w:val="bottom"/>
          </w:tcPr>
          <w:p w14:paraId="18600548" w14:textId="77777777" w:rsidR="00A91885" w:rsidRDefault="00A91885">
            <w:pPr>
              <w:rPr>
                <w:rFonts w:ascii="宋体"/>
              </w:rPr>
            </w:pPr>
          </w:p>
        </w:tc>
        <w:tc>
          <w:tcPr>
            <w:tcW w:w="5" w:type="pct"/>
            <w:shd w:val="clear" w:color="auto" w:fill="auto"/>
            <w:vAlign w:val="bottom"/>
          </w:tcPr>
          <w:p w14:paraId="18600549" w14:textId="77777777" w:rsidR="00A91885" w:rsidRDefault="00A91885">
            <w:pPr>
              <w:rPr>
                <w:rFonts w:ascii="宋体"/>
              </w:rPr>
            </w:pPr>
          </w:p>
        </w:tc>
        <w:tc>
          <w:tcPr>
            <w:tcW w:w="5" w:type="pct"/>
            <w:shd w:val="clear" w:color="auto" w:fill="auto"/>
            <w:vAlign w:val="bottom"/>
          </w:tcPr>
          <w:p w14:paraId="1860054A" w14:textId="77777777" w:rsidR="00A91885" w:rsidRDefault="00A91885">
            <w:pPr>
              <w:rPr>
                <w:rFonts w:ascii="宋体"/>
              </w:rPr>
            </w:pPr>
          </w:p>
        </w:tc>
        <w:tc>
          <w:tcPr>
            <w:tcW w:w="19" w:type="pct"/>
            <w:shd w:val="clear" w:color="auto" w:fill="auto"/>
            <w:vAlign w:val="bottom"/>
          </w:tcPr>
          <w:p w14:paraId="1860054B" w14:textId="77777777" w:rsidR="00A91885" w:rsidRDefault="00A91885">
            <w:pPr>
              <w:rPr>
                <w:rFonts w:ascii="宋体"/>
              </w:rPr>
            </w:pPr>
          </w:p>
        </w:tc>
        <w:tc>
          <w:tcPr>
            <w:tcW w:w="5" w:type="pct"/>
            <w:shd w:val="clear" w:color="auto" w:fill="auto"/>
            <w:vAlign w:val="bottom"/>
          </w:tcPr>
          <w:p w14:paraId="1860054C" w14:textId="77777777" w:rsidR="00A91885" w:rsidRDefault="00A91885">
            <w:pPr>
              <w:rPr>
                <w:rFonts w:ascii="宋体"/>
              </w:rPr>
            </w:pPr>
          </w:p>
        </w:tc>
        <w:tc>
          <w:tcPr>
            <w:tcW w:w="50" w:type="pct"/>
            <w:shd w:val="clear" w:color="auto" w:fill="auto"/>
            <w:vAlign w:val="bottom"/>
          </w:tcPr>
          <w:p w14:paraId="1860054D" w14:textId="77777777" w:rsidR="00A91885" w:rsidRDefault="00A91885">
            <w:pPr>
              <w:rPr>
                <w:rFonts w:ascii="宋体"/>
              </w:rPr>
            </w:pPr>
          </w:p>
        </w:tc>
        <w:tc>
          <w:tcPr>
            <w:tcW w:w="581" w:type="pct"/>
            <w:shd w:val="clear" w:color="auto" w:fill="auto"/>
            <w:vAlign w:val="bottom"/>
          </w:tcPr>
          <w:p w14:paraId="1860054E" w14:textId="77777777" w:rsidR="00A91885" w:rsidRDefault="00A91885">
            <w:pPr>
              <w:rPr>
                <w:rFonts w:ascii="宋体"/>
              </w:rPr>
            </w:pPr>
          </w:p>
        </w:tc>
        <w:tc>
          <w:tcPr>
            <w:tcW w:w="5" w:type="pct"/>
            <w:shd w:val="clear" w:color="auto" w:fill="auto"/>
            <w:vAlign w:val="bottom"/>
          </w:tcPr>
          <w:p w14:paraId="1860054F" w14:textId="77777777" w:rsidR="00A91885" w:rsidRDefault="00A91885">
            <w:pPr>
              <w:rPr>
                <w:rFonts w:ascii="宋体"/>
              </w:rPr>
            </w:pPr>
          </w:p>
        </w:tc>
      </w:tr>
      <w:tr w:rsidR="00A91885" w14:paraId="18600557" w14:textId="77777777">
        <w:tc>
          <w:tcPr>
            <w:tcW w:w="0" w:type="auto"/>
            <w:gridSpan w:val="3"/>
            <w:shd w:val="clear" w:color="auto" w:fill="auto"/>
            <w:tcMar>
              <w:top w:w="40" w:type="dxa"/>
              <w:left w:w="20" w:type="dxa"/>
              <w:bottom w:w="40" w:type="dxa"/>
              <w:right w:w="20" w:type="dxa"/>
            </w:tcMar>
            <w:vAlign w:val="bottom"/>
          </w:tcPr>
          <w:p w14:paraId="18600551" w14:textId="77777777" w:rsidR="00A91885" w:rsidRDefault="009C4196">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8600552" w14:textId="77777777" w:rsidR="00A91885" w:rsidRDefault="009C4196">
            <w:pPr>
              <w:jc w:val="center"/>
              <w:textAlignment w:val="bottom"/>
            </w:pPr>
            <w:r>
              <w:rPr>
                <w:rFonts w:ascii="Arial" w:eastAsia="宋体" w:hAnsi="Arial" w:cs="Arial"/>
                <w:b/>
                <w:bCs/>
                <w:color w:val="000000"/>
                <w:sz w:val="17"/>
                <w:szCs w:val="17"/>
              </w:rPr>
              <w:t>Balance Sheet Location</w:t>
            </w:r>
          </w:p>
        </w:tc>
        <w:tc>
          <w:tcPr>
            <w:tcW w:w="0" w:type="auto"/>
            <w:gridSpan w:val="3"/>
            <w:shd w:val="clear" w:color="auto" w:fill="auto"/>
            <w:tcMar>
              <w:top w:w="0" w:type="dxa"/>
              <w:left w:w="20" w:type="dxa"/>
              <w:bottom w:w="0" w:type="dxa"/>
              <w:right w:w="20" w:type="dxa"/>
            </w:tcMar>
            <w:vAlign w:val="bottom"/>
          </w:tcPr>
          <w:p w14:paraId="18600553"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554" w14:textId="77777777" w:rsidR="00A91885" w:rsidRDefault="009C4196">
            <w:pPr>
              <w:jc w:val="center"/>
              <w:textAlignment w:val="bottom"/>
            </w:pPr>
            <w:r>
              <w:rPr>
                <w:rFonts w:ascii="Arial" w:eastAsia="宋体" w:hAnsi="Arial" w:cs="Arial"/>
                <w:b/>
                <w:bCs/>
                <w:color w:val="000000"/>
                <w:sz w:val="17"/>
                <w:szCs w:val="17"/>
              </w:rPr>
              <w:t>June 30,</w:t>
            </w:r>
            <w:r>
              <w:rPr>
                <w:rFonts w:ascii="Arial" w:eastAsia="宋体" w:hAnsi="Arial" w:cs="Arial"/>
                <w:b/>
                <w:bCs/>
                <w:color w:val="000000"/>
                <w:sz w:val="17"/>
                <w:szCs w:val="17"/>
              </w:rPr>
              <w:br/>
              <w:t>2022</w:t>
            </w:r>
          </w:p>
        </w:tc>
        <w:tc>
          <w:tcPr>
            <w:tcW w:w="0" w:type="auto"/>
            <w:gridSpan w:val="3"/>
            <w:shd w:val="clear" w:color="auto" w:fill="auto"/>
            <w:tcMar>
              <w:top w:w="0" w:type="dxa"/>
              <w:left w:w="20" w:type="dxa"/>
              <w:bottom w:w="0" w:type="dxa"/>
              <w:right w:w="20" w:type="dxa"/>
            </w:tcMar>
            <w:vAlign w:val="bottom"/>
          </w:tcPr>
          <w:p w14:paraId="18600555"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0556" w14:textId="77777777" w:rsidR="00A91885" w:rsidRDefault="009C4196">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r>
      <w:tr w:rsidR="00A91885" w14:paraId="1860055E" w14:textId="77777777">
        <w:tc>
          <w:tcPr>
            <w:tcW w:w="0" w:type="auto"/>
            <w:gridSpan w:val="3"/>
            <w:shd w:val="clear" w:color="auto" w:fill="E2E2E2"/>
            <w:tcMar>
              <w:top w:w="40" w:type="dxa"/>
              <w:left w:w="20" w:type="dxa"/>
              <w:bottom w:w="40" w:type="dxa"/>
              <w:right w:w="20" w:type="dxa"/>
            </w:tcMar>
            <w:vAlign w:val="bottom"/>
          </w:tcPr>
          <w:p w14:paraId="18600558" w14:textId="77777777" w:rsidR="00A91885" w:rsidRDefault="009C4196">
            <w:pPr>
              <w:textAlignment w:val="bottom"/>
            </w:pPr>
            <w:r>
              <w:rPr>
                <w:rFonts w:ascii="Arial" w:eastAsia="宋体" w:hAnsi="Arial" w:cs="Arial"/>
                <w:b/>
                <w:bCs/>
                <w:color w:val="000000"/>
                <w:sz w:val="18"/>
                <w:szCs w:val="18"/>
              </w:rPr>
              <w:t>Derivative Assets: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559"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55A"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55B"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55C"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55D" w14:textId="77777777" w:rsidR="00A91885" w:rsidRDefault="00A91885">
            <w:pPr>
              <w:rPr>
                <w:rFonts w:ascii="宋体"/>
              </w:rPr>
            </w:pPr>
          </w:p>
        </w:tc>
      </w:tr>
      <w:tr w:rsidR="00A91885" w14:paraId="18600569" w14:textId="77777777">
        <w:tc>
          <w:tcPr>
            <w:tcW w:w="0" w:type="auto"/>
            <w:gridSpan w:val="3"/>
            <w:shd w:val="clear" w:color="auto" w:fill="FFFFFF"/>
            <w:tcMar>
              <w:top w:w="40" w:type="dxa"/>
              <w:left w:w="20" w:type="dxa"/>
              <w:bottom w:w="40" w:type="dxa"/>
              <w:right w:w="20" w:type="dxa"/>
            </w:tcMar>
            <w:vAlign w:val="bottom"/>
          </w:tcPr>
          <w:p w14:paraId="1860055F" w14:textId="77777777" w:rsidR="00A91885" w:rsidRDefault="009C4196">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FFFFFF"/>
            <w:tcMar>
              <w:top w:w="40" w:type="dxa"/>
              <w:left w:w="20" w:type="dxa"/>
              <w:bottom w:w="40" w:type="dxa"/>
              <w:right w:w="20" w:type="dxa"/>
            </w:tcMar>
            <w:vAlign w:val="bottom"/>
          </w:tcPr>
          <w:p w14:paraId="18600560" w14:textId="77777777" w:rsidR="00A91885" w:rsidRDefault="009C4196">
            <w:pPr>
              <w:jc w:val="right"/>
              <w:textAlignment w:val="bottom"/>
            </w:pPr>
            <w:r>
              <w:rPr>
                <w:rFonts w:ascii="Arial" w:eastAsia="宋体" w:hAnsi="Arial" w:cs="Arial"/>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18600561"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0562"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0563" w14:textId="77777777" w:rsidR="00A91885" w:rsidRDefault="009C4196">
            <w:pPr>
              <w:jc w:val="right"/>
              <w:textAlignment w:val="bottom"/>
            </w:pPr>
            <w:r>
              <w:rPr>
                <w:rFonts w:ascii="Arial" w:eastAsia="宋体" w:hAnsi="Arial" w:cs="Arial"/>
                <w:color w:val="000000"/>
                <w:sz w:val="18"/>
                <w:szCs w:val="18"/>
              </w:rPr>
              <w:t>142 </w:t>
            </w:r>
          </w:p>
        </w:tc>
        <w:tc>
          <w:tcPr>
            <w:tcW w:w="0" w:type="auto"/>
            <w:shd w:val="clear" w:color="auto" w:fill="FFFFFF"/>
            <w:tcMar>
              <w:top w:w="40" w:type="dxa"/>
              <w:left w:w="0" w:type="dxa"/>
              <w:bottom w:w="40" w:type="dxa"/>
              <w:right w:w="20" w:type="dxa"/>
            </w:tcMar>
            <w:vAlign w:val="bottom"/>
          </w:tcPr>
          <w:p w14:paraId="1860056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565"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0566"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0567" w14:textId="77777777" w:rsidR="00A91885" w:rsidRDefault="009C4196">
            <w:pPr>
              <w:jc w:val="right"/>
              <w:textAlignment w:val="bottom"/>
            </w:pPr>
            <w:r>
              <w:rPr>
                <w:rFonts w:ascii="Arial" w:eastAsia="宋体" w:hAnsi="Arial" w:cs="Arial"/>
                <w:color w:val="000000"/>
                <w:sz w:val="18"/>
                <w:szCs w:val="18"/>
              </w:rPr>
              <w:t>63 </w:t>
            </w:r>
          </w:p>
        </w:tc>
        <w:tc>
          <w:tcPr>
            <w:tcW w:w="0" w:type="auto"/>
            <w:shd w:val="clear" w:color="auto" w:fill="FFFFFF"/>
            <w:tcMar>
              <w:top w:w="40" w:type="dxa"/>
              <w:left w:w="0" w:type="dxa"/>
              <w:bottom w:w="40" w:type="dxa"/>
              <w:right w:w="20" w:type="dxa"/>
            </w:tcMar>
            <w:vAlign w:val="bottom"/>
          </w:tcPr>
          <w:p w14:paraId="18600568" w14:textId="77777777" w:rsidR="00A91885" w:rsidRDefault="00A91885">
            <w:pPr>
              <w:jc w:val="right"/>
              <w:rPr>
                <w:rFonts w:ascii="宋体"/>
              </w:rPr>
            </w:pPr>
          </w:p>
        </w:tc>
      </w:tr>
      <w:tr w:rsidR="00A91885" w14:paraId="18600570" w14:textId="77777777">
        <w:trPr>
          <w:hidden/>
        </w:trPr>
        <w:tc>
          <w:tcPr>
            <w:tcW w:w="0" w:type="auto"/>
            <w:gridSpan w:val="3"/>
            <w:shd w:val="clear" w:color="auto" w:fill="auto"/>
            <w:vAlign w:val="bottom"/>
          </w:tcPr>
          <w:p w14:paraId="1860056A" w14:textId="77777777" w:rsidR="00A91885" w:rsidRDefault="00A91885">
            <w:pPr>
              <w:rPr>
                <w:rFonts w:ascii="宋体"/>
                <w:vanish/>
              </w:rPr>
            </w:pPr>
          </w:p>
        </w:tc>
        <w:tc>
          <w:tcPr>
            <w:tcW w:w="0" w:type="auto"/>
            <w:gridSpan w:val="3"/>
            <w:shd w:val="clear" w:color="auto" w:fill="auto"/>
            <w:vAlign w:val="bottom"/>
          </w:tcPr>
          <w:p w14:paraId="1860056B" w14:textId="77777777" w:rsidR="00A91885" w:rsidRDefault="00A91885">
            <w:pPr>
              <w:rPr>
                <w:rFonts w:ascii="宋体"/>
                <w:vanish/>
              </w:rPr>
            </w:pPr>
          </w:p>
        </w:tc>
        <w:tc>
          <w:tcPr>
            <w:tcW w:w="0" w:type="auto"/>
            <w:gridSpan w:val="3"/>
            <w:shd w:val="clear" w:color="auto" w:fill="auto"/>
            <w:vAlign w:val="bottom"/>
          </w:tcPr>
          <w:p w14:paraId="1860056C" w14:textId="77777777" w:rsidR="00A91885" w:rsidRDefault="00A91885">
            <w:pPr>
              <w:rPr>
                <w:rFonts w:ascii="宋体"/>
                <w:vanish/>
              </w:rPr>
            </w:pPr>
          </w:p>
        </w:tc>
        <w:tc>
          <w:tcPr>
            <w:tcW w:w="0" w:type="auto"/>
            <w:gridSpan w:val="3"/>
            <w:shd w:val="clear" w:color="auto" w:fill="auto"/>
            <w:vAlign w:val="bottom"/>
          </w:tcPr>
          <w:p w14:paraId="1860056D" w14:textId="77777777" w:rsidR="00A91885" w:rsidRDefault="00A91885">
            <w:pPr>
              <w:rPr>
                <w:rFonts w:ascii="宋体"/>
                <w:vanish/>
              </w:rPr>
            </w:pPr>
          </w:p>
        </w:tc>
        <w:tc>
          <w:tcPr>
            <w:tcW w:w="0" w:type="auto"/>
            <w:gridSpan w:val="3"/>
            <w:shd w:val="clear" w:color="auto" w:fill="auto"/>
            <w:vAlign w:val="bottom"/>
          </w:tcPr>
          <w:p w14:paraId="1860056E" w14:textId="77777777" w:rsidR="00A91885" w:rsidRDefault="00A91885">
            <w:pPr>
              <w:rPr>
                <w:rFonts w:ascii="宋体"/>
                <w:vanish/>
              </w:rPr>
            </w:pPr>
          </w:p>
        </w:tc>
        <w:tc>
          <w:tcPr>
            <w:tcW w:w="0" w:type="auto"/>
            <w:gridSpan w:val="3"/>
            <w:shd w:val="clear" w:color="auto" w:fill="auto"/>
            <w:vAlign w:val="bottom"/>
          </w:tcPr>
          <w:p w14:paraId="1860056F" w14:textId="77777777" w:rsidR="00A91885" w:rsidRDefault="00A91885">
            <w:pPr>
              <w:rPr>
                <w:rFonts w:ascii="宋体"/>
                <w:vanish/>
              </w:rPr>
            </w:pPr>
          </w:p>
        </w:tc>
      </w:tr>
      <w:tr w:rsidR="00A91885" w14:paraId="18600579" w14:textId="77777777">
        <w:tc>
          <w:tcPr>
            <w:tcW w:w="0" w:type="auto"/>
            <w:gridSpan w:val="3"/>
            <w:shd w:val="clear" w:color="auto" w:fill="E2E2E2"/>
            <w:tcMar>
              <w:top w:w="40" w:type="dxa"/>
              <w:left w:w="20" w:type="dxa"/>
              <w:bottom w:w="40" w:type="dxa"/>
              <w:right w:w="20" w:type="dxa"/>
            </w:tcMar>
            <w:vAlign w:val="bottom"/>
          </w:tcPr>
          <w:p w14:paraId="18600571" w14:textId="77777777" w:rsidR="00A91885" w:rsidRDefault="009C4196">
            <w:pPr>
              <w:textAlignment w:val="bottom"/>
            </w:pPr>
            <w:r>
              <w:rPr>
                <w:rFonts w:ascii="Arial" w:eastAsia="宋体" w:hAnsi="Arial" w:cs="Arial"/>
                <w:color w:val="000000"/>
                <w:sz w:val="18"/>
                <w:szCs w:val="18"/>
              </w:rPr>
              <w:t>Foreign exchange contracts not designated as hedging instruments</w:t>
            </w:r>
          </w:p>
        </w:tc>
        <w:tc>
          <w:tcPr>
            <w:tcW w:w="0" w:type="auto"/>
            <w:gridSpan w:val="3"/>
            <w:shd w:val="clear" w:color="auto" w:fill="E2E2E2"/>
            <w:tcMar>
              <w:top w:w="40" w:type="dxa"/>
              <w:left w:w="20" w:type="dxa"/>
              <w:bottom w:w="40" w:type="dxa"/>
              <w:right w:w="20" w:type="dxa"/>
            </w:tcMar>
            <w:vAlign w:val="bottom"/>
          </w:tcPr>
          <w:p w14:paraId="18600572" w14:textId="77777777" w:rsidR="00A91885" w:rsidRDefault="009C4196">
            <w:pPr>
              <w:jc w:val="right"/>
              <w:textAlignment w:val="bottom"/>
            </w:pPr>
            <w:r>
              <w:rPr>
                <w:rFonts w:ascii="Arial" w:eastAsia="宋体" w:hAnsi="Arial" w:cs="Arial"/>
                <w:color w:val="000000"/>
                <w:sz w:val="18"/>
                <w:szCs w:val="18"/>
              </w:rPr>
              <w:t>Other current assets</w:t>
            </w:r>
          </w:p>
        </w:tc>
        <w:tc>
          <w:tcPr>
            <w:tcW w:w="0" w:type="auto"/>
            <w:gridSpan w:val="3"/>
            <w:shd w:val="clear" w:color="auto" w:fill="E2E2E2"/>
            <w:tcMar>
              <w:top w:w="0" w:type="dxa"/>
              <w:left w:w="20" w:type="dxa"/>
              <w:bottom w:w="0" w:type="dxa"/>
              <w:right w:w="20" w:type="dxa"/>
            </w:tcMar>
            <w:vAlign w:val="bottom"/>
          </w:tcPr>
          <w:p w14:paraId="18600573"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574" w14:textId="77777777" w:rsidR="00A91885" w:rsidRDefault="009C4196">
            <w:pPr>
              <w:jc w:val="right"/>
              <w:textAlignment w:val="bottom"/>
            </w:pPr>
            <w:r>
              <w:rPr>
                <w:rFonts w:ascii="Arial" w:eastAsia="宋体" w:hAnsi="Arial" w:cs="Arial"/>
                <w:color w:val="000000"/>
                <w:sz w:val="18"/>
                <w:szCs w:val="18"/>
              </w:rPr>
              <w:t>55 </w:t>
            </w:r>
          </w:p>
        </w:tc>
        <w:tc>
          <w:tcPr>
            <w:tcW w:w="0" w:type="auto"/>
            <w:shd w:val="clear" w:color="auto" w:fill="E2E2E2"/>
            <w:tcMar>
              <w:top w:w="40" w:type="dxa"/>
              <w:left w:w="0" w:type="dxa"/>
              <w:bottom w:w="40" w:type="dxa"/>
              <w:right w:w="20" w:type="dxa"/>
            </w:tcMar>
            <w:vAlign w:val="bottom"/>
          </w:tcPr>
          <w:p w14:paraId="1860057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576"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577" w14:textId="77777777" w:rsidR="00A91885" w:rsidRDefault="009C4196">
            <w:pPr>
              <w:jc w:val="right"/>
              <w:textAlignment w:val="bottom"/>
            </w:pPr>
            <w:r>
              <w:rPr>
                <w:rFonts w:ascii="Arial" w:eastAsia="宋体" w:hAnsi="Arial" w:cs="Arial"/>
                <w:color w:val="000000"/>
                <w:sz w:val="18"/>
                <w:szCs w:val="18"/>
              </w:rPr>
              <w:t>22 </w:t>
            </w:r>
          </w:p>
        </w:tc>
        <w:tc>
          <w:tcPr>
            <w:tcW w:w="0" w:type="auto"/>
            <w:shd w:val="clear" w:color="auto" w:fill="E2E2E2"/>
            <w:tcMar>
              <w:top w:w="40" w:type="dxa"/>
              <w:left w:w="0" w:type="dxa"/>
              <w:bottom w:w="40" w:type="dxa"/>
              <w:right w:w="20" w:type="dxa"/>
            </w:tcMar>
            <w:vAlign w:val="bottom"/>
          </w:tcPr>
          <w:p w14:paraId="18600578" w14:textId="77777777" w:rsidR="00A91885" w:rsidRDefault="00A91885">
            <w:pPr>
              <w:jc w:val="right"/>
              <w:rPr>
                <w:rFonts w:ascii="宋体"/>
              </w:rPr>
            </w:pPr>
          </w:p>
        </w:tc>
      </w:tr>
      <w:tr w:rsidR="00A91885" w14:paraId="18600582" w14:textId="77777777">
        <w:tc>
          <w:tcPr>
            <w:tcW w:w="0" w:type="auto"/>
            <w:gridSpan w:val="3"/>
            <w:shd w:val="clear" w:color="auto" w:fill="FFFFFF"/>
            <w:tcMar>
              <w:top w:w="40" w:type="dxa"/>
              <w:left w:w="20" w:type="dxa"/>
              <w:bottom w:w="40" w:type="dxa"/>
              <w:right w:w="20" w:type="dxa"/>
            </w:tcMar>
            <w:vAlign w:val="bottom"/>
          </w:tcPr>
          <w:p w14:paraId="1860057A" w14:textId="77777777" w:rsidR="00A91885" w:rsidRDefault="009C4196">
            <w:pPr>
              <w:textAlignment w:val="bottom"/>
            </w:pPr>
            <w:r>
              <w:rPr>
                <w:rFonts w:ascii="Arial" w:eastAsia="宋体" w:hAnsi="Arial" w:cs="Arial"/>
                <w:color w:val="000000"/>
                <w:sz w:val="18"/>
                <w:szCs w:val="18"/>
              </w:rPr>
              <w:t>Interest rate contracts designated as cash flow hedges</w:t>
            </w:r>
          </w:p>
        </w:tc>
        <w:tc>
          <w:tcPr>
            <w:tcW w:w="0" w:type="auto"/>
            <w:gridSpan w:val="3"/>
            <w:shd w:val="clear" w:color="auto" w:fill="FFFFFF"/>
            <w:tcMar>
              <w:top w:w="40" w:type="dxa"/>
              <w:left w:w="20" w:type="dxa"/>
              <w:bottom w:w="40" w:type="dxa"/>
              <w:right w:w="20" w:type="dxa"/>
            </w:tcMar>
            <w:vAlign w:val="bottom"/>
          </w:tcPr>
          <w:p w14:paraId="1860057B" w14:textId="77777777" w:rsidR="00A91885" w:rsidRDefault="009C4196">
            <w:pPr>
              <w:jc w:val="right"/>
              <w:textAlignment w:val="bottom"/>
            </w:pPr>
            <w:r>
              <w:rPr>
                <w:rFonts w:ascii="Arial" w:eastAsia="宋体" w:hAnsi="Arial" w:cs="Arial"/>
                <w:color w:val="000000"/>
                <w:sz w:val="18"/>
                <w:szCs w:val="18"/>
              </w:rPr>
              <w:t>Other current assets</w:t>
            </w:r>
          </w:p>
        </w:tc>
        <w:tc>
          <w:tcPr>
            <w:tcW w:w="0" w:type="auto"/>
            <w:gridSpan w:val="3"/>
            <w:shd w:val="clear" w:color="auto" w:fill="FFFFFF"/>
            <w:tcMar>
              <w:top w:w="0" w:type="dxa"/>
              <w:left w:w="20" w:type="dxa"/>
              <w:bottom w:w="0" w:type="dxa"/>
              <w:right w:w="20" w:type="dxa"/>
            </w:tcMar>
            <w:vAlign w:val="bottom"/>
          </w:tcPr>
          <w:p w14:paraId="1860057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57D" w14:textId="77777777" w:rsidR="00A91885" w:rsidRDefault="009C4196">
            <w:pPr>
              <w:jc w:val="right"/>
              <w:textAlignment w:val="bottom"/>
            </w:pPr>
            <w:r>
              <w:rPr>
                <w:rFonts w:ascii="Arial" w:eastAsia="宋体" w:hAnsi="Arial" w:cs="Arial"/>
                <w:color w:val="000000"/>
                <w:sz w:val="18"/>
                <w:szCs w:val="18"/>
              </w:rPr>
              <w:t>7 </w:t>
            </w:r>
          </w:p>
        </w:tc>
        <w:tc>
          <w:tcPr>
            <w:tcW w:w="0" w:type="auto"/>
            <w:shd w:val="clear" w:color="auto" w:fill="FFFFFF"/>
            <w:tcMar>
              <w:top w:w="40" w:type="dxa"/>
              <w:left w:w="0" w:type="dxa"/>
              <w:bottom w:w="40" w:type="dxa"/>
              <w:right w:w="20" w:type="dxa"/>
            </w:tcMar>
            <w:vAlign w:val="bottom"/>
          </w:tcPr>
          <w:p w14:paraId="1860057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57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580"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581" w14:textId="77777777" w:rsidR="00A91885" w:rsidRDefault="00A91885">
            <w:pPr>
              <w:jc w:val="right"/>
              <w:rPr>
                <w:rFonts w:ascii="宋体"/>
              </w:rPr>
            </w:pPr>
          </w:p>
        </w:tc>
      </w:tr>
      <w:tr w:rsidR="00A91885" w14:paraId="1860058B" w14:textId="77777777">
        <w:tc>
          <w:tcPr>
            <w:tcW w:w="0" w:type="auto"/>
            <w:gridSpan w:val="3"/>
            <w:shd w:val="clear" w:color="auto" w:fill="E2E2E2"/>
            <w:tcMar>
              <w:top w:w="40" w:type="dxa"/>
              <w:left w:w="20" w:type="dxa"/>
              <w:bottom w:w="40" w:type="dxa"/>
              <w:right w:w="20" w:type="dxa"/>
            </w:tcMar>
            <w:vAlign w:val="bottom"/>
          </w:tcPr>
          <w:p w14:paraId="18600583" w14:textId="77777777" w:rsidR="00A91885" w:rsidRDefault="009C4196">
            <w:pPr>
              <w:textAlignment w:val="bottom"/>
            </w:pPr>
            <w:r>
              <w:rPr>
                <w:rFonts w:ascii="Arial" w:eastAsia="宋体" w:hAnsi="Arial" w:cs="Arial"/>
                <w:color w:val="000000"/>
                <w:sz w:val="18"/>
                <w:szCs w:val="18"/>
              </w:rPr>
              <w:t>Warrant</w:t>
            </w:r>
          </w:p>
        </w:tc>
        <w:tc>
          <w:tcPr>
            <w:tcW w:w="0" w:type="auto"/>
            <w:gridSpan w:val="3"/>
            <w:shd w:val="clear" w:color="auto" w:fill="E2E2E2"/>
            <w:tcMar>
              <w:top w:w="40" w:type="dxa"/>
              <w:left w:w="20" w:type="dxa"/>
              <w:bottom w:w="40" w:type="dxa"/>
              <w:right w:w="20" w:type="dxa"/>
            </w:tcMar>
            <w:vAlign w:val="bottom"/>
          </w:tcPr>
          <w:p w14:paraId="18600584" w14:textId="77777777" w:rsidR="00A91885" w:rsidRDefault="009C4196">
            <w:pPr>
              <w:jc w:val="right"/>
              <w:textAlignment w:val="bottom"/>
            </w:pPr>
            <w:r>
              <w:rPr>
                <w:rFonts w:ascii="Arial" w:eastAsia="宋体" w:hAnsi="Arial" w:cs="Arial"/>
                <w:color w:val="000000"/>
                <w:sz w:val="18"/>
                <w:szCs w:val="18"/>
              </w:rPr>
              <w:t>Other assets</w:t>
            </w:r>
          </w:p>
        </w:tc>
        <w:tc>
          <w:tcPr>
            <w:tcW w:w="0" w:type="auto"/>
            <w:gridSpan w:val="3"/>
            <w:shd w:val="clear" w:color="auto" w:fill="E2E2E2"/>
            <w:tcMar>
              <w:top w:w="0" w:type="dxa"/>
              <w:left w:w="20" w:type="dxa"/>
              <w:bottom w:w="0" w:type="dxa"/>
              <w:right w:w="20" w:type="dxa"/>
            </w:tcMar>
            <w:vAlign w:val="bottom"/>
          </w:tcPr>
          <w:p w14:paraId="1860058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586" w14:textId="77777777" w:rsidR="00A91885" w:rsidRDefault="009C4196">
            <w:pPr>
              <w:jc w:val="right"/>
              <w:textAlignment w:val="bottom"/>
            </w:pPr>
            <w:r>
              <w:rPr>
                <w:rFonts w:ascii="Arial" w:eastAsia="宋体" w:hAnsi="Arial" w:cs="Arial"/>
                <w:color w:val="000000"/>
                <w:sz w:val="18"/>
                <w:szCs w:val="18"/>
              </w:rPr>
              <w:t>225 </w:t>
            </w:r>
          </w:p>
        </w:tc>
        <w:tc>
          <w:tcPr>
            <w:tcW w:w="0" w:type="auto"/>
            <w:shd w:val="clear" w:color="auto" w:fill="E2E2E2"/>
            <w:tcMar>
              <w:top w:w="40" w:type="dxa"/>
              <w:left w:w="0" w:type="dxa"/>
              <w:bottom w:w="40" w:type="dxa"/>
              <w:right w:w="20" w:type="dxa"/>
            </w:tcMar>
            <w:vAlign w:val="bottom"/>
          </w:tcPr>
          <w:p w14:paraId="1860058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58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589" w14:textId="77777777" w:rsidR="00A91885" w:rsidRDefault="009C4196">
            <w:pPr>
              <w:jc w:val="right"/>
              <w:textAlignment w:val="bottom"/>
            </w:pPr>
            <w:r>
              <w:rPr>
                <w:rFonts w:ascii="Arial" w:eastAsia="宋体" w:hAnsi="Arial" w:cs="Arial"/>
                <w:color w:val="000000"/>
                <w:sz w:val="18"/>
                <w:szCs w:val="18"/>
              </w:rPr>
              <w:t>444 </w:t>
            </w:r>
          </w:p>
        </w:tc>
        <w:tc>
          <w:tcPr>
            <w:tcW w:w="0" w:type="auto"/>
            <w:shd w:val="clear" w:color="auto" w:fill="E2E2E2"/>
            <w:tcMar>
              <w:top w:w="40" w:type="dxa"/>
              <w:left w:w="0" w:type="dxa"/>
              <w:bottom w:w="40" w:type="dxa"/>
              <w:right w:w="20" w:type="dxa"/>
            </w:tcMar>
            <w:vAlign w:val="bottom"/>
          </w:tcPr>
          <w:p w14:paraId="1860058A" w14:textId="77777777" w:rsidR="00A91885" w:rsidRDefault="00A91885">
            <w:pPr>
              <w:jc w:val="right"/>
              <w:rPr>
                <w:rFonts w:ascii="宋体"/>
              </w:rPr>
            </w:pPr>
          </w:p>
        </w:tc>
      </w:tr>
      <w:tr w:rsidR="00A91885" w14:paraId="18600594" w14:textId="77777777">
        <w:tc>
          <w:tcPr>
            <w:tcW w:w="0" w:type="auto"/>
            <w:gridSpan w:val="3"/>
            <w:shd w:val="clear" w:color="auto" w:fill="FFFFFF"/>
            <w:tcMar>
              <w:top w:w="40" w:type="dxa"/>
              <w:left w:w="20" w:type="dxa"/>
              <w:bottom w:w="40" w:type="dxa"/>
              <w:right w:w="20" w:type="dxa"/>
            </w:tcMar>
            <w:vAlign w:val="bottom"/>
          </w:tcPr>
          <w:p w14:paraId="1860058C" w14:textId="77777777" w:rsidR="00A91885" w:rsidRDefault="009C4196">
            <w:pPr>
              <w:textAlignment w:val="bottom"/>
            </w:pPr>
            <w:r>
              <w:rPr>
                <w:rFonts w:ascii="Arial" w:eastAsia="宋体" w:hAnsi="Arial" w:cs="Arial"/>
                <w:color w:val="000000"/>
                <w:sz w:val="18"/>
                <w:szCs w:val="18"/>
              </w:rPr>
              <w:t xml:space="preserve">Foreign exchange </w:t>
            </w:r>
            <w:r>
              <w:rPr>
                <w:rFonts w:ascii="Arial" w:eastAsia="宋体" w:hAnsi="Arial" w:cs="Arial"/>
                <w:color w:val="000000"/>
                <w:sz w:val="18"/>
                <w:szCs w:val="18"/>
              </w:rPr>
              <w:t>contracts designated as cash flow hedges</w:t>
            </w:r>
          </w:p>
        </w:tc>
        <w:tc>
          <w:tcPr>
            <w:tcW w:w="0" w:type="auto"/>
            <w:gridSpan w:val="3"/>
            <w:shd w:val="clear" w:color="auto" w:fill="FFFFFF"/>
            <w:tcMar>
              <w:top w:w="40" w:type="dxa"/>
              <w:left w:w="20" w:type="dxa"/>
              <w:bottom w:w="40" w:type="dxa"/>
              <w:right w:w="20" w:type="dxa"/>
            </w:tcMar>
            <w:vAlign w:val="bottom"/>
          </w:tcPr>
          <w:p w14:paraId="1860058D" w14:textId="77777777" w:rsidR="00A91885" w:rsidRDefault="009C4196">
            <w:pPr>
              <w:jc w:val="right"/>
              <w:textAlignment w:val="bottom"/>
            </w:pPr>
            <w:r>
              <w:rPr>
                <w:rFonts w:ascii="Arial" w:eastAsia="宋体" w:hAnsi="Arial" w:cs="Arial"/>
                <w:color w:val="000000"/>
                <w:sz w:val="18"/>
                <w:szCs w:val="18"/>
              </w:rPr>
              <w:t>Other assets</w:t>
            </w:r>
          </w:p>
        </w:tc>
        <w:tc>
          <w:tcPr>
            <w:tcW w:w="0" w:type="auto"/>
            <w:gridSpan w:val="3"/>
            <w:shd w:val="clear" w:color="auto" w:fill="FFFFFF"/>
            <w:tcMar>
              <w:top w:w="0" w:type="dxa"/>
              <w:left w:w="20" w:type="dxa"/>
              <w:bottom w:w="0" w:type="dxa"/>
              <w:right w:w="20" w:type="dxa"/>
            </w:tcMar>
            <w:vAlign w:val="bottom"/>
          </w:tcPr>
          <w:p w14:paraId="1860058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58F" w14:textId="77777777" w:rsidR="00A91885" w:rsidRDefault="009C4196">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1860059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59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592" w14:textId="77777777" w:rsidR="00A91885" w:rsidRDefault="009C4196">
            <w:pPr>
              <w:jc w:val="right"/>
              <w:textAlignment w:val="bottom"/>
            </w:pPr>
            <w:r>
              <w:rPr>
                <w:rFonts w:ascii="Arial" w:eastAsia="宋体" w:hAnsi="Arial" w:cs="Arial"/>
                <w:color w:val="000000"/>
                <w:sz w:val="18"/>
                <w:szCs w:val="18"/>
              </w:rPr>
              <w:t>24 </w:t>
            </w:r>
          </w:p>
        </w:tc>
        <w:tc>
          <w:tcPr>
            <w:tcW w:w="0" w:type="auto"/>
            <w:shd w:val="clear" w:color="auto" w:fill="FFFFFF"/>
            <w:tcMar>
              <w:top w:w="40" w:type="dxa"/>
              <w:left w:w="0" w:type="dxa"/>
              <w:bottom w:w="40" w:type="dxa"/>
              <w:right w:w="20" w:type="dxa"/>
            </w:tcMar>
            <w:vAlign w:val="bottom"/>
          </w:tcPr>
          <w:p w14:paraId="18600593" w14:textId="77777777" w:rsidR="00A91885" w:rsidRDefault="00A91885">
            <w:pPr>
              <w:jc w:val="right"/>
              <w:rPr>
                <w:rFonts w:ascii="宋体"/>
              </w:rPr>
            </w:pPr>
          </w:p>
        </w:tc>
      </w:tr>
      <w:tr w:rsidR="00A91885" w14:paraId="1860059B" w14:textId="77777777">
        <w:trPr>
          <w:hidden/>
        </w:trPr>
        <w:tc>
          <w:tcPr>
            <w:tcW w:w="0" w:type="auto"/>
            <w:gridSpan w:val="3"/>
            <w:shd w:val="clear" w:color="auto" w:fill="auto"/>
            <w:vAlign w:val="bottom"/>
          </w:tcPr>
          <w:p w14:paraId="18600595" w14:textId="77777777" w:rsidR="00A91885" w:rsidRDefault="00A91885">
            <w:pPr>
              <w:rPr>
                <w:rFonts w:ascii="宋体"/>
                <w:vanish/>
              </w:rPr>
            </w:pPr>
          </w:p>
        </w:tc>
        <w:tc>
          <w:tcPr>
            <w:tcW w:w="0" w:type="auto"/>
            <w:gridSpan w:val="3"/>
            <w:shd w:val="clear" w:color="auto" w:fill="auto"/>
            <w:vAlign w:val="bottom"/>
          </w:tcPr>
          <w:p w14:paraId="18600596" w14:textId="77777777" w:rsidR="00A91885" w:rsidRDefault="00A91885">
            <w:pPr>
              <w:rPr>
                <w:rFonts w:ascii="宋体"/>
                <w:vanish/>
              </w:rPr>
            </w:pPr>
          </w:p>
        </w:tc>
        <w:tc>
          <w:tcPr>
            <w:tcW w:w="0" w:type="auto"/>
            <w:gridSpan w:val="3"/>
            <w:shd w:val="clear" w:color="auto" w:fill="auto"/>
            <w:vAlign w:val="bottom"/>
          </w:tcPr>
          <w:p w14:paraId="18600597" w14:textId="77777777" w:rsidR="00A91885" w:rsidRDefault="00A91885">
            <w:pPr>
              <w:rPr>
                <w:rFonts w:ascii="宋体"/>
                <w:vanish/>
              </w:rPr>
            </w:pPr>
          </w:p>
        </w:tc>
        <w:tc>
          <w:tcPr>
            <w:tcW w:w="0" w:type="auto"/>
            <w:gridSpan w:val="3"/>
            <w:shd w:val="clear" w:color="auto" w:fill="auto"/>
            <w:vAlign w:val="bottom"/>
          </w:tcPr>
          <w:p w14:paraId="18600598" w14:textId="77777777" w:rsidR="00A91885" w:rsidRDefault="00A91885">
            <w:pPr>
              <w:rPr>
                <w:rFonts w:ascii="宋体"/>
                <w:vanish/>
              </w:rPr>
            </w:pPr>
          </w:p>
        </w:tc>
        <w:tc>
          <w:tcPr>
            <w:tcW w:w="0" w:type="auto"/>
            <w:gridSpan w:val="3"/>
            <w:shd w:val="clear" w:color="auto" w:fill="auto"/>
            <w:vAlign w:val="bottom"/>
          </w:tcPr>
          <w:p w14:paraId="18600599" w14:textId="77777777" w:rsidR="00A91885" w:rsidRDefault="00A91885">
            <w:pPr>
              <w:rPr>
                <w:rFonts w:ascii="宋体"/>
                <w:vanish/>
              </w:rPr>
            </w:pPr>
          </w:p>
        </w:tc>
        <w:tc>
          <w:tcPr>
            <w:tcW w:w="0" w:type="auto"/>
            <w:gridSpan w:val="3"/>
            <w:shd w:val="clear" w:color="auto" w:fill="auto"/>
            <w:vAlign w:val="bottom"/>
          </w:tcPr>
          <w:p w14:paraId="1860059A" w14:textId="77777777" w:rsidR="00A91885" w:rsidRDefault="00A91885">
            <w:pPr>
              <w:rPr>
                <w:rFonts w:ascii="宋体"/>
                <w:vanish/>
              </w:rPr>
            </w:pPr>
          </w:p>
        </w:tc>
      </w:tr>
      <w:tr w:rsidR="00A91885" w14:paraId="186005A2" w14:textId="77777777">
        <w:trPr>
          <w:hidden/>
        </w:trPr>
        <w:tc>
          <w:tcPr>
            <w:tcW w:w="0" w:type="auto"/>
            <w:gridSpan w:val="3"/>
            <w:shd w:val="clear" w:color="auto" w:fill="auto"/>
            <w:vAlign w:val="bottom"/>
          </w:tcPr>
          <w:p w14:paraId="1860059C" w14:textId="77777777" w:rsidR="00A91885" w:rsidRDefault="00A91885">
            <w:pPr>
              <w:rPr>
                <w:rFonts w:ascii="宋体"/>
                <w:vanish/>
              </w:rPr>
            </w:pPr>
          </w:p>
        </w:tc>
        <w:tc>
          <w:tcPr>
            <w:tcW w:w="0" w:type="auto"/>
            <w:gridSpan w:val="3"/>
            <w:shd w:val="clear" w:color="auto" w:fill="auto"/>
            <w:vAlign w:val="bottom"/>
          </w:tcPr>
          <w:p w14:paraId="1860059D" w14:textId="77777777" w:rsidR="00A91885" w:rsidRDefault="00A91885">
            <w:pPr>
              <w:rPr>
                <w:rFonts w:ascii="宋体"/>
                <w:vanish/>
              </w:rPr>
            </w:pPr>
          </w:p>
        </w:tc>
        <w:tc>
          <w:tcPr>
            <w:tcW w:w="0" w:type="auto"/>
            <w:gridSpan w:val="3"/>
            <w:shd w:val="clear" w:color="auto" w:fill="auto"/>
            <w:vAlign w:val="bottom"/>
          </w:tcPr>
          <w:p w14:paraId="1860059E" w14:textId="77777777" w:rsidR="00A91885" w:rsidRDefault="00A91885">
            <w:pPr>
              <w:rPr>
                <w:rFonts w:ascii="宋体"/>
                <w:vanish/>
              </w:rPr>
            </w:pPr>
          </w:p>
        </w:tc>
        <w:tc>
          <w:tcPr>
            <w:tcW w:w="0" w:type="auto"/>
            <w:gridSpan w:val="3"/>
            <w:shd w:val="clear" w:color="auto" w:fill="auto"/>
            <w:vAlign w:val="bottom"/>
          </w:tcPr>
          <w:p w14:paraId="1860059F" w14:textId="77777777" w:rsidR="00A91885" w:rsidRDefault="00A91885">
            <w:pPr>
              <w:rPr>
                <w:rFonts w:ascii="宋体"/>
                <w:vanish/>
              </w:rPr>
            </w:pPr>
          </w:p>
        </w:tc>
        <w:tc>
          <w:tcPr>
            <w:tcW w:w="0" w:type="auto"/>
            <w:gridSpan w:val="3"/>
            <w:shd w:val="clear" w:color="auto" w:fill="auto"/>
            <w:vAlign w:val="bottom"/>
          </w:tcPr>
          <w:p w14:paraId="186005A0" w14:textId="77777777" w:rsidR="00A91885" w:rsidRDefault="00A91885">
            <w:pPr>
              <w:rPr>
                <w:rFonts w:ascii="宋体"/>
                <w:vanish/>
              </w:rPr>
            </w:pPr>
          </w:p>
        </w:tc>
        <w:tc>
          <w:tcPr>
            <w:tcW w:w="0" w:type="auto"/>
            <w:gridSpan w:val="3"/>
            <w:shd w:val="clear" w:color="auto" w:fill="auto"/>
            <w:vAlign w:val="bottom"/>
          </w:tcPr>
          <w:p w14:paraId="186005A1" w14:textId="77777777" w:rsidR="00A91885" w:rsidRDefault="00A91885">
            <w:pPr>
              <w:rPr>
                <w:rFonts w:ascii="宋体"/>
                <w:vanish/>
              </w:rPr>
            </w:pPr>
          </w:p>
        </w:tc>
      </w:tr>
      <w:tr w:rsidR="00A91885" w14:paraId="186005AD" w14:textId="77777777">
        <w:tc>
          <w:tcPr>
            <w:tcW w:w="0" w:type="auto"/>
            <w:gridSpan w:val="3"/>
            <w:shd w:val="clear" w:color="auto" w:fill="E2E2E2"/>
            <w:tcMar>
              <w:top w:w="40" w:type="dxa"/>
              <w:left w:w="245" w:type="dxa"/>
              <w:bottom w:w="40" w:type="dxa"/>
              <w:right w:w="20" w:type="dxa"/>
            </w:tcMar>
            <w:vAlign w:val="bottom"/>
          </w:tcPr>
          <w:p w14:paraId="186005A3" w14:textId="77777777" w:rsidR="00A91885" w:rsidRDefault="009C4196">
            <w:pPr>
              <w:textAlignment w:val="bottom"/>
            </w:pPr>
            <w:r>
              <w:rPr>
                <w:rFonts w:ascii="Arial" w:eastAsia="宋体" w:hAnsi="Arial" w:cs="Arial"/>
                <w:color w:val="000000"/>
                <w:sz w:val="18"/>
                <w:szCs w:val="18"/>
              </w:rPr>
              <w:t>Total derivative assets</w:t>
            </w:r>
          </w:p>
        </w:tc>
        <w:tc>
          <w:tcPr>
            <w:tcW w:w="0" w:type="auto"/>
            <w:gridSpan w:val="3"/>
            <w:shd w:val="clear" w:color="auto" w:fill="E2E2E2"/>
            <w:tcMar>
              <w:top w:w="0" w:type="dxa"/>
              <w:left w:w="20" w:type="dxa"/>
              <w:bottom w:w="0" w:type="dxa"/>
              <w:right w:w="20" w:type="dxa"/>
            </w:tcMar>
            <w:vAlign w:val="bottom"/>
          </w:tcPr>
          <w:p w14:paraId="186005A4"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5A5"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5A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5A7" w14:textId="77777777" w:rsidR="00A91885" w:rsidRDefault="009C4196">
            <w:pPr>
              <w:jc w:val="right"/>
              <w:textAlignment w:val="bottom"/>
            </w:pPr>
            <w:r>
              <w:rPr>
                <w:rFonts w:ascii="Arial" w:eastAsia="宋体" w:hAnsi="Arial" w:cs="Arial"/>
                <w:color w:val="000000"/>
                <w:sz w:val="18"/>
                <w:szCs w:val="18"/>
              </w:rPr>
              <w:t>454 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5A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5A9"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5A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5AB" w14:textId="77777777" w:rsidR="00A91885" w:rsidRDefault="009C4196">
            <w:pPr>
              <w:jc w:val="right"/>
              <w:textAlignment w:val="bottom"/>
            </w:pPr>
            <w:r>
              <w:rPr>
                <w:rFonts w:ascii="Arial" w:eastAsia="宋体" w:hAnsi="Arial" w:cs="Arial"/>
                <w:color w:val="000000"/>
                <w:sz w:val="18"/>
                <w:szCs w:val="18"/>
              </w:rPr>
              <w:t>553 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5AC" w14:textId="77777777" w:rsidR="00A91885" w:rsidRDefault="00A91885">
            <w:pPr>
              <w:jc w:val="right"/>
              <w:rPr>
                <w:rFonts w:ascii="宋体"/>
              </w:rPr>
            </w:pPr>
          </w:p>
        </w:tc>
      </w:tr>
      <w:tr w:rsidR="00A91885" w14:paraId="186005B4" w14:textId="77777777">
        <w:trPr>
          <w:trHeight w:val="280"/>
        </w:trPr>
        <w:tc>
          <w:tcPr>
            <w:tcW w:w="0" w:type="auto"/>
            <w:gridSpan w:val="3"/>
            <w:shd w:val="clear" w:color="auto" w:fill="FFFFFF"/>
            <w:tcMar>
              <w:top w:w="0" w:type="dxa"/>
              <w:left w:w="20" w:type="dxa"/>
              <w:bottom w:w="0" w:type="dxa"/>
              <w:right w:w="20" w:type="dxa"/>
            </w:tcMar>
            <w:vAlign w:val="bottom"/>
          </w:tcPr>
          <w:p w14:paraId="186005A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5A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5B0"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6005B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5B2"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6005B3" w14:textId="77777777" w:rsidR="00A91885" w:rsidRDefault="00A91885">
            <w:pPr>
              <w:rPr>
                <w:rFonts w:ascii="宋体"/>
              </w:rPr>
            </w:pPr>
          </w:p>
        </w:tc>
      </w:tr>
      <w:tr w:rsidR="00A91885" w14:paraId="186005BB" w14:textId="77777777">
        <w:tc>
          <w:tcPr>
            <w:tcW w:w="0" w:type="auto"/>
            <w:gridSpan w:val="3"/>
            <w:shd w:val="clear" w:color="auto" w:fill="E2E2E2"/>
            <w:tcMar>
              <w:top w:w="40" w:type="dxa"/>
              <w:left w:w="20" w:type="dxa"/>
              <w:bottom w:w="40" w:type="dxa"/>
              <w:right w:w="20" w:type="dxa"/>
            </w:tcMar>
            <w:vAlign w:val="bottom"/>
          </w:tcPr>
          <w:p w14:paraId="186005B5" w14:textId="77777777" w:rsidR="00A91885" w:rsidRDefault="009C4196">
            <w:pPr>
              <w:textAlignment w:val="bottom"/>
            </w:pPr>
            <w:r>
              <w:rPr>
                <w:rFonts w:ascii="Arial" w:eastAsia="宋体" w:hAnsi="Arial" w:cs="Arial"/>
                <w:b/>
                <w:bCs/>
                <w:color w:val="000000"/>
                <w:sz w:val="18"/>
                <w:szCs w:val="18"/>
              </w:rPr>
              <w:t>Derivative Liabilities:</w:t>
            </w:r>
          </w:p>
        </w:tc>
        <w:tc>
          <w:tcPr>
            <w:tcW w:w="0" w:type="auto"/>
            <w:gridSpan w:val="3"/>
            <w:shd w:val="clear" w:color="auto" w:fill="E2E2E2"/>
            <w:tcMar>
              <w:top w:w="0" w:type="dxa"/>
              <w:left w:w="20" w:type="dxa"/>
              <w:bottom w:w="0" w:type="dxa"/>
              <w:right w:w="20" w:type="dxa"/>
            </w:tcMar>
            <w:vAlign w:val="bottom"/>
          </w:tcPr>
          <w:p w14:paraId="186005B6"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5B7"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5B8"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5B9"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5BA" w14:textId="77777777" w:rsidR="00A91885" w:rsidRDefault="00A91885">
            <w:pPr>
              <w:rPr>
                <w:rFonts w:ascii="宋体"/>
              </w:rPr>
            </w:pPr>
          </w:p>
        </w:tc>
      </w:tr>
      <w:tr w:rsidR="00A91885" w14:paraId="186005C6" w14:textId="77777777">
        <w:tc>
          <w:tcPr>
            <w:tcW w:w="0" w:type="auto"/>
            <w:gridSpan w:val="3"/>
            <w:shd w:val="clear" w:color="auto" w:fill="FFFFFF"/>
            <w:tcMar>
              <w:top w:w="40" w:type="dxa"/>
              <w:left w:w="20" w:type="dxa"/>
              <w:bottom w:w="40" w:type="dxa"/>
              <w:right w:w="20" w:type="dxa"/>
            </w:tcMar>
            <w:vAlign w:val="bottom"/>
          </w:tcPr>
          <w:p w14:paraId="186005BC" w14:textId="77777777" w:rsidR="00A91885" w:rsidRDefault="009C4196">
            <w:pPr>
              <w:textAlignment w:val="bottom"/>
            </w:pPr>
            <w:r>
              <w:rPr>
                <w:rFonts w:ascii="Arial" w:eastAsia="宋体" w:hAnsi="Arial" w:cs="Arial"/>
                <w:color w:val="000000"/>
                <w:sz w:val="18"/>
                <w:szCs w:val="18"/>
              </w:rPr>
              <w:t>Foreign exchange contracts designated as cash flow hedges</w:t>
            </w:r>
          </w:p>
        </w:tc>
        <w:tc>
          <w:tcPr>
            <w:tcW w:w="0" w:type="auto"/>
            <w:gridSpan w:val="3"/>
            <w:shd w:val="clear" w:color="auto" w:fill="FFFFFF"/>
            <w:tcMar>
              <w:top w:w="40" w:type="dxa"/>
              <w:left w:w="20" w:type="dxa"/>
              <w:bottom w:w="40" w:type="dxa"/>
              <w:right w:w="20" w:type="dxa"/>
            </w:tcMar>
            <w:vAlign w:val="bottom"/>
          </w:tcPr>
          <w:p w14:paraId="186005BD" w14:textId="77777777" w:rsidR="00A91885" w:rsidRDefault="009C4196">
            <w:pPr>
              <w:jc w:val="right"/>
              <w:textAlignment w:val="bottom"/>
            </w:pPr>
            <w:r>
              <w:rPr>
                <w:rFonts w:ascii="Arial" w:eastAsia="宋体" w:hAnsi="Arial" w:cs="Arial"/>
                <w:color w:val="000000"/>
                <w:sz w:val="18"/>
                <w:szCs w:val="18"/>
              </w:rPr>
              <w:t>Other current liabilities</w:t>
            </w:r>
          </w:p>
        </w:tc>
        <w:tc>
          <w:tcPr>
            <w:tcW w:w="0" w:type="auto"/>
            <w:gridSpan w:val="3"/>
            <w:shd w:val="clear" w:color="auto" w:fill="FFFFFF"/>
            <w:tcMar>
              <w:top w:w="0" w:type="dxa"/>
              <w:left w:w="20" w:type="dxa"/>
              <w:bottom w:w="0" w:type="dxa"/>
              <w:right w:w="20" w:type="dxa"/>
            </w:tcMar>
            <w:vAlign w:val="bottom"/>
          </w:tcPr>
          <w:p w14:paraId="186005BE"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05BF"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05C0" w14:textId="77777777" w:rsidR="00A91885" w:rsidRDefault="009C4196">
            <w:pPr>
              <w:jc w:val="right"/>
              <w:textAlignment w:val="bottom"/>
            </w:pPr>
            <w:r>
              <w:rPr>
                <w:rFonts w:ascii="Arial" w:eastAsia="宋体" w:hAnsi="Arial" w:cs="Arial"/>
                <w:color w:val="000000"/>
                <w:sz w:val="18"/>
                <w:szCs w:val="18"/>
              </w:rPr>
              <w:t>36 </w:t>
            </w:r>
          </w:p>
        </w:tc>
        <w:tc>
          <w:tcPr>
            <w:tcW w:w="0" w:type="auto"/>
            <w:shd w:val="clear" w:color="auto" w:fill="FFFFFF"/>
            <w:tcMar>
              <w:top w:w="40" w:type="dxa"/>
              <w:left w:w="0" w:type="dxa"/>
              <w:bottom w:w="40" w:type="dxa"/>
              <w:right w:w="20" w:type="dxa"/>
            </w:tcMar>
            <w:vAlign w:val="bottom"/>
          </w:tcPr>
          <w:p w14:paraId="186005C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5C2"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05C3"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05C4"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5C5" w14:textId="77777777" w:rsidR="00A91885" w:rsidRDefault="00A91885">
            <w:pPr>
              <w:jc w:val="right"/>
              <w:rPr>
                <w:rFonts w:ascii="宋体"/>
              </w:rPr>
            </w:pPr>
          </w:p>
        </w:tc>
      </w:tr>
      <w:tr w:rsidR="00A91885" w14:paraId="186005CD" w14:textId="77777777">
        <w:trPr>
          <w:hidden/>
        </w:trPr>
        <w:tc>
          <w:tcPr>
            <w:tcW w:w="0" w:type="auto"/>
            <w:gridSpan w:val="3"/>
            <w:shd w:val="clear" w:color="auto" w:fill="auto"/>
            <w:vAlign w:val="bottom"/>
          </w:tcPr>
          <w:p w14:paraId="186005C7" w14:textId="77777777" w:rsidR="00A91885" w:rsidRDefault="00A91885">
            <w:pPr>
              <w:rPr>
                <w:rFonts w:ascii="宋体"/>
                <w:vanish/>
              </w:rPr>
            </w:pPr>
          </w:p>
        </w:tc>
        <w:tc>
          <w:tcPr>
            <w:tcW w:w="0" w:type="auto"/>
            <w:gridSpan w:val="3"/>
            <w:shd w:val="clear" w:color="auto" w:fill="auto"/>
            <w:vAlign w:val="bottom"/>
          </w:tcPr>
          <w:p w14:paraId="186005C8" w14:textId="77777777" w:rsidR="00A91885" w:rsidRDefault="00A91885">
            <w:pPr>
              <w:rPr>
                <w:rFonts w:ascii="宋体"/>
                <w:vanish/>
              </w:rPr>
            </w:pPr>
          </w:p>
        </w:tc>
        <w:tc>
          <w:tcPr>
            <w:tcW w:w="0" w:type="auto"/>
            <w:gridSpan w:val="3"/>
            <w:shd w:val="clear" w:color="auto" w:fill="auto"/>
            <w:vAlign w:val="bottom"/>
          </w:tcPr>
          <w:p w14:paraId="186005C9" w14:textId="77777777" w:rsidR="00A91885" w:rsidRDefault="00A91885">
            <w:pPr>
              <w:rPr>
                <w:rFonts w:ascii="宋体"/>
                <w:vanish/>
              </w:rPr>
            </w:pPr>
          </w:p>
        </w:tc>
        <w:tc>
          <w:tcPr>
            <w:tcW w:w="0" w:type="auto"/>
            <w:gridSpan w:val="3"/>
            <w:shd w:val="clear" w:color="auto" w:fill="auto"/>
            <w:vAlign w:val="bottom"/>
          </w:tcPr>
          <w:p w14:paraId="186005CA" w14:textId="77777777" w:rsidR="00A91885" w:rsidRDefault="00A91885">
            <w:pPr>
              <w:rPr>
                <w:rFonts w:ascii="宋体"/>
                <w:vanish/>
              </w:rPr>
            </w:pPr>
          </w:p>
        </w:tc>
        <w:tc>
          <w:tcPr>
            <w:tcW w:w="0" w:type="auto"/>
            <w:gridSpan w:val="3"/>
            <w:shd w:val="clear" w:color="auto" w:fill="auto"/>
            <w:vAlign w:val="bottom"/>
          </w:tcPr>
          <w:p w14:paraId="186005CB" w14:textId="77777777" w:rsidR="00A91885" w:rsidRDefault="00A91885">
            <w:pPr>
              <w:rPr>
                <w:rFonts w:ascii="宋体"/>
                <w:vanish/>
              </w:rPr>
            </w:pPr>
          </w:p>
        </w:tc>
        <w:tc>
          <w:tcPr>
            <w:tcW w:w="0" w:type="auto"/>
            <w:gridSpan w:val="3"/>
            <w:shd w:val="clear" w:color="auto" w:fill="auto"/>
            <w:vAlign w:val="bottom"/>
          </w:tcPr>
          <w:p w14:paraId="186005CC" w14:textId="77777777" w:rsidR="00A91885" w:rsidRDefault="00A91885">
            <w:pPr>
              <w:rPr>
                <w:rFonts w:ascii="宋体"/>
                <w:vanish/>
              </w:rPr>
            </w:pPr>
          </w:p>
        </w:tc>
      </w:tr>
      <w:tr w:rsidR="00A91885" w14:paraId="186005D4" w14:textId="77777777">
        <w:trPr>
          <w:hidden/>
        </w:trPr>
        <w:tc>
          <w:tcPr>
            <w:tcW w:w="0" w:type="auto"/>
            <w:gridSpan w:val="3"/>
            <w:shd w:val="clear" w:color="auto" w:fill="auto"/>
            <w:vAlign w:val="bottom"/>
          </w:tcPr>
          <w:p w14:paraId="186005CE" w14:textId="77777777" w:rsidR="00A91885" w:rsidRDefault="00A91885">
            <w:pPr>
              <w:rPr>
                <w:rFonts w:ascii="宋体"/>
                <w:vanish/>
              </w:rPr>
            </w:pPr>
          </w:p>
        </w:tc>
        <w:tc>
          <w:tcPr>
            <w:tcW w:w="0" w:type="auto"/>
            <w:gridSpan w:val="3"/>
            <w:shd w:val="clear" w:color="auto" w:fill="auto"/>
            <w:vAlign w:val="bottom"/>
          </w:tcPr>
          <w:p w14:paraId="186005CF" w14:textId="77777777" w:rsidR="00A91885" w:rsidRDefault="00A91885">
            <w:pPr>
              <w:rPr>
                <w:rFonts w:ascii="宋体"/>
                <w:vanish/>
              </w:rPr>
            </w:pPr>
          </w:p>
        </w:tc>
        <w:tc>
          <w:tcPr>
            <w:tcW w:w="0" w:type="auto"/>
            <w:gridSpan w:val="3"/>
            <w:shd w:val="clear" w:color="auto" w:fill="auto"/>
            <w:vAlign w:val="bottom"/>
          </w:tcPr>
          <w:p w14:paraId="186005D0" w14:textId="77777777" w:rsidR="00A91885" w:rsidRDefault="00A91885">
            <w:pPr>
              <w:rPr>
                <w:rFonts w:ascii="宋体"/>
                <w:vanish/>
              </w:rPr>
            </w:pPr>
          </w:p>
        </w:tc>
        <w:tc>
          <w:tcPr>
            <w:tcW w:w="0" w:type="auto"/>
            <w:gridSpan w:val="3"/>
            <w:shd w:val="clear" w:color="auto" w:fill="auto"/>
            <w:vAlign w:val="bottom"/>
          </w:tcPr>
          <w:p w14:paraId="186005D1" w14:textId="77777777" w:rsidR="00A91885" w:rsidRDefault="00A91885">
            <w:pPr>
              <w:rPr>
                <w:rFonts w:ascii="宋体"/>
                <w:vanish/>
              </w:rPr>
            </w:pPr>
          </w:p>
        </w:tc>
        <w:tc>
          <w:tcPr>
            <w:tcW w:w="0" w:type="auto"/>
            <w:gridSpan w:val="3"/>
            <w:shd w:val="clear" w:color="auto" w:fill="auto"/>
            <w:vAlign w:val="bottom"/>
          </w:tcPr>
          <w:p w14:paraId="186005D2" w14:textId="77777777" w:rsidR="00A91885" w:rsidRDefault="00A91885">
            <w:pPr>
              <w:rPr>
                <w:rFonts w:ascii="宋体"/>
                <w:vanish/>
              </w:rPr>
            </w:pPr>
          </w:p>
        </w:tc>
        <w:tc>
          <w:tcPr>
            <w:tcW w:w="0" w:type="auto"/>
            <w:gridSpan w:val="3"/>
            <w:shd w:val="clear" w:color="auto" w:fill="auto"/>
            <w:vAlign w:val="bottom"/>
          </w:tcPr>
          <w:p w14:paraId="186005D3" w14:textId="77777777" w:rsidR="00A91885" w:rsidRDefault="00A91885">
            <w:pPr>
              <w:rPr>
                <w:rFonts w:ascii="宋体"/>
                <w:vanish/>
              </w:rPr>
            </w:pPr>
          </w:p>
        </w:tc>
      </w:tr>
      <w:tr w:rsidR="00A91885" w14:paraId="186005DD" w14:textId="77777777">
        <w:tc>
          <w:tcPr>
            <w:tcW w:w="0" w:type="auto"/>
            <w:gridSpan w:val="3"/>
            <w:shd w:val="clear" w:color="auto" w:fill="E2E2E2"/>
            <w:tcMar>
              <w:top w:w="40" w:type="dxa"/>
              <w:left w:w="20" w:type="dxa"/>
              <w:bottom w:w="40" w:type="dxa"/>
              <w:right w:w="20" w:type="dxa"/>
            </w:tcMar>
            <w:vAlign w:val="bottom"/>
          </w:tcPr>
          <w:p w14:paraId="186005D5" w14:textId="77777777" w:rsidR="00A91885" w:rsidRDefault="009C4196">
            <w:pPr>
              <w:textAlignment w:val="bottom"/>
            </w:pPr>
            <w:r>
              <w:rPr>
                <w:rFonts w:ascii="Arial" w:eastAsia="宋体" w:hAnsi="Arial" w:cs="Arial"/>
                <w:color w:val="000000"/>
                <w:sz w:val="18"/>
                <w:szCs w:val="18"/>
              </w:rPr>
              <w:t>Foreign exchange contracts not designated as hedging instruments</w:t>
            </w:r>
          </w:p>
        </w:tc>
        <w:tc>
          <w:tcPr>
            <w:tcW w:w="0" w:type="auto"/>
            <w:gridSpan w:val="3"/>
            <w:shd w:val="clear" w:color="auto" w:fill="E2E2E2"/>
            <w:tcMar>
              <w:top w:w="40" w:type="dxa"/>
              <w:left w:w="20" w:type="dxa"/>
              <w:bottom w:w="40" w:type="dxa"/>
              <w:right w:w="20" w:type="dxa"/>
            </w:tcMar>
            <w:vAlign w:val="bottom"/>
          </w:tcPr>
          <w:p w14:paraId="186005D6" w14:textId="77777777" w:rsidR="00A91885" w:rsidRDefault="009C4196">
            <w:pPr>
              <w:jc w:val="right"/>
              <w:textAlignment w:val="bottom"/>
            </w:pPr>
            <w:r>
              <w:rPr>
                <w:rFonts w:ascii="Arial" w:eastAsia="宋体" w:hAnsi="Arial" w:cs="Arial"/>
                <w:color w:val="000000"/>
                <w:sz w:val="18"/>
                <w:szCs w:val="18"/>
              </w:rPr>
              <w:t>Other current liabilities</w:t>
            </w:r>
          </w:p>
        </w:tc>
        <w:tc>
          <w:tcPr>
            <w:tcW w:w="0" w:type="auto"/>
            <w:gridSpan w:val="3"/>
            <w:shd w:val="clear" w:color="auto" w:fill="E2E2E2"/>
            <w:tcMar>
              <w:top w:w="0" w:type="dxa"/>
              <w:left w:w="20" w:type="dxa"/>
              <w:bottom w:w="0" w:type="dxa"/>
              <w:right w:w="20" w:type="dxa"/>
            </w:tcMar>
            <w:vAlign w:val="bottom"/>
          </w:tcPr>
          <w:p w14:paraId="186005D7"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5D8"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5D9"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5DA"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5DB" w14:textId="77777777" w:rsidR="00A91885" w:rsidRDefault="009C4196">
            <w:pPr>
              <w:jc w:val="right"/>
              <w:textAlignment w:val="bottom"/>
            </w:pPr>
            <w:r>
              <w:rPr>
                <w:rFonts w:ascii="Arial" w:eastAsia="宋体" w:hAnsi="Arial" w:cs="Arial"/>
                <w:color w:val="000000"/>
                <w:sz w:val="18"/>
                <w:szCs w:val="18"/>
              </w:rPr>
              <w:t>17 </w:t>
            </w:r>
          </w:p>
        </w:tc>
        <w:tc>
          <w:tcPr>
            <w:tcW w:w="0" w:type="auto"/>
            <w:shd w:val="clear" w:color="auto" w:fill="E2E2E2"/>
            <w:tcMar>
              <w:top w:w="40" w:type="dxa"/>
              <w:left w:w="0" w:type="dxa"/>
              <w:bottom w:w="40" w:type="dxa"/>
              <w:right w:w="20" w:type="dxa"/>
            </w:tcMar>
            <w:vAlign w:val="bottom"/>
          </w:tcPr>
          <w:p w14:paraId="186005DC" w14:textId="77777777" w:rsidR="00A91885" w:rsidRDefault="00A91885">
            <w:pPr>
              <w:jc w:val="right"/>
              <w:rPr>
                <w:rFonts w:ascii="宋体"/>
              </w:rPr>
            </w:pPr>
          </w:p>
        </w:tc>
      </w:tr>
      <w:tr w:rsidR="00A91885" w14:paraId="186005E4" w14:textId="77777777">
        <w:trPr>
          <w:hidden/>
        </w:trPr>
        <w:tc>
          <w:tcPr>
            <w:tcW w:w="0" w:type="auto"/>
            <w:gridSpan w:val="3"/>
            <w:shd w:val="clear" w:color="auto" w:fill="auto"/>
            <w:vAlign w:val="bottom"/>
          </w:tcPr>
          <w:p w14:paraId="186005DE" w14:textId="77777777" w:rsidR="00A91885" w:rsidRDefault="00A91885">
            <w:pPr>
              <w:rPr>
                <w:rFonts w:ascii="宋体"/>
                <w:vanish/>
              </w:rPr>
            </w:pPr>
          </w:p>
        </w:tc>
        <w:tc>
          <w:tcPr>
            <w:tcW w:w="0" w:type="auto"/>
            <w:gridSpan w:val="3"/>
            <w:shd w:val="clear" w:color="auto" w:fill="auto"/>
            <w:vAlign w:val="bottom"/>
          </w:tcPr>
          <w:p w14:paraId="186005DF" w14:textId="77777777" w:rsidR="00A91885" w:rsidRDefault="00A91885">
            <w:pPr>
              <w:rPr>
                <w:rFonts w:ascii="宋体"/>
                <w:vanish/>
              </w:rPr>
            </w:pPr>
          </w:p>
        </w:tc>
        <w:tc>
          <w:tcPr>
            <w:tcW w:w="0" w:type="auto"/>
            <w:gridSpan w:val="3"/>
            <w:shd w:val="clear" w:color="auto" w:fill="auto"/>
            <w:vAlign w:val="bottom"/>
          </w:tcPr>
          <w:p w14:paraId="186005E0" w14:textId="77777777" w:rsidR="00A91885" w:rsidRDefault="00A91885">
            <w:pPr>
              <w:rPr>
                <w:rFonts w:ascii="宋体"/>
                <w:vanish/>
              </w:rPr>
            </w:pPr>
          </w:p>
        </w:tc>
        <w:tc>
          <w:tcPr>
            <w:tcW w:w="0" w:type="auto"/>
            <w:gridSpan w:val="3"/>
            <w:shd w:val="clear" w:color="auto" w:fill="auto"/>
            <w:vAlign w:val="bottom"/>
          </w:tcPr>
          <w:p w14:paraId="186005E1" w14:textId="77777777" w:rsidR="00A91885" w:rsidRDefault="00A91885">
            <w:pPr>
              <w:rPr>
                <w:rFonts w:ascii="宋体"/>
                <w:vanish/>
              </w:rPr>
            </w:pPr>
          </w:p>
        </w:tc>
        <w:tc>
          <w:tcPr>
            <w:tcW w:w="0" w:type="auto"/>
            <w:gridSpan w:val="3"/>
            <w:shd w:val="clear" w:color="auto" w:fill="auto"/>
            <w:vAlign w:val="bottom"/>
          </w:tcPr>
          <w:p w14:paraId="186005E2" w14:textId="77777777" w:rsidR="00A91885" w:rsidRDefault="00A91885">
            <w:pPr>
              <w:rPr>
                <w:rFonts w:ascii="宋体"/>
                <w:vanish/>
              </w:rPr>
            </w:pPr>
          </w:p>
        </w:tc>
        <w:tc>
          <w:tcPr>
            <w:tcW w:w="0" w:type="auto"/>
            <w:gridSpan w:val="3"/>
            <w:shd w:val="clear" w:color="auto" w:fill="auto"/>
            <w:vAlign w:val="bottom"/>
          </w:tcPr>
          <w:p w14:paraId="186005E3" w14:textId="77777777" w:rsidR="00A91885" w:rsidRDefault="00A91885">
            <w:pPr>
              <w:rPr>
                <w:rFonts w:ascii="宋体"/>
                <w:vanish/>
              </w:rPr>
            </w:pPr>
          </w:p>
        </w:tc>
      </w:tr>
      <w:tr w:rsidR="00A91885" w14:paraId="186005EB" w14:textId="77777777">
        <w:trPr>
          <w:hidden/>
        </w:trPr>
        <w:tc>
          <w:tcPr>
            <w:tcW w:w="0" w:type="auto"/>
            <w:gridSpan w:val="3"/>
            <w:shd w:val="clear" w:color="auto" w:fill="auto"/>
            <w:vAlign w:val="bottom"/>
          </w:tcPr>
          <w:p w14:paraId="186005E5" w14:textId="77777777" w:rsidR="00A91885" w:rsidRDefault="00A91885">
            <w:pPr>
              <w:rPr>
                <w:rFonts w:ascii="宋体"/>
                <w:vanish/>
              </w:rPr>
            </w:pPr>
          </w:p>
        </w:tc>
        <w:tc>
          <w:tcPr>
            <w:tcW w:w="0" w:type="auto"/>
            <w:gridSpan w:val="3"/>
            <w:shd w:val="clear" w:color="auto" w:fill="auto"/>
            <w:vAlign w:val="bottom"/>
          </w:tcPr>
          <w:p w14:paraId="186005E6" w14:textId="77777777" w:rsidR="00A91885" w:rsidRDefault="00A91885">
            <w:pPr>
              <w:rPr>
                <w:rFonts w:ascii="宋体"/>
                <w:vanish/>
              </w:rPr>
            </w:pPr>
          </w:p>
        </w:tc>
        <w:tc>
          <w:tcPr>
            <w:tcW w:w="0" w:type="auto"/>
            <w:gridSpan w:val="3"/>
            <w:shd w:val="clear" w:color="auto" w:fill="auto"/>
            <w:vAlign w:val="bottom"/>
          </w:tcPr>
          <w:p w14:paraId="186005E7" w14:textId="77777777" w:rsidR="00A91885" w:rsidRDefault="00A91885">
            <w:pPr>
              <w:rPr>
                <w:rFonts w:ascii="宋体"/>
                <w:vanish/>
              </w:rPr>
            </w:pPr>
          </w:p>
        </w:tc>
        <w:tc>
          <w:tcPr>
            <w:tcW w:w="0" w:type="auto"/>
            <w:gridSpan w:val="3"/>
            <w:shd w:val="clear" w:color="auto" w:fill="auto"/>
            <w:vAlign w:val="bottom"/>
          </w:tcPr>
          <w:p w14:paraId="186005E8" w14:textId="77777777" w:rsidR="00A91885" w:rsidRDefault="00A91885">
            <w:pPr>
              <w:rPr>
                <w:rFonts w:ascii="宋体"/>
                <w:vanish/>
              </w:rPr>
            </w:pPr>
          </w:p>
        </w:tc>
        <w:tc>
          <w:tcPr>
            <w:tcW w:w="0" w:type="auto"/>
            <w:gridSpan w:val="3"/>
            <w:shd w:val="clear" w:color="auto" w:fill="auto"/>
            <w:vAlign w:val="bottom"/>
          </w:tcPr>
          <w:p w14:paraId="186005E9" w14:textId="77777777" w:rsidR="00A91885" w:rsidRDefault="00A91885">
            <w:pPr>
              <w:rPr>
                <w:rFonts w:ascii="宋体"/>
                <w:vanish/>
              </w:rPr>
            </w:pPr>
          </w:p>
        </w:tc>
        <w:tc>
          <w:tcPr>
            <w:tcW w:w="0" w:type="auto"/>
            <w:gridSpan w:val="3"/>
            <w:shd w:val="clear" w:color="auto" w:fill="auto"/>
            <w:vAlign w:val="bottom"/>
          </w:tcPr>
          <w:p w14:paraId="186005EA" w14:textId="77777777" w:rsidR="00A91885" w:rsidRDefault="00A91885">
            <w:pPr>
              <w:rPr>
                <w:rFonts w:ascii="宋体"/>
                <w:vanish/>
              </w:rPr>
            </w:pPr>
          </w:p>
        </w:tc>
      </w:tr>
      <w:tr w:rsidR="00A91885" w14:paraId="186005F2" w14:textId="77777777">
        <w:trPr>
          <w:hidden/>
        </w:trPr>
        <w:tc>
          <w:tcPr>
            <w:tcW w:w="0" w:type="auto"/>
            <w:gridSpan w:val="3"/>
            <w:shd w:val="clear" w:color="auto" w:fill="auto"/>
            <w:vAlign w:val="bottom"/>
          </w:tcPr>
          <w:p w14:paraId="186005EC" w14:textId="77777777" w:rsidR="00A91885" w:rsidRDefault="00A91885">
            <w:pPr>
              <w:rPr>
                <w:rFonts w:ascii="宋体"/>
                <w:vanish/>
              </w:rPr>
            </w:pPr>
          </w:p>
        </w:tc>
        <w:tc>
          <w:tcPr>
            <w:tcW w:w="0" w:type="auto"/>
            <w:gridSpan w:val="3"/>
            <w:shd w:val="clear" w:color="auto" w:fill="auto"/>
            <w:vAlign w:val="bottom"/>
          </w:tcPr>
          <w:p w14:paraId="186005ED" w14:textId="77777777" w:rsidR="00A91885" w:rsidRDefault="00A91885">
            <w:pPr>
              <w:rPr>
                <w:rFonts w:ascii="宋体"/>
                <w:vanish/>
              </w:rPr>
            </w:pPr>
          </w:p>
        </w:tc>
        <w:tc>
          <w:tcPr>
            <w:tcW w:w="0" w:type="auto"/>
            <w:gridSpan w:val="3"/>
            <w:shd w:val="clear" w:color="auto" w:fill="auto"/>
            <w:vAlign w:val="bottom"/>
          </w:tcPr>
          <w:p w14:paraId="186005EE" w14:textId="77777777" w:rsidR="00A91885" w:rsidRDefault="00A91885">
            <w:pPr>
              <w:rPr>
                <w:rFonts w:ascii="宋体"/>
                <w:vanish/>
              </w:rPr>
            </w:pPr>
          </w:p>
        </w:tc>
        <w:tc>
          <w:tcPr>
            <w:tcW w:w="0" w:type="auto"/>
            <w:gridSpan w:val="3"/>
            <w:shd w:val="clear" w:color="auto" w:fill="auto"/>
            <w:vAlign w:val="bottom"/>
          </w:tcPr>
          <w:p w14:paraId="186005EF" w14:textId="77777777" w:rsidR="00A91885" w:rsidRDefault="00A91885">
            <w:pPr>
              <w:rPr>
                <w:rFonts w:ascii="宋体"/>
                <w:vanish/>
              </w:rPr>
            </w:pPr>
          </w:p>
        </w:tc>
        <w:tc>
          <w:tcPr>
            <w:tcW w:w="0" w:type="auto"/>
            <w:gridSpan w:val="3"/>
            <w:shd w:val="clear" w:color="auto" w:fill="auto"/>
            <w:vAlign w:val="bottom"/>
          </w:tcPr>
          <w:p w14:paraId="186005F0" w14:textId="77777777" w:rsidR="00A91885" w:rsidRDefault="00A91885">
            <w:pPr>
              <w:rPr>
                <w:rFonts w:ascii="宋体"/>
                <w:vanish/>
              </w:rPr>
            </w:pPr>
          </w:p>
        </w:tc>
        <w:tc>
          <w:tcPr>
            <w:tcW w:w="0" w:type="auto"/>
            <w:gridSpan w:val="3"/>
            <w:shd w:val="clear" w:color="auto" w:fill="auto"/>
            <w:vAlign w:val="bottom"/>
          </w:tcPr>
          <w:p w14:paraId="186005F1" w14:textId="77777777" w:rsidR="00A91885" w:rsidRDefault="00A91885">
            <w:pPr>
              <w:rPr>
                <w:rFonts w:ascii="宋体"/>
                <w:vanish/>
              </w:rPr>
            </w:pPr>
          </w:p>
        </w:tc>
      </w:tr>
      <w:tr w:rsidR="00A91885" w14:paraId="186005F9" w14:textId="77777777">
        <w:trPr>
          <w:hidden/>
        </w:trPr>
        <w:tc>
          <w:tcPr>
            <w:tcW w:w="0" w:type="auto"/>
            <w:gridSpan w:val="3"/>
            <w:shd w:val="clear" w:color="auto" w:fill="auto"/>
            <w:vAlign w:val="bottom"/>
          </w:tcPr>
          <w:p w14:paraId="186005F3" w14:textId="77777777" w:rsidR="00A91885" w:rsidRDefault="00A91885">
            <w:pPr>
              <w:rPr>
                <w:rFonts w:ascii="宋体"/>
                <w:vanish/>
              </w:rPr>
            </w:pPr>
          </w:p>
        </w:tc>
        <w:tc>
          <w:tcPr>
            <w:tcW w:w="0" w:type="auto"/>
            <w:gridSpan w:val="3"/>
            <w:shd w:val="clear" w:color="auto" w:fill="auto"/>
            <w:vAlign w:val="bottom"/>
          </w:tcPr>
          <w:p w14:paraId="186005F4" w14:textId="77777777" w:rsidR="00A91885" w:rsidRDefault="00A91885">
            <w:pPr>
              <w:rPr>
                <w:rFonts w:ascii="宋体"/>
                <w:vanish/>
              </w:rPr>
            </w:pPr>
          </w:p>
        </w:tc>
        <w:tc>
          <w:tcPr>
            <w:tcW w:w="0" w:type="auto"/>
            <w:gridSpan w:val="3"/>
            <w:shd w:val="clear" w:color="auto" w:fill="auto"/>
            <w:vAlign w:val="bottom"/>
          </w:tcPr>
          <w:p w14:paraId="186005F5" w14:textId="77777777" w:rsidR="00A91885" w:rsidRDefault="00A91885">
            <w:pPr>
              <w:rPr>
                <w:rFonts w:ascii="宋体"/>
                <w:vanish/>
              </w:rPr>
            </w:pPr>
          </w:p>
        </w:tc>
        <w:tc>
          <w:tcPr>
            <w:tcW w:w="0" w:type="auto"/>
            <w:gridSpan w:val="3"/>
            <w:shd w:val="clear" w:color="auto" w:fill="auto"/>
            <w:vAlign w:val="bottom"/>
          </w:tcPr>
          <w:p w14:paraId="186005F6" w14:textId="77777777" w:rsidR="00A91885" w:rsidRDefault="00A91885">
            <w:pPr>
              <w:rPr>
                <w:rFonts w:ascii="宋体"/>
                <w:vanish/>
              </w:rPr>
            </w:pPr>
          </w:p>
        </w:tc>
        <w:tc>
          <w:tcPr>
            <w:tcW w:w="0" w:type="auto"/>
            <w:gridSpan w:val="3"/>
            <w:shd w:val="clear" w:color="auto" w:fill="auto"/>
            <w:vAlign w:val="bottom"/>
          </w:tcPr>
          <w:p w14:paraId="186005F7" w14:textId="77777777" w:rsidR="00A91885" w:rsidRDefault="00A91885">
            <w:pPr>
              <w:rPr>
                <w:rFonts w:ascii="宋体"/>
                <w:vanish/>
              </w:rPr>
            </w:pPr>
          </w:p>
        </w:tc>
        <w:tc>
          <w:tcPr>
            <w:tcW w:w="0" w:type="auto"/>
            <w:gridSpan w:val="3"/>
            <w:shd w:val="clear" w:color="auto" w:fill="auto"/>
            <w:vAlign w:val="bottom"/>
          </w:tcPr>
          <w:p w14:paraId="186005F8" w14:textId="77777777" w:rsidR="00A91885" w:rsidRDefault="00A91885">
            <w:pPr>
              <w:rPr>
                <w:rFonts w:ascii="宋体"/>
                <w:vanish/>
              </w:rPr>
            </w:pPr>
          </w:p>
        </w:tc>
      </w:tr>
      <w:tr w:rsidR="00A91885" w14:paraId="18600604" w14:textId="77777777">
        <w:tc>
          <w:tcPr>
            <w:tcW w:w="0" w:type="auto"/>
            <w:gridSpan w:val="3"/>
            <w:shd w:val="clear" w:color="auto" w:fill="FFFFFF"/>
            <w:tcMar>
              <w:top w:w="40" w:type="dxa"/>
              <w:left w:w="245" w:type="dxa"/>
              <w:bottom w:w="40" w:type="dxa"/>
              <w:right w:w="20" w:type="dxa"/>
            </w:tcMar>
            <w:vAlign w:val="bottom"/>
          </w:tcPr>
          <w:p w14:paraId="186005FA" w14:textId="77777777" w:rsidR="00A91885" w:rsidRDefault="009C4196">
            <w:pPr>
              <w:textAlignment w:val="bottom"/>
            </w:pPr>
            <w:r>
              <w:rPr>
                <w:rFonts w:ascii="Arial" w:eastAsia="宋体" w:hAnsi="Arial" w:cs="Arial"/>
                <w:color w:val="000000"/>
                <w:sz w:val="18"/>
                <w:szCs w:val="18"/>
              </w:rPr>
              <w:t>Total derivative liabilities</w:t>
            </w:r>
          </w:p>
        </w:tc>
        <w:tc>
          <w:tcPr>
            <w:tcW w:w="0" w:type="auto"/>
            <w:gridSpan w:val="3"/>
            <w:shd w:val="clear" w:color="auto" w:fill="FFFFFF"/>
            <w:tcMar>
              <w:top w:w="0" w:type="dxa"/>
              <w:left w:w="20" w:type="dxa"/>
              <w:bottom w:w="0" w:type="dxa"/>
              <w:right w:w="20" w:type="dxa"/>
            </w:tcMar>
            <w:vAlign w:val="bottom"/>
          </w:tcPr>
          <w:p w14:paraId="186005F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5FC"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6005F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6005FE" w14:textId="77777777" w:rsidR="00A91885" w:rsidRDefault="009C4196">
            <w:pPr>
              <w:jc w:val="right"/>
              <w:textAlignment w:val="bottom"/>
            </w:pPr>
            <w:r>
              <w:rPr>
                <w:rFonts w:ascii="Arial" w:eastAsia="宋体" w:hAnsi="Arial" w:cs="Arial"/>
                <w:color w:val="000000"/>
                <w:sz w:val="18"/>
                <w:szCs w:val="18"/>
              </w:rPr>
              <w:t>36 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5F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600"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60060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600602" w14:textId="77777777" w:rsidR="00A91885" w:rsidRDefault="009C4196">
            <w:pPr>
              <w:jc w:val="right"/>
              <w:textAlignment w:val="bottom"/>
            </w:pPr>
            <w:r>
              <w:rPr>
                <w:rFonts w:ascii="Arial" w:eastAsia="宋体" w:hAnsi="Arial" w:cs="Arial"/>
                <w:color w:val="000000"/>
                <w:sz w:val="18"/>
                <w:szCs w:val="18"/>
              </w:rPr>
              <w:t>17 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603" w14:textId="77777777" w:rsidR="00A91885" w:rsidRDefault="00A91885">
            <w:pPr>
              <w:jc w:val="right"/>
              <w:rPr>
                <w:rFonts w:ascii="宋体"/>
              </w:rPr>
            </w:pPr>
          </w:p>
        </w:tc>
      </w:tr>
      <w:tr w:rsidR="00A91885" w14:paraId="1860060B" w14:textId="77777777">
        <w:trPr>
          <w:trHeight w:val="280"/>
        </w:trPr>
        <w:tc>
          <w:tcPr>
            <w:tcW w:w="0" w:type="auto"/>
            <w:gridSpan w:val="3"/>
            <w:shd w:val="clear" w:color="auto" w:fill="E2E2E2"/>
            <w:tcMar>
              <w:top w:w="0" w:type="dxa"/>
              <w:left w:w="20" w:type="dxa"/>
              <w:bottom w:w="0" w:type="dxa"/>
              <w:right w:w="20" w:type="dxa"/>
            </w:tcMar>
            <w:vAlign w:val="bottom"/>
          </w:tcPr>
          <w:p w14:paraId="18600605"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606"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607"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600608"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609"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60060A" w14:textId="77777777" w:rsidR="00A91885" w:rsidRDefault="00A91885">
            <w:pPr>
              <w:rPr>
                <w:rFonts w:ascii="宋体"/>
              </w:rPr>
            </w:pPr>
          </w:p>
        </w:tc>
      </w:tr>
      <w:tr w:rsidR="00A91885" w14:paraId="18600616" w14:textId="77777777">
        <w:tc>
          <w:tcPr>
            <w:tcW w:w="0" w:type="auto"/>
            <w:gridSpan w:val="3"/>
            <w:shd w:val="clear" w:color="auto" w:fill="FFFFFF"/>
            <w:tcMar>
              <w:top w:w="40" w:type="dxa"/>
              <w:left w:w="245" w:type="dxa"/>
              <w:bottom w:w="40" w:type="dxa"/>
              <w:right w:w="20" w:type="dxa"/>
            </w:tcMar>
            <w:vAlign w:val="bottom"/>
          </w:tcPr>
          <w:p w14:paraId="1860060C" w14:textId="77777777" w:rsidR="00A91885" w:rsidRDefault="009C4196">
            <w:pPr>
              <w:textAlignment w:val="bottom"/>
            </w:pPr>
            <w:r>
              <w:rPr>
                <w:rFonts w:ascii="Arial" w:eastAsia="宋体" w:hAnsi="Arial" w:cs="Arial"/>
                <w:color w:val="000000"/>
                <w:sz w:val="18"/>
                <w:szCs w:val="18"/>
              </w:rPr>
              <w:t xml:space="preserve">Total fair value of derivative </w:t>
            </w:r>
            <w:r>
              <w:rPr>
                <w:rFonts w:ascii="Arial" w:eastAsia="宋体" w:hAnsi="Arial" w:cs="Arial"/>
                <w:color w:val="000000"/>
                <w:sz w:val="18"/>
                <w:szCs w:val="18"/>
              </w:rPr>
              <w:t>instruments</w:t>
            </w:r>
          </w:p>
        </w:tc>
        <w:tc>
          <w:tcPr>
            <w:tcW w:w="0" w:type="auto"/>
            <w:gridSpan w:val="3"/>
            <w:shd w:val="clear" w:color="auto" w:fill="FFFFFF"/>
            <w:tcMar>
              <w:top w:w="0" w:type="dxa"/>
              <w:left w:w="20" w:type="dxa"/>
              <w:bottom w:w="0" w:type="dxa"/>
              <w:right w:w="20" w:type="dxa"/>
            </w:tcMar>
            <w:vAlign w:val="bottom"/>
          </w:tcPr>
          <w:p w14:paraId="1860060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60E"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60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610" w14:textId="77777777" w:rsidR="00A91885" w:rsidRDefault="009C4196">
            <w:pPr>
              <w:jc w:val="right"/>
              <w:textAlignment w:val="bottom"/>
            </w:pPr>
            <w:r>
              <w:rPr>
                <w:rFonts w:ascii="Arial" w:eastAsia="宋体" w:hAnsi="Arial" w:cs="Arial"/>
                <w:color w:val="000000"/>
                <w:sz w:val="18"/>
                <w:szCs w:val="18"/>
              </w:rPr>
              <w:t>418 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61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612"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61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614" w14:textId="77777777" w:rsidR="00A91885" w:rsidRDefault="009C4196">
            <w:pPr>
              <w:jc w:val="right"/>
              <w:textAlignment w:val="bottom"/>
            </w:pPr>
            <w:r>
              <w:rPr>
                <w:rFonts w:ascii="Arial" w:eastAsia="宋体" w:hAnsi="Arial" w:cs="Arial"/>
                <w:color w:val="000000"/>
                <w:sz w:val="18"/>
                <w:szCs w:val="18"/>
              </w:rPr>
              <w:t>536 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615" w14:textId="77777777" w:rsidR="00A91885" w:rsidRDefault="00A91885">
            <w:pPr>
              <w:jc w:val="right"/>
              <w:rPr>
                <w:rFonts w:ascii="宋体"/>
              </w:rPr>
            </w:pPr>
          </w:p>
        </w:tc>
      </w:tr>
    </w:tbl>
    <w:p w14:paraId="18600617" w14:textId="77777777" w:rsidR="00A91885" w:rsidRDefault="00A91885"/>
    <w:p w14:paraId="18600618" w14:textId="77777777" w:rsidR="00A91885" w:rsidRDefault="009C4196">
      <w:pPr>
        <w:ind w:firstLine="540"/>
        <w:jc w:val="both"/>
      </w:pPr>
      <w:r>
        <w:rPr>
          <w:rFonts w:ascii="Arial" w:eastAsia="宋体" w:hAnsi="Arial" w:cs="Arial"/>
          <w:color w:val="000000"/>
          <w:sz w:val="20"/>
          <w:szCs w:val="20"/>
        </w:rPr>
        <w:t xml:space="preserve">Under </w:t>
      </w:r>
      <w:r>
        <w:rPr>
          <w:rFonts w:ascii="Arial" w:eastAsia="宋体" w:hAnsi="Arial" w:cs="Arial"/>
          <w:color w:val="000000"/>
          <w:sz w:val="20"/>
          <w:szCs w:val="20"/>
        </w:rPr>
        <w:t>the master netting agreements with the respective counterparties to our derivative contracts, subject to applicable requirements, we are allowed to net settle transactions of the same type with a single net amount payable by one party to the other. However</w:t>
      </w:r>
      <w:r>
        <w:rPr>
          <w:rFonts w:ascii="Arial" w:eastAsia="宋体" w:hAnsi="Arial" w:cs="Arial"/>
          <w:color w:val="000000"/>
          <w:sz w:val="20"/>
          <w:szCs w:val="20"/>
        </w:rPr>
        <w:t xml:space="preserve">, we have elected to present the derivative assets and derivative liabilities on a gross basis on our condensed consolidated balance sheet. As of June 30, 2022, the potential effect of rights of set-off associated with the foreign exchange contracts would </w:t>
      </w:r>
      <w:r>
        <w:rPr>
          <w:rFonts w:ascii="Arial" w:eastAsia="宋体" w:hAnsi="Arial" w:cs="Arial"/>
          <w:color w:val="000000"/>
          <w:sz w:val="20"/>
          <w:szCs w:val="20"/>
        </w:rPr>
        <w:t>be an offset to both assets and liabilities by $33 million, resulting in net derivative assets of $188 million and net derivative liabilities of $2 million. As of June 30, 2022, there was no potential effect of rights of set-off associated with the interes</w:t>
      </w:r>
      <w:r>
        <w:rPr>
          <w:rFonts w:ascii="Arial" w:eastAsia="宋体" w:hAnsi="Arial" w:cs="Arial"/>
          <w:color w:val="000000"/>
          <w:sz w:val="20"/>
          <w:szCs w:val="20"/>
        </w:rPr>
        <w:t xml:space="preserve">t rate contracts, as there were only asset positions of $7 million. </w:t>
      </w:r>
    </w:p>
    <w:p w14:paraId="18600619" w14:textId="77777777" w:rsidR="00A91885" w:rsidRDefault="00A91885"/>
    <w:p w14:paraId="1860061A" w14:textId="77777777" w:rsidR="00A91885" w:rsidRDefault="009C4196">
      <w:r>
        <w:rPr>
          <w:rFonts w:ascii="Arial" w:eastAsia="宋体" w:hAnsi="Arial" w:cs="Arial"/>
          <w:b/>
          <w:bCs/>
          <w:i/>
          <w:iCs/>
          <w:color w:val="000000"/>
          <w:sz w:val="20"/>
          <w:szCs w:val="20"/>
        </w:rPr>
        <w:t>Effect of Derivative Contracts on Accumulated Other Comprehensive Income</w:t>
      </w:r>
    </w:p>
    <w:p w14:paraId="1860061B" w14:textId="77777777" w:rsidR="00A91885" w:rsidRDefault="00A91885">
      <w:pPr>
        <w:ind w:firstLine="495"/>
      </w:pPr>
    </w:p>
    <w:p w14:paraId="1860061C" w14:textId="77777777" w:rsidR="00A91885" w:rsidRDefault="009C4196">
      <w:pPr>
        <w:spacing w:after="120"/>
        <w:ind w:firstLine="540"/>
        <w:jc w:val="both"/>
      </w:pPr>
      <w:r>
        <w:rPr>
          <w:rFonts w:ascii="Arial" w:eastAsia="宋体" w:hAnsi="Arial" w:cs="Arial"/>
          <w:color w:val="000000"/>
          <w:sz w:val="20"/>
          <w:szCs w:val="20"/>
        </w:rPr>
        <w:t>The following tables present the activity of derivative instruments designated as cash flow hedges as of June 30</w:t>
      </w:r>
      <w:r>
        <w:rPr>
          <w:rFonts w:ascii="Arial" w:eastAsia="宋体" w:hAnsi="Arial" w:cs="Arial"/>
          <w:color w:val="000000"/>
          <w:sz w:val="20"/>
          <w:szCs w:val="20"/>
        </w:rPr>
        <w:t>, 2022 and December 31, 2021, and the impact of these derivative contracts on AOCI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37"/>
        <w:gridCol w:w="2280"/>
        <w:gridCol w:w="36"/>
        <w:gridCol w:w="122"/>
        <w:gridCol w:w="887"/>
        <w:gridCol w:w="36"/>
        <w:gridCol w:w="36"/>
        <w:gridCol w:w="36"/>
        <w:gridCol w:w="36"/>
        <w:gridCol w:w="122"/>
        <w:gridCol w:w="1849"/>
        <w:gridCol w:w="36"/>
        <w:gridCol w:w="36"/>
        <w:gridCol w:w="36"/>
        <w:gridCol w:w="36"/>
        <w:gridCol w:w="122"/>
        <w:gridCol w:w="1401"/>
        <w:gridCol w:w="36"/>
        <w:gridCol w:w="36"/>
        <w:gridCol w:w="36"/>
        <w:gridCol w:w="36"/>
        <w:gridCol w:w="121"/>
        <w:gridCol w:w="891"/>
        <w:gridCol w:w="36"/>
      </w:tblGrid>
      <w:tr w:rsidR="00A91885" w14:paraId="18600635" w14:textId="77777777">
        <w:tc>
          <w:tcPr>
            <w:tcW w:w="50" w:type="pct"/>
            <w:shd w:val="clear" w:color="auto" w:fill="auto"/>
            <w:vAlign w:val="bottom"/>
          </w:tcPr>
          <w:p w14:paraId="1860061D" w14:textId="77777777" w:rsidR="00A91885" w:rsidRDefault="00A91885">
            <w:pPr>
              <w:rPr>
                <w:rFonts w:ascii="宋体"/>
              </w:rPr>
            </w:pPr>
          </w:p>
        </w:tc>
        <w:tc>
          <w:tcPr>
            <w:tcW w:w="1523" w:type="pct"/>
            <w:shd w:val="clear" w:color="auto" w:fill="auto"/>
            <w:vAlign w:val="bottom"/>
          </w:tcPr>
          <w:p w14:paraId="1860061E" w14:textId="77777777" w:rsidR="00A91885" w:rsidRDefault="00A91885">
            <w:pPr>
              <w:rPr>
                <w:rFonts w:ascii="宋体"/>
              </w:rPr>
            </w:pPr>
          </w:p>
        </w:tc>
        <w:tc>
          <w:tcPr>
            <w:tcW w:w="5" w:type="pct"/>
            <w:shd w:val="clear" w:color="auto" w:fill="auto"/>
            <w:vAlign w:val="bottom"/>
          </w:tcPr>
          <w:p w14:paraId="1860061F" w14:textId="77777777" w:rsidR="00A91885" w:rsidRDefault="00A91885">
            <w:pPr>
              <w:rPr>
                <w:rFonts w:ascii="宋体"/>
              </w:rPr>
            </w:pPr>
          </w:p>
        </w:tc>
        <w:tc>
          <w:tcPr>
            <w:tcW w:w="50" w:type="pct"/>
            <w:shd w:val="clear" w:color="auto" w:fill="auto"/>
            <w:vAlign w:val="bottom"/>
          </w:tcPr>
          <w:p w14:paraId="18600620" w14:textId="77777777" w:rsidR="00A91885" w:rsidRDefault="00A91885">
            <w:pPr>
              <w:rPr>
                <w:rFonts w:ascii="宋体"/>
              </w:rPr>
            </w:pPr>
          </w:p>
        </w:tc>
        <w:tc>
          <w:tcPr>
            <w:tcW w:w="624" w:type="pct"/>
            <w:shd w:val="clear" w:color="auto" w:fill="auto"/>
            <w:vAlign w:val="bottom"/>
          </w:tcPr>
          <w:p w14:paraId="18600621" w14:textId="77777777" w:rsidR="00A91885" w:rsidRDefault="00A91885">
            <w:pPr>
              <w:rPr>
                <w:rFonts w:ascii="宋体"/>
              </w:rPr>
            </w:pPr>
          </w:p>
        </w:tc>
        <w:tc>
          <w:tcPr>
            <w:tcW w:w="5" w:type="pct"/>
            <w:shd w:val="clear" w:color="auto" w:fill="auto"/>
            <w:vAlign w:val="bottom"/>
          </w:tcPr>
          <w:p w14:paraId="18600622" w14:textId="77777777" w:rsidR="00A91885" w:rsidRDefault="00A91885">
            <w:pPr>
              <w:rPr>
                <w:rFonts w:ascii="宋体"/>
              </w:rPr>
            </w:pPr>
          </w:p>
        </w:tc>
        <w:tc>
          <w:tcPr>
            <w:tcW w:w="5" w:type="pct"/>
            <w:shd w:val="clear" w:color="auto" w:fill="auto"/>
            <w:vAlign w:val="bottom"/>
          </w:tcPr>
          <w:p w14:paraId="18600623" w14:textId="77777777" w:rsidR="00A91885" w:rsidRDefault="00A91885">
            <w:pPr>
              <w:rPr>
                <w:rFonts w:ascii="宋体"/>
              </w:rPr>
            </w:pPr>
          </w:p>
        </w:tc>
        <w:tc>
          <w:tcPr>
            <w:tcW w:w="19" w:type="pct"/>
            <w:shd w:val="clear" w:color="auto" w:fill="auto"/>
            <w:vAlign w:val="bottom"/>
          </w:tcPr>
          <w:p w14:paraId="18600624" w14:textId="77777777" w:rsidR="00A91885" w:rsidRDefault="00A91885">
            <w:pPr>
              <w:rPr>
                <w:rFonts w:ascii="宋体"/>
              </w:rPr>
            </w:pPr>
          </w:p>
        </w:tc>
        <w:tc>
          <w:tcPr>
            <w:tcW w:w="5" w:type="pct"/>
            <w:shd w:val="clear" w:color="auto" w:fill="auto"/>
            <w:vAlign w:val="bottom"/>
          </w:tcPr>
          <w:p w14:paraId="18600625" w14:textId="77777777" w:rsidR="00A91885" w:rsidRDefault="00A91885">
            <w:pPr>
              <w:rPr>
                <w:rFonts w:ascii="宋体"/>
              </w:rPr>
            </w:pPr>
          </w:p>
        </w:tc>
        <w:tc>
          <w:tcPr>
            <w:tcW w:w="50" w:type="pct"/>
            <w:shd w:val="clear" w:color="auto" w:fill="auto"/>
            <w:vAlign w:val="bottom"/>
          </w:tcPr>
          <w:p w14:paraId="18600626" w14:textId="77777777" w:rsidR="00A91885" w:rsidRDefault="00A91885">
            <w:pPr>
              <w:rPr>
                <w:rFonts w:ascii="宋体"/>
              </w:rPr>
            </w:pPr>
          </w:p>
        </w:tc>
        <w:tc>
          <w:tcPr>
            <w:tcW w:w="931" w:type="pct"/>
            <w:shd w:val="clear" w:color="auto" w:fill="auto"/>
            <w:vAlign w:val="bottom"/>
          </w:tcPr>
          <w:p w14:paraId="18600627" w14:textId="77777777" w:rsidR="00A91885" w:rsidRDefault="00A91885">
            <w:pPr>
              <w:rPr>
                <w:rFonts w:ascii="宋体"/>
              </w:rPr>
            </w:pPr>
          </w:p>
        </w:tc>
        <w:tc>
          <w:tcPr>
            <w:tcW w:w="5" w:type="pct"/>
            <w:shd w:val="clear" w:color="auto" w:fill="auto"/>
            <w:vAlign w:val="bottom"/>
          </w:tcPr>
          <w:p w14:paraId="18600628" w14:textId="77777777" w:rsidR="00A91885" w:rsidRDefault="00A91885">
            <w:pPr>
              <w:rPr>
                <w:rFonts w:ascii="宋体"/>
              </w:rPr>
            </w:pPr>
          </w:p>
        </w:tc>
        <w:tc>
          <w:tcPr>
            <w:tcW w:w="5" w:type="pct"/>
            <w:shd w:val="clear" w:color="auto" w:fill="auto"/>
            <w:vAlign w:val="bottom"/>
          </w:tcPr>
          <w:p w14:paraId="18600629" w14:textId="77777777" w:rsidR="00A91885" w:rsidRDefault="00A91885">
            <w:pPr>
              <w:rPr>
                <w:rFonts w:ascii="宋体"/>
              </w:rPr>
            </w:pPr>
          </w:p>
        </w:tc>
        <w:tc>
          <w:tcPr>
            <w:tcW w:w="19" w:type="pct"/>
            <w:shd w:val="clear" w:color="auto" w:fill="auto"/>
            <w:vAlign w:val="bottom"/>
          </w:tcPr>
          <w:p w14:paraId="1860062A" w14:textId="77777777" w:rsidR="00A91885" w:rsidRDefault="00A91885">
            <w:pPr>
              <w:rPr>
                <w:rFonts w:ascii="宋体"/>
              </w:rPr>
            </w:pPr>
          </w:p>
        </w:tc>
        <w:tc>
          <w:tcPr>
            <w:tcW w:w="5" w:type="pct"/>
            <w:shd w:val="clear" w:color="auto" w:fill="auto"/>
            <w:vAlign w:val="bottom"/>
          </w:tcPr>
          <w:p w14:paraId="1860062B" w14:textId="77777777" w:rsidR="00A91885" w:rsidRDefault="00A91885">
            <w:pPr>
              <w:rPr>
                <w:rFonts w:ascii="宋体"/>
              </w:rPr>
            </w:pPr>
          </w:p>
        </w:tc>
        <w:tc>
          <w:tcPr>
            <w:tcW w:w="50" w:type="pct"/>
            <w:shd w:val="clear" w:color="auto" w:fill="auto"/>
            <w:vAlign w:val="bottom"/>
          </w:tcPr>
          <w:p w14:paraId="1860062C" w14:textId="77777777" w:rsidR="00A91885" w:rsidRDefault="00A91885">
            <w:pPr>
              <w:rPr>
                <w:rFonts w:ascii="宋体"/>
              </w:rPr>
            </w:pPr>
          </w:p>
        </w:tc>
        <w:tc>
          <w:tcPr>
            <w:tcW w:w="931" w:type="pct"/>
            <w:shd w:val="clear" w:color="auto" w:fill="auto"/>
            <w:vAlign w:val="bottom"/>
          </w:tcPr>
          <w:p w14:paraId="1860062D" w14:textId="77777777" w:rsidR="00A91885" w:rsidRDefault="00A91885">
            <w:pPr>
              <w:rPr>
                <w:rFonts w:ascii="宋体"/>
              </w:rPr>
            </w:pPr>
          </w:p>
        </w:tc>
        <w:tc>
          <w:tcPr>
            <w:tcW w:w="5" w:type="pct"/>
            <w:shd w:val="clear" w:color="auto" w:fill="auto"/>
            <w:vAlign w:val="bottom"/>
          </w:tcPr>
          <w:p w14:paraId="1860062E" w14:textId="77777777" w:rsidR="00A91885" w:rsidRDefault="00A91885">
            <w:pPr>
              <w:rPr>
                <w:rFonts w:ascii="宋体"/>
              </w:rPr>
            </w:pPr>
          </w:p>
        </w:tc>
        <w:tc>
          <w:tcPr>
            <w:tcW w:w="5" w:type="pct"/>
            <w:shd w:val="clear" w:color="auto" w:fill="auto"/>
            <w:vAlign w:val="bottom"/>
          </w:tcPr>
          <w:p w14:paraId="1860062F" w14:textId="77777777" w:rsidR="00A91885" w:rsidRDefault="00A91885">
            <w:pPr>
              <w:rPr>
                <w:rFonts w:ascii="宋体"/>
              </w:rPr>
            </w:pPr>
          </w:p>
        </w:tc>
        <w:tc>
          <w:tcPr>
            <w:tcW w:w="19" w:type="pct"/>
            <w:shd w:val="clear" w:color="auto" w:fill="auto"/>
            <w:vAlign w:val="bottom"/>
          </w:tcPr>
          <w:p w14:paraId="18600630" w14:textId="77777777" w:rsidR="00A91885" w:rsidRDefault="00A91885">
            <w:pPr>
              <w:rPr>
                <w:rFonts w:ascii="宋体"/>
              </w:rPr>
            </w:pPr>
          </w:p>
        </w:tc>
        <w:tc>
          <w:tcPr>
            <w:tcW w:w="5" w:type="pct"/>
            <w:shd w:val="clear" w:color="auto" w:fill="auto"/>
            <w:vAlign w:val="bottom"/>
          </w:tcPr>
          <w:p w14:paraId="18600631" w14:textId="77777777" w:rsidR="00A91885" w:rsidRDefault="00A91885">
            <w:pPr>
              <w:rPr>
                <w:rFonts w:ascii="宋体"/>
              </w:rPr>
            </w:pPr>
          </w:p>
        </w:tc>
        <w:tc>
          <w:tcPr>
            <w:tcW w:w="50" w:type="pct"/>
            <w:shd w:val="clear" w:color="auto" w:fill="auto"/>
            <w:vAlign w:val="bottom"/>
          </w:tcPr>
          <w:p w14:paraId="18600632" w14:textId="77777777" w:rsidR="00A91885" w:rsidRDefault="00A91885">
            <w:pPr>
              <w:rPr>
                <w:rFonts w:ascii="宋体"/>
              </w:rPr>
            </w:pPr>
          </w:p>
        </w:tc>
        <w:tc>
          <w:tcPr>
            <w:tcW w:w="625" w:type="pct"/>
            <w:shd w:val="clear" w:color="auto" w:fill="auto"/>
            <w:vAlign w:val="bottom"/>
          </w:tcPr>
          <w:p w14:paraId="18600633" w14:textId="77777777" w:rsidR="00A91885" w:rsidRDefault="00A91885">
            <w:pPr>
              <w:rPr>
                <w:rFonts w:ascii="宋体"/>
              </w:rPr>
            </w:pPr>
          </w:p>
        </w:tc>
        <w:tc>
          <w:tcPr>
            <w:tcW w:w="5" w:type="pct"/>
            <w:shd w:val="clear" w:color="auto" w:fill="auto"/>
            <w:vAlign w:val="bottom"/>
          </w:tcPr>
          <w:p w14:paraId="18600634" w14:textId="77777777" w:rsidR="00A91885" w:rsidRDefault="00A91885">
            <w:pPr>
              <w:rPr>
                <w:rFonts w:ascii="宋体"/>
              </w:rPr>
            </w:pPr>
          </w:p>
        </w:tc>
      </w:tr>
      <w:tr w:rsidR="00A91885" w14:paraId="1860063E" w14:textId="77777777">
        <w:tc>
          <w:tcPr>
            <w:tcW w:w="0" w:type="auto"/>
            <w:gridSpan w:val="3"/>
            <w:shd w:val="clear" w:color="auto" w:fill="auto"/>
            <w:tcMar>
              <w:top w:w="40" w:type="dxa"/>
              <w:left w:w="20" w:type="dxa"/>
              <w:bottom w:w="40" w:type="dxa"/>
              <w:right w:w="20" w:type="dxa"/>
            </w:tcMar>
            <w:vAlign w:val="bottom"/>
          </w:tcPr>
          <w:p w14:paraId="18600636" w14:textId="77777777" w:rsidR="00A91885" w:rsidRDefault="009C4196">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8600637" w14:textId="77777777" w:rsidR="00A91885" w:rsidRDefault="009C4196">
            <w:pPr>
              <w:jc w:val="center"/>
              <w:textAlignment w:val="bottom"/>
            </w:pPr>
            <w:r>
              <w:rPr>
                <w:rFonts w:ascii="Arial" w:eastAsia="宋体" w:hAnsi="Arial" w:cs="Arial"/>
                <w:b/>
                <w:bCs/>
                <w:color w:val="000000"/>
                <w:sz w:val="17"/>
                <w:szCs w:val="17"/>
              </w:rPr>
              <w:t>December 31, 2021</w:t>
            </w:r>
          </w:p>
        </w:tc>
        <w:tc>
          <w:tcPr>
            <w:tcW w:w="0" w:type="auto"/>
            <w:gridSpan w:val="3"/>
            <w:shd w:val="clear" w:color="auto" w:fill="auto"/>
            <w:tcMar>
              <w:top w:w="0" w:type="dxa"/>
              <w:left w:w="20" w:type="dxa"/>
              <w:bottom w:w="0" w:type="dxa"/>
              <w:right w:w="20" w:type="dxa"/>
            </w:tcMar>
            <w:vAlign w:val="bottom"/>
          </w:tcPr>
          <w:p w14:paraId="18600638"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639" w14:textId="77777777" w:rsidR="00A91885" w:rsidRDefault="009C4196">
            <w:pPr>
              <w:jc w:val="center"/>
              <w:textAlignment w:val="bottom"/>
            </w:pPr>
            <w:r>
              <w:rPr>
                <w:rFonts w:ascii="Arial" w:eastAsia="宋体" w:hAnsi="Arial" w:cs="Arial"/>
                <w:b/>
                <w:bCs/>
                <w:color w:val="000000"/>
                <w:sz w:val="17"/>
                <w:szCs w:val="17"/>
              </w:rPr>
              <w:t>Amount of Gain (Loss) Recognized in Other Comprehensive Income</w:t>
            </w:r>
          </w:p>
        </w:tc>
        <w:tc>
          <w:tcPr>
            <w:tcW w:w="0" w:type="auto"/>
            <w:gridSpan w:val="3"/>
            <w:shd w:val="clear" w:color="auto" w:fill="auto"/>
            <w:tcMar>
              <w:top w:w="0" w:type="dxa"/>
              <w:left w:w="20" w:type="dxa"/>
              <w:bottom w:w="0" w:type="dxa"/>
              <w:right w:w="20" w:type="dxa"/>
            </w:tcMar>
            <w:vAlign w:val="bottom"/>
          </w:tcPr>
          <w:p w14:paraId="1860063A"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63B" w14:textId="77777777" w:rsidR="00A91885" w:rsidRDefault="009C4196">
            <w:pPr>
              <w:jc w:val="center"/>
              <w:textAlignment w:val="bottom"/>
            </w:pPr>
            <w:r>
              <w:rPr>
                <w:rFonts w:ascii="Arial" w:eastAsia="宋体" w:hAnsi="Arial" w:cs="Arial"/>
                <w:b/>
                <w:bCs/>
                <w:color w:val="000000"/>
                <w:sz w:val="17"/>
                <w:szCs w:val="17"/>
              </w:rPr>
              <w:t>Less: Amount of Gain (Loss) Reclassified From AOCI to Earnings</w:t>
            </w:r>
          </w:p>
        </w:tc>
        <w:tc>
          <w:tcPr>
            <w:tcW w:w="0" w:type="auto"/>
            <w:gridSpan w:val="3"/>
            <w:shd w:val="clear" w:color="auto" w:fill="auto"/>
            <w:tcMar>
              <w:top w:w="0" w:type="dxa"/>
              <w:left w:w="20" w:type="dxa"/>
              <w:bottom w:w="0" w:type="dxa"/>
              <w:right w:w="20" w:type="dxa"/>
            </w:tcMar>
            <w:vAlign w:val="bottom"/>
          </w:tcPr>
          <w:p w14:paraId="1860063C"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63D" w14:textId="77777777" w:rsidR="00A91885" w:rsidRDefault="009C4196">
            <w:pPr>
              <w:jc w:val="center"/>
              <w:textAlignment w:val="bottom"/>
            </w:pPr>
            <w:r>
              <w:rPr>
                <w:rFonts w:ascii="Arial" w:eastAsia="宋体" w:hAnsi="Arial" w:cs="Arial"/>
                <w:b/>
                <w:bCs/>
                <w:color w:val="000000"/>
                <w:sz w:val="17"/>
                <w:szCs w:val="17"/>
              </w:rPr>
              <w:t>June 30, 2022</w:t>
            </w:r>
          </w:p>
        </w:tc>
      </w:tr>
      <w:tr w:rsidR="00A91885" w14:paraId="1860064F" w14:textId="77777777">
        <w:tc>
          <w:tcPr>
            <w:tcW w:w="0" w:type="auto"/>
            <w:gridSpan w:val="3"/>
            <w:shd w:val="clear" w:color="auto" w:fill="E2E2E2"/>
            <w:tcMar>
              <w:top w:w="40" w:type="dxa"/>
              <w:left w:w="20" w:type="dxa"/>
              <w:bottom w:w="40" w:type="dxa"/>
              <w:right w:w="20" w:type="dxa"/>
            </w:tcMar>
            <w:vAlign w:val="bottom"/>
          </w:tcPr>
          <w:p w14:paraId="1860063F" w14:textId="77777777" w:rsidR="00A91885" w:rsidRDefault="009C4196">
            <w:pPr>
              <w:textAlignment w:val="bottom"/>
            </w:pPr>
            <w:r>
              <w:rPr>
                <w:rFonts w:ascii="Arial" w:eastAsia="宋体" w:hAnsi="Arial" w:cs="Arial"/>
                <w:color w:val="000000"/>
                <w:sz w:val="18"/>
                <w:szCs w:val="18"/>
              </w:rPr>
              <w:t>Foreign exchange contracts designated as cash flow 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064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641" w14:textId="77777777" w:rsidR="00A91885" w:rsidRDefault="009C4196">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64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643"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64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645" w14:textId="77777777" w:rsidR="00A91885" w:rsidRDefault="009C4196">
            <w:pPr>
              <w:jc w:val="right"/>
              <w:textAlignment w:val="bottom"/>
            </w:pPr>
            <w:r>
              <w:rPr>
                <w:rFonts w:ascii="Arial" w:eastAsia="宋体" w:hAnsi="Arial" w:cs="Arial"/>
                <w:color w:val="000000"/>
                <w:sz w:val="18"/>
                <w:szCs w:val="18"/>
              </w:rPr>
              <w:t>140 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64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647"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64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649" w14:textId="77777777" w:rsidR="00A91885" w:rsidRDefault="009C4196">
            <w:pPr>
              <w:jc w:val="right"/>
              <w:textAlignment w:val="bottom"/>
            </w:pPr>
            <w:r>
              <w:rPr>
                <w:rFonts w:ascii="Arial" w:eastAsia="宋体" w:hAnsi="Arial" w:cs="Arial"/>
                <w:color w:val="000000"/>
                <w:sz w:val="18"/>
                <w:szCs w:val="18"/>
              </w:rPr>
              <w:t>16 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64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64B"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64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64D" w14:textId="77777777" w:rsidR="00A91885" w:rsidRDefault="009C4196">
            <w:pPr>
              <w:jc w:val="right"/>
              <w:textAlignment w:val="bottom"/>
            </w:pPr>
            <w:r>
              <w:rPr>
                <w:rFonts w:ascii="Arial" w:eastAsia="宋体" w:hAnsi="Arial" w:cs="Arial"/>
                <w:color w:val="000000"/>
                <w:sz w:val="18"/>
                <w:szCs w:val="18"/>
              </w:rPr>
              <w:t>149 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64E" w14:textId="77777777" w:rsidR="00A91885" w:rsidRDefault="00A91885">
            <w:pPr>
              <w:jc w:val="right"/>
              <w:rPr>
                <w:rFonts w:ascii="宋体"/>
              </w:rPr>
            </w:pPr>
          </w:p>
        </w:tc>
      </w:tr>
      <w:tr w:rsidR="00A91885" w14:paraId="1860065C" w14:textId="77777777">
        <w:tc>
          <w:tcPr>
            <w:tcW w:w="0" w:type="auto"/>
            <w:gridSpan w:val="3"/>
            <w:shd w:val="clear" w:color="auto" w:fill="FFFFFF"/>
            <w:tcMar>
              <w:top w:w="40" w:type="dxa"/>
              <w:left w:w="20" w:type="dxa"/>
              <w:bottom w:w="40" w:type="dxa"/>
              <w:right w:w="20" w:type="dxa"/>
            </w:tcMar>
            <w:vAlign w:val="bottom"/>
          </w:tcPr>
          <w:p w14:paraId="18600650" w14:textId="77777777" w:rsidR="00A91885" w:rsidRDefault="009C4196">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FFFFFF"/>
            <w:tcMar>
              <w:top w:w="40" w:type="dxa"/>
              <w:left w:w="20" w:type="dxa"/>
              <w:bottom w:w="40" w:type="dxa"/>
              <w:right w:w="0" w:type="dxa"/>
            </w:tcMar>
            <w:vAlign w:val="bottom"/>
          </w:tcPr>
          <w:p w14:paraId="18600651" w14:textId="77777777" w:rsidR="00A91885" w:rsidRDefault="009C4196">
            <w:pPr>
              <w:jc w:val="right"/>
              <w:textAlignment w:val="bottom"/>
            </w:pPr>
            <w:r>
              <w:rPr>
                <w:rFonts w:ascii="Arial" w:eastAsia="宋体" w:hAnsi="Arial" w:cs="Arial"/>
                <w:color w:val="000000"/>
                <w:sz w:val="18"/>
                <w:szCs w:val="18"/>
              </w:rPr>
              <w:t>30 </w:t>
            </w:r>
          </w:p>
        </w:tc>
        <w:tc>
          <w:tcPr>
            <w:tcW w:w="0" w:type="auto"/>
            <w:shd w:val="clear" w:color="auto" w:fill="FFFFFF"/>
            <w:tcMar>
              <w:top w:w="40" w:type="dxa"/>
              <w:left w:w="0" w:type="dxa"/>
              <w:bottom w:w="40" w:type="dxa"/>
              <w:right w:w="20" w:type="dxa"/>
            </w:tcMar>
            <w:vAlign w:val="bottom"/>
          </w:tcPr>
          <w:p w14:paraId="1860065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653"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654"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65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656"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657"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1860065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65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65A" w14:textId="77777777" w:rsidR="00A91885" w:rsidRDefault="009C4196">
            <w:pPr>
              <w:jc w:val="right"/>
              <w:textAlignment w:val="bottom"/>
            </w:pPr>
            <w:r>
              <w:rPr>
                <w:rFonts w:ascii="Arial" w:eastAsia="宋体" w:hAnsi="Arial" w:cs="Arial"/>
                <w:color w:val="000000"/>
                <w:sz w:val="18"/>
                <w:szCs w:val="18"/>
              </w:rPr>
              <w:t>32 </w:t>
            </w:r>
          </w:p>
        </w:tc>
        <w:tc>
          <w:tcPr>
            <w:tcW w:w="0" w:type="auto"/>
            <w:shd w:val="clear" w:color="auto" w:fill="FFFFFF"/>
            <w:tcMar>
              <w:top w:w="40" w:type="dxa"/>
              <w:left w:w="0" w:type="dxa"/>
              <w:bottom w:w="40" w:type="dxa"/>
              <w:right w:w="20" w:type="dxa"/>
            </w:tcMar>
            <w:vAlign w:val="bottom"/>
          </w:tcPr>
          <w:p w14:paraId="1860065B" w14:textId="77777777" w:rsidR="00A91885" w:rsidRDefault="00A91885">
            <w:pPr>
              <w:jc w:val="right"/>
              <w:rPr>
                <w:rFonts w:ascii="宋体"/>
              </w:rPr>
            </w:pPr>
          </w:p>
        </w:tc>
      </w:tr>
      <w:tr w:rsidR="00A91885" w14:paraId="1860066D" w14:textId="77777777">
        <w:tc>
          <w:tcPr>
            <w:tcW w:w="0" w:type="auto"/>
            <w:gridSpan w:val="3"/>
            <w:shd w:val="clear" w:color="auto" w:fill="E2E2E2"/>
            <w:tcMar>
              <w:top w:w="40" w:type="dxa"/>
              <w:left w:w="20" w:type="dxa"/>
              <w:bottom w:w="40" w:type="dxa"/>
              <w:right w:w="20" w:type="dxa"/>
            </w:tcMar>
            <w:vAlign w:val="bottom"/>
          </w:tcPr>
          <w:p w14:paraId="1860065D" w14:textId="77777777" w:rsidR="00A91885" w:rsidRDefault="009C4196">
            <w:pPr>
              <w:ind w:firstLine="180"/>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65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65F" w14:textId="77777777" w:rsidR="00A91885" w:rsidRDefault="009C4196">
            <w:pPr>
              <w:jc w:val="right"/>
              <w:textAlignment w:val="bottom"/>
            </w:pPr>
            <w:r>
              <w:rPr>
                <w:rFonts w:ascii="Arial" w:eastAsia="宋体" w:hAnsi="Arial" w:cs="Arial"/>
                <w:color w:val="000000"/>
                <w:sz w:val="18"/>
                <w:szCs w:val="18"/>
              </w:rPr>
              <w:t>55 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66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661"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66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663" w14:textId="77777777" w:rsidR="00A91885" w:rsidRDefault="009C4196">
            <w:pPr>
              <w:jc w:val="right"/>
              <w:textAlignment w:val="bottom"/>
            </w:pPr>
            <w:r>
              <w:rPr>
                <w:rFonts w:ascii="Arial" w:eastAsia="宋体" w:hAnsi="Arial" w:cs="Arial"/>
                <w:color w:val="000000"/>
                <w:sz w:val="18"/>
                <w:szCs w:val="18"/>
              </w:rPr>
              <w:t>140 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66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665"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66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667" w14:textId="77777777" w:rsidR="00A91885" w:rsidRDefault="009C4196">
            <w:pPr>
              <w:jc w:val="right"/>
              <w:textAlignment w:val="bottom"/>
            </w:pPr>
            <w:r>
              <w:rPr>
                <w:rFonts w:ascii="Arial" w:eastAsia="宋体" w:hAnsi="Arial" w:cs="Arial"/>
                <w:color w:val="000000"/>
                <w:sz w:val="18"/>
                <w:szCs w:val="18"/>
              </w:rPr>
              <w:t>14 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66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669"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66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66B" w14:textId="77777777" w:rsidR="00A91885" w:rsidRDefault="009C4196">
            <w:pPr>
              <w:jc w:val="right"/>
              <w:textAlignment w:val="bottom"/>
            </w:pPr>
            <w:r>
              <w:rPr>
                <w:rFonts w:ascii="Arial" w:eastAsia="宋体" w:hAnsi="Arial" w:cs="Arial"/>
                <w:color w:val="000000"/>
                <w:sz w:val="18"/>
                <w:szCs w:val="18"/>
              </w:rPr>
              <w:t>181 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66C" w14:textId="77777777" w:rsidR="00A91885" w:rsidRDefault="00A91885">
            <w:pPr>
              <w:jc w:val="right"/>
              <w:rPr>
                <w:rFonts w:ascii="宋体"/>
              </w:rPr>
            </w:pPr>
          </w:p>
        </w:tc>
      </w:tr>
    </w:tbl>
    <w:p w14:paraId="1860066E" w14:textId="77777777" w:rsidR="00A91885" w:rsidRDefault="00A91885">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280"/>
        <w:gridCol w:w="36"/>
        <w:gridCol w:w="122"/>
        <w:gridCol w:w="887"/>
        <w:gridCol w:w="36"/>
        <w:gridCol w:w="36"/>
        <w:gridCol w:w="36"/>
        <w:gridCol w:w="36"/>
        <w:gridCol w:w="122"/>
        <w:gridCol w:w="1849"/>
        <w:gridCol w:w="36"/>
        <w:gridCol w:w="36"/>
        <w:gridCol w:w="36"/>
        <w:gridCol w:w="36"/>
        <w:gridCol w:w="122"/>
        <w:gridCol w:w="1401"/>
        <w:gridCol w:w="36"/>
        <w:gridCol w:w="36"/>
        <w:gridCol w:w="36"/>
        <w:gridCol w:w="36"/>
        <w:gridCol w:w="121"/>
        <w:gridCol w:w="891"/>
        <w:gridCol w:w="36"/>
      </w:tblGrid>
      <w:tr w:rsidR="00A91885" w14:paraId="18600687" w14:textId="77777777">
        <w:trPr>
          <w:jc w:val="center"/>
        </w:trPr>
        <w:tc>
          <w:tcPr>
            <w:tcW w:w="50" w:type="pct"/>
            <w:shd w:val="clear" w:color="auto" w:fill="auto"/>
            <w:vAlign w:val="bottom"/>
          </w:tcPr>
          <w:p w14:paraId="1860066F" w14:textId="77777777" w:rsidR="00A91885" w:rsidRDefault="00A91885">
            <w:pPr>
              <w:rPr>
                <w:rFonts w:ascii="宋体"/>
              </w:rPr>
            </w:pPr>
          </w:p>
        </w:tc>
        <w:tc>
          <w:tcPr>
            <w:tcW w:w="1523" w:type="pct"/>
            <w:shd w:val="clear" w:color="auto" w:fill="auto"/>
            <w:vAlign w:val="bottom"/>
          </w:tcPr>
          <w:p w14:paraId="18600670" w14:textId="77777777" w:rsidR="00A91885" w:rsidRDefault="00A91885">
            <w:pPr>
              <w:rPr>
                <w:rFonts w:ascii="宋体"/>
              </w:rPr>
            </w:pPr>
          </w:p>
        </w:tc>
        <w:tc>
          <w:tcPr>
            <w:tcW w:w="5" w:type="pct"/>
            <w:shd w:val="clear" w:color="auto" w:fill="auto"/>
            <w:vAlign w:val="bottom"/>
          </w:tcPr>
          <w:p w14:paraId="18600671" w14:textId="77777777" w:rsidR="00A91885" w:rsidRDefault="00A91885">
            <w:pPr>
              <w:rPr>
                <w:rFonts w:ascii="宋体"/>
              </w:rPr>
            </w:pPr>
          </w:p>
        </w:tc>
        <w:tc>
          <w:tcPr>
            <w:tcW w:w="50" w:type="pct"/>
            <w:shd w:val="clear" w:color="auto" w:fill="auto"/>
            <w:vAlign w:val="bottom"/>
          </w:tcPr>
          <w:p w14:paraId="18600672" w14:textId="77777777" w:rsidR="00A91885" w:rsidRDefault="00A91885">
            <w:pPr>
              <w:rPr>
                <w:rFonts w:ascii="宋体"/>
              </w:rPr>
            </w:pPr>
          </w:p>
        </w:tc>
        <w:tc>
          <w:tcPr>
            <w:tcW w:w="624" w:type="pct"/>
            <w:shd w:val="clear" w:color="auto" w:fill="auto"/>
            <w:vAlign w:val="bottom"/>
          </w:tcPr>
          <w:p w14:paraId="18600673" w14:textId="77777777" w:rsidR="00A91885" w:rsidRDefault="00A91885">
            <w:pPr>
              <w:rPr>
                <w:rFonts w:ascii="宋体"/>
              </w:rPr>
            </w:pPr>
          </w:p>
        </w:tc>
        <w:tc>
          <w:tcPr>
            <w:tcW w:w="5" w:type="pct"/>
            <w:shd w:val="clear" w:color="auto" w:fill="auto"/>
            <w:vAlign w:val="bottom"/>
          </w:tcPr>
          <w:p w14:paraId="18600674" w14:textId="77777777" w:rsidR="00A91885" w:rsidRDefault="00A91885">
            <w:pPr>
              <w:rPr>
                <w:rFonts w:ascii="宋体"/>
              </w:rPr>
            </w:pPr>
          </w:p>
        </w:tc>
        <w:tc>
          <w:tcPr>
            <w:tcW w:w="5" w:type="pct"/>
            <w:shd w:val="clear" w:color="auto" w:fill="auto"/>
            <w:vAlign w:val="bottom"/>
          </w:tcPr>
          <w:p w14:paraId="18600675" w14:textId="77777777" w:rsidR="00A91885" w:rsidRDefault="00A91885">
            <w:pPr>
              <w:rPr>
                <w:rFonts w:ascii="宋体"/>
              </w:rPr>
            </w:pPr>
          </w:p>
        </w:tc>
        <w:tc>
          <w:tcPr>
            <w:tcW w:w="19" w:type="pct"/>
            <w:shd w:val="clear" w:color="auto" w:fill="auto"/>
            <w:vAlign w:val="bottom"/>
          </w:tcPr>
          <w:p w14:paraId="18600676" w14:textId="77777777" w:rsidR="00A91885" w:rsidRDefault="00A91885">
            <w:pPr>
              <w:rPr>
                <w:rFonts w:ascii="宋体"/>
              </w:rPr>
            </w:pPr>
          </w:p>
        </w:tc>
        <w:tc>
          <w:tcPr>
            <w:tcW w:w="5" w:type="pct"/>
            <w:shd w:val="clear" w:color="auto" w:fill="auto"/>
            <w:vAlign w:val="bottom"/>
          </w:tcPr>
          <w:p w14:paraId="18600677" w14:textId="77777777" w:rsidR="00A91885" w:rsidRDefault="00A91885">
            <w:pPr>
              <w:rPr>
                <w:rFonts w:ascii="宋体"/>
              </w:rPr>
            </w:pPr>
          </w:p>
        </w:tc>
        <w:tc>
          <w:tcPr>
            <w:tcW w:w="50" w:type="pct"/>
            <w:shd w:val="clear" w:color="auto" w:fill="auto"/>
            <w:vAlign w:val="bottom"/>
          </w:tcPr>
          <w:p w14:paraId="18600678" w14:textId="77777777" w:rsidR="00A91885" w:rsidRDefault="00A91885">
            <w:pPr>
              <w:rPr>
                <w:rFonts w:ascii="宋体"/>
              </w:rPr>
            </w:pPr>
          </w:p>
        </w:tc>
        <w:tc>
          <w:tcPr>
            <w:tcW w:w="931" w:type="pct"/>
            <w:shd w:val="clear" w:color="auto" w:fill="auto"/>
            <w:vAlign w:val="bottom"/>
          </w:tcPr>
          <w:p w14:paraId="18600679" w14:textId="77777777" w:rsidR="00A91885" w:rsidRDefault="00A91885">
            <w:pPr>
              <w:rPr>
                <w:rFonts w:ascii="宋体"/>
              </w:rPr>
            </w:pPr>
          </w:p>
        </w:tc>
        <w:tc>
          <w:tcPr>
            <w:tcW w:w="5" w:type="pct"/>
            <w:shd w:val="clear" w:color="auto" w:fill="auto"/>
            <w:vAlign w:val="bottom"/>
          </w:tcPr>
          <w:p w14:paraId="1860067A" w14:textId="77777777" w:rsidR="00A91885" w:rsidRDefault="00A91885">
            <w:pPr>
              <w:rPr>
                <w:rFonts w:ascii="宋体"/>
              </w:rPr>
            </w:pPr>
          </w:p>
        </w:tc>
        <w:tc>
          <w:tcPr>
            <w:tcW w:w="5" w:type="pct"/>
            <w:shd w:val="clear" w:color="auto" w:fill="auto"/>
            <w:vAlign w:val="bottom"/>
          </w:tcPr>
          <w:p w14:paraId="1860067B" w14:textId="77777777" w:rsidR="00A91885" w:rsidRDefault="00A91885">
            <w:pPr>
              <w:rPr>
                <w:rFonts w:ascii="宋体"/>
              </w:rPr>
            </w:pPr>
          </w:p>
        </w:tc>
        <w:tc>
          <w:tcPr>
            <w:tcW w:w="19" w:type="pct"/>
            <w:shd w:val="clear" w:color="auto" w:fill="auto"/>
            <w:vAlign w:val="bottom"/>
          </w:tcPr>
          <w:p w14:paraId="1860067C" w14:textId="77777777" w:rsidR="00A91885" w:rsidRDefault="00A91885">
            <w:pPr>
              <w:rPr>
                <w:rFonts w:ascii="宋体"/>
              </w:rPr>
            </w:pPr>
          </w:p>
        </w:tc>
        <w:tc>
          <w:tcPr>
            <w:tcW w:w="5" w:type="pct"/>
            <w:shd w:val="clear" w:color="auto" w:fill="auto"/>
            <w:vAlign w:val="bottom"/>
          </w:tcPr>
          <w:p w14:paraId="1860067D" w14:textId="77777777" w:rsidR="00A91885" w:rsidRDefault="00A91885">
            <w:pPr>
              <w:rPr>
                <w:rFonts w:ascii="宋体"/>
              </w:rPr>
            </w:pPr>
          </w:p>
        </w:tc>
        <w:tc>
          <w:tcPr>
            <w:tcW w:w="50" w:type="pct"/>
            <w:shd w:val="clear" w:color="auto" w:fill="auto"/>
            <w:vAlign w:val="bottom"/>
          </w:tcPr>
          <w:p w14:paraId="1860067E" w14:textId="77777777" w:rsidR="00A91885" w:rsidRDefault="00A91885">
            <w:pPr>
              <w:rPr>
                <w:rFonts w:ascii="宋体"/>
              </w:rPr>
            </w:pPr>
          </w:p>
        </w:tc>
        <w:tc>
          <w:tcPr>
            <w:tcW w:w="931" w:type="pct"/>
            <w:shd w:val="clear" w:color="auto" w:fill="auto"/>
            <w:vAlign w:val="bottom"/>
          </w:tcPr>
          <w:p w14:paraId="1860067F" w14:textId="77777777" w:rsidR="00A91885" w:rsidRDefault="00A91885">
            <w:pPr>
              <w:rPr>
                <w:rFonts w:ascii="宋体"/>
              </w:rPr>
            </w:pPr>
          </w:p>
        </w:tc>
        <w:tc>
          <w:tcPr>
            <w:tcW w:w="5" w:type="pct"/>
            <w:shd w:val="clear" w:color="auto" w:fill="auto"/>
            <w:vAlign w:val="bottom"/>
          </w:tcPr>
          <w:p w14:paraId="18600680" w14:textId="77777777" w:rsidR="00A91885" w:rsidRDefault="00A91885">
            <w:pPr>
              <w:rPr>
                <w:rFonts w:ascii="宋体"/>
              </w:rPr>
            </w:pPr>
          </w:p>
        </w:tc>
        <w:tc>
          <w:tcPr>
            <w:tcW w:w="5" w:type="pct"/>
            <w:shd w:val="clear" w:color="auto" w:fill="auto"/>
            <w:vAlign w:val="bottom"/>
          </w:tcPr>
          <w:p w14:paraId="18600681" w14:textId="77777777" w:rsidR="00A91885" w:rsidRDefault="00A91885">
            <w:pPr>
              <w:rPr>
                <w:rFonts w:ascii="宋体"/>
              </w:rPr>
            </w:pPr>
          </w:p>
        </w:tc>
        <w:tc>
          <w:tcPr>
            <w:tcW w:w="19" w:type="pct"/>
            <w:shd w:val="clear" w:color="auto" w:fill="auto"/>
            <w:vAlign w:val="bottom"/>
          </w:tcPr>
          <w:p w14:paraId="18600682" w14:textId="77777777" w:rsidR="00A91885" w:rsidRDefault="00A91885">
            <w:pPr>
              <w:rPr>
                <w:rFonts w:ascii="宋体"/>
              </w:rPr>
            </w:pPr>
          </w:p>
        </w:tc>
        <w:tc>
          <w:tcPr>
            <w:tcW w:w="5" w:type="pct"/>
            <w:shd w:val="clear" w:color="auto" w:fill="auto"/>
            <w:vAlign w:val="bottom"/>
          </w:tcPr>
          <w:p w14:paraId="18600683" w14:textId="77777777" w:rsidR="00A91885" w:rsidRDefault="00A91885">
            <w:pPr>
              <w:rPr>
                <w:rFonts w:ascii="宋体"/>
              </w:rPr>
            </w:pPr>
          </w:p>
        </w:tc>
        <w:tc>
          <w:tcPr>
            <w:tcW w:w="50" w:type="pct"/>
            <w:shd w:val="clear" w:color="auto" w:fill="auto"/>
            <w:vAlign w:val="bottom"/>
          </w:tcPr>
          <w:p w14:paraId="18600684" w14:textId="77777777" w:rsidR="00A91885" w:rsidRDefault="00A91885">
            <w:pPr>
              <w:rPr>
                <w:rFonts w:ascii="宋体"/>
              </w:rPr>
            </w:pPr>
          </w:p>
        </w:tc>
        <w:tc>
          <w:tcPr>
            <w:tcW w:w="625" w:type="pct"/>
            <w:shd w:val="clear" w:color="auto" w:fill="auto"/>
            <w:vAlign w:val="bottom"/>
          </w:tcPr>
          <w:p w14:paraId="18600685" w14:textId="77777777" w:rsidR="00A91885" w:rsidRDefault="00A91885">
            <w:pPr>
              <w:rPr>
                <w:rFonts w:ascii="宋体"/>
              </w:rPr>
            </w:pPr>
          </w:p>
        </w:tc>
        <w:tc>
          <w:tcPr>
            <w:tcW w:w="5" w:type="pct"/>
            <w:shd w:val="clear" w:color="auto" w:fill="auto"/>
            <w:vAlign w:val="bottom"/>
          </w:tcPr>
          <w:p w14:paraId="18600686" w14:textId="77777777" w:rsidR="00A91885" w:rsidRDefault="00A91885">
            <w:pPr>
              <w:rPr>
                <w:rFonts w:ascii="宋体"/>
              </w:rPr>
            </w:pPr>
          </w:p>
        </w:tc>
      </w:tr>
      <w:tr w:rsidR="00A91885" w14:paraId="18600690" w14:textId="77777777">
        <w:trPr>
          <w:jc w:val="center"/>
        </w:trPr>
        <w:tc>
          <w:tcPr>
            <w:tcW w:w="0" w:type="auto"/>
            <w:gridSpan w:val="3"/>
            <w:shd w:val="clear" w:color="auto" w:fill="auto"/>
            <w:tcMar>
              <w:top w:w="40" w:type="dxa"/>
              <w:left w:w="20" w:type="dxa"/>
              <w:bottom w:w="40" w:type="dxa"/>
              <w:right w:w="20" w:type="dxa"/>
            </w:tcMar>
            <w:vAlign w:val="bottom"/>
          </w:tcPr>
          <w:p w14:paraId="18600688" w14:textId="77777777" w:rsidR="00A91885" w:rsidRDefault="009C4196">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18600689" w14:textId="77777777" w:rsidR="00A91885" w:rsidRDefault="009C4196">
            <w:pPr>
              <w:jc w:val="center"/>
              <w:textAlignment w:val="bottom"/>
            </w:pPr>
            <w:r>
              <w:rPr>
                <w:rFonts w:ascii="Arial" w:eastAsia="宋体" w:hAnsi="Arial" w:cs="Arial"/>
                <w:b/>
                <w:bCs/>
                <w:color w:val="000000"/>
                <w:sz w:val="17"/>
                <w:szCs w:val="17"/>
              </w:rPr>
              <w:t>December 31, 2020</w:t>
            </w:r>
          </w:p>
        </w:tc>
        <w:tc>
          <w:tcPr>
            <w:tcW w:w="0" w:type="auto"/>
            <w:gridSpan w:val="3"/>
            <w:shd w:val="clear" w:color="auto" w:fill="auto"/>
            <w:tcMar>
              <w:top w:w="0" w:type="dxa"/>
              <w:left w:w="20" w:type="dxa"/>
              <w:bottom w:w="0" w:type="dxa"/>
              <w:right w:w="20" w:type="dxa"/>
            </w:tcMar>
            <w:vAlign w:val="bottom"/>
          </w:tcPr>
          <w:p w14:paraId="1860068A"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68B" w14:textId="77777777" w:rsidR="00A91885" w:rsidRDefault="009C4196">
            <w:pPr>
              <w:jc w:val="center"/>
              <w:textAlignment w:val="bottom"/>
            </w:pPr>
            <w:r>
              <w:rPr>
                <w:rFonts w:ascii="Arial" w:eastAsia="宋体" w:hAnsi="Arial" w:cs="Arial"/>
                <w:b/>
                <w:bCs/>
                <w:color w:val="000000"/>
                <w:sz w:val="17"/>
                <w:szCs w:val="17"/>
              </w:rPr>
              <w:t>Amount of Gain (Loss) Recognized in Other Comprehensive Income</w:t>
            </w:r>
          </w:p>
        </w:tc>
        <w:tc>
          <w:tcPr>
            <w:tcW w:w="0" w:type="auto"/>
            <w:gridSpan w:val="3"/>
            <w:shd w:val="clear" w:color="auto" w:fill="auto"/>
            <w:tcMar>
              <w:top w:w="0" w:type="dxa"/>
              <w:left w:w="20" w:type="dxa"/>
              <w:bottom w:w="0" w:type="dxa"/>
              <w:right w:w="20" w:type="dxa"/>
            </w:tcMar>
            <w:vAlign w:val="bottom"/>
          </w:tcPr>
          <w:p w14:paraId="1860068C"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68D" w14:textId="77777777" w:rsidR="00A91885" w:rsidRDefault="009C4196">
            <w:pPr>
              <w:jc w:val="center"/>
              <w:textAlignment w:val="bottom"/>
            </w:pPr>
            <w:r>
              <w:rPr>
                <w:rFonts w:ascii="Arial" w:eastAsia="宋体" w:hAnsi="Arial" w:cs="Arial"/>
                <w:b/>
                <w:bCs/>
                <w:color w:val="000000"/>
                <w:sz w:val="17"/>
                <w:szCs w:val="17"/>
              </w:rPr>
              <w:t>Less: Amount of Gain (Loss) Reclassified From AOCI to Earnings</w:t>
            </w:r>
          </w:p>
        </w:tc>
        <w:tc>
          <w:tcPr>
            <w:tcW w:w="0" w:type="auto"/>
            <w:gridSpan w:val="3"/>
            <w:shd w:val="clear" w:color="auto" w:fill="auto"/>
            <w:tcMar>
              <w:top w:w="0" w:type="dxa"/>
              <w:left w:w="20" w:type="dxa"/>
              <w:bottom w:w="0" w:type="dxa"/>
              <w:right w:w="20" w:type="dxa"/>
            </w:tcMar>
            <w:vAlign w:val="bottom"/>
          </w:tcPr>
          <w:p w14:paraId="1860068E"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068F" w14:textId="77777777" w:rsidR="00A91885" w:rsidRDefault="009C4196">
            <w:pPr>
              <w:jc w:val="center"/>
              <w:textAlignment w:val="bottom"/>
            </w:pPr>
            <w:r>
              <w:rPr>
                <w:rFonts w:ascii="Arial" w:eastAsia="宋体" w:hAnsi="Arial" w:cs="Arial"/>
                <w:b/>
                <w:bCs/>
                <w:color w:val="000000"/>
                <w:sz w:val="17"/>
                <w:szCs w:val="17"/>
              </w:rPr>
              <w:t>June 30, 2021</w:t>
            </w:r>
          </w:p>
        </w:tc>
      </w:tr>
      <w:tr w:rsidR="00A91885" w14:paraId="186006A1" w14:textId="77777777">
        <w:trPr>
          <w:jc w:val="center"/>
        </w:trPr>
        <w:tc>
          <w:tcPr>
            <w:tcW w:w="0" w:type="auto"/>
            <w:gridSpan w:val="3"/>
            <w:shd w:val="clear" w:color="auto" w:fill="E2E2E2"/>
            <w:tcMar>
              <w:top w:w="40" w:type="dxa"/>
              <w:left w:w="20" w:type="dxa"/>
              <w:bottom w:w="40" w:type="dxa"/>
              <w:right w:w="20" w:type="dxa"/>
            </w:tcMar>
            <w:vAlign w:val="bottom"/>
          </w:tcPr>
          <w:p w14:paraId="18600691" w14:textId="77777777" w:rsidR="00A91885" w:rsidRDefault="009C4196">
            <w:pPr>
              <w:textAlignment w:val="bottom"/>
            </w:pPr>
            <w:r>
              <w:rPr>
                <w:rFonts w:ascii="Arial" w:eastAsia="宋体" w:hAnsi="Arial" w:cs="Arial"/>
                <w:color w:val="000000"/>
                <w:sz w:val="18"/>
                <w:szCs w:val="18"/>
              </w:rPr>
              <w:t xml:space="preserve">Foreign exchange contracts designated as cash flow </w:t>
            </w:r>
            <w:r>
              <w:rPr>
                <w:rFonts w:ascii="Arial" w:eastAsia="宋体" w:hAnsi="Arial" w:cs="Arial"/>
                <w:color w:val="000000"/>
                <w:sz w:val="18"/>
                <w:szCs w:val="18"/>
              </w:rPr>
              <w:t>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069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693" w14:textId="77777777" w:rsidR="00A91885" w:rsidRDefault="009C4196">
            <w:pPr>
              <w:jc w:val="right"/>
              <w:textAlignment w:val="bottom"/>
            </w:pPr>
            <w:r>
              <w:rPr>
                <w:rFonts w:ascii="Arial" w:eastAsia="宋体" w:hAnsi="Arial" w:cs="Arial"/>
                <w:color w:val="000000"/>
                <w:sz w:val="18"/>
                <w:szCs w:val="18"/>
              </w:rPr>
              <w:t>(95)</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69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695"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69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697" w14:textId="77777777" w:rsidR="00A91885" w:rsidRDefault="009C4196">
            <w:pPr>
              <w:jc w:val="right"/>
              <w:textAlignment w:val="bottom"/>
            </w:pPr>
            <w:r>
              <w:rPr>
                <w:rFonts w:ascii="Arial" w:eastAsia="宋体" w:hAnsi="Arial" w:cs="Arial"/>
                <w:color w:val="000000"/>
                <w:sz w:val="18"/>
                <w:szCs w:val="18"/>
              </w:rPr>
              <w:t>(6)</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69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699"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69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69B" w14:textId="77777777" w:rsidR="00A91885" w:rsidRDefault="009C4196">
            <w:pPr>
              <w:jc w:val="right"/>
              <w:textAlignment w:val="bottom"/>
            </w:pPr>
            <w:r>
              <w:rPr>
                <w:rFonts w:ascii="Arial" w:eastAsia="宋体" w:hAnsi="Arial" w:cs="Arial"/>
                <w:color w:val="000000"/>
                <w:sz w:val="18"/>
                <w:szCs w:val="18"/>
              </w:rPr>
              <w:t>(44)</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69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69D"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69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69F" w14:textId="77777777" w:rsidR="00A91885" w:rsidRDefault="009C4196">
            <w:pPr>
              <w:jc w:val="right"/>
              <w:textAlignment w:val="bottom"/>
            </w:pPr>
            <w:r>
              <w:rPr>
                <w:rFonts w:ascii="Arial" w:eastAsia="宋体" w:hAnsi="Arial" w:cs="Arial"/>
                <w:color w:val="000000"/>
                <w:sz w:val="18"/>
                <w:szCs w:val="18"/>
              </w:rPr>
              <w:t>(57)</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6A0" w14:textId="77777777" w:rsidR="00A91885" w:rsidRDefault="00A91885">
            <w:pPr>
              <w:jc w:val="right"/>
              <w:rPr>
                <w:rFonts w:ascii="宋体"/>
              </w:rPr>
            </w:pPr>
          </w:p>
        </w:tc>
      </w:tr>
      <w:tr w:rsidR="00A91885" w14:paraId="186006AE" w14:textId="77777777">
        <w:trPr>
          <w:jc w:val="center"/>
        </w:trPr>
        <w:tc>
          <w:tcPr>
            <w:tcW w:w="0" w:type="auto"/>
            <w:gridSpan w:val="3"/>
            <w:shd w:val="clear" w:color="auto" w:fill="FFFFFF"/>
            <w:tcMar>
              <w:top w:w="40" w:type="dxa"/>
              <w:left w:w="20" w:type="dxa"/>
              <w:bottom w:w="40" w:type="dxa"/>
              <w:right w:w="20" w:type="dxa"/>
            </w:tcMar>
            <w:vAlign w:val="bottom"/>
          </w:tcPr>
          <w:p w14:paraId="186006A2" w14:textId="77777777" w:rsidR="00A91885" w:rsidRDefault="009C4196">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FFFFFF"/>
            <w:tcMar>
              <w:top w:w="40" w:type="dxa"/>
              <w:left w:w="20" w:type="dxa"/>
              <w:bottom w:w="40" w:type="dxa"/>
              <w:right w:w="0" w:type="dxa"/>
            </w:tcMar>
            <w:vAlign w:val="bottom"/>
          </w:tcPr>
          <w:p w14:paraId="186006A3" w14:textId="77777777" w:rsidR="00A91885" w:rsidRDefault="009C4196">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186006A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6A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6A6" w14:textId="77777777" w:rsidR="00A91885" w:rsidRDefault="009C4196">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186006A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6A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6A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6A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6A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6AC" w14:textId="77777777" w:rsidR="00A91885" w:rsidRDefault="009C4196">
            <w:pPr>
              <w:jc w:val="right"/>
              <w:textAlignment w:val="bottom"/>
            </w:pPr>
            <w:r>
              <w:rPr>
                <w:rFonts w:ascii="Arial" w:eastAsia="宋体" w:hAnsi="Arial" w:cs="Arial"/>
                <w:color w:val="000000"/>
                <w:sz w:val="18"/>
                <w:szCs w:val="18"/>
              </w:rPr>
              <w:t>32 </w:t>
            </w:r>
          </w:p>
        </w:tc>
        <w:tc>
          <w:tcPr>
            <w:tcW w:w="0" w:type="auto"/>
            <w:shd w:val="clear" w:color="auto" w:fill="FFFFFF"/>
            <w:tcMar>
              <w:top w:w="40" w:type="dxa"/>
              <w:left w:w="0" w:type="dxa"/>
              <w:bottom w:w="40" w:type="dxa"/>
              <w:right w:w="20" w:type="dxa"/>
            </w:tcMar>
            <w:vAlign w:val="bottom"/>
          </w:tcPr>
          <w:p w14:paraId="186006AD" w14:textId="77777777" w:rsidR="00A91885" w:rsidRDefault="00A91885">
            <w:pPr>
              <w:jc w:val="right"/>
              <w:rPr>
                <w:rFonts w:ascii="宋体"/>
              </w:rPr>
            </w:pPr>
          </w:p>
        </w:tc>
      </w:tr>
      <w:tr w:rsidR="00A91885" w14:paraId="186006BF" w14:textId="77777777">
        <w:trPr>
          <w:jc w:val="center"/>
        </w:trPr>
        <w:tc>
          <w:tcPr>
            <w:tcW w:w="0" w:type="auto"/>
            <w:gridSpan w:val="3"/>
            <w:shd w:val="clear" w:color="auto" w:fill="E2E2E2"/>
            <w:tcMar>
              <w:top w:w="40" w:type="dxa"/>
              <w:left w:w="20" w:type="dxa"/>
              <w:bottom w:w="40" w:type="dxa"/>
              <w:right w:w="20" w:type="dxa"/>
            </w:tcMar>
            <w:vAlign w:val="bottom"/>
          </w:tcPr>
          <w:p w14:paraId="186006AF" w14:textId="77777777" w:rsidR="00A91885" w:rsidRDefault="009C4196">
            <w:pPr>
              <w:ind w:firstLine="180"/>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6B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6B1" w14:textId="77777777" w:rsidR="00A91885" w:rsidRDefault="009C4196">
            <w:pPr>
              <w:jc w:val="right"/>
              <w:textAlignment w:val="bottom"/>
            </w:pPr>
            <w:r>
              <w:rPr>
                <w:rFonts w:ascii="Arial" w:eastAsia="宋体" w:hAnsi="Arial" w:cs="Arial"/>
                <w:color w:val="000000"/>
                <w:sz w:val="18"/>
                <w:szCs w:val="18"/>
              </w:rPr>
              <w:t>(85)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6B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6B3"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6B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6B5" w14:textId="77777777" w:rsidR="00A91885" w:rsidRDefault="009C4196">
            <w:pPr>
              <w:jc w:val="right"/>
              <w:textAlignment w:val="bottom"/>
            </w:pPr>
            <w:r>
              <w:rPr>
                <w:rFonts w:ascii="Arial" w:eastAsia="宋体" w:hAnsi="Arial" w:cs="Arial"/>
                <w:color w:val="000000"/>
                <w:sz w:val="18"/>
                <w:szCs w:val="18"/>
              </w:rPr>
              <w:t>16 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6B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6B7"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6B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6B9" w14:textId="77777777" w:rsidR="00A91885" w:rsidRDefault="009C4196">
            <w:pPr>
              <w:jc w:val="right"/>
              <w:textAlignment w:val="bottom"/>
            </w:pPr>
            <w:r>
              <w:rPr>
                <w:rFonts w:ascii="Arial" w:eastAsia="宋体" w:hAnsi="Arial" w:cs="Arial"/>
                <w:color w:val="000000"/>
                <w:sz w:val="18"/>
                <w:szCs w:val="18"/>
              </w:rPr>
              <w:t>(44)</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6B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6BB"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6B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6BD" w14:textId="77777777" w:rsidR="00A91885" w:rsidRDefault="009C4196">
            <w:pPr>
              <w:jc w:val="right"/>
              <w:textAlignment w:val="bottom"/>
            </w:pPr>
            <w:r>
              <w:rPr>
                <w:rFonts w:ascii="Arial" w:eastAsia="宋体" w:hAnsi="Arial" w:cs="Arial"/>
                <w:color w:val="000000"/>
                <w:sz w:val="18"/>
                <w:szCs w:val="18"/>
              </w:rPr>
              <w:t>(25)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6BE" w14:textId="77777777" w:rsidR="00A91885" w:rsidRDefault="00A91885">
            <w:pPr>
              <w:jc w:val="right"/>
              <w:rPr>
                <w:rFonts w:ascii="宋体"/>
              </w:rPr>
            </w:pPr>
          </w:p>
        </w:tc>
      </w:tr>
    </w:tbl>
    <w:p w14:paraId="186006C0" w14:textId="77777777" w:rsidR="00A91885" w:rsidRDefault="00A91885">
      <w:pPr>
        <w:jc w:val="center"/>
      </w:pPr>
    </w:p>
    <w:p w14:paraId="186006C1" w14:textId="77777777" w:rsidR="00A91885" w:rsidRDefault="009C4196">
      <w:pPr>
        <w:jc w:val="center"/>
      </w:pPr>
      <w:r>
        <w:rPr>
          <w:rFonts w:ascii="Arial" w:eastAsia="宋体" w:hAnsi="Arial" w:cs="Arial"/>
          <w:color w:val="000000"/>
          <w:sz w:val="20"/>
          <w:szCs w:val="20"/>
        </w:rPr>
        <w:t>25</w:t>
      </w:r>
    </w:p>
    <w:p w14:paraId="186006C2" w14:textId="77777777" w:rsidR="00A91885" w:rsidRDefault="009C4196">
      <w:r>
        <w:pict w14:anchorId="1860219C">
          <v:rect id="_x0000_i1049" style="width:415.3pt;height:1.5pt" o:hralign="center" o:hrstd="t" o:hr="t" fillcolor="#a0a0a0" stroked="f"/>
        </w:pict>
      </w:r>
    </w:p>
    <w:p w14:paraId="186006C3" w14:textId="77777777" w:rsidR="00A91885" w:rsidRDefault="009C4196">
      <w:hyperlink r:id="rId109" w:anchor="ieb971428a625452486c65ae24899afca_7" w:history="1">
        <w:r>
          <w:rPr>
            <w:rStyle w:val="a5"/>
            <w:rFonts w:ascii="Arial" w:eastAsia="宋体" w:hAnsi="Arial" w:cs="Arial"/>
            <w:sz w:val="18"/>
            <w:szCs w:val="18"/>
          </w:rPr>
          <w:t>Table of Contents</w:t>
        </w:r>
      </w:hyperlink>
    </w:p>
    <w:p w14:paraId="186006C4" w14:textId="77777777" w:rsidR="00A91885" w:rsidRDefault="009C4196">
      <w:pPr>
        <w:jc w:val="center"/>
      </w:pPr>
      <w:r>
        <w:rPr>
          <w:rFonts w:ascii="Arial" w:eastAsia="宋体" w:hAnsi="Arial" w:cs="Arial"/>
          <w:b/>
          <w:bCs/>
          <w:color w:val="000000"/>
          <w:sz w:val="20"/>
          <w:szCs w:val="20"/>
        </w:rPr>
        <w:t>eBay Inc.</w:t>
      </w:r>
    </w:p>
    <w:p w14:paraId="186006C5" w14:textId="77777777" w:rsidR="00A91885" w:rsidRDefault="009C4196">
      <w:pPr>
        <w:spacing w:before="8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186006C6" w14:textId="77777777" w:rsidR="00A91885" w:rsidRDefault="00A91885">
      <w:pPr>
        <w:spacing w:after="60"/>
      </w:pPr>
    </w:p>
    <w:p w14:paraId="186006C7" w14:textId="77777777" w:rsidR="00A91885" w:rsidRDefault="009C4196">
      <w:r>
        <w:rPr>
          <w:rFonts w:ascii="Arial" w:eastAsia="宋体" w:hAnsi="Arial" w:cs="Arial"/>
          <w:b/>
          <w:bCs/>
          <w:i/>
          <w:iCs/>
          <w:color w:val="000000"/>
          <w:sz w:val="20"/>
          <w:szCs w:val="20"/>
        </w:rPr>
        <w:t>Effect of Derivative Contracts on Condensed Consolidated Statement of Income</w:t>
      </w:r>
    </w:p>
    <w:p w14:paraId="186006C8" w14:textId="77777777" w:rsidR="00A91885" w:rsidRDefault="00A91885">
      <w:pPr>
        <w:ind w:firstLine="495"/>
      </w:pPr>
    </w:p>
    <w:p w14:paraId="186006C9" w14:textId="77777777" w:rsidR="00A91885" w:rsidRDefault="009C4196">
      <w:pPr>
        <w:spacing w:after="120"/>
        <w:ind w:firstLine="540"/>
        <w:jc w:val="both"/>
      </w:pPr>
      <w:r>
        <w:rPr>
          <w:rFonts w:ascii="Arial" w:eastAsia="宋体" w:hAnsi="Arial" w:cs="Arial"/>
          <w:color w:val="000000"/>
          <w:sz w:val="20"/>
          <w:szCs w:val="20"/>
        </w:rPr>
        <w:t>The following table summarizes the total gain (loss) recognized in the condensed consolidated statement of income from our foreign exchange derivative con</w:t>
      </w:r>
      <w:r>
        <w:rPr>
          <w:rFonts w:ascii="Arial" w:eastAsia="宋体" w:hAnsi="Arial" w:cs="Arial"/>
          <w:color w:val="000000"/>
          <w:sz w:val="20"/>
          <w:szCs w:val="20"/>
        </w:rPr>
        <w:t>tracts by location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38"/>
        <w:gridCol w:w="4429"/>
        <w:gridCol w:w="37"/>
        <w:gridCol w:w="122"/>
        <w:gridCol w:w="719"/>
        <w:gridCol w:w="37"/>
        <w:gridCol w:w="36"/>
        <w:gridCol w:w="36"/>
        <w:gridCol w:w="36"/>
        <w:gridCol w:w="121"/>
        <w:gridCol w:w="719"/>
        <w:gridCol w:w="36"/>
        <w:gridCol w:w="36"/>
        <w:gridCol w:w="36"/>
        <w:gridCol w:w="36"/>
        <w:gridCol w:w="122"/>
        <w:gridCol w:w="719"/>
        <w:gridCol w:w="37"/>
        <w:gridCol w:w="36"/>
        <w:gridCol w:w="36"/>
        <w:gridCol w:w="36"/>
        <w:gridCol w:w="121"/>
        <w:gridCol w:w="719"/>
        <w:gridCol w:w="36"/>
      </w:tblGrid>
      <w:tr w:rsidR="00A91885" w14:paraId="186006E2" w14:textId="77777777">
        <w:tc>
          <w:tcPr>
            <w:tcW w:w="50" w:type="pct"/>
            <w:shd w:val="clear" w:color="auto" w:fill="auto"/>
            <w:vAlign w:val="bottom"/>
          </w:tcPr>
          <w:p w14:paraId="186006CA" w14:textId="77777777" w:rsidR="00A91885" w:rsidRDefault="00A91885">
            <w:pPr>
              <w:rPr>
                <w:rFonts w:ascii="宋体"/>
              </w:rPr>
            </w:pPr>
          </w:p>
        </w:tc>
        <w:tc>
          <w:tcPr>
            <w:tcW w:w="2722" w:type="pct"/>
            <w:shd w:val="clear" w:color="auto" w:fill="auto"/>
            <w:vAlign w:val="bottom"/>
          </w:tcPr>
          <w:p w14:paraId="186006CB" w14:textId="77777777" w:rsidR="00A91885" w:rsidRDefault="00A91885">
            <w:pPr>
              <w:rPr>
                <w:rFonts w:ascii="宋体"/>
              </w:rPr>
            </w:pPr>
          </w:p>
        </w:tc>
        <w:tc>
          <w:tcPr>
            <w:tcW w:w="5" w:type="pct"/>
            <w:shd w:val="clear" w:color="auto" w:fill="auto"/>
            <w:vAlign w:val="bottom"/>
          </w:tcPr>
          <w:p w14:paraId="186006CC" w14:textId="77777777" w:rsidR="00A91885" w:rsidRDefault="00A91885">
            <w:pPr>
              <w:rPr>
                <w:rFonts w:ascii="宋体"/>
              </w:rPr>
            </w:pPr>
          </w:p>
        </w:tc>
        <w:tc>
          <w:tcPr>
            <w:tcW w:w="50" w:type="pct"/>
            <w:shd w:val="clear" w:color="auto" w:fill="auto"/>
            <w:vAlign w:val="bottom"/>
          </w:tcPr>
          <w:p w14:paraId="186006CD" w14:textId="77777777" w:rsidR="00A91885" w:rsidRDefault="00A91885">
            <w:pPr>
              <w:rPr>
                <w:rFonts w:ascii="宋体"/>
              </w:rPr>
            </w:pPr>
          </w:p>
        </w:tc>
        <w:tc>
          <w:tcPr>
            <w:tcW w:w="478" w:type="pct"/>
            <w:shd w:val="clear" w:color="auto" w:fill="auto"/>
            <w:vAlign w:val="bottom"/>
          </w:tcPr>
          <w:p w14:paraId="186006CE" w14:textId="77777777" w:rsidR="00A91885" w:rsidRDefault="00A91885">
            <w:pPr>
              <w:rPr>
                <w:rFonts w:ascii="宋体"/>
              </w:rPr>
            </w:pPr>
          </w:p>
        </w:tc>
        <w:tc>
          <w:tcPr>
            <w:tcW w:w="5" w:type="pct"/>
            <w:shd w:val="clear" w:color="auto" w:fill="auto"/>
            <w:vAlign w:val="bottom"/>
          </w:tcPr>
          <w:p w14:paraId="186006CF" w14:textId="77777777" w:rsidR="00A91885" w:rsidRDefault="00A91885">
            <w:pPr>
              <w:rPr>
                <w:rFonts w:ascii="宋体"/>
              </w:rPr>
            </w:pPr>
          </w:p>
        </w:tc>
        <w:tc>
          <w:tcPr>
            <w:tcW w:w="5" w:type="pct"/>
            <w:shd w:val="clear" w:color="auto" w:fill="auto"/>
            <w:vAlign w:val="bottom"/>
          </w:tcPr>
          <w:p w14:paraId="186006D0" w14:textId="77777777" w:rsidR="00A91885" w:rsidRDefault="00A91885">
            <w:pPr>
              <w:rPr>
                <w:rFonts w:ascii="宋体"/>
              </w:rPr>
            </w:pPr>
          </w:p>
        </w:tc>
        <w:tc>
          <w:tcPr>
            <w:tcW w:w="19" w:type="pct"/>
            <w:shd w:val="clear" w:color="auto" w:fill="auto"/>
            <w:vAlign w:val="bottom"/>
          </w:tcPr>
          <w:p w14:paraId="186006D1" w14:textId="77777777" w:rsidR="00A91885" w:rsidRDefault="00A91885">
            <w:pPr>
              <w:rPr>
                <w:rFonts w:ascii="宋体"/>
              </w:rPr>
            </w:pPr>
          </w:p>
        </w:tc>
        <w:tc>
          <w:tcPr>
            <w:tcW w:w="5" w:type="pct"/>
            <w:shd w:val="clear" w:color="auto" w:fill="auto"/>
            <w:vAlign w:val="bottom"/>
          </w:tcPr>
          <w:p w14:paraId="186006D2" w14:textId="77777777" w:rsidR="00A91885" w:rsidRDefault="00A91885">
            <w:pPr>
              <w:rPr>
                <w:rFonts w:ascii="宋体"/>
              </w:rPr>
            </w:pPr>
          </w:p>
        </w:tc>
        <w:tc>
          <w:tcPr>
            <w:tcW w:w="50" w:type="pct"/>
            <w:shd w:val="clear" w:color="auto" w:fill="auto"/>
            <w:vAlign w:val="bottom"/>
          </w:tcPr>
          <w:p w14:paraId="186006D3" w14:textId="77777777" w:rsidR="00A91885" w:rsidRDefault="00A91885">
            <w:pPr>
              <w:rPr>
                <w:rFonts w:ascii="宋体"/>
              </w:rPr>
            </w:pPr>
          </w:p>
        </w:tc>
        <w:tc>
          <w:tcPr>
            <w:tcW w:w="478" w:type="pct"/>
            <w:shd w:val="clear" w:color="auto" w:fill="auto"/>
            <w:vAlign w:val="bottom"/>
          </w:tcPr>
          <w:p w14:paraId="186006D4" w14:textId="77777777" w:rsidR="00A91885" w:rsidRDefault="00A91885">
            <w:pPr>
              <w:rPr>
                <w:rFonts w:ascii="宋体"/>
              </w:rPr>
            </w:pPr>
          </w:p>
        </w:tc>
        <w:tc>
          <w:tcPr>
            <w:tcW w:w="5" w:type="pct"/>
            <w:shd w:val="clear" w:color="auto" w:fill="auto"/>
            <w:vAlign w:val="bottom"/>
          </w:tcPr>
          <w:p w14:paraId="186006D5" w14:textId="77777777" w:rsidR="00A91885" w:rsidRDefault="00A91885">
            <w:pPr>
              <w:rPr>
                <w:rFonts w:ascii="宋体"/>
              </w:rPr>
            </w:pPr>
          </w:p>
        </w:tc>
        <w:tc>
          <w:tcPr>
            <w:tcW w:w="5" w:type="pct"/>
            <w:shd w:val="clear" w:color="auto" w:fill="auto"/>
            <w:vAlign w:val="bottom"/>
          </w:tcPr>
          <w:p w14:paraId="186006D6" w14:textId="77777777" w:rsidR="00A91885" w:rsidRDefault="00A91885">
            <w:pPr>
              <w:rPr>
                <w:rFonts w:ascii="宋体"/>
              </w:rPr>
            </w:pPr>
          </w:p>
        </w:tc>
        <w:tc>
          <w:tcPr>
            <w:tcW w:w="19" w:type="pct"/>
            <w:shd w:val="clear" w:color="auto" w:fill="auto"/>
            <w:vAlign w:val="bottom"/>
          </w:tcPr>
          <w:p w14:paraId="186006D7" w14:textId="77777777" w:rsidR="00A91885" w:rsidRDefault="00A91885">
            <w:pPr>
              <w:rPr>
                <w:rFonts w:ascii="宋体"/>
              </w:rPr>
            </w:pPr>
          </w:p>
        </w:tc>
        <w:tc>
          <w:tcPr>
            <w:tcW w:w="5" w:type="pct"/>
            <w:shd w:val="clear" w:color="auto" w:fill="auto"/>
            <w:vAlign w:val="bottom"/>
          </w:tcPr>
          <w:p w14:paraId="186006D8" w14:textId="77777777" w:rsidR="00A91885" w:rsidRDefault="00A91885">
            <w:pPr>
              <w:rPr>
                <w:rFonts w:ascii="宋体"/>
              </w:rPr>
            </w:pPr>
          </w:p>
        </w:tc>
        <w:tc>
          <w:tcPr>
            <w:tcW w:w="50" w:type="pct"/>
            <w:shd w:val="clear" w:color="auto" w:fill="auto"/>
            <w:vAlign w:val="bottom"/>
          </w:tcPr>
          <w:p w14:paraId="186006D9" w14:textId="77777777" w:rsidR="00A91885" w:rsidRDefault="00A91885">
            <w:pPr>
              <w:rPr>
                <w:rFonts w:ascii="宋体"/>
              </w:rPr>
            </w:pPr>
          </w:p>
        </w:tc>
        <w:tc>
          <w:tcPr>
            <w:tcW w:w="478" w:type="pct"/>
            <w:shd w:val="clear" w:color="auto" w:fill="auto"/>
            <w:vAlign w:val="bottom"/>
          </w:tcPr>
          <w:p w14:paraId="186006DA" w14:textId="77777777" w:rsidR="00A91885" w:rsidRDefault="00A91885">
            <w:pPr>
              <w:rPr>
                <w:rFonts w:ascii="宋体"/>
              </w:rPr>
            </w:pPr>
          </w:p>
        </w:tc>
        <w:tc>
          <w:tcPr>
            <w:tcW w:w="5" w:type="pct"/>
            <w:shd w:val="clear" w:color="auto" w:fill="auto"/>
            <w:vAlign w:val="bottom"/>
          </w:tcPr>
          <w:p w14:paraId="186006DB" w14:textId="77777777" w:rsidR="00A91885" w:rsidRDefault="00A91885">
            <w:pPr>
              <w:rPr>
                <w:rFonts w:ascii="宋体"/>
              </w:rPr>
            </w:pPr>
          </w:p>
        </w:tc>
        <w:tc>
          <w:tcPr>
            <w:tcW w:w="5" w:type="pct"/>
            <w:shd w:val="clear" w:color="auto" w:fill="auto"/>
            <w:vAlign w:val="bottom"/>
          </w:tcPr>
          <w:p w14:paraId="186006DC" w14:textId="77777777" w:rsidR="00A91885" w:rsidRDefault="00A91885">
            <w:pPr>
              <w:rPr>
                <w:rFonts w:ascii="宋体"/>
              </w:rPr>
            </w:pPr>
          </w:p>
        </w:tc>
        <w:tc>
          <w:tcPr>
            <w:tcW w:w="19" w:type="pct"/>
            <w:shd w:val="clear" w:color="auto" w:fill="auto"/>
            <w:vAlign w:val="bottom"/>
          </w:tcPr>
          <w:p w14:paraId="186006DD" w14:textId="77777777" w:rsidR="00A91885" w:rsidRDefault="00A91885">
            <w:pPr>
              <w:rPr>
                <w:rFonts w:ascii="宋体"/>
              </w:rPr>
            </w:pPr>
          </w:p>
        </w:tc>
        <w:tc>
          <w:tcPr>
            <w:tcW w:w="5" w:type="pct"/>
            <w:shd w:val="clear" w:color="auto" w:fill="auto"/>
            <w:vAlign w:val="bottom"/>
          </w:tcPr>
          <w:p w14:paraId="186006DE" w14:textId="77777777" w:rsidR="00A91885" w:rsidRDefault="00A91885">
            <w:pPr>
              <w:rPr>
                <w:rFonts w:ascii="宋体"/>
              </w:rPr>
            </w:pPr>
          </w:p>
        </w:tc>
        <w:tc>
          <w:tcPr>
            <w:tcW w:w="50" w:type="pct"/>
            <w:shd w:val="clear" w:color="auto" w:fill="auto"/>
            <w:vAlign w:val="bottom"/>
          </w:tcPr>
          <w:p w14:paraId="186006DF" w14:textId="77777777" w:rsidR="00A91885" w:rsidRDefault="00A91885">
            <w:pPr>
              <w:rPr>
                <w:rFonts w:ascii="宋体"/>
              </w:rPr>
            </w:pPr>
          </w:p>
        </w:tc>
        <w:tc>
          <w:tcPr>
            <w:tcW w:w="478" w:type="pct"/>
            <w:shd w:val="clear" w:color="auto" w:fill="auto"/>
            <w:vAlign w:val="bottom"/>
          </w:tcPr>
          <w:p w14:paraId="186006E0" w14:textId="77777777" w:rsidR="00A91885" w:rsidRDefault="00A91885">
            <w:pPr>
              <w:rPr>
                <w:rFonts w:ascii="宋体"/>
              </w:rPr>
            </w:pPr>
          </w:p>
        </w:tc>
        <w:tc>
          <w:tcPr>
            <w:tcW w:w="5" w:type="pct"/>
            <w:shd w:val="clear" w:color="auto" w:fill="auto"/>
            <w:vAlign w:val="bottom"/>
          </w:tcPr>
          <w:p w14:paraId="186006E1" w14:textId="77777777" w:rsidR="00A91885" w:rsidRDefault="00A91885">
            <w:pPr>
              <w:rPr>
                <w:rFonts w:ascii="宋体"/>
              </w:rPr>
            </w:pPr>
          </w:p>
        </w:tc>
      </w:tr>
      <w:tr w:rsidR="00A91885" w14:paraId="186006E7" w14:textId="77777777">
        <w:tc>
          <w:tcPr>
            <w:tcW w:w="0" w:type="auto"/>
            <w:gridSpan w:val="3"/>
            <w:shd w:val="clear" w:color="auto" w:fill="auto"/>
            <w:tcMar>
              <w:top w:w="0" w:type="dxa"/>
              <w:left w:w="20" w:type="dxa"/>
              <w:bottom w:w="0" w:type="dxa"/>
              <w:right w:w="20" w:type="dxa"/>
            </w:tcMar>
            <w:vAlign w:val="bottom"/>
          </w:tcPr>
          <w:p w14:paraId="186006E3"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06E4"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06E5"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06E6"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6006F0" w14:textId="77777777">
        <w:tc>
          <w:tcPr>
            <w:tcW w:w="0" w:type="auto"/>
            <w:gridSpan w:val="3"/>
            <w:shd w:val="clear" w:color="auto" w:fill="auto"/>
            <w:tcMar>
              <w:top w:w="40" w:type="dxa"/>
              <w:left w:w="20" w:type="dxa"/>
              <w:bottom w:w="40" w:type="dxa"/>
              <w:right w:w="20" w:type="dxa"/>
            </w:tcMar>
            <w:vAlign w:val="bottom"/>
          </w:tcPr>
          <w:p w14:paraId="186006E8" w14:textId="77777777" w:rsidR="00A91885" w:rsidRDefault="009C4196">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6E9"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6EA"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6EB"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06EC"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6ED"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6EE" w14:textId="77777777" w:rsidR="00A91885" w:rsidRDefault="00A9188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86006EF"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600701" w14:textId="77777777">
        <w:tc>
          <w:tcPr>
            <w:tcW w:w="0" w:type="auto"/>
            <w:gridSpan w:val="3"/>
            <w:shd w:val="clear" w:color="auto" w:fill="E2E2E2"/>
            <w:tcMar>
              <w:top w:w="40" w:type="dxa"/>
              <w:left w:w="20" w:type="dxa"/>
              <w:bottom w:w="40" w:type="dxa"/>
              <w:right w:w="20" w:type="dxa"/>
            </w:tcMar>
            <w:vAlign w:val="bottom"/>
          </w:tcPr>
          <w:p w14:paraId="186006F1" w14:textId="77777777" w:rsidR="00A91885" w:rsidRDefault="009C4196">
            <w:pPr>
              <w:textAlignment w:val="bottom"/>
            </w:pPr>
            <w:r>
              <w:rPr>
                <w:rFonts w:ascii="Arial" w:eastAsia="宋体" w:hAnsi="Arial" w:cs="Arial"/>
                <w:color w:val="000000"/>
                <w:sz w:val="18"/>
                <w:szCs w:val="18"/>
              </w:rPr>
              <w:t>Foreign exchange contracts designated as cash flow hedges recognized in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06F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6F3" w14:textId="77777777" w:rsidR="00A91885" w:rsidRDefault="009C4196">
            <w:pPr>
              <w:jc w:val="right"/>
              <w:textAlignment w:val="bottom"/>
            </w:pPr>
            <w:r>
              <w:rPr>
                <w:rFonts w:ascii="Arial" w:eastAsia="宋体" w:hAnsi="Arial" w:cs="Arial"/>
                <w:color w:val="000000"/>
                <w:sz w:val="18"/>
                <w:szCs w:val="18"/>
              </w:rPr>
              <w:t>9 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6F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6F5"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6F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6F7" w14:textId="77777777" w:rsidR="00A91885" w:rsidRDefault="009C4196">
            <w:pPr>
              <w:jc w:val="right"/>
              <w:textAlignment w:val="bottom"/>
            </w:pPr>
            <w:r>
              <w:rPr>
                <w:rFonts w:ascii="Arial" w:eastAsia="宋体" w:hAnsi="Arial" w:cs="Arial"/>
                <w:color w:val="000000"/>
                <w:sz w:val="18"/>
                <w:szCs w:val="18"/>
              </w:rPr>
              <w:t>(18)</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6F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6F9"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6F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6FB" w14:textId="77777777" w:rsidR="00A91885" w:rsidRDefault="009C4196">
            <w:pPr>
              <w:jc w:val="right"/>
              <w:textAlignment w:val="bottom"/>
            </w:pPr>
            <w:r>
              <w:rPr>
                <w:rFonts w:ascii="Arial" w:eastAsia="宋体" w:hAnsi="Arial" w:cs="Arial"/>
                <w:color w:val="000000"/>
                <w:sz w:val="18"/>
                <w:szCs w:val="18"/>
              </w:rPr>
              <w:t>15 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6F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6FD"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6F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6FF" w14:textId="77777777" w:rsidR="00A91885" w:rsidRDefault="009C4196">
            <w:pPr>
              <w:jc w:val="right"/>
              <w:textAlignment w:val="bottom"/>
            </w:pPr>
            <w:r>
              <w:rPr>
                <w:rFonts w:ascii="Arial" w:eastAsia="宋体" w:hAnsi="Arial" w:cs="Arial"/>
                <w:color w:val="000000"/>
                <w:sz w:val="18"/>
                <w:szCs w:val="18"/>
              </w:rPr>
              <w:t>(46)</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700" w14:textId="77777777" w:rsidR="00A91885" w:rsidRDefault="00A91885">
            <w:pPr>
              <w:jc w:val="right"/>
              <w:rPr>
                <w:rFonts w:ascii="宋体"/>
              </w:rPr>
            </w:pPr>
          </w:p>
        </w:tc>
      </w:tr>
      <w:tr w:rsidR="00A91885" w14:paraId="1860070E" w14:textId="77777777">
        <w:tc>
          <w:tcPr>
            <w:tcW w:w="0" w:type="auto"/>
            <w:gridSpan w:val="3"/>
            <w:shd w:val="clear" w:color="auto" w:fill="FFFFFF"/>
            <w:tcMar>
              <w:top w:w="40" w:type="dxa"/>
              <w:left w:w="20" w:type="dxa"/>
              <w:bottom w:w="40" w:type="dxa"/>
              <w:right w:w="20" w:type="dxa"/>
            </w:tcMar>
            <w:vAlign w:val="bottom"/>
          </w:tcPr>
          <w:p w14:paraId="18600702" w14:textId="77777777" w:rsidR="00A91885" w:rsidRDefault="009C4196">
            <w:pPr>
              <w:textAlignment w:val="bottom"/>
            </w:pPr>
            <w:r>
              <w:rPr>
                <w:rFonts w:ascii="Arial" w:eastAsia="宋体" w:hAnsi="Arial" w:cs="Arial"/>
                <w:color w:val="000000"/>
                <w:sz w:val="18"/>
                <w:szCs w:val="18"/>
              </w:rPr>
              <w:t>Foreign exchange contracts designated as cash flow hedges recognized in cost of net revenues</w:t>
            </w:r>
          </w:p>
        </w:tc>
        <w:tc>
          <w:tcPr>
            <w:tcW w:w="0" w:type="auto"/>
            <w:gridSpan w:val="2"/>
            <w:shd w:val="clear" w:color="auto" w:fill="FFFFFF"/>
            <w:tcMar>
              <w:top w:w="40" w:type="dxa"/>
              <w:left w:w="20" w:type="dxa"/>
              <w:bottom w:w="40" w:type="dxa"/>
              <w:right w:w="0" w:type="dxa"/>
            </w:tcMar>
            <w:vAlign w:val="bottom"/>
          </w:tcPr>
          <w:p w14:paraId="18600703"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70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70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706"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860070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70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70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70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70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70C"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1860070D" w14:textId="77777777" w:rsidR="00A91885" w:rsidRDefault="00A91885">
            <w:pPr>
              <w:jc w:val="right"/>
              <w:rPr>
                <w:rFonts w:ascii="宋体"/>
              </w:rPr>
            </w:pPr>
          </w:p>
        </w:tc>
      </w:tr>
      <w:tr w:rsidR="00A91885" w14:paraId="18600717" w14:textId="77777777">
        <w:trPr>
          <w:hidden/>
        </w:trPr>
        <w:tc>
          <w:tcPr>
            <w:tcW w:w="0" w:type="auto"/>
            <w:gridSpan w:val="3"/>
            <w:shd w:val="clear" w:color="auto" w:fill="auto"/>
            <w:vAlign w:val="bottom"/>
          </w:tcPr>
          <w:p w14:paraId="1860070F" w14:textId="77777777" w:rsidR="00A91885" w:rsidRDefault="00A91885">
            <w:pPr>
              <w:rPr>
                <w:rFonts w:ascii="宋体"/>
                <w:vanish/>
              </w:rPr>
            </w:pPr>
          </w:p>
        </w:tc>
        <w:tc>
          <w:tcPr>
            <w:tcW w:w="0" w:type="auto"/>
            <w:gridSpan w:val="3"/>
            <w:shd w:val="clear" w:color="auto" w:fill="auto"/>
            <w:vAlign w:val="bottom"/>
          </w:tcPr>
          <w:p w14:paraId="18600710" w14:textId="77777777" w:rsidR="00A91885" w:rsidRDefault="00A91885">
            <w:pPr>
              <w:rPr>
                <w:rFonts w:ascii="宋体"/>
                <w:vanish/>
              </w:rPr>
            </w:pPr>
          </w:p>
        </w:tc>
        <w:tc>
          <w:tcPr>
            <w:tcW w:w="0" w:type="auto"/>
            <w:gridSpan w:val="3"/>
            <w:shd w:val="clear" w:color="auto" w:fill="auto"/>
            <w:vAlign w:val="bottom"/>
          </w:tcPr>
          <w:p w14:paraId="18600711" w14:textId="77777777" w:rsidR="00A91885" w:rsidRDefault="00A91885">
            <w:pPr>
              <w:rPr>
                <w:rFonts w:ascii="宋体"/>
                <w:vanish/>
              </w:rPr>
            </w:pPr>
          </w:p>
        </w:tc>
        <w:tc>
          <w:tcPr>
            <w:tcW w:w="0" w:type="auto"/>
            <w:gridSpan w:val="3"/>
            <w:shd w:val="clear" w:color="auto" w:fill="auto"/>
            <w:vAlign w:val="bottom"/>
          </w:tcPr>
          <w:p w14:paraId="18600712" w14:textId="77777777" w:rsidR="00A91885" w:rsidRDefault="00A91885">
            <w:pPr>
              <w:rPr>
                <w:rFonts w:ascii="宋体"/>
                <w:vanish/>
              </w:rPr>
            </w:pPr>
          </w:p>
        </w:tc>
        <w:tc>
          <w:tcPr>
            <w:tcW w:w="0" w:type="auto"/>
            <w:gridSpan w:val="3"/>
            <w:shd w:val="clear" w:color="auto" w:fill="auto"/>
            <w:vAlign w:val="bottom"/>
          </w:tcPr>
          <w:p w14:paraId="18600713" w14:textId="77777777" w:rsidR="00A91885" w:rsidRDefault="00A91885">
            <w:pPr>
              <w:rPr>
                <w:rFonts w:ascii="宋体"/>
                <w:vanish/>
              </w:rPr>
            </w:pPr>
          </w:p>
        </w:tc>
        <w:tc>
          <w:tcPr>
            <w:tcW w:w="0" w:type="auto"/>
            <w:gridSpan w:val="3"/>
            <w:shd w:val="clear" w:color="auto" w:fill="auto"/>
            <w:vAlign w:val="bottom"/>
          </w:tcPr>
          <w:p w14:paraId="18600714" w14:textId="77777777" w:rsidR="00A91885" w:rsidRDefault="00A91885">
            <w:pPr>
              <w:rPr>
                <w:rFonts w:ascii="宋体"/>
                <w:vanish/>
              </w:rPr>
            </w:pPr>
          </w:p>
        </w:tc>
        <w:tc>
          <w:tcPr>
            <w:tcW w:w="0" w:type="auto"/>
            <w:gridSpan w:val="3"/>
            <w:shd w:val="clear" w:color="auto" w:fill="auto"/>
            <w:vAlign w:val="bottom"/>
          </w:tcPr>
          <w:p w14:paraId="18600715" w14:textId="77777777" w:rsidR="00A91885" w:rsidRDefault="00A91885">
            <w:pPr>
              <w:rPr>
                <w:rFonts w:ascii="宋体"/>
                <w:vanish/>
              </w:rPr>
            </w:pPr>
          </w:p>
        </w:tc>
        <w:tc>
          <w:tcPr>
            <w:tcW w:w="0" w:type="auto"/>
            <w:gridSpan w:val="3"/>
            <w:shd w:val="clear" w:color="auto" w:fill="auto"/>
            <w:vAlign w:val="bottom"/>
          </w:tcPr>
          <w:p w14:paraId="18600716" w14:textId="77777777" w:rsidR="00A91885" w:rsidRDefault="00A91885">
            <w:pPr>
              <w:rPr>
                <w:rFonts w:ascii="宋体"/>
                <w:vanish/>
              </w:rPr>
            </w:pPr>
          </w:p>
        </w:tc>
      </w:tr>
      <w:tr w:rsidR="00A91885" w14:paraId="18600724" w14:textId="77777777">
        <w:tc>
          <w:tcPr>
            <w:tcW w:w="0" w:type="auto"/>
            <w:gridSpan w:val="3"/>
            <w:shd w:val="clear" w:color="auto" w:fill="E2E2E2"/>
            <w:tcMar>
              <w:top w:w="40" w:type="dxa"/>
              <w:left w:w="20" w:type="dxa"/>
              <w:bottom w:w="40" w:type="dxa"/>
              <w:right w:w="20" w:type="dxa"/>
            </w:tcMar>
            <w:vAlign w:val="bottom"/>
          </w:tcPr>
          <w:p w14:paraId="18600718" w14:textId="77777777" w:rsidR="00A91885" w:rsidRDefault="009C4196">
            <w:pPr>
              <w:textAlignment w:val="bottom"/>
            </w:pPr>
            <w:r>
              <w:rPr>
                <w:rFonts w:ascii="Arial" w:eastAsia="宋体" w:hAnsi="Arial" w:cs="Arial"/>
                <w:color w:val="000000"/>
                <w:sz w:val="18"/>
                <w:szCs w:val="18"/>
              </w:rPr>
              <w:t>Foreign exchange contracts not designated as hedging instruments recognized in interest and other, net</w:t>
            </w:r>
          </w:p>
        </w:tc>
        <w:tc>
          <w:tcPr>
            <w:tcW w:w="0" w:type="auto"/>
            <w:gridSpan w:val="2"/>
            <w:shd w:val="clear" w:color="auto" w:fill="E2E2E2"/>
            <w:tcMar>
              <w:top w:w="40" w:type="dxa"/>
              <w:left w:w="20" w:type="dxa"/>
              <w:bottom w:w="40" w:type="dxa"/>
              <w:right w:w="0" w:type="dxa"/>
            </w:tcMar>
            <w:vAlign w:val="bottom"/>
          </w:tcPr>
          <w:p w14:paraId="18600719" w14:textId="77777777" w:rsidR="00A91885" w:rsidRDefault="009C4196">
            <w:pPr>
              <w:jc w:val="right"/>
              <w:textAlignment w:val="bottom"/>
            </w:pPr>
            <w:r>
              <w:rPr>
                <w:rFonts w:ascii="Arial" w:eastAsia="宋体" w:hAnsi="Arial" w:cs="Arial"/>
                <w:color w:val="000000"/>
                <w:sz w:val="18"/>
                <w:szCs w:val="18"/>
              </w:rPr>
              <w:t>25 </w:t>
            </w:r>
          </w:p>
        </w:tc>
        <w:tc>
          <w:tcPr>
            <w:tcW w:w="0" w:type="auto"/>
            <w:shd w:val="clear" w:color="auto" w:fill="E2E2E2"/>
            <w:tcMar>
              <w:top w:w="40" w:type="dxa"/>
              <w:left w:w="0" w:type="dxa"/>
              <w:bottom w:w="40" w:type="dxa"/>
              <w:right w:w="20" w:type="dxa"/>
            </w:tcMar>
            <w:vAlign w:val="bottom"/>
          </w:tcPr>
          <w:p w14:paraId="1860071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71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71C"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71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71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71F" w14:textId="77777777" w:rsidR="00A91885" w:rsidRDefault="009C4196">
            <w:pPr>
              <w:jc w:val="right"/>
              <w:textAlignment w:val="bottom"/>
            </w:pPr>
            <w:r>
              <w:rPr>
                <w:rFonts w:ascii="Arial" w:eastAsia="宋体" w:hAnsi="Arial" w:cs="Arial"/>
                <w:color w:val="000000"/>
                <w:sz w:val="18"/>
                <w:szCs w:val="18"/>
              </w:rPr>
              <w:t>40 </w:t>
            </w:r>
          </w:p>
        </w:tc>
        <w:tc>
          <w:tcPr>
            <w:tcW w:w="0" w:type="auto"/>
            <w:shd w:val="clear" w:color="auto" w:fill="E2E2E2"/>
            <w:tcMar>
              <w:top w:w="40" w:type="dxa"/>
              <w:left w:w="0" w:type="dxa"/>
              <w:bottom w:w="40" w:type="dxa"/>
              <w:right w:w="20" w:type="dxa"/>
            </w:tcMar>
            <w:vAlign w:val="bottom"/>
          </w:tcPr>
          <w:p w14:paraId="1860072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72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722" w14:textId="77777777" w:rsidR="00A91885" w:rsidRDefault="009C4196">
            <w:pPr>
              <w:jc w:val="right"/>
              <w:textAlignment w:val="bottom"/>
            </w:pPr>
            <w:r>
              <w:rPr>
                <w:rFonts w:ascii="Arial" w:eastAsia="宋体" w:hAnsi="Arial" w:cs="Arial"/>
                <w:color w:val="000000"/>
                <w:sz w:val="18"/>
                <w:szCs w:val="18"/>
              </w:rPr>
              <w:t>(6)</w:t>
            </w:r>
          </w:p>
        </w:tc>
        <w:tc>
          <w:tcPr>
            <w:tcW w:w="0" w:type="auto"/>
            <w:shd w:val="clear" w:color="auto" w:fill="E2E2E2"/>
            <w:tcMar>
              <w:top w:w="40" w:type="dxa"/>
              <w:left w:w="0" w:type="dxa"/>
              <w:bottom w:w="40" w:type="dxa"/>
              <w:right w:w="20" w:type="dxa"/>
            </w:tcMar>
            <w:vAlign w:val="bottom"/>
          </w:tcPr>
          <w:p w14:paraId="18600723" w14:textId="77777777" w:rsidR="00A91885" w:rsidRDefault="00A91885">
            <w:pPr>
              <w:jc w:val="right"/>
              <w:rPr>
                <w:rFonts w:ascii="宋体"/>
              </w:rPr>
            </w:pPr>
          </w:p>
        </w:tc>
      </w:tr>
      <w:tr w:rsidR="00A91885" w14:paraId="18600735" w14:textId="77777777">
        <w:tc>
          <w:tcPr>
            <w:tcW w:w="0" w:type="auto"/>
            <w:gridSpan w:val="3"/>
            <w:shd w:val="clear" w:color="auto" w:fill="FFFFFF"/>
            <w:tcMar>
              <w:top w:w="40" w:type="dxa"/>
              <w:left w:w="245" w:type="dxa"/>
              <w:bottom w:w="40" w:type="dxa"/>
              <w:right w:w="20" w:type="dxa"/>
            </w:tcMar>
            <w:vAlign w:val="bottom"/>
          </w:tcPr>
          <w:p w14:paraId="18600725" w14:textId="77777777" w:rsidR="00A91885" w:rsidRDefault="009C4196">
            <w:pPr>
              <w:textAlignment w:val="bottom"/>
            </w:pPr>
            <w:r>
              <w:rPr>
                <w:rFonts w:ascii="Arial" w:eastAsia="宋体" w:hAnsi="Arial" w:cs="Arial"/>
                <w:color w:val="000000"/>
                <w:sz w:val="18"/>
                <w:szCs w:val="18"/>
              </w:rPr>
              <w:t>Total gain (loss) recognized from foreign exchange derivative contracts in the condensed consolidated statement of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72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727" w14:textId="77777777" w:rsidR="00A91885" w:rsidRDefault="009C4196">
            <w:pPr>
              <w:jc w:val="right"/>
              <w:textAlignment w:val="bottom"/>
            </w:pPr>
            <w:r>
              <w:rPr>
                <w:rFonts w:ascii="Arial" w:eastAsia="宋体" w:hAnsi="Arial" w:cs="Arial"/>
                <w:color w:val="000000"/>
                <w:sz w:val="18"/>
                <w:szCs w:val="18"/>
              </w:rPr>
              <w:t>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72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729"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72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72B" w14:textId="77777777" w:rsidR="00A91885" w:rsidRDefault="009C4196">
            <w:pPr>
              <w:jc w:val="right"/>
              <w:textAlignment w:val="bottom"/>
            </w:pPr>
            <w:r>
              <w:rPr>
                <w:rFonts w:ascii="Arial" w:eastAsia="宋体" w:hAnsi="Arial" w:cs="Arial"/>
                <w:color w:val="000000"/>
                <w:sz w:val="18"/>
                <w:szCs w:val="18"/>
              </w:rPr>
              <w:t>(17)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72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72D"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72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72F" w14:textId="77777777" w:rsidR="00A91885" w:rsidRDefault="009C4196">
            <w:pPr>
              <w:jc w:val="right"/>
              <w:textAlignment w:val="bottom"/>
            </w:pPr>
            <w:r>
              <w:rPr>
                <w:rFonts w:ascii="Arial" w:eastAsia="宋体" w:hAnsi="Arial" w:cs="Arial"/>
                <w:color w:val="000000"/>
                <w:sz w:val="18"/>
                <w:szCs w:val="18"/>
              </w:rPr>
              <w:t>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73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731"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73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733" w14:textId="77777777" w:rsidR="00A91885" w:rsidRDefault="009C4196">
            <w:pPr>
              <w:jc w:val="right"/>
              <w:textAlignment w:val="bottom"/>
            </w:pPr>
            <w:r>
              <w:rPr>
                <w:rFonts w:ascii="Arial" w:eastAsia="宋体" w:hAnsi="Arial" w:cs="Arial"/>
                <w:color w:val="000000"/>
                <w:sz w:val="18"/>
                <w:szCs w:val="18"/>
              </w:rPr>
              <w:t>(50)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734" w14:textId="77777777" w:rsidR="00A91885" w:rsidRDefault="00A91885">
            <w:pPr>
              <w:jc w:val="right"/>
              <w:rPr>
                <w:rFonts w:ascii="宋体"/>
              </w:rPr>
            </w:pPr>
          </w:p>
        </w:tc>
      </w:tr>
    </w:tbl>
    <w:p w14:paraId="18600736" w14:textId="77777777" w:rsidR="00A91885" w:rsidRDefault="00A91885">
      <w:pPr>
        <w:spacing w:after="60"/>
        <w:ind w:firstLine="540"/>
      </w:pPr>
    </w:p>
    <w:p w14:paraId="18600737" w14:textId="77777777" w:rsidR="00A91885" w:rsidRDefault="009C4196">
      <w:pPr>
        <w:spacing w:after="120"/>
        <w:ind w:firstLine="540"/>
        <w:jc w:val="both"/>
      </w:pPr>
      <w:r>
        <w:rPr>
          <w:rFonts w:ascii="Arial" w:eastAsia="宋体" w:hAnsi="Arial" w:cs="Arial"/>
          <w:color w:val="000000"/>
          <w:sz w:val="20"/>
          <w:szCs w:val="20"/>
        </w:rPr>
        <w:t xml:space="preserve">The following table summarizes the total gain (loss) recognized in the condensed consolidated statement of income from our interest rate derivative contracts by location for the </w:t>
      </w:r>
      <w:r>
        <w:rPr>
          <w:rFonts w:ascii="Arial" w:eastAsia="宋体" w:hAnsi="Arial" w:cs="Arial"/>
          <w:color w:val="000000"/>
          <w:sz w:val="20"/>
          <w:szCs w:val="20"/>
        </w:rPr>
        <w:t>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37"/>
        <w:gridCol w:w="4429"/>
        <w:gridCol w:w="36"/>
        <w:gridCol w:w="122"/>
        <w:gridCol w:w="718"/>
        <w:gridCol w:w="37"/>
        <w:gridCol w:w="36"/>
        <w:gridCol w:w="36"/>
        <w:gridCol w:w="36"/>
        <w:gridCol w:w="122"/>
        <w:gridCol w:w="718"/>
        <w:gridCol w:w="37"/>
        <w:gridCol w:w="36"/>
        <w:gridCol w:w="36"/>
        <w:gridCol w:w="36"/>
        <w:gridCol w:w="122"/>
        <w:gridCol w:w="719"/>
        <w:gridCol w:w="37"/>
        <w:gridCol w:w="36"/>
        <w:gridCol w:w="36"/>
        <w:gridCol w:w="36"/>
        <w:gridCol w:w="122"/>
        <w:gridCol w:w="719"/>
        <w:gridCol w:w="37"/>
      </w:tblGrid>
      <w:tr w:rsidR="00A91885" w14:paraId="18600750" w14:textId="77777777">
        <w:tc>
          <w:tcPr>
            <w:tcW w:w="50" w:type="pct"/>
            <w:shd w:val="clear" w:color="auto" w:fill="auto"/>
            <w:vAlign w:val="bottom"/>
          </w:tcPr>
          <w:p w14:paraId="18600738" w14:textId="77777777" w:rsidR="00A91885" w:rsidRDefault="00A91885">
            <w:pPr>
              <w:rPr>
                <w:rFonts w:ascii="宋体"/>
              </w:rPr>
            </w:pPr>
          </w:p>
        </w:tc>
        <w:tc>
          <w:tcPr>
            <w:tcW w:w="2722" w:type="pct"/>
            <w:shd w:val="clear" w:color="auto" w:fill="auto"/>
            <w:vAlign w:val="bottom"/>
          </w:tcPr>
          <w:p w14:paraId="18600739" w14:textId="77777777" w:rsidR="00A91885" w:rsidRDefault="00A91885">
            <w:pPr>
              <w:rPr>
                <w:rFonts w:ascii="宋体"/>
              </w:rPr>
            </w:pPr>
          </w:p>
        </w:tc>
        <w:tc>
          <w:tcPr>
            <w:tcW w:w="5" w:type="pct"/>
            <w:shd w:val="clear" w:color="auto" w:fill="auto"/>
            <w:vAlign w:val="bottom"/>
          </w:tcPr>
          <w:p w14:paraId="1860073A" w14:textId="77777777" w:rsidR="00A91885" w:rsidRDefault="00A91885">
            <w:pPr>
              <w:rPr>
                <w:rFonts w:ascii="宋体"/>
              </w:rPr>
            </w:pPr>
          </w:p>
        </w:tc>
        <w:tc>
          <w:tcPr>
            <w:tcW w:w="50" w:type="pct"/>
            <w:shd w:val="clear" w:color="auto" w:fill="auto"/>
            <w:vAlign w:val="bottom"/>
          </w:tcPr>
          <w:p w14:paraId="1860073B" w14:textId="77777777" w:rsidR="00A91885" w:rsidRDefault="00A91885">
            <w:pPr>
              <w:rPr>
                <w:rFonts w:ascii="宋体"/>
              </w:rPr>
            </w:pPr>
          </w:p>
        </w:tc>
        <w:tc>
          <w:tcPr>
            <w:tcW w:w="478" w:type="pct"/>
            <w:shd w:val="clear" w:color="auto" w:fill="auto"/>
            <w:vAlign w:val="bottom"/>
          </w:tcPr>
          <w:p w14:paraId="1860073C" w14:textId="77777777" w:rsidR="00A91885" w:rsidRDefault="00A91885">
            <w:pPr>
              <w:rPr>
                <w:rFonts w:ascii="宋体"/>
              </w:rPr>
            </w:pPr>
          </w:p>
        </w:tc>
        <w:tc>
          <w:tcPr>
            <w:tcW w:w="5" w:type="pct"/>
            <w:shd w:val="clear" w:color="auto" w:fill="auto"/>
            <w:vAlign w:val="bottom"/>
          </w:tcPr>
          <w:p w14:paraId="1860073D" w14:textId="77777777" w:rsidR="00A91885" w:rsidRDefault="00A91885">
            <w:pPr>
              <w:rPr>
                <w:rFonts w:ascii="宋体"/>
              </w:rPr>
            </w:pPr>
          </w:p>
        </w:tc>
        <w:tc>
          <w:tcPr>
            <w:tcW w:w="5" w:type="pct"/>
            <w:shd w:val="clear" w:color="auto" w:fill="auto"/>
            <w:vAlign w:val="bottom"/>
          </w:tcPr>
          <w:p w14:paraId="1860073E" w14:textId="77777777" w:rsidR="00A91885" w:rsidRDefault="00A91885">
            <w:pPr>
              <w:rPr>
                <w:rFonts w:ascii="宋体"/>
              </w:rPr>
            </w:pPr>
          </w:p>
        </w:tc>
        <w:tc>
          <w:tcPr>
            <w:tcW w:w="19" w:type="pct"/>
            <w:shd w:val="clear" w:color="auto" w:fill="auto"/>
            <w:vAlign w:val="bottom"/>
          </w:tcPr>
          <w:p w14:paraId="1860073F" w14:textId="77777777" w:rsidR="00A91885" w:rsidRDefault="00A91885">
            <w:pPr>
              <w:rPr>
                <w:rFonts w:ascii="宋体"/>
              </w:rPr>
            </w:pPr>
          </w:p>
        </w:tc>
        <w:tc>
          <w:tcPr>
            <w:tcW w:w="5" w:type="pct"/>
            <w:shd w:val="clear" w:color="auto" w:fill="auto"/>
            <w:vAlign w:val="bottom"/>
          </w:tcPr>
          <w:p w14:paraId="18600740" w14:textId="77777777" w:rsidR="00A91885" w:rsidRDefault="00A91885">
            <w:pPr>
              <w:rPr>
                <w:rFonts w:ascii="宋体"/>
              </w:rPr>
            </w:pPr>
          </w:p>
        </w:tc>
        <w:tc>
          <w:tcPr>
            <w:tcW w:w="50" w:type="pct"/>
            <w:shd w:val="clear" w:color="auto" w:fill="auto"/>
            <w:vAlign w:val="bottom"/>
          </w:tcPr>
          <w:p w14:paraId="18600741" w14:textId="77777777" w:rsidR="00A91885" w:rsidRDefault="00A91885">
            <w:pPr>
              <w:rPr>
                <w:rFonts w:ascii="宋体"/>
              </w:rPr>
            </w:pPr>
          </w:p>
        </w:tc>
        <w:tc>
          <w:tcPr>
            <w:tcW w:w="478" w:type="pct"/>
            <w:shd w:val="clear" w:color="auto" w:fill="auto"/>
            <w:vAlign w:val="bottom"/>
          </w:tcPr>
          <w:p w14:paraId="18600742" w14:textId="77777777" w:rsidR="00A91885" w:rsidRDefault="00A91885">
            <w:pPr>
              <w:rPr>
                <w:rFonts w:ascii="宋体"/>
              </w:rPr>
            </w:pPr>
          </w:p>
        </w:tc>
        <w:tc>
          <w:tcPr>
            <w:tcW w:w="5" w:type="pct"/>
            <w:shd w:val="clear" w:color="auto" w:fill="auto"/>
            <w:vAlign w:val="bottom"/>
          </w:tcPr>
          <w:p w14:paraId="18600743" w14:textId="77777777" w:rsidR="00A91885" w:rsidRDefault="00A91885">
            <w:pPr>
              <w:rPr>
                <w:rFonts w:ascii="宋体"/>
              </w:rPr>
            </w:pPr>
          </w:p>
        </w:tc>
        <w:tc>
          <w:tcPr>
            <w:tcW w:w="5" w:type="pct"/>
            <w:shd w:val="clear" w:color="auto" w:fill="auto"/>
            <w:vAlign w:val="bottom"/>
          </w:tcPr>
          <w:p w14:paraId="18600744" w14:textId="77777777" w:rsidR="00A91885" w:rsidRDefault="00A91885">
            <w:pPr>
              <w:rPr>
                <w:rFonts w:ascii="宋体"/>
              </w:rPr>
            </w:pPr>
          </w:p>
        </w:tc>
        <w:tc>
          <w:tcPr>
            <w:tcW w:w="19" w:type="pct"/>
            <w:shd w:val="clear" w:color="auto" w:fill="auto"/>
            <w:vAlign w:val="bottom"/>
          </w:tcPr>
          <w:p w14:paraId="18600745" w14:textId="77777777" w:rsidR="00A91885" w:rsidRDefault="00A91885">
            <w:pPr>
              <w:rPr>
                <w:rFonts w:ascii="宋体"/>
              </w:rPr>
            </w:pPr>
          </w:p>
        </w:tc>
        <w:tc>
          <w:tcPr>
            <w:tcW w:w="5" w:type="pct"/>
            <w:shd w:val="clear" w:color="auto" w:fill="auto"/>
            <w:vAlign w:val="bottom"/>
          </w:tcPr>
          <w:p w14:paraId="18600746" w14:textId="77777777" w:rsidR="00A91885" w:rsidRDefault="00A91885">
            <w:pPr>
              <w:rPr>
                <w:rFonts w:ascii="宋体"/>
              </w:rPr>
            </w:pPr>
          </w:p>
        </w:tc>
        <w:tc>
          <w:tcPr>
            <w:tcW w:w="50" w:type="pct"/>
            <w:shd w:val="clear" w:color="auto" w:fill="auto"/>
            <w:vAlign w:val="bottom"/>
          </w:tcPr>
          <w:p w14:paraId="18600747" w14:textId="77777777" w:rsidR="00A91885" w:rsidRDefault="00A91885">
            <w:pPr>
              <w:rPr>
                <w:rFonts w:ascii="宋体"/>
              </w:rPr>
            </w:pPr>
          </w:p>
        </w:tc>
        <w:tc>
          <w:tcPr>
            <w:tcW w:w="478" w:type="pct"/>
            <w:shd w:val="clear" w:color="auto" w:fill="auto"/>
            <w:vAlign w:val="bottom"/>
          </w:tcPr>
          <w:p w14:paraId="18600748" w14:textId="77777777" w:rsidR="00A91885" w:rsidRDefault="00A91885">
            <w:pPr>
              <w:rPr>
                <w:rFonts w:ascii="宋体"/>
              </w:rPr>
            </w:pPr>
          </w:p>
        </w:tc>
        <w:tc>
          <w:tcPr>
            <w:tcW w:w="5" w:type="pct"/>
            <w:shd w:val="clear" w:color="auto" w:fill="auto"/>
            <w:vAlign w:val="bottom"/>
          </w:tcPr>
          <w:p w14:paraId="18600749" w14:textId="77777777" w:rsidR="00A91885" w:rsidRDefault="00A91885">
            <w:pPr>
              <w:rPr>
                <w:rFonts w:ascii="宋体"/>
              </w:rPr>
            </w:pPr>
          </w:p>
        </w:tc>
        <w:tc>
          <w:tcPr>
            <w:tcW w:w="5" w:type="pct"/>
            <w:shd w:val="clear" w:color="auto" w:fill="auto"/>
            <w:vAlign w:val="bottom"/>
          </w:tcPr>
          <w:p w14:paraId="1860074A" w14:textId="77777777" w:rsidR="00A91885" w:rsidRDefault="00A91885">
            <w:pPr>
              <w:rPr>
                <w:rFonts w:ascii="宋体"/>
              </w:rPr>
            </w:pPr>
          </w:p>
        </w:tc>
        <w:tc>
          <w:tcPr>
            <w:tcW w:w="19" w:type="pct"/>
            <w:shd w:val="clear" w:color="auto" w:fill="auto"/>
            <w:vAlign w:val="bottom"/>
          </w:tcPr>
          <w:p w14:paraId="1860074B" w14:textId="77777777" w:rsidR="00A91885" w:rsidRDefault="00A91885">
            <w:pPr>
              <w:rPr>
                <w:rFonts w:ascii="宋体"/>
              </w:rPr>
            </w:pPr>
          </w:p>
        </w:tc>
        <w:tc>
          <w:tcPr>
            <w:tcW w:w="5" w:type="pct"/>
            <w:shd w:val="clear" w:color="auto" w:fill="auto"/>
            <w:vAlign w:val="bottom"/>
          </w:tcPr>
          <w:p w14:paraId="1860074C" w14:textId="77777777" w:rsidR="00A91885" w:rsidRDefault="00A91885">
            <w:pPr>
              <w:rPr>
                <w:rFonts w:ascii="宋体"/>
              </w:rPr>
            </w:pPr>
          </w:p>
        </w:tc>
        <w:tc>
          <w:tcPr>
            <w:tcW w:w="50" w:type="pct"/>
            <w:shd w:val="clear" w:color="auto" w:fill="auto"/>
            <w:vAlign w:val="bottom"/>
          </w:tcPr>
          <w:p w14:paraId="1860074D" w14:textId="77777777" w:rsidR="00A91885" w:rsidRDefault="00A91885">
            <w:pPr>
              <w:rPr>
                <w:rFonts w:ascii="宋体"/>
              </w:rPr>
            </w:pPr>
          </w:p>
        </w:tc>
        <w:tc>
          <w:tcPr>
            <w:tcW w:w="478" w:type="pct"/>
            <w:shd w:val="clear" w:color="auto" w:fill="auto"/>
            <w:vAlign w:val="bottom"/>
          </w:tcPr>
          <w:p w14:paraId="1860074E" w14:textId="77777777" w:rsidR="00A91885" w:rsidRDefault="00A91885">
            <w:pPr>
              <w:rPr>
                <w:rFonts w:ascii="宋体"/>
              </w:rPr>
            </w:pPr>
          </w:p>
        </w:tc>
        <w:tc>
          <w:tcPr>
            <w:tcW w:w="5" w:type="pct"/>
            <w:shd w:val="clear" w:color="auto" w:fill="auto"/>
            <w:vAlign w:val="bottom"/>
          </w:tcPr>
          <w:p w14:paraId="1860074F" w14:textId="77777777" w:rsidR="00A91885" w:rsidRDefault="00A91885">
            <w:pPr>
              <w:rPr>
                <w:rFonts w:ascii="宋体"/>
              </w:rPr>
            </w:pPr>
          </w:p>
        </w:tc>
      </w:tr>
      <w:tr w:rsidR="00A91885" w14:paraId="18600755" w14:textId="77777777">
        <w:tc>
          <w:tcPr>
            <w:tcW w:w="0" w:type="auto"/>
            <w:gridSpan w:val="3"/>
            <w:shd w:val="clear" w:color="auto" w:fill="auto"/>
            <w:tcMar>
              <w:top w:w="0" w:type="dxa"/>
              <w:left w:w="20" w:type="dxa"/>
              <w:bottom w:w="0" w:type="dxa"/>
              <w:right w:w="20" w:type="dxa"/>
            </w:tcMar>
            <w:vAlign w:val="bottom"/>
          </w:tcPr>
          <w:p w14:paraId="18600751"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0752"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0753"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0754"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60075E" w14:textId="77777777">
        <w:tc>
          <w:tcPr>
            <w:tcW w:w="0" w:type="auto"/>
            <w:gridSpan w:val="3"/>
            <w:shd w:val="clear" w:color="auto" w:fill="auto"/>
            <w:tcMar>
              <w:top w:w="40" w:type="dxa"/>
              <w:left w:w="20" w:type="dxa"/>
              <w:bottom w:w="40" w:type="dxa"/>
              <w:right w:w="20" w:type="dxa"/>
            </w:tcMar>
            <w:vAlign w:val="bottom"/>
          </w:tcPr>
          <w:p w14:paraId="18600756" w14:textId="77777777" w:rsidR="00A91885" w:rsidRDefault="009C4196">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757"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758"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759"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075A"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75B"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75C" w14:textId="77777777" w:rsidR="00A91885" w:rsidRDefault="00A9188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860075D"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600767" w14:textId="77777777">
        <w:trPr>
          <w:hidden/>
        </w:trPr>
        <w:tc>
          <w:tcPr>
            <w:tcW w:w="0" w:type="auto"/>
            <w:gridSpan w:val="3"/>
            <w:shd w:val="clear" w:color="auto" w:fill="auto"/>
            <w:vAlign w:val="bottom"/>
          </w:tcPr>
          <w:p w14:paraId="1860075F" w14:textId="77777777" w:rsidR="00A91885" w:rsidRDefault="00A91885">
            <w:pPr>
              <w:rPr>
                <w:rFonts w:ascii="宋体"/>
                <w:vanish/>
              </w:rPr>
            </w:pPr>
          </w:p>
        </w:tc>
        <w:tc>
          <w:tcPr>
            <w:tcW w:w="0" w:type="auto"/>
            <w:gridSpan w:val="3"/>
            <w:shd w:val="clear" w:color="auto" w:fill="auto"/>
            <w:vAlign w:val="bottom"/>
          </w:tcPr>
          <w:p w14:paraId="18600760" w14:textId="77777777" w:rsidR="00A91885" w:rsidRDefault="00A91885">
            <w:pPr>
              <w:rPr>
                <w:rFonts w:ascii="宋体"/>
                <w:vanish/>
              </w:rPr>
            </w:pPr>
          </w:p>
        </w:tc>
        <w:tc>
          <w:tcPr>
            <w:tcW w:w="0" w:type="auto"/>
            <w:gridSpan w:val="3"/>
            <w:shd w:val="clear" w:color="auto" w:fill="auto"/>
            <w:vAlign w:val="bottom"/>
          </w:tcPr>
          <w:p w14:paraId="18600761" w14:textId="77777777" w:rsidR="00A91885" w:rsidRDefault="00A91885">
            <w:pPr>
              <w:rPr>
                <w:rFonts w:ascii="宋体"/>
                <w:vanish/>
              </w:rPr>
            </w:pPr>
          </w:p>
        </w:tc>
        <w:tc>
          <w:tcPr>
            <w:tcW w:w="0" w:type="auto"/>
            <w:gridSpan w:val="3"/>
            <w:shd w:val="clear" w:color="auto" w:fill="auto"/>
            <w:vAlign w:val="bottom"/>
          </w:tcPr>
          <w:p w14:paraId="18600762" w14:textId="77777777" w:rsidR="00A91885" w:rsidRDefault="00A91885">
            <w:pPr>
              <w:rPr>
                <w:rFonts w:ascii="宋体"/>
                <w:vanish/>
              </w:rPr>
            </w:pPr>
          </w:p>
        </w:tc>
        <w:tc>
          <w:tcPr>
            <w:tcW w:w="0" w:type="auto"/>
            <w:gridSpan w:val="3"/>
            <w:shd w:val="clear" w:color="auto" w:fill="auto"/>
            <w:vAlign w:val="bottom"/>
          </w:tcPr>
          <w:p w14:paraId="18600763" w14:textId="77777777" w:rsidR="00A91885" w:rsidRDefault="00A91885">
            <w:pPr>
              <w:rPr>
                <w:rFonts w:ascii="宋体"/>
                <w:vanish/>
              </w:rPr>
            </w:pPr>
          </w:p>
        </w:tc>
        <w:tc>
          <w:tcPr>
            <w:tcW w:w="0" w:type="auto"/>
            <w:gridSpan w:val="3"/>
            <w:shd w:val="clear" w:color="auto" w:fill="auto"/>
            <w:vAlign w:val="bottom"/>
          </w:tcPr>
          <w:p w14:paraId="18600764" w14:textId="77777777" w:rsidR="00A91885" w:rsidRDefault="00A91885">
            <w:pPr>
              <w:rPr>
                <w:rFonts w:ascii="宋体"/>
                <w:vanish/>
              </w:rPr>
            </w:pPr>
          </w:p>
        </w:tc>
        <w:tc>
          <w:tcPr>
            <w:tcW w:w="0" w:type="auto"/>
            <w:gridSpan w:val="3"/>
            <w:shd w:val="clear" w:color="auto" w:fill="auto"/>
            <w:vAlign w:val="bottom"/>
          </w:tcPr>
          <w:p w14:paraId="18600765" w14:textId="77777777" w:rsidR="00A91885" w:rsidRDefault="00A91885">
            <w:pPr>
              <w:rPr>
                <w:rFonts w:ascii="宋体"/>
                <w:vanish/>
              </w:rPr>
            </w:pPr>
          </w:p>
        </w:tc>
        <w:tc>
          <w:tcPr>
            <w:tcW w:w="0" w:type="auto"/>
            <w:gridSpan w:val="3"/>
            <w:shd w:val="clear" w:color="auto" w:fill="auto"/>
            <w:vAlign w:val="bottom"/>
          </w:tcPr>
          <w:p w14:paraId="18600766" w14:textId="77777777" w:rsidR="00A91885" w:rsidRDefault="00A91885">
            <w:pPr>
              <w:rPr>
                <w:rFonts w:ascii="宋体"/>
                <w:vanish/>
              </w:rPr>
            </w:pPr>
          </w:p>
        </w:tc>
      </w:tr>
      <w:tr w:rsidR="00A91885" w14:paraId="18600770" w14:textId="77777777">
        <w:trPr>
          <w:hidden/>
        </w:trPr>
        <w:tc>
          <w:tcPr>
            <w:tcW w:w="0" w:type="auto"/>
            <w:gridSpan w:val="3"/>
            <w:shd w:val="clear" w:color="auto" w:fill="auto"/>
            <w:vAlign w:val="bottom"/>
          </w:tcPr>
          <w:p w14:paraId="18600768" w14:textId="77777777" w:rsidR="00A91885" w:rsidRDefault="00A91885">
            <w:pPr>
              <w:rPr>
                <w:rFonts w:ascii="宋体"/>
                <w:vanish/>
              </w:rPr>
            </w:pPr>
          </w:p>
        </w:tc>
        <w:tc>
          <w:tcPr>
            <w:tcW w:w="0" w:type="auto"/>
            <w:gridSpan w:val="3"/>
            <w:shd w:val="clear" w:color="auto" w:fill="auto"/>
            <w:vAlign w:val="bottom"/>
          </w:tcPr>
          <w:p w14:paraId="18600769" w14:textId="77777777" w:rsidR="00A91885" w:rsidRDefault="00A91885">
            <w:pPr>
              <w:rPr>
                <w:rFonts w:ascii="宋体"/>
                <w:vanish/>
              </w:rPr>
            </w:pPr>
          </w:p>
        </w:tc>
        <w:tc>
          <w:tcPr>
            <w:tcW w:w="0" w:type="auto"/>
            <w:gridSpan w:val="3"/>
            <w:shd w:val="clear" w:color="auto" w:fill="auto"/>
            <w:vAlign w:val="bottom"/>
          </w:tcPr>
          <w:p w14:paraId="1860076A" w14:textId="77777777" w:rsidR="00A91885" w:rsidRDefault="00A91885">
            <w:pPr>
              <w:rPr>
                <w:rFonts w:ascii="宋体"/>
                <w:vanish/>
              </w:rPr>
            </w:pPr>
          </w:p>
        </w:tc>
        <w:tc>
          <w:tcPr>
            <w:tcW w:w="0" w:type="auto"/>
            <w:gridSpan w:val="3"/>
            <w:shd w:val="clear" w:color="auto" w:fill="auto"/>
            <w:vAlign w:val="bottom"/>
          </w:tcPr>
          <w:p w14:paraId="1860076B" w14:textId="77777777" w:rsidR="00A91885" w:rsidRDefault="00A91885">
            <w:pPr>
              <w:rPr>
                <w:rFonts w:ascii="宋体"/>
                <w:vanish/>
              </w:rPr>
            </w:pPr>
          </w:p>
        </w:tc>
        <w:tc>
          <w:tcPr>
            <w:tcW w:w="0" w:type="auto"/>
            <w:gridSpan w:val="3"/>
            <w:shd w:val="clear" w:color="auto" w:fill="auto"/>
            <w:vAlign w:val="bottom"/>
          </w:tcPr>
          <w:p w14:paraId="1860076C" w14:textId="77777777" w:rsidR="00A91885" w:rsidRDefault="00A91885">
            <w:pPr>
              <w:rPr>
                <w:rFonts w:ascii="宋体"/>
                <w:vanish/>
              </w:rPr>
            </w:pPr>
          </w:p>
        </w:tc>
        <w:tc>
          <w:tcPr>
            <w:tcW w:w="0" w:type="auto"/>
            <w:gridSpan w:val="3"/>
            <w:shd w:val="clear" w:color="auto" w:fill="auto"/>
            <w:vAlign w:val="bottom"/>
          </w:tcPr>
          <w:p w14:paraId="1860076D" w14:textId="77777777" w:rsidR="00A91885" w:rsidRDefault="00A91885">
            <w:pPr>
              <w:rPr>
                <w:rFonts w:ascii="宋体"/>
                <w:vanish/>
              </w:rPr>
            </w:pPr>
          </w:p>
        </w:tc>
        <w:tc>
          <w:tcPr>
            <w:tcW w:w="0" w:type="auto"/>
            <w:gridSpan w:val="3"/>
            <w:shd w:val="clear" w:color="auto" w:fill="auto"/>
            <w:vAlign w:val="bottom"/>
          </w:tcPr>
          <w:p w14:paraId="1860076E" w14:textId="77777777" w:rsidR="00A91885" w:rsidRDefault="00A91885">
            <w:pPr>
              <w:rPr>
                <w:rFonts w:ascii="宋体"/>
                <w:vanish/>
              </w:rPr>
            </w:pPr>
          </w:p>
        </w:tc>
        <w:tc>
          <w:tcPr>
            <w:tcW w:w="0" w:type="auto"/>
            <w:gridSpan w:val="3"/>
            <w:shd w:val="clear" w:color="auto" w:fill="auto"/>
            <w:vAlign w:val="bottom"/>
          </w:tcPr>
          <w:p w14:paraId="1860076F" w14:textId="77777777" w:rsidR="00A91885" w:rsidRDefault="00A91885">
            <w:pPr>
              <w:rPr>
                <w:rFonts w:ascii="宋体"/>
                <w:vanish/>
              </w:rPr>
            </w:pPr>
          </w:p>
        </w:tc>
      </w:tr>
      <w:tr w:rsidR="00A91885" w14:paraId="18600781" w14:textId="77777777">
        <w:tc>
          <w:tcPr>
            <w:tcW w:w="0" w:type="auto"/>
            <w:gridSpan w:val="3"/>
            <w:shd w:val="clear" w:color="auto" w:fill="E2E2E2"/>
            <w:tcMar>
              <w:top w:w="40" w:type="dxa"/>
              <w:left w:w="20" w:type="dxa"/>
              <w:bottom w:w="40" w:type="dxa"/>
              <w:right w:w="20" w:type="dxa"/>
            </w:tcMar>
            <w:vAlign w:val="bottom"/>
          </w:tcPr>
          <w:p w14:paraId="18600771" w14:textId="77777777" w:rsidR="00A91885" w:rsidRDefault="009C4196">
            <w:pPr>
              <w:textAlignment w:val="bottom"/>
            </w:pPr>
            <w:r>
              <w:rPr>
                <w:rFonts w:ascii="Arial" w:eastAsia="宋体" w:hAnsi="Arial" w:cs="Arial"/>
                <w:color w:val="000000"/>
                <w:sz w:val="18"/>
                <w:szCs w:val="18"/>
              </w:rPr>
              <w:t xml:space="preserve">Gain (loss) from interest rate contracts designated as cash </w:t>
            </w:r>
            <w:r>
              <w:rPr>
                <w:rFonts w:ascii="Arial" w:eastAsia="宋体" w:hAnsi="Arial" w:cs="Arial"/>
                <w:color w:val="000000"/>
                <w:sz w:val="18"/>
                <w:szCs w:val="18"/>
              </w:rPr>
              <w:t>flow hedges recognized in interest and other, net</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77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773" w14:textId="77777777" w:rsidR="00A91885" w:rsidRDefault="009C4196">
            <w:pPr>
              <w:jc w:val="right"/>
              <w:textAlignment w:val="bottom"/>
            </w:pPr>
            <w:r>
              <w:rPr>
                <w:rFonts w:ascii="Arial" w:eastAsia="宋体" w:hAnsi="Arial" w:cs="Arial"/>
                <w:color w:val="000000"/>
                <w:sz w:val="18"/>
                <w:szCs w:val="18"/>
              </w:rPr>
              <w:t>(2)</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77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775"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77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777" w14:textId="77777777" w:rsidR="00A91885" w:rsidRDefault="009C4196">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77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779"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77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77B" w14:textId="77777777" w:rsidR="00A91885" w:rsidRDefault="009C4196">
            <w:pPr>
              <w:jc w:val="right"/>
              <w:textAlignment w:val="bottom"/>
            </w:pPr>
            <w:r>
              <w:rPr>
                <w:rFonts w:ascii="Arial" w:eastAsia="宋体" w:hAnsi="Arial" w:cs="Arial"/>
                <w:color w:val="000000"/>
                <w:sz w:val="18"/>
                <w:szCs w:val="18"/>
              </w:rPr>
              <w:t>(1)</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77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77D"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77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77F"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780" w14:textId="77777777" w:rsidR="00A91885" w:rsidRDefault="00A91885">
            <w:pPr>
              <w:jc w:val="right"/>
              <w:rPr>
                <w:rFonts w:ascii="宋体"/>
              </w:rPr>
            </w:pPr>
          </w:p>
        </w:tc>
      </w:tr>
      <w:tr w:rsidR="00A91885" w14:paraId="1860078A" w14:textId="77777777">
        <w:trPr>
          <w:hidden/>
        </w:trPr>
        <w:tc>
          <w:tcPr>
            <w:tcW w:w="0" w:type="auto"/>
            <w:gridSpan w:val="3"/>
            <w:shd w:val="clear" w:color="auto" w:fill="auto"/>
            <w:vAlign w:val="bottom"/>
          </w:tcPr>
          <w:p w14:paraId="18600782" w14:textId="77777777" w:rsidR="00A91885" w:rsidRDefault="00A91885">
            <w:pPr>
              <w:rPr>
                <w:rFonts w:ascii="宋体"/>
                <w:vanish/>
              </w:rPr>
            </w:pPr>
          </w:p>
        </w:tc>
        <w:tc>
          <w:tcPr>
            <w:tcW w:w="0" w:type="auto"/>
            <w:gridSpan w:val="3"/>
            <w:shd w:val="clear" w:color="auto" w:fill="auto"/>
            <w:vAlign w:val="bottom"/>
          </w:tcPr>
          <w:p w14:paraId="18600783" w14:textId="77777777" w:rsidR="00A91885" w:rsidRDefault="00A91885">
            <w:pPr>
              <w:rPr>
                <w:rFonts w:ascii="宋体"/>
                <w:vanish/>
              </w:rPr>
            </w:pPr>
          </w:p>
        </w:tc>
        <w:tc>
          <w:tcPr>
            <w:tcW w:w="0" w:type="auto"/>
            <w:gridSpan w:val="3"/>
            <w:shd w:val="clear" w:color="auto" w:fill="auto"/>
            <w:vAlign w:val="bottom"/>
          </w:tcPr>
          <w:p w14:paraId="18600784" w14:textId="77777777" w:rsidR="00A91885" w:rsidRDefault="00A91885">
            <w:pPr>
              <w:rPr>
                <w:rFonts w:ascii="宋体"/>
                <w:vanish/>
              </w:rPr>
            </w:pPr>
          </w:p>
        </w:tc>
        <w:tc>
          <w:tcPr>
            <w:tcW w:w="0" w:type="auto"/>
            <w:gridSpan w:val="3"/>
            <w:shd w:val="clear" w:color="auto" w:fill="auto"/>
            <w:vAlign w:val="bottom"/>
          </w:tcPr>
          <w:p w14:paraId="18600785" w14:textId="77777777" w:rsidR="00A91885" w:rsidRDefault="00A91885">
            <w:pPr>
              <w:rPr>
                <w:rFonts w:ascii="宋体"/>
                <w:vanish/>
              </w:rPr>
            </w:pPr>
          </w:p>
        </w:tc>
        <w:tc>
          <w:tcPr>
            <w:tcW w:w="0" w:type="auto"/>
            <w:gridSpan w:val="3"/>
            <w:shd w:val="clear" w:color="auto" w:fill="auto"/>
            <w:vAlign w:val="bottom"/>
          </w:tcPr>
          <w:p w14:paraId="18600786" w14:textId="77777777" w:rsidR="00A91885" w:rsidRDefault="00A91885">
            <w:pPr>
              <w:rPr>
                <w:rFonts w:ascii="宋体"/>
                <w:vanish/>
              </w:rPr>
            </w:pPr>
          </w:p>
        </w:tc>
        <w:tc>
          <w:tcPr>
            <w:tcW w:w="0" w:type="auto"/>
            <w:gridSpan w:val="3"/>
            <w:shd w:val="clear" w:color="auto" w:fill="auto"/>
            <w:vAlign w:val="bottom"/>
          </w:tcPr>
          <w:p w14:paraId="18600787" w14:textId="77777777" w:rsidR="00A91885" w:rsidRDefault="00A91885">
            <w:pPr>
              <w:rPr>
                <w:rFonts w:ascii="宋体"/>
                <w:vanish/>
              </w:rPr>
            </w:pPr>
          </w:p>
        </w:tc>
        <w:tc>
          <w:tcPr>
            <w:tcW w:w="0" w:type="auto"/>
            <w:gridSpan w:val="3"/>
            <w:shd w:val="clear" w:color="auto" w:fill="auto"/>
            <w:vAlign w:val="bottom"/>
          </w:tcPr>
          <w:p w14:paraId="18600788" w14:textId="77777777" w:rsidR="00A91885" w:rsidRDefault="00A91885">
            <w:pPr>
              <w:rPr>
                <w:rFonts w:ascii="宋体"/>
                <w:vanish/>
              </w:rPr>
            </w:pPr>
          </w:p>
        </w:tc>
        <w:tc>
          <w:tcPr>
            <w:tcW w:w="0" w:type="auto"/>
            <w:gridSpan w:val="3"/>
            <w:shd w:val="clear" w:color="auto" w:fill="auto"/>
            <w:vAlign w:val="bottom"/>
          </w:tcPr>
          <w:p w14:paraId="18600789" w14:textId="77777777" w:rsidR="00A91885" w:rsidRDefault="00A91885">
            <w:pPr>
              <w:rPr>
                <w:rFonts w:ascii="宋体"/>
                <w:vanish/>
              </w:rPr>
            </w:pPr>
          </w:p>
        </w:tc>
      </w:tr>
    </w:tbl>
    <w:p w14:paraId="1860078B" w14:textId="77777777" w:rsidR="00A91885" w:rsidRDefault="00A91885">
      <w:pPr>
        <w:spacing w:after="60"/>
      </w:pPr>
    </w:p>
    <w:p w14:paraId="1860078C" w14:textId="77777777" w:rsidR="00A91885" w:rsidRDefault="009C4196">
      <w:pPr>
        <w:spacing w:after="120"/>
        <w:ind w:firstLine="540"/>
        <w:jc w:val="both"/>
      </w:pPr>
      <w:r>
        <w:rPr>
          <w:rFonts w:ascii="Arial" w:eastAsia="宋体" w:hAnsi="Arial" w:cs="Arial"/>
          <w:color w:val="000000"/>
          <w:sz w:val="20"/>
          <w:szCs w:val="20"/>
        </w:rPr>
        <w:t xml:space="preserve">The following </w:t>
      </w:r>
      <w:r>
        <w:rPr>
          <w:rFonts w:ascii="Arial" w:eastAsia="宋体" w:hAnsi="Arial" w:cs="Arial"/>
          <w:color w:val="000000"/>
          <w:sz w:val="20"/>
          <w:szCs w:val="20"/>
        </w:rPr>
        <w:t>table summarizes the total gain (loss) recognized in the condensed consolidated statement of income due to changes in the fair value of the warrant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37"/>
        <w:gridCol w:w="4431"/>
        <w:gridCol w:w="36"/>
        <w:gridCol w:w="121"/>
        <w:gridCol w:w="719"/>
        <w:gridCol w:w="36"/>
        <w:gridCol w:w="36"/>
        <w:gridCol w:w="36"/>
        <w:gridCol w:w="36"/>
        <w:gridCol w:w="121"/>
        <w:gridCol w:w="719"/>
        <w:gridCol w:w="36"/>
        <w:gridCol w:w="36"/>
        <w:gridCol w:w="36"/>
        <w:gridCol w:w="36"/>
        <w:gridCol w:w="121"/>
        <w:gridCol w:w="720"/>
        <w:gridCol w:w="36"/>
        <w:gridCol w:w="36"/>
        <w:gridCol w:w="36"/>
        <w:gridCol w:w="36"/>
        <w:gridCol w:w="122"/>
        <w:gridCol w:w="720"/>
        <w:gridCol w:w="37"/>
      </w:tblGrid>
      <w:tr w:rsidR="00A91885" w14:paraId="186007A5" w14:textId="77777777">
        <w:tc>
          <w:tcPr>
            <w:tcW w:w="50" w:type="pct"/>
            <w:shd w:val="clear" w:color="auto" w:fill="auto"/>
            <w:vAlign w:val="bottom"/>
          </w:tcPr>
          <w:p w14:paraId="1860078D" w14:textId="77777777" w:rsidR="00A91885" w:rsidRDefault="00A91885">
            <w:pPr>
              <w:rPr>
                <w:rFonts w:ascii="宋体"/>
              </w:rPr>
            </w:pPr>
          </w:p>
        </w:tc>
        <w:tc>
          <w:tcPr>
            <w:tcW w:w="2722" w:type="pct"/>
            <w:shd w:val="clear" w:color="auto" w:fill="auto"/>
            <w:vAlign w:val="bottom"/>
          </w:tcPr>
          <w:p w14:paraId="1860078E" w14:textId="77777777" w:rsidR="00A91885" w:rsidRDefault="00A91885">
            <w:pPr>
              <w:rPr>
                <w:rFonts w:ascii="宋体"/>
              </w:rPr>
            </w:pPr>
          </w:p>
        </w:tc>
        <w:tc>
          <w:tcPr>
            <w:tcW w:w="5" w:type="pct"/>
            <w:shd w:val="clear" w:color="auto" w:fill="auto"/>
            <w:vAlign w:val="bottom"/>
          </w:tcPr>
          <w:p w14:paraId="1860078F" w14:textId="77777777" w:rsidR="00A91885" w:rsidRDefault="00A91885">
            <w:pPr>
              <w:rPr>
                <w:rFonts w:ascii="宋体"/>
              </w:rPr>
            </w:pPr>
          </w:p>
        </w:tc>
        <w:tc>
          <w:tcPr>
            <w:tcW w:w="50" w:type="pct"/>
            <w:shd w:val="clear" w:color="auto" w:fill="auto"/>
            <w:vAlign w:val="bottom"/>
          </w:tcPr>
          <w:p w14:paraId="18600790" w14:textId="77777777" w:rsidR="00A91885" w:rsidRDefault="00A91885">
            <w:pPr>
              <w:rPr>
                <w:rFonts w:ascii="宋体"/>
              </w:rPr>
            </w:pPr>
          </w:p>
        </w:tc>
        <w:tc>
          <w:tcPr>
            <w:tcW w:w="478" w:type="pct"/>
            <w:shd w:val="clear" w:color="auto" w:fill="auto"/>
            <w:vAlign w:val="bottom"/>
          </w:tcPr>
          <w:p w14:paraId="18600791" w14:textId="77777777" w:rsidR="00A91885" w:rsidRDefault="00A91885">
            <w:pPr>
              <w:rPr>
                <w:rFonts w:ascii="宋体"/>
              </w:rPr>
            </w:pPr>
          </w:p>
        </w:tc>
        <w:tc>
          <w:tcPr>
            <w:tcW w:w="5" w:type="pct"/>
            <w:shd w:val="clear" w:color="auto" w:fill="auto"/>
            <w:vAlign w:val="bottom"/>
          </w:tcPr>
          <w:p w14:paraId="18600792" w14:textId="77777777" w:rsidR="00A91885" w:rsidRDefault="00A91885">
            <w:pPr>
              <w:rPr>
                <w:rFonts w:ascii="宋体"/>
              </w:rPr>
            </w:pPr>
          </w:p>
        </w:tc>
        <w:tc>
          <w:tcPr>
            <w:tcW w:w="5" w:type="pct"/>
            <w:shd w:val="clear" w:color="auto" w:fill="auto"/>
            <w:vAlign w:val="bottom"/>
          </w:tcPr>
          <w:p w14:paraId="18600793" w14:textId="77777777" w:rsidR="00A91885" w:rsidRDefault="00A91885">
            <w:pPr>
              <w:rPr>
                <w:rFonts w:ascii="宋体"/>
              </w:rPr>
            </w:pPr>
          </w:p>
        </w:tc>
        <w:tc>
          <w:tcPr>
            <w:tcW w:w="19" w:type="pct"/>
            <w:shd w:val="clear" w:color="auto" w:fill="auto"/>
            <w:vAlign w:val="bottom"/>
          </w:tcPr>
          <w:p w14:paraId="18600794" w14:textId="77777777" w:rsidR="00A91885" w:rsidRDefault="00A91885">
            <w:pPr>
              <w:rPr>
                <w:rFonts w:ascii="宋体"/>
              </w:rPr>
            </w:pPr>
          </w:p>
        </w:tc>
        <w:tc>
          <w:tcPr>
            <w:tcW w:w="5" w:type="pct"/>
            <w:shd w:val="clear" w:color="auto" w:fill="auto"/>
            <w:vAlign w:val="bottom"/>
          </w:tcPr>
          <w:p w14:paraId="18600795" w14:textId="77777777" w:rsidR="00A91885" w:rsidRDefault="00A91885">
            <w:pPr>
              <w:rPr>
                <w:rFonts w:ascii="宋体"/>
              </w:rPr>
            </w:pPr>
          </w:p>
        </w:tc>
        <w:tc>
          <w:tcPr>
            <w:tcW w:w="50" w:type="pct"/>
            <w:shd w:val="clear" w:color="auto" w:fill="auto"/>
            <w:vAlign w:val="bottom"/>
          </w:tcPr>
          <w:p w14:paraId="18600796" w14:textId="77777777" w:rsidR="00A91885" w:rsidRDefault="00A91885">
            <w:pPr>
              <w:rPr>
                <w:rFonts w:ascii="宋体"/>
              </w:rPr>
            </w:pPr>
          </w:p>
        </w:tc>
        <w:tc>
          <w:tcPr>
            <w:tcW w:w="478" w:type="pct"/>
            <w:shd w:val="clear" w:color="auto" w:fill="auto"/>
            <w:vAlign w:val="bottom"/>
          </w:tcPr>
          <w:p w14:paraId="18600797" w14:textId="77777777" w:rsidR="00A91885" w:rsidRDefault="00A91885">
            <w:pPr>
              <w:rPr>
                <w:rFonts w:ascii="宋体"/>
              </w:rPr>
            </w:pPr>
          </w:p>
        </w:tc>
        <w:tc>
          <w:tcPr>
            <w:tcW w:w="5" w:type="pct"/>
            <w:shd w:val="clear" w:color="auto" w:fill="auto"/>
            <w:vAlign w:val="bottom"/>
          </w:tcPr>
          <w:p w14:paraId="18600798" w14:textId="77777777" w:rsidR="00A91885" w:rsidRDefault="00A91885">
            <w:pPr>
              <w:rPr>
                <w:rFonts w:ascii="宋体"/>
              </w:rPr>
            </w:pPr>
          </w:p>
        </w:tc>
        <w:tc>
          <w:tcPr>
            <w:tcW w:w="5" w:type="pct"/>
            <w:shd w:val="clear" w:color="auto" w:fill="auto"/>
            <w:vAlign w:val="bottom"/>
          </w:tcPr>
          <w:p w14:paraId="18600799" w14:textId="77777777" w:rsidR="00A91885" w:rsidRDefault="00A91885">
            <w:pPr>
              <w:rPr>
                <w:rFonts w:ascii="宋体"/>
              </w:rPr>
            </w:pPr>
          </w:p>
        </w:tc>
        <w:tc>
          <w:tcPr>
            <w:tcW w:w="19" w:type="pct"/>
            <w:shd w:val="clear" w:color="auto" w:fill="auto"/>
            <w:vAlign w:val="bottom"/>
          </w:tcPr>
          <w:p w14:paraId="1860079A" w14:textId="77777777" w:rsidR="00A91885" w:rsidRDefault="00A91885">
            <w:pPr>
              <w:rPr>
                <w:rFonts w:ascii="宋体"/>
              </w:rPr>
            </w:pPr>
          </w:p>
        </w:tc>
        <w:tc>
          <w:tcPr>
            <w:tcW w:w="5" w:type="pct"/>
            <w:shd w:val="clear" w:color="auto" w:fill="auto"/>
            <w:vAlign w:val="bottom"/>
          </w:tcPr>
          <w:p w14:paraId="1860079B" w14:textId="77777777" w:rsidR="00A91885" w:rsidRDefault="00A91885">
            <w:pPr>
              <w:rPr>
                <w:rFonts w:ascii="宋体"/>
              </w:rPr>
            </w:pPr>
          </w:p>
        </w:tc>
        <w:tc>
          <w:tcPr>
            <w:tcW w:w="50" w:type="pct"/>
            <w:shd w:val="clear" w:color="auto" w:fill="auto"/>
            <w:vAlign w:val="bottom"/>
          </w:tcPr>
          <w:p w14:paraId="1860079C" w14:textId="77777777" w:rsidR="00A91885" w:rsidRDefault="00A91885">
            <w:pPr>
              <w:rPr>
                <w:rFonts w:ascii="宋体"/>
              </w:rPr>
            </w:pPr>
          </w:p>
        </w:tc>
        <w:tc>
          <w:tcPr>
            <w:tcW w:w="478" w:type="pct"/>
            <w:shd w:val="clear" w:color="auto" w:fill="auto"/>
            <w:vAlign w:val="bottom"/>
          </w:tcPr>
          <w:p w14:paraId="1860079D" w14:textId="77777777" w:rsidR="00A91885" w:rsidRDefault="00A91885">
            <w:pPr>
              <w:rPr>
                <w:rFonts w:ascii="宋体"/>
              </w:rPr>
            </w:pPr>
          </w:p>
        </w:tc>
        <w:tc>
          <w:tcPr>
            <w:tcW w:w="5" w:type="pct"/>
            <w:shd w:val="clear" w:color="auto" w:fill="auto"/>
            <w:vAlign w:val="bottom"/>
          </w:tcPr>
          <w:p w14:paraId="1860079E" w14:textId="77777777" w:rsidR="00A91885" w:rsidRDefault="00A91885">
            <w:pPr>
              <w:rPr>
                <w:rFonts w:ascii="宋体"/>
              </w:rPr>
            </w:pPr>
          </w:p>
        </w:tc>
        <w:tc>
          <w:tcPr>
            <w:tcW w:w="5" w:type="pct"/>
            <w:shd w:val="clear" w:color="auto" w:fill="auto"/>
            <w:vAlign w:val="bottom"/>
          </w:tcPr>
          <w:p w14:paraId="1860079F" w14:textId="77777777" w:rsidR="00A91885" w:rsidRDefault="00A91885">
            <w:pPr>
              <w:rPr>
                <w:rFonts w:ascii="宋体"/>
              </w:rPr>
            </w:pPr>
          </w:p>
        </w:tc>
        <w:tc>
          <w:tcPr>
            <w:tcW w:w="19" w:type="pct"/>
            <w:shd w:val="clear" w:color="auto" w:fill="auto"/>
            <w:vAlign w:val="bottom"/>
          </w:tcPr>
          <w:p w14:paraId="186007A0" w14:textId="77777777" w:rsidR="00A91885" w:rsidRDefault="00A91885">
            <w:pPr>
              <w:rPr>
                <w:rFonts w:ascii="宋体"/>
              </w:rPr>
            </w:pPr>
          </w:p>
        </w:tc>
        <w:tc>
          <w:tcPr>
            <w:tcW w:w="5" w:type="pct"/>
            <w:shd w:val="clear" w:color="auto" w:fill="auto"/>
            <w:vAlign w:val="bottom"/>
          </w:tcPr>
          <w:p w14:paraId="186007A1" w14:textId="77777777" w:rsidR="00A91885" w:rsidRDefault="00A91885">
            <w:pPr>
              <w:rPr>
                <w:rFonts w:ascii="宋体"/>
              </w:rPr>
            </w:pPr>
          </w:p>
        </w:tc>
        <w:tc>
          <w:tcPr>
            <w:tcW w:w="50" w:type="pct"/>
            <w:shd w:val="clear" w:color="auto" w:fill="auto"/>
            <w:vAlign w:val="bottom"/>
          </w:tcPr>
          <w:p w14:paraId="186007A2" w14:textId="77777777" w:rsidR="00A91885" w:rsidRDefault="00A91885">
            <w:pPr>
              <w:rPr>
                <w:rFonts w:ascii="宋体"/>
              </w:rPr>
            </w:pPr>
          </w:p>
        </w:tc>
        <w:tc>
          <w:tcPr>
            <w:tcW w:w="478" w:type="pct"/>
            <w:shd w:val="clear" w:color="auto" w:fill="auto"/>
            <w:vAlign w:val="bottom"/>
          </w:tcPr>
          <w:p w14:paraId="186007A3" w14:textId="77777777" w:rsidR="00A91885" w:rsidRDefault="00A91885">
            <w:pPr>
              <w:rPr>
                <w:rFonts w:ascii="宋体"/>
              </w:rPr>
            </w:pPr>
          </w:p>
        </w:tc>
        <w:tc>
          <w:tcPr>
            <w:tcW w:w="5" w:type="pct"/>
            <w:shd w:val="clear" w:color="auto" w:fill="auto"/>
            <w:vAlign w:val="bottom"/>
          </w:tcPr>
          <w:p w14:paraId="186007A4" w14:textId="77777777" w:rsidR="00A91885" w:rsidRDefault="00A91885">
            <w:pPr>
              <w:rPr>
                <w:rFonts w:ascii="宋体"/>
              </w:rPr>
            </w:pPr>
          </w:p>
        </w:tc>
      </w:tr>
      <w:tr w:rsidR="00A91885" w14:paraId="186007AA" w14:textId="77777777">
        <w:tc>
          <w:tcPr>
            <w:tcW w:w="0" w:type="auto"/>
            <w:gridSpan w:val="3"/>
            <w:shd w:val="clear" w:color="auto" w:fill="auto"/>
            <w:tcMar>
              <w:top w:w="0" w:type="dxa"/>
              <w:left w:w="20" w:type="dxa"/>
              <w:bottom w:w="0" w:type="dxa"/>
              <w:right w:w="20" w:type="dxa"/>
            </w:tcMar>
            <w:vAlign w:val="bottom"/>
          </w:tcPr>
          <w:p w14:paraId="186007A6"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07A7"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07A8"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07A9"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6007B3" w14:textId="77777777">
        <w:tc>
          <w:tcPr>
            <w:tcW w:w="0" w:type="auto"/>
            <w:gridSpan w:val="3"/>
            <w:shd w:val="clear" w:color="auto" w:fill="auto"/>
            <w:tcMar>
              <w:top w:w="40" w:type="dxa"/>
              <w:left w:w="20" w:type="dxa"/>
              <w:bottom w:w="40" w:type="dxa"/>
              <w:right w:w="20" w:type="dxa"/>
            </w:tcMar>
            <w:vAlign w:val="bottom"/>
          </w:tcPr>
          <w:p w14:paraId="186007AB" w14:textId="77777777" w:rsidR="00A91885" w:rsidRDefault="009C4196">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7AC"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7AD"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7AE"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07AF"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7B0"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7B1" w14:textId="77777777" w:rsidR="00A91885" w:rsidRDefault="00A91885">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186007B2"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6007C4" w14:textId="77777777">
        <w:tc>
          <w:tcPr>
            <w:tcW w:w="0" w:type="auto"/>
            <w:gridSpan w:val="3"/>
            <w:shd w:val="clear" w:color="auto" w:fill="E2E2E2"/>
            <w:tcMar>
              <w:top w:w="40" w:type="dxa"/>
              <w:left w:w="20" w:type="dxa"/>
              <w:bottom w:w="40" w:type="dxa"/>
              <w:right w:w="20" w:type="dxa"/>
            </w:tcMar>
            <w:vAlign w:val="bottom"/>
          </w:tcPr>
          <w:p w14:paraId="186007B4" w14:textId="77777777" w:rsidR="00A91885" w:rsidRDefault="009C4196">
            <w:pPr>
              <w:textAlignment w:val="bottom"/>
            </w:pPr>
            <w:r>
              <w:rPr>
                <w:rFonts w:ascii="Arial" w:eastAsia="宋体" w:hAnsi="Arial" w:cs="Arial"/>
                <w:color w:val="000000"/>
                <w:sz w:val="18"/>
                <w:szCs w:val="18"/>
              </w:rPr>
              <w:t>Gain (loss) attributable to changes in the fair value of warrant recognized in gain (loss) on equity investments and warrant, net</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7B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7B6" w14:textId="77777777" w:rsidR="00A91885" w:rsidRDefault="009C4196">
            <w:pPr>
              <w:jc w:val="right"/>
              <w:textAlignment w:val="bottom"/>
            </w:pPr>
            <w:r>
              <w:rPr>
                <w:rFonts w:ascii="Arial" w:eastAsia="宋体" w:hAnsi="Arial" w:cs="Arial"/>
                <w:color w:val="000000"/>
                <w:sz w:val="18"/>
                <w:szCs w:val="18"/>
              </w:rPr>
              <w:t>(104)</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7B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7B8"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7B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7BA" w14:textId="77777777" w:rsidR="00A91885" w:rsidRDefault="009C4196">
            <w:pPr>
              <w:jc w:val="right"/>
              <w:textAlignment w:val="bottom"/>
            </w:pPr>
            <w:r>
              <w:rPr>
                <w:rFonts w:ascii="Arial" w:eastAsia="宋体" w:hAnsi="Arial" w:cs="Arial"/>
                <w:color w:val="000000"/>
                <w:sz w:val="18"/>
                <w:szCs w:val="18"/>
              </w:rPr>
              <w:t>108 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7B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7BC"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7B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7BE" w14:textId="77777777" w:rsidR="00A91885" w:rsidRDefault="009C4196">
            <w:pPr>
              <w:jc w:val="right"/>
              <w:textAlignment w:val="bottom"/>
            </w:pPr>
            <w:r>
              <w:rPr>
                <w:rFonts w:ascii="Arial" w:eastAsia="宋体" w:hAnsi="Arial" w:cs="Arial"/>
                <w:color w:val="000000"/>
                <w:sz w:val="18"/>
                <w:szCs w:val="18"/>
              </w:rPr>
              <w:t>(219)</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7BF"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7C0"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7C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7C2" w14:textId="77777777" w:rsidR="00A91885" w:rsidRDefault="009C4196">
            <w:pPr>
              <w:jc w:val="right"/>
              <w:textAlignment w:val="bottom"/>
            </w:pPr>
            <w:r>
              <w:rPr>
                <w:rFonts w:ascii="Arial" w:eastAsia="宋体" w:hAnsi="Arial" w:cs="Arial"/>
                <w:color w:val="000000"/>
                <w:sz w:val="18"/>
                <w:szCs w:val="18"/>
              </w:rPr>
              <w:t>72 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7C3" w14:textId="77777777" w:rsidR="00A91885" w:rsidRDefault="00A91885">
            <w:pPr>
              <w:jc w:val="right"/>
              <w:rPr>
                <w:rFonts w:ascii="宋体"/>
              </w:rPr>
            </w:pPr>
          </w:p>
        </w:tc>
      </w:tr>
    </w:tbl>
    <w:p w14:paraId="186007C5" w14:textId="77777777" w:rsidR="00A91885" w:rsidRDefault="00A91885"/>
    <w:p w14:paraId="186007C6" w14:textId="77777777" w:rsidR="00A91885" w:rsidRDefault="009C4196">
      <w:r>
        <w:rPr>
          <w:rFonts w:ascii="Arial" w:eastAsia="宋体" w:hAnsi="Arial" w:cs="Arial"/>
          <w:b/>
          <w:bCs/>
          <w:i/>
          <w:iCs/>
          <w:color w:val="000000"/>
          <w:sz w:val="20"/>
          <w:szCs w:val="20"/>
        </w:rPr>
        <w:t>Notional Amounts of Derivative Contracts</w:t>
      </w:r>
    </w:p>
    <w:p w14:paraId="186007C7" w14:textId="77777777" w:rsidR="00A91885" w:rsidRDefault="00A91885"/>
    <w:p w14:paraId="186007C8" w14:textId="77777777" w:rsidR="00A91885" w:rsidRDefault="009C4196">
      <w:pPr>
        <w:spacing w:after="120"/>
        <w:ind w:firstLine="540"/>
        <w:jc w:val="both"/>
      </w:pPr>
      <w:r>
        <w:rPr>
          <w:rFonts w:ascii="Arial" w:eastAsia="宋体" w:hAnsi="Arial" w:cs="Arial"/>
          <w:color w:val="000000"/>
          <w:sz w:val="20"/>
          <w:szCs w:val="20"/>
        </w:rPr>
        <w:t>Derivative transactions are measured in ter</w:t>
      </w:r>
      <w:r>
        <w:rPr>
          <w:rFonts w:ascii="Arial" w:eastAsia="宋体" w:hAnsi="Arial" w:cs="Arial"/>
          <w:color w:val="000000"/>
          <w:sz w:val="20"/>
          <w:szCs w:val="20"/>
        </w:rPr>
        <w:t>ms of the notional amount, but this amount is not recorded on the balance sheet and is not, when viewed in isolation, a meaningful measure of the risk profile of the instruments. The notional amount is generally not exchanged, but is used only as the basis</w:t>
      </w:r>
      <w:r>
        <w:rPr>
          <w:rFonts w:ascii="Arial" w:eastAsia="宋体" w:hAnsi="Arial" w:cs="Arial"/>
          <w:color w:val="000000"/>
          <w:sz w:val="20"/>
          <w:szCs w:val="20"/>
        </w:rPr>
        <w:t xml:space="preserve"> on which the value of foreign exchange payments under these contracts are determined. The following table presents the notional amounts of our outstanding derivatives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6012"/>
        <w:gridCol w:w="36"/>
        <w:gridCol w:w="121"/>
        <w:gridCol w:w="913"/>
        <w:gridCol w:w="36"/>
        <w:gridCol w:w="36"/>
        <w:gridCol w:w="36"/>
        <w:gridCol w:w="36"/>
        <w:gridCol w:w="122"/>
        <w:gridCol w:w="915"/>
        <w:gridCol w:w="36"/>
      </w:tblGrid>
      <w:tr w:rsidR="00A91885" w14:paraId="186007D5" w14:textId="77777777">
        <w:tc>
          <w:tcPr>
            <w:tcW w:w="50" w:type="pct"/>
            <w:shd w:val="clear" w:color="auto" w:fill="auto"/>
            <w:vAlign w:val="bottom"/>
          </w:tcPr>
          <w:p w14:paraId="186007C9" w14:textId="77777777" w:rsidR="00A91885" w:rsidRDefault="00A91885">
            <w:pPr>
              <w:rPr>
                <w:rFonts w:ascii="宋体"/>
              </w:rPr>
            </w:pPr>
          </w:p>
        </w:tc>
        <w:tc>
          <w:tcPr>
            <w:tcW w:w="3643" w:type="pct"/>
            <w:shd w:val="clear" w:color="auto" w:fill="auto"/>
            <w:vAlign w:val="bottom"/>
          </w:tcPr>
          <w:p w14:paraId="186007CA" w14:textId="77777777" w:rsidR="00A91885" w:rsidRDefault="00A91885">
            <w:pPr>
              <w:rPr>
                <w:rFonts w:ascii="宋体"/>
              </w:rPr>
            </w:pPr>
          </w:p>
        </w:tc>
        <w:tc>
          <w:tcPr>
            <w:tcW w:w="5" w:type="pct"/>
            <w:shd w:val="clear" w:color="auto" w:fill="auto"/>
            <w:vAlign w:val="bottom"/>
          </w:tcPr>
          <w:p w14:paraId="186007CB" w14:textId="77777777" w:rsidR="00A91885" w:rsidRDefault="00A91885">
            <w:pPr>
              <w:rPr>
                <w:rFonts w:ascii="宋体"/>
              </w:rPr>
            </w:pPr>
          </w:p>
        </w:tc>
        <w:tc>
          <w:tcPr>
            <w:tcW w:w="50" w:type="pct"/>
            <w:shd w:val="clear" w:color="auto" w:fill="auto"/>
            <w:vAlign w:val="bottom"/>
          </w:tcPr>
          <w:p w14:paraId="186007CC" w14:textId="77777777" w:rsidR="00A91885" w:rsidRDefault="00A91885">
            <w:pPr>
              <w:rPr>
                <w:rFonts w:ascii="宋体"/>
              </w:rPr>
            </w:pPr>
          </w:p>
        </w:tc>
        <w:tc>
          <w:tcPr>
            <w:tcW w:w="580" w:type="pct"/>
            <w:shd w:val="clear" w:color="auto" w:fill="auto"/>
            <w:vAlign w:val="bottom"/>
          </w:tcPr>
          <w:p w14:paraId="186007CD" w14:textId="77777777" w:rsidR="00A91885" w:rsidRDefault="00A91885">
            <w:pPr>
              <w:rPr>
                <w:rFonts w:ascii="宋体"/>
              </w:rPr>
            </w:pPr>
          </w:p>
        </w:tc>
        <w:tc>
          <w:tcPr>
            <w:tcW w:w="5" w:type="pct"/>
            <w:shd w:val="clear" w:color="auto" w:fill="auto"/>
            <w:vAlign w:val="bottom"/>
          </w:tcPr>
          <w:p w14:paraId="186007CE" w14:textId="77777777" w:rsidR="00A91885" w:rsidRDefault="00A91885">
            <w:pPr>
              <w:rPr>
                <w:rFonts w:ascii="宋体"/>
              </w:rPr>
            </w:pPr>
          </w:p>
        </w:tc>
        <w:tc>
          <w:tcPr>
            <w:tcW w:w="5" w:type="pct"/>
            <w:shd w:val="clear" w:color="auto" w:fill="auto"/>
            <w:vAlign w:val="bottom"/>
          </w:tcPr>
          <w:p w14:paraId="186007CF" w14:textId="77777777" w:rsidR="00A91885" w:rsidRDefault="00A91885">
            <w:pPr>
              <w:rPr>
                <w:rFonts w:ascii="宋体"/>
              </w:rPr>
            </w:pPr>
          </w:p>
        </w:tc>
        <w:tc>
          <w:tcPr>
            <w:tcW w:w="19" w:type="pct"/>
            <w:shd w:val="clear" w:color="auto" w:fill="auto"/>
            <w:vAlign w:val="bottom"/>
          </w:tcPr>
          <w:p w14:paraId="186007D0" w14:textId="77777777" w:rsidR="00A91885" w:rsidRDefault="00A91885">
            <w:pPr>
              <w:rPr>
                <w:rFonts w:ascii="宋体"/>
              </w:rPr>
            </w:pPr>
          </w:p>
        </w:tc>
        <w:tc>
          <w:tcPr>
            <w:tcW w:w="5" w:type="pct"/>
            <w:shd w:val="clear" w:color="auto" w:fill="auto"/>
            <w:vAlign w:val="bottom"/>
          </w:tcPr>
          <w:p w14:paraId="186007D1" w14:textId="77777777" w:rsidR="00A91885" w:rsidRDefault="00A91885">
            <w:pPr>
              <w:rPr>
                <w:rFonts w:ascii="宋体"/>
              </w:rPr>
            </w:pPr>
          </w:p>
        </w:tc>
        <w:tc>
          <w:tcPr>
            <w:tcW w:w="50" w:type="pct"/>
            <w:shd w:val="clear" w:color="auto" w:fill="auto"/>
            <w:vAlign w:val="bottom"/>
          </w:tcPr>
          <w:p w14:paraId="186007D2" w14:textId="77777777" w:rsidR="00A91885" w:rsidRDefault="00A91885">
            <w:pPr>
              <w:rPr>
                <w:rFonts w:ascii="宋体"/>
              </w:rPr>
            </w:pPr>
          </w:p>
        </w:tc>
        <w:tc>
          <w:tcPr>
            <w:tcW w:w="581" w:type="pct"/>
            <w:shd w:val="clear" w:color="auto" w:fill="auto"/>
            <w:vAlign w:val="bottom"/>
          </w:tcPr>
          <w:p w14:paraId="186007D3" w14:textId="77777777" w:rsidR="00A91885" w:rsidRDefault="00A91885">
            <w:pPr>
              <w:rPr>
                <w:rFonts w:ascii="宋体"/>
              </w:rPr>
            </w:pPr>
          </w:p>
        </w:tc>
        <w:tc>
          <w:tcPr>
            <w:tcW w:w="5" w:type="pct"/>
            <w:shd w:val="clear" w:color="auto" w:fill="auto"/>
            <w:vAlign w:val="bottom"/>
          </w:tcPr>
          <w:p w14:paraId="186007D4" w14:textId="77777777" w:rsidR="00A91885" w:rsidRDefault="00A91885">
            <w:pPr>
              <w:rPr>
                <w:rFonts w:ascii="宋体"/>
              </w:rPr>
            </w:pPr>
          </w:p>
        </w:tc>
      </w:tr>
      <w:tr w:rsidR="00A91885" w14:paraId="186007DA" w14:textId="77777777">
        <w:tc>
          <w:tcPr>
            <w:tcW w:w="0" w:type="auto"/>
            <w:gridSpan w:val="3"/>
            <w:shd w:val="clear" w:color="auto" w:fill="auto"/>
            <w:tcMar>
              <w:top w:w="0" w:type="dxa"/>
              <w:left w:w="20" w:type="dxa"/>
              <w:bottom w:w="0" w:type="dxa"/>
              <w:right w:w="20" w:type="dxa"/>
            </w:tcMar>
            <w:vAlign w:val="bottom"/>
          </w:tcPr>
          <w:p w14:paraId="186007D6"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7D7" w14:textId="77777777" w:rsidR="00A91885" w:rsidRDefault="009C4196">
            <w:pPr>
              <w:jc w:val="center"/>
              <w:textAlignment w:val="bottom"/>
            </w:pPr>
            <w:r>
              <w:rPr>
                <w:rFonts w:ascii="Arial" w:eastAsia="宋体" w:hAnsi="Arial" w:cs="Arial"/>
                <w:b/>
                <w:bCs/>
                <w:color w:val="000000"/>
                <w:sz w:val="17"/>
                <w:szCs w:val="17"/>
              </w:rPr>
              <w:t>June 30,</w:t>
            </w:r>
            <w:r>
              <w:rPr>
                <w:rFonts w:ascii="Arial" w:eastAsia="宋体" w:hAnsi="Arial" w:cs="Arial"/>
                <w:b/>
                <w:bCs/>
                <w:color w:val="000000"/>
                <w:sz w:val="17"/>
                <w:szCs w:val="17"/>
              </w:rPr>
              <w:br/>
              <w:t>2022</w:t>
            </w:r>
          </w:p>
        </w:tc>
        <w:tc>
          <w:tcPr>
            <w:tcW w:w="0" w:type="auto"/>
            <w:gridSpan w:val="3"/>
            <w:shd w:val="clear" w:color="auto" w:fill="auto"/>
            <w:tcMar>
              <w:top w:w="0" w:type="dxa"/>
              <w:left w:w="20" w:type="dxa"/>
              <w:bottom w:w="0" w:type="dxa"/>
              <w:right w:w="20" w:type="dxa"/>
            </w:tcMar>
            <w:vAlign w:val="bottom"/>
          </w:tcPr>
          <w:p w14:paraId="186007D8"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07D9" w14:textId="77777777" w:rsidR="00A91885" w:rsidRDefault="009C4196">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r>
            <w:r>
              <w:rPr>
                <w:rFonts w:ascii="Arial" w:eastAsia="宋体" w:hAnsi="Arial" w:cs="Arial"/>
                <w:b/>
                <w:bCs/>
                <w:color w:val="000000"/>
                <w:sz w:val="17"/>
                <w:szCs w:val="17"/>
              </w:rPr>
              <w:t>2021</w:t>
            </w:r>
          </w:p>
        </w:tc>
      </w:tr>
      <w:tr w:rsidR="00A91885" w14:paraId="186007E3" w14:textId="77777777">
        <w:tc>
          <w:tcPr>
            <w:tcW w:w="0" w:type="auto"/>
            <w:gridSpan w:val="3"/>
            <w:shd w:val="clear" w:color="auto" w:fill="E2E2E2"/>
            <w:tcMar>
              <w:top w:w="40" w:type="dxa"/>
              <w:left w:w="20" w:type="dxa"/>
              <w:bottom w:w="40" w:type="dxa"/>
              <w:right w:w="20" w:type="dxa"/>
            </w:tcMar>
            <w:vAlign w:val="bottom"/>
          </w:tcPr>
          <w:p w14:paraId="186007DB" w14:textId="77777777" w:rsidR="00A91885" w:rsidRDefault="009C4196">
            <w:pPr>
              <w:textAlignment w:val="bottom"/>
            </w:pPr>
            <w:r>
              <w:rPr>
                <w:rFonts w:ascii="Arial" w:eastAsia="宋体" w:hAnsi="Arial" w:cs="Arial"/>
                <w:color w:val="000000"/>
                <w:sz w:val="18"/>
                <w:szCs w:val="18"/>
              </w:rPr>
              <w:t>Foreign exchange contracts designated as cash flow hedges</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07D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7DD" w14:textId="77777777" w:rsidR="00A91885" w:rsidRDefault="009C4196">
            <w:pPr>
              <w:jc w:val="right"/>
              <w:textAlignment w:val="bottom"/>
            </w:pPr>
            <w:r>
              <w:rPr>
                <w:rFonts w:ascii="Arial" w:eastAsia="宋体" w:hAnsi="Arial" w:cs="Arial"/>
                <w:color w:val="000000"/>
                <w:sz w:val="18"/>
                <w:szCs w:val="18"/>
              </w:rPr>
              <w:t>1,688 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7D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7DF"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7E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7E1" w14:textId="77777777" w:rsidR="00A91885" w:rsidRDefault="009C4196">
            <w:pPr>
              <w:jc w:val="right"/>
              <w:textAlignment w:val="bottom"/>
            </w:pPr>
            <w:r>
              <w:rPr>
                <w:rFonts w:ascii="Arial" w:eastAsia="宋体" w:hAnsi="Arial" w:cs="Arial"/>
                <w:color w:val="000000"/>
                <w:sz w:val="18"/>
                <w:szCs w:val="18"/>
              </w:rPr>
              <w:t>2,066 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7E2" w14:textId="77777777" w:rsidR="00A91885" w:rsidRDefault="00A91885">
            <w:pPr>
              <w:jc w:val="right"/>
              <w:rPr>
                <w:rFonts w:ascii="宋体"/>
              </w:rPr>
            </w:pPr>
          </w:p>
        </w:tc>
      </w:tr>
      <w:tr w:rsidR="00A91885" w14:paraId="186007E8" w14:textId="77777777">
        <w:trPr>
          <w:hidden/>
        </w:trPr>
        <w:tc>
          <w:tcPr>
            <w:tcW w:w="0" w:type="auto"/>
            <w:gridSpan w:val="3"/>
            <w:shd w:val="clear" w:color="auto" w:fill="auto"/>
            <w:vAlign w:val="bottom"/>
          </w:tcPr>
          <w:p w14:paraId="186007E4" w14:textId="77777777" w:rsidR="00A91885" w:rsidRDefault="00A91885">
            <w:pPr>
              <w:rPr>
                <w:rFonts w:ascii="宋体"/>
                <w:vanish/>
              </w:rPr>
            </w:pPr>
          </w:p>
        </w:tc>
        <w:tc>
          <w:tcPr>
            <w:tcW w:w="0" w:type="auto"/>
            <w:gridSpan w:val="3"/>
            <w:shd w:val="clear" w:color="auto" w:fill="auto"/>
            <w:vAlign w:val="bottom"/>
          </w:tcPr>
          <w:p w14:paraId="186007E5" w14:textId="77777777" w:rsidR="00A91885" w:rsidRDefault="00A91885">
            <w:pPr>
              <w:rPr>
                <w:rFonts w:ascii="宋体"/>
                <w:vanish/>
              </w:rPr>
            </w:pPr>
          </w:p>
        </w:tc>
        <w:tc>
          <w:tcPr>
            <w:tcW w:w="0" w:type="auto"/>
            <w:gridSpan w:val="3"/>
            <w:shd w:val="clear" w:color="auto" w:fill="auto"/>
            <w:vAlign w:val="bottom"/>
          </w:tcPr>
          <w:p w14:paraId="186007E6" w14:textId="77777777" w:rsidR="00A91885" w:rsidRDefault="00A91885">
            <w:pPr>
              <w:rPr>
                <w:rFonts w:ascii="宋体"/>
                <w:vanish/>
              </w:rPr>
            </w:pPr>
          </w:p>
        </w:tc>
        <w:tc>
          <w:tcPr>
            <w:tcW w:w="0" w:type="auto"/>
            <w:gridSpan w:val="3"/>
            <w:shd w:val="clear" w:color="auto" w:fill="auto"/>
            <w:vAlign w:val="bottom"/>
          </w:tcPr>
          <w:p w14:paraId="186007E7" w14:textId="77777777" w:rsidR="00A91885" w:rsidRDefault="00A91885">
            <w:pPr>
              <w:rPr>
                <w:rFonts w:ascii="宋体"/>
                <w:vanish/>
              </w:rPr>
            </w:pPr>
          </w:p>
        </w:tc>
      </w:tr>
      <w:tr w:rsidR="00A91885" w14:paraId="186007EF" w14:textId="77777777">
        <w:tc>
          <w:tcPr>
            <w:tcW w:w="0" w:type="auto"/>
            <w:gridSpan w:val="3"/>
            <w:shd w:val="clear" w:color="auto" w:fill="FFFFFF"/>
            <w:tcMar>
              <w:top w:w="40" w:type="dxa"/>
              <w:left w:w="20" w:type="dxa"/>
              <w:bottom w:w="40" w:type="dxa"/>
              <w:right w:w="20" w:type="dxa"/>
            </w:tcMar>
            <w:vAlign w:val="bottom"/>
          </w:tcPr>
          <w:p w14:paraId="186007E9" w14:textId="77777777" w:rsidR="00A91885" w:rsidRDefault="009C4196">
            <w:pPr>
              <w:textAlignment w:val="bottom"/>
            </w:pPr>
            <w:r>
              <w:rPr>
                <w:rFonts w:ascii="Arial" w:eastAsia="宋体" w:hAnsi="Arial" w:cs="Arial"/>
                <w:color w:val="000000"/>
                <w:sz w:val="18"/>
                <w:szCs w:val="18"/>
              </w:rPr>
              <w:t>Foreign exchange contracts not designated as hedging instruments</w:t>
            </w:r>
          </w:p>
        </w:tc>
        <w:tc>
          <w:tcPr>
            <w:tcW w:w="0" w:type="auto"/>
            <w:gridSpan w:val="2"/>
            <w:shd w:val="clear" w:color="auto" w:fill="FFFFFF"/>
            <w:tcMar>
              <w:top w:w="40" w:type="dxa"/>
              <w:left w:w="20" w:type="dxa"/>
              <w:bottom w:w="40" w:type="dxa"/>
              <w:right w:w="0" w:type="dxa"/>
            </w:tcMar>
            <w:vAlign w:val="bottom"/>
          </w:tcPr>
          <w:p w14:paraId="186007EA" w14:textId="77777777" w:rsidR="00A91885" w:rsidRDefault="009C4196">
            <w:pPr>
              <w:jc w:val="right"/>
              <w:textAlignment w:val="bottom"/>
            </w:pPr>
            <w:r>
              <w:rPr>
                <w:rFonts w:ascii="Arial" w:eastAsia="宋体" w:hAnsi="Arial" w:cs="Arial"/>
                <w:color w:val="000000"/>
                <w:sz w:val="18"/>
                <w:szCs w:val="18"/>
              </w:rPr>
              <w:t>2,436 </w:t>
            </w:r>
          </w:p>
        </w:tc>
        <w:tc>
          <w:tcPr>
            <w:tcW w:w="0" w:type="auto"/>
            <w:shd w:val="clear" w:color="auto" w:fill="FFFFFF"/>
            <w:tcMar>
              <w:top w:w="40" w:type="dxa"/>
              <w:left w:w="0" w:type="dxa"/>
              <w:bottom w:w="40" w:type="dxa"/>
              <w:right w:w="20" w:type="dxa"/>
            </w:tcMar>
            <w:vAlign w:val="bottom"/>
          </w:tcPr>
          <w:p w14:paraId="186007E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7E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7ED" w14:textId="77777777" w:rsidR="00A91885" w:rsidRDefault="009C4196">
            <w:pPr>
              <w:jc w:val="right"/>
              <w:textAlignment w:val="bottom"/>
            </w:pPr>
            <w:r>
              <w:rPr>
                <w:rFonts w:ascii="Arial" w:eastAsia="宋体" w:hAnsi="Arial" w:cs="Arial"/>
                <w:color w:val="000000"/>
                <w:sz w:val="18"/>
                <w:szCs w:val="18"/>
              </w:rPr>
              <w:t>3,159 </w:t>
            </w:r>
          </w:p>
        </w:tc>
        <w:tc>
          <w:tcPr>
            <w:tcW w:w="0" w:type="auto"/>
            <w:shd w:val="clear" w:color="auto" w:fill="FFFFFF"/>
            <w:tcMar>
              <w:top w:w="40" w:type="dxa"/>
              <w:left w:w="0" w:type="dxa"/>
              <w:bottom w:w="40" w:type="dxa"/>
              <w:right w:w="20" w:type="dxa"/>
            </w:tcMar>
            <w:vAlign w:val="bottom"/>
          </w:tcPr>
          <w:p w14:paraId="186007EE" w14:textId="77777777" w:rsidR="00A91885" w:rsidRDefault="00A91885">
            <w:pPr>
              <w:jc w:val="right"/>
              <w:rPr>
                <w:rFonts w:ascii="宋体"/>
              </w:rPr>
            </w:pPr>
          </w:p>
        </w:tc>
      </w:tr>
      <w:tr w:rsidR="00A91885" w14:paraId="186007F6" w14:textId="77777777">
        <w:tc>
          <w:tcPr>
            <w:tcW w:w="0" w:type="auto"/>
            <w:gridSpan w:val="3"/>
            <w:shd w:val="clear" w:color="auto" w:fill="E2E2E2"/>
            <w:tcMar>
              <w:top w:w="40" w:type="dxa"/>
              <w:left w:w="20" w:type="dxa"/>
              <w:bottom w:w="40" w:type="dxa"/>
              <w:right w:w="20" w:type="dxa"/>
            </w:tcMar>
            <w:vAlign w:val="bottom"/>
          </w:tcPr>
          <w:p w14:paraId="186007F0" w14:textId="77777777" w:rsidR="00A91885" w:rsidRDefault="009C4196">
            <w:pPr>
              <w:textAlignment w:val="bottom"/>
            </w:pPr>
            <w:r>
              <w:rPr>
                <w:rFonts w:ascii="Arial" w:eastAsia="宋体" w:hAnsi="Arial" w:cs="Arial"/>
                <w:color w:val="000000"/>
                <w:sz w:val="18"/>
                <w:szCs w:val="18"/>
              </w:rPr>
              <w:t>Interest rate contracts designated as cash flow hedges</w:t>
            </w:r>
          </w:p>
        </w:tc>
        <w:tc>
          <w:tcPr>
            <w:tcW w:w="0" w:type="auto"/>
            <w:gridSpan w:val="2"/>
            <w:shd w:val="clear" w:color="auto" w:fill="E2E2E2"/>
            <w:tcMar>
              <w:top w:w="40" w:type="dxa"/>
              <w:left w:w="20" w:type="dxa"/>
              <w:bottom w:w="40" w:type="dxa"/>
              <w:right w:w="0" w:type="dxa"/>
            </w:tcMar>
            <w:vAlign w:val="bottom"/>
          </w:tcPr>
          <w:p w14:paraId="186007F1" w14:textId="77777777" w:rsidR="00A91885" w:rsidRDefault="009C4196">
            <w:pPr>
              <w:jc w:val="right"/>
              <w:textAlignment w:val="bottom"/>
            </w:pPr>
            <w:r>
              <w:rPr>
                <w:rFonts w:ascii="Arial" w:eastAsia="宋体" w:hAnsi="Arial" w:cs="Arial"/>
                <w:color w:val="000000"/>
                <w:sz w:val="18"/>
                <w:szCs w:val="18"/>
              </w:rPr>
              <w:t>550 </w:t>
            </w:r>
          </w:p>
        </w:tc>
        <w:tc>
          <w:tcPr>
            <w:tcW w:w="0" w:type="auto"/>
            <w:shd w:val="clear" w:color="auto" w:fill="E2E2E2"/>
            <w:tcMar>
              <w:top w:w="40" w:type="dxa"/>
              <w:left w:w="0" w:type="dxa"/>
              <w:bottom w:w="40" w:type="dxa"/>
              <w:right w:w="20" w:type="dxa"/>
            </w:tcMar>
            <w:vAlign w:val="bottom"/>
          </w:tcPr>
          <w:p w14:paraId="186007F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7F3"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7F4" w14:textId="77777777" w:rsidR="00A91885" w:rsidRDefault="009C4196">
            <w:pPr>
              <w:jc w:val="right"/>
              <w:textAlignment w:val="bottom"/>
            </w:pPr>
            <w:r>
              <w:rPr>
                <w:rFonts w:ascii="Arial" w:eastAsia="宋体" w:hAnsi="Arial" w:cs="Arial"/>
                <w:color w:val="000000"/>
                <w:sz w:val="18"/>
                <w:szCs w:val="18"/>
              </w:rPr>
              <w:t>400 </w:t>
            </w:r>
          </w:p>
        </w:tc>
        <w:tc>
          <w:tcPr>
            <w:tcW w:w="0" w:type="auto"/>
            <w:shd w:val="clear" w:color="auto" w:fill="E2E2E2"/>
            <w:tcMar>
              <w:top w:w="40" w:type="dxa"/>
              <w:left w:w="0" w:type="dxa"/>
              <w:bottom w:w="40" w:type="dxa"/>
              <w:right w:w="20" w:type="dxa"/>
            </w:tcMar>
            <w:vAlign w:val="bottom"/>
          </w:tcPr>
          <w:p w14:paraId="186007F5" w14:textId="77777777" w:rsidR="00A91885" w:rsidRDefault="00A91885">
            <w:pPr>
              <w:jc w:val="right"/>
              <w:rPr>
                <w:rFonts w:ascii="宋体"/>
              </w:rPr>
            </w:pPr>
          </w:p>
        </w:tc>
      </w:tr>
      <w:tr w:rsidR="00A91885" w14:paraId="186007FB" w14:textId="77777777">
        <w:trPr>
          <w:hidden/>
        </w:trPr>
        <w:tc>
          <w:tcPr>
            <w:tcW w:w="0" w:type="auto"/>
            <w:gridSpan w:val="3"/>
            <w:shd w:val="clear" w:color="auto" w:fill="auto"/>
            <w:vAlign w:val="bottom"/>
          </w:tcPr>
          <w:p w14:paraId="186007F7" w14:textId="77777777" w:rsidR="00A91885" w:rsidRDefault="00A91885">
            <w:pPr>
              <w:rPr>
                <w:rFonts w:ascii="宋体"/>
                <w:vanish/>
              </w:rPr>
            </w:pPr>
          </w:p>
        </w:tc>
        <w:tc>
          <w:tcPr>
            <w:tcW w:w="0" w:type="auto"/>
            <w:gridSpan w:val="3"/>
            <w:shd w:val="clear" w:color="auto" w:fill="auto"/>
            <w:vAlign w:val="bottom"/>
          </w:tcPr>
          <w:p w14:paraId="186007F8" w14:textId="77777777" w:rsidR="00A91885" w:rsidRDefault="00A91885">
            <w:pPr>
              <w:rPr>
                <w:rFonts w:ascii="宋体"/>
                <w:vanish/>
              </w:rPr>
            </w:pPr>
          </w:p>
        </w:tc>
        <w:tc>
          <w:tcPr>
            <w:tcW w:w="0" w:type="auto"/>
            <w:gridSpan w:val="3"/>
            <w:shd w:val="clear" w:color="auto" w:fill="auto"/>
            <w:vAlign w:val="bottom"/>
          </w:tcPr>
          <w:p w14:paraId="186007F9" w14:textId="77777777" w:rsidR="00A91885" w:rsidRDefault="00A91885">
            <w:pPr>
              <w:rPr>
                <w:rFonts w:ascii="宋体"/>
                <w:vanish/>
              </w:rPr>
            </w:pPr>
          </w:p>
        </w:tc>
        <w:tc>
          <w:tcPr>
            <w:tcW w:w="0" w:type="auto"/>
            <w:gridSpan w:val="3"/>
            <w:shd w:val="clear" w:color="auto" w:fill="auto"/>
            <w:vAlign w:val="bottom"/>
          </w:tcPr>
          <w:p w14:paraId="186007FA" w14:textId="77777777" w:rsidR="00A91885" w:rsidRDefault="00A91885">
            <w:pPr>
              <w:rPr>
                <w:rFonts w:ascii="宋体"/>
                <w:vanish/>
              </w:rPr>
            </w:pPr>
          </w:p>
        </w:tc>
      </w:tr>
      <w:tr w:rsidR="00A91885" w14:paraId="18600804" w14:textId="77777777">
        <w:tc>
          <w:tcPr>
            <w:tcW w:w="0" w:type="auto"/>
            <w:gridSpan w:val="3"/>
            <w:shd w:val="clear" w:color="auto" w:fill="FFFFFF"/>
            <w:tcMar>
              <w:top w:w="40" w:type="dxa"/>
              <w:left w:w="245" w:type="dxa"/>
              <w:bottom w:w="40" w:type="dxa"/>
              <w:right w:w="20" w:type="dxa"/>
            </w:tcMar>
            <w:vAlign w:val="bottom"/>
          </w:tcPr>
          <w:p w14:paraId="186007FC" w14:textId="77777777" w:rsidR="00A91885" w:rsidRDefault="009C4196">
            <w:pPr>
              <w:textAlignment w:val="bottom"/>
            </w:pPr>
            <w:r>
              <w:rPr>
                <w:rFonts w:ascii="Arial" w:eastAsia="宋体" w:hAnsi="Arial" w:cs="Arial"/>
                <w:color w:val="000000"/>
                <w:sz w:val="18"/>
                <w:szCs w:val="18"/>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7F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7FE" w14:textId="77777777" w:rsidR="00A91885" w:rsidRDefault="009C4196">
            <w:pPr>
              <w:jc w:val="right"/>
              <w:textAlignment w:val="bottom"/>
            </w:pPr>
            <w:r>
              <w:rPr>
                <w:rFonts w:ascii="Arial" w:eastAsia="宋体" w:hAnsi="Arial" w:cs="Arial"/>
                <w:color w:val="000000"/>
                <w:sz w:val="18"/>
                <w:szCs w:val="18"/>
              </w:rPr>
              <w:t>4,674 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7F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00"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80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802" w14:textId="77777777" w:rsidR="00A91885" w:rsidRDefault="009C4196">
            <w:pPr>
              <w:jc w:val="right"/>
              <w:textAlignment w:val="bottom"/>
            </w:pPr>
            <w:r>
              <w:rPr>
                <w:rFonts w:ascii="Arial" w:eastAsia="宋体" w:hAnsi="Arial" w:cs="Arial"/>
                <w:color w:val="000000"/>
                <w:sz w:val="18"/>
                <w:szCs w:val="18"/>
              </w:rPr>
              <w:t>5,625 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803" w14:textId="77777777" w:rsidR="00A91885" w:rsidRDefault="00A91885">
            <w:pPr>
              <w:jc w:val="right"/>
              <w:rPr>
                <w:rFonts w:ascii="宋体"/>
              </w:rPr>
            </w:pPr>
          </w:p>
        </w:tc>
      </w:tr>
    </w:tbl>
    <w:p w14:paraId="18600805" w14:textId="77777777" w:rsidR="00A91885" w:rsidRDefault="00A91885">
      <w:pPr>
        <w:jc w:val="both"/>
      </w:pPr>
    </w:p>
    <w:p w14:paraId="18600806" w14:textId="77777777" w:rsidR="00A91885" w:rsidRDefault="00A91885">
      <w:pPr>
        <w:jc w:val="center"/>
      </w:pPr>
    </w:p>
    <w:p w14:paraId="18600807" w14:textId="77777777" w:rsidR="00A91885" w:rsidRDefault="009C4196">
      <w:pPr>
        <w:jc w:val="center"/>
      </w:pPr>
      <w:r>
        <w:rPr>
          <w:rFonts w:ascii="Arial" w:eastAsia="宋体" w:hAnsi="Arial" w:cs="Arial"/>
          <w:color w:val="000000"/>
          <w:sz w:val="20"/>
          <w:szCs w:val="20"/>
        </w:rPr>
        <w:t>26</w:t>
      </w:r>
    </w:p>
    <w:p w14:paraId="18600808" w14:textId="77777777" w:rsidR="00A91885" w:rsidRDefault="009C4196">
      <w:r>
        <w:pict w14:anchorId="1860219D">
          <v:rect id="_x0000_i1050" style="width:415.3pt;height:1.5pt" o:hralign="center" o:hrstd="t" o:hr="t" fillcolor="#a0a0a0" stroked="f"/>
        </w:pict>
      </w:r>
    </w:p>
    <w:p w14:paraId="18600809" w14:textId="77777777" w:rsidR="00A91885" w:rsidRDefault="009C4196">
      <w:hyperlink r:id="rId110" w:anchor="ieb971428a625452486c65ae24899afca_7" w:history="1">
        <w:r>
          <w:rPr>
            <w:rStyle w:val="a5"/>
            <w:rFonts w:ascii="Arial" w:eastAsia="宋体" w:hAnsi="Arial" w:cs="Arial"/>
            <w:sz w:val="18"/>
            <w:szCs w:val="18"/>
          </w:rPr>
          <w:t>Table of Contents</w:t>
        </w:r>
      </w:hyperlink>
    </w:p>
    <w:p w14:paraId="1860080A" w14:textId="77777777" w:rsidR="00A91885" w:rsidRDefault="009C4196">
      <w:pPr>
        <w:jc w:val="center"/>
      </w:pPr>
      <w:r>
        <w:rPr>
          <w:rFonts w:ascii="Arial" w:eastAsia="宋体" w:hAnsi="Arial" w:cs="Arial"/>
          <w:b/>
          <w:bCs/>
          <w:color w:val="000000"/>
          <w:sz w:val="20"/>
          <w:szCs w:val="20"/>
        </w:rPr>
        <w:t>eBay Inc.</w:t>
      </w:r>
    </w:p>
    <w:p w14:paraId="1860080B" w14:textId="77777777" w:rsidR="00A91885" w:rsidRDefault="009C4196">
      <w:pPr>
        <w:spacing w:before="8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1860080C" w14:textId="77777777" w:rsidR="00A91885" w:rsidRDefault="009C4196">
      <w:pPr>
        <w:jc w:val="both"/>
      </w:pPr>
      <w:r>
        <w:rPr>
          <w:rFonts w:ascii="Arial" w:eastAsia="宋体" w:hAnsi="Arial" w:cs="Arial"/>
          <w:b/>
          <w:bCs/>
          <w:i/>
          <w:iCs/>
          <w:color w:val="000000"/>
          <w:sz w:val="20"/>
          <w:szCs w:val="20"/>
        </w:rPr>
        <w:t xml:space="preserve">Credit Risk </w:t>
      </w:r>
    </w:p>
    <w:p w14:paraId="1860080D" w14:textId="77777777" w:rsidR="00A91885" w:rsidRDefault="00A91885">
      <w:pPr>
        <w:jc w:val="both"/>
      </w:pPr>
    </w:p>
    <w:p w14:paraId="1860080E" w14:textId="77777777" w:rsidR="00A91885" w:rsidRDefault="009C4196">
      <w:pPr>
        <w:ind w:firstLine="540"/>
        <w:jc w:val="both"/>
      </w:pPr>
      <w:r>
        <w:rPr>
          <w:rFonts w:ascii="Arial" w:eastAsia="宋体" w:hAnsi="Arial" w:cs="Arial"/>
          <w:color w:val="000000"/>
          <w:sz w:val="20"/>
          <w:szCs w:val="20"/>
        </w:rPr>
        <w:t>Our derivatives expose us to credit risk to the extent that the counterparties may be unable to meet the terms of the arrangement. We seek to mitigate such risk by limiting our counterparties to, and by spreading the ri</w:t>
      </w:r>
      <w:r>
        <w:rPr>
          <w:rFonts w:ascii="Arial" w:eastAsia="宋体" w:hAnsi="Arial" w:cs="Arial"/>
          <w:color w:val="000000"/>
          <w:sz w:val="20"/>
          <w:szCs w:val="20"/>
        </w:rPr>
        <w:t>sk across, major financial institutions. In addition, the potential risk of loss with any one counterparty resulting from this type of credit risk is monitored on an ongoing basis. To further limit credit risk, we also enter into collateral security arrang</w:t>
      </w:r>
      <w:r>
        <w:rPr>
          <w:rFonts w:ascii="Arial" w:eastAsia="宋体" w:hAnsi="Arial" w:cs="Arial"/>
          <w:color w:val="000000"/>
          <w:sz w:val="20"/>
          <w:szCs w:val="20"/>
        </w:rPr>
        <w:t>ements related to certain interest rate derivative instruments whereby collateral is posted between counterparties if the fair value of the derivative instrument exceeds certain thresholds. Additional collateral would be required in the event of a signific</w:t>
      </w:r>
      <w:r>
        <w:rPr>
          <w:rFonts w:ascii="Arial" w:eastAsia="宋体" w:hAnsi="Arial" w:cs="Arial"/>
          <w:color w:val="000000"/>
          <w:sz w:val="20"/>
          <w:szCs w:val="20"/>
        </w:rPr>
        <w:t xml:space="preserve">ant credit downgrade by either party. We are not required to pledge, nor are we entitled to receive, collateral related to our foreign exchange derivative transactions. </w:t>
      </w:r>
    </w:p>
    <w:p w14:paraId="1860080F" w14:textId="77777777" w:rsidR="00A91885" w:rsidRDefault="00A91885">
      <w:pPr>
        <w:ind w:firstLine="450"/>
      </w:pPr>
    </w:p>
    <w:p w14:paraId="18600810" w14:textId="77777777" w:rsidR="00A91885" w:rsidRDefault="00A91885">
      <w:pPr>
        <w:ind w:firstLine="450"/>
      </w:pPr>
    </w:p>
    <w:p w14:paraId="18600811" w14:textId="77777777" w:rsidR="00A91885" w:rsidRDefault="00A91885">
      <w:pPr>
        <w:jc w:val="center"/>
      </w:pPr>
    </w:p>
    <w:p w14:paraId="18600812" w14:textId="77777777" w:rsidR="00A91885" w:rsidRDefault="009C4196">
      <w:pPr>
        <w:jc w:val="center"/>
      </w:pPr>
      <w:r>
        <w:rPr>
          <w:rFonts w:ascii="Arial" w:eastAsia="宋体" w:hAnsi="Arial" w:cs="Arial"/>
          <w:color w:val="000000"/>
          <w:sz w:val="20"/>
          <w:szCs w:val="20"/>
        </w:rPr>
        <w:t>27</w:t>
      </w:r>
    </w:p>
    <w:p w14:paraId="18600813" w14:textId="77777777" w:rsidR="00A91885" w:rsidRDefault="009C4196">
      <w:r>
        <w:pict w14:anchorId="1860219E">
          <v:rect id="_x0000_i1051" style="width:415.3pt;height:1.5pt" o:hralign="center" o:hrstd="t" o:hr="t" fillcolor="#a0a0a0" stroked="f"/>
        </w:pict>
      </w:r>
    </w:p>
    <w:p w14:paraId="18600814" w14:textId="77777777" w:rsidR="00A91885" w:rsidRDefault="009C4196">
      <w:hyperlink r:id="rId111" w:anchor="ieb971428a625452486c65ae24899afca_7" w:history="1">
        <w:r>
          <w:rPr>
            <w:rStyle w:val="a5"/>
            <w:rFonts w:ascii="Arial" w:eastAsia="宋体" w:hAnsi="Arial" w:cs="Arial"/>
            <w:sz w:val="18"/>
            <w:szCs w:val="18"/>
          </w:rPr>
          <w:t>Table of Contents</w:t>
        </w:r>
      </w:hyperlink>
    </w:p>
    <w:p w14:paraId="18600815" w14:textId="77777777" w:rsidR="00A91885" w:rsidRDefault="009C4196">
      <w:pPr>
        <w:jc w:val="center"/>
      </w:pPr>
      <w:r>
        <w:rPr>
          <w:rFonts w:ascii="Arial" w:eastAsia="宋体" w:hAnsi="Arial" w:cs="Arial"/>
          <w:b/>
          <w:bCs/>
          <w:color w:val="000000"/>
          <w:sz w:val="20"/>
          <w:szCs w:val="20"/>
        </w:rPr>
        <w:t>eBay Inc.</w:t>
      </w:r>
    </w:p>
    <w:p w14:paraId="18600816"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0817" w14:textId="77777777" w:rsidR="00A91885" w:rsidRDefault="009C4196">
      <w:r>
        <w:rPr>
          <w:rFonts w:ascii="Arial" w:eastAsia="宋体" w:hAnsi="Arial" w:cs="Arial"/>
          <w:b/>
          <w:bCs/>
          <w:color w:val="000000"/>
          <w:sz w:val="20"/>
          <w:szCs w:val="20"/>
        </w:rPr>
        <w:t>Note 8 — Fair Value Measurement of Assets and Liabilities</w:t>
      </w:r>
    </w:p>
    <w:p w14:paraId="18600818" w14:textId="77777777" w:rsidR="00A91885" w:rsidRDefault="00A91885"/>
    <w:p w14:paraId="18600819" w14:textId="77777777" w:rsidR="00A91885" w:rsidRDefault="009C4196">
      <w:pPr>
        <w:spacing w:after="120"/>
        <w:ind w:firstLine="540"/>
        <w:jc w:val="both"/>
      </w:pPr>
      <w:r>
        <w:rPr>
          <w:rFonts w:ascii="Arial" w:eastAsia="宋体" w:hAnsi="Arial" w:cs="Arial"/>
          <w:color w:val="000000"/>
          <w:sz w:val="20"/>
          <w:szCs w:val="20"/>
        </w:rPr>
        <w:t xml:space="preserve">The following tables present </w:t>
      </w:r>
      <w:r>
        <w:rPr>
          <w:rFonts w:ascii="Arial" w:eastAsia="宋体" w:hAnsi="Arial" w:cs="Arial"/>
          <w:color w:val="000000"/>
          <w:sz w:val="20"/>
          <w:szCs w:val="20"/>
        </w:rPr>
        <w:t>our financial assets and liabilities measured at fair value on a recurring basis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50"/>
        <w:gridCol w:w="1897"/>
        <w:gridCol w:w="40"/>
        <w:gridCol w:w="121"/>
        <w:gridCol w:w="947"/>
        <w:gridCol w:w="36"/>
        <w:gridCol w:w="36"/>
        <w:gridCol w:w="36"/>
        <w:gridCol w:w="36"/>
        <w:gridCol w:w="122"/>
        <w:gridCol w:w="1412"/>
        <w:gridCol w:w="36"/>
        <w:gridCol w:w="36"/>
        <w:gridCol w:w="36"/>
        <w:gridCol w:w="36"/>
        <w:gridCol w:w="122"/>
        <w:gridCol w:w="1421"/>
        <w:gridCol w:w="36"/>
        <w:gridCol w:w="36"/>
        <w:gridCol w:w="36"/>
        <w:gridCol w:w="36"/>
        <w:gridCol w:w="122"/>
        <w:gridCol w:w="1614"/>
        <w:gridCol w:w="36"/>
      </w:tblGrid>
      <w:tr w:rsidR="00A91885" w14:paraId="18600832" w14:textId="77777777">
        <w:tc>
          <w:tcPr>
            <w:tcW w:w="50" w:type="pct"/>
            <w:shd w:val="clear" w:color="auto" w:fill="auto"/>
            <w:vAlign w:val="bottom"/>
          </w:tcPr>
          <w:p w14:paraId="1860081A" w14:textId="77777777" w:rsidR="00A91885" w:rsidRDefault="00A91885">
            <w:pPr>
              <w:rPr>
                <w:rFonts w:ascii="宋体"/>
              </w:rPr>
            </w:pPr>
          </w:p>
        </w:tc>
        <w:tc>
          <w:tcPr>
            <w:tcW w:w="1523" w:type="pct"/>
            <w:shd w:val="clear" w:color="auto" w:fill="auto"/>
            <w:vAlign w:val="bottom"/>
          </w:tcPr>
          <w:p w14:paraId="1860081B" w14:textId="77777777" w:rsidR="00A91885" w:rsidRDefault="00A91885">
            <w:pPr>
              <w:rPr>
                <w:rFonts w:ascii="宋体"/>
              </w:rPr>
            </w:pPr>
          </w:p>
        </w:tc>
        <w:tc>
          <w:tcPr>
            <w:tcW w:w="5" w:type="pct"/>
            <w:shd w:val="clear" w:color="auto" w:fill="auto"/>
            <w:vAlign w:val="bottom"/>
          </w:tcPr>
          <w:p w14:paraId="1860081C" w14:textId="77777777" w:rsidR="00A91885" w:rsidRDefault="00A91885">
            <w:pPr>
              <w:rPr>
                <w:rFonts w:ascii="宋体"/>
              </w:rPr>
            </w:pPr>
          </w:p>
        </w:tc>
        <w:tc>
          <w:tcPr>
            <w:tcW w:w="50" w:type="pct"/>
            <w:shd w:val="clear" w:color="auto" w:fill="auto"/>
            <w:vAlign w:val="bottom"/>
          </w:tcPr>
          <w:p w14:paraId="1860081D" w14:textId="77777777" w:rsidR="00A91885" w:rsidRDefault="00A91885">
            <w:pPr>
              <w:rPr>
                <w:rFonts w:ascii="宋体"/>
              </w:rPr>
            </w:pPr>
          </w:p>
        </w:tc>
        <w:tc>
          <w:tcPr>
            <w:tcW w:w="771" w:type="pct"/>
            <w:shd w:val="clear" w:color="auto" w:fill="auto"/>
            <w:vAlign w:val="bottom"/>
          </w:tcPr>
          <w:p w14:paraId="1860081E" w14:textId="77777777" w:rsidR="00A91885" w:rsidRDefault="00A91885">
            <w:pPr>
              <w:rPr>
                <w:rFonts w:ascii="宋体"/>
              </w:rPr>
            </w:pPr>
          </w:p>
        </w:tc>
        <w:tc>
          <w:tcPr>
            <w:tcW w:w="5" w:type="pct"/>
            <w:shd w:val="clear" w:color="auto" w:fill="auto"/>
            <w:vAlign w:val="bottom"/>
          </w:tcPr>
          <w:p w14:paraId="1860081F" w14:textId="77777777" w:rsidR="00A91885" w:rsidRDefault="00A91885">
            <w:pPr>
              <w:rPr>
                <w:rFonts w:ascii="宋体"/>
              </w:rPr>
            </w:pPr>
          </w:p>
        </w:tc>
        <w:tc>
          <w:tcPr>
            <w:tcW w:w="5" w:type="pct"/>
            <w:shd w:val="clear" w:color="auto" w:fill="auto"/>
            <w:vAlign w:val="bottom"/>
          </w:tcPr>
          <w:p w14:paraId="18600820" w14:textId="77777777" w:rsidR="00A91885" w:rsidRDefault="00A91885">
            <w:pPr>
              <w:rPr>
                <w:rFonts w:ascii="宋体"/>
              </w:rPr>
            </w:pPr>
          </w:p>
        </w:tc>
        <w:tc>
          <w:tcPr>
            <w:tcW w:w="19" w:type="pct"/>
            <w:shd w:val="clear" w:color="auto" w:fill="auto"/>
            <w:vAlign w:val="bottom"/>
          </w:tcPr>
          <w:p w14:paraId="18600821" w14:textId="77777777" w:rsidR="00A91885" w:rsidRDefault="00A91885">
            <w:pPr>
              <w:rPr>
                <w:rFonts w:ascii="宋体"/>
              </w:rPr>
            </w:pPr>
          </w:p>
        </w:tc>
        <w:tc>
          <w:tcPr>
            <w:tcW w:w="5" w:type="pct"/>
            <w:shd w:val="clear" w:color="auto" w:fill="auto"/>
            <w:vAlign w:val="bottom"/>
          </w:tcPr>
          <w:p w14:paraId="18600822" w14:textId="77777777" w:rsidR="00A91885" w:rsidRDefault="00A91885">
            <w:pPr>
              <w:rPr>
                <w:rFonts w:ascii="宋体"/>
              </w:rPr>
            </w:pPr>
          </w:p>
        </w:tc>
        <w:tc>
          <w:tcPr>
            <w:tcW w:w="50" w:type="pct"/>
            <w:shd w:val="clear" w:color="auto" w:fill="auto"/>
            <w:vAlign w:val="bottom"/>
          </w:tcPr>
          <w:p w14:paraId="18600823" w14:textId="77777777" w:rsidR="00A91885" w:rsidRDefault="00A91885">
            <w:pPr>
              <w:rPr>
                <w:rFonts w:ascii="宋体"/>
              </w:rPr>
            </w:pPr>
          </w:p>
        </w:tc>
        <w:tc>
          <w:tcPr>
            <w:tcW w:w="763" w:type="pct"/>
            <w:shd w:val="clear" w:color="auto" w:fill="auto"/>
            <w:vAlign w:val="bottom"/>
          </w:tcPr>
          <w:p w14:paraId="18600824" w14:textId="77777777" w:rsidR="00A91885" w:rsidRDefault="00A91885">
            <w:pPr>
              <w:rPr>
                <w:rFonts w:ascii="宋体"/>
              </w:rPr>
            </w:pPr>
          </w:p>
        </w:tc>
        <w:tc>
          <w:tcPr>
            <w:tcW w:w="5" w:type="pct"/>
            <w:shd w:val="clear" w:color="auto" w:fill="auto"/>
            <w:vAlign w:val="bottom"/>
          </w:tcPr>
          <w:p w14:paraId="18600825" w14:textId="77777777" w:rsidR="00A91885" w:rsidRDefault="00A91885">
            <w:pPr>
              <w:rPr>
                <w:rFonts w:ascii="宋体"/>
              </w:rPr>
            </w:pPr>
          </w:p>
        </w:tc>
        <w:tc>
          <w:tcPr>
            <w:tcW w:w="5" w:type="pct"/>
            <w:shd w:val="clear" w:color="auto" w:fill="auto"/>
            <w:vAlign w:val="bottom"/>
          </w:tcPr>
          <w:p w14:paraId="18600826" w14:textId="77777777" w:rsidR="00A91885" w:rsidRDefault="00A91885">
            <w:pPr>
              <w:rPr>
                <w:rFonts w:ascii="宋体"/>
              </w:rPr>
            </w:pPr>
          </w:p>
        </w:tc>
        <w:tc>
          <w:tcPr>
            <w:tcW w:w="19" w:type="pct"/>
            <w:shd w:val="clear" w:color="auto" w:fill="auto"/>
            <w:vAlign w:val="bottom"/>
          </w:tcPr>
          <w:p w14:paraId="18600827" w14:textId="77777777" w:rsidR="00A91885" w:rsidRDefault="00A91885">
            <w:pPr>
              <w:rPr>
                <w:rFonts w:ascii="宋体"/>
              </w:rPr>
            </w:pPr>
          </w:p>
        </w:tc>
        <w:tc>
          <w:tcPr>
            <w:tcW w:w="5" w:type="pct"/>
            <w:shd w:val="clear" w:color="auto" w:fill="auto"/>
            <w:vAlign w:val="bottom"/>
          </w:tcPr>
          <w:p w14:paraId="18600828" w14:textId="77777777" w:rsidR="00A91885" w:rsidRDefault="00A91885">
            <w:pPr>
              <w:rPr>
                <w:rFonts w:ascii="宋体"/>
              </w:rPr>
            </w:pPr>
          </w:p>
        </w:tc>
        <w:tc>
          <w:tcPr>
            <w:tcW w:w="50" w:type="pct"/>
            <w:shd w:val="clear" w:color="auto" w:fill="auto"/>
            <w:vAlign w:val="bottom"/>
          </w:tcPr>
          <w:p w14:paraId="18600829" w14:textId="77777777" w:rsidR="00A91885" w:rsidRDefault="00A91885">
            <w:pPr>
              <w:rPr>
                <w:rFonts w:ascii="宋体"/>
              </w:rPr>
            </w:pPr>
          </w:p>
        </w:tc>
        <w:tc>
          <w:tcPr>
            <w:tcW w:w="763" w:type="pct"/>
            <w:shd w:val="clear" w:color="auto" w:fill="auto"/>
            <w:vAlign w:val="bottom"/>
          </w:tcPr>
          <w:p w14:paraId="1860082A" w14:textId="77777777" w:rsidR="00A91885" w:rsidRDefault="00A91885">
            <w:pPr>
              <w:rPr>
                <w:rFonts w:ascii="宋体"/>
              </w:rPr>
            </w:pPr>
          </w:p>
        </w:tc>
        <w:tc>
          <w:tcPr>
            <w:tcW w:w="5" w:type="pct"/>
            <w:shd w:val="clear" w:color="auto" w:fill="auto"/>
            <w:vAlign w:val="bottom"/>
          </w:tcPr>
          <w:p w14:paraId="1860082B" w14:textId="77777777" w:rsidR="00A91885" w:rsidRDefault="00A91885">
            <w:pPr>
              <w:rPr>
                <w:rFonts w:ascii="宋体"/>
              </w:rPr>
            </w:pPr>
          </w:p>
        </w:tc>
        <w:tc>
          <w:tcPr>
            <w:tcW w:w="5" w:type="pct"/>
            <w:shd w:val="clear" w:color="auto" w:fill="auto"/>
            <w:vAlign w:val="bottom"/>
          </w:tcPr>
          <w:p w14:paraId="1860082C" w14:textId="77777777" w:rsidR="00A91885" w:rsidRDefault="00A91885">
            <w:pPr>
              <w:rPr>
                <w:rFonts w:ascii="宋体"/>
              </w:rPr>
            </w:pPr>
          </w:p>
        </w:tc>
        <w:tc>
          <w:tcPr>
            <w:tcW w:w="19" w:type="pct"/>
            <w:shd w:val="clear" w:color="auto" w:fill="auto"/>
            <w:vAlign w:val="bottom"/>
          </w:tcPr>
          <w:p w14:paraId="1860082D" w14:textId="77777777" w:rsidR="00A91885" w:rsidRDefault="00A91885">
            <w:pPr>
              <w:rPr>
                <w:rFonts w:ascii="宋体"/>
              </w:rPr>
            </w:pPr>
          </w:p>
        </w:tc>
        <w:tc>
          <w:tcPr>
            <w:tcW w:w="5" w:type="pct"/>
            <w:shd w:val="clear" w:color="auto" w:fill="auto"/>
            <w:vAlign w:val="bottom"/>
          </w:tcPr>
          <w:p w14:paraId="1860082E" w14:textId="77777777" w:rsidR="00A91885" w:rsidRDefault="00A91885">
            <w:pPr>
              <w:rPr>
                <w:rFonts w:ascii="宋体"/>
              </w:rPr>
            </w:pPr>
          </w:p>
        </w:tc>
        <w:tc>
          <w:tcPr>
            <w:tcW w:w="50" w:type="pct"/>
            <w:shd w:val="clear" w:color="auto" w:fill="auto"/>
            <w:vAlign w:val="bottom"/>
          </w:tcPr>
          <w:p w14:paraId="1860082F" w14:textId="77777777" w:rsidR="00A91885" w:rsidRDefault="00A91885">
            <w:pPr>
              <w:rPr>
                <w:rFonts w:ascii="宋体"/>
              </w:rPr>
            </w:pPr>
          </w:p>
        </w:tc>
        <w:tc>
          <w:tcPr>
            <w:tcW w:w="815" w:type="pct"/>
            <w:shd w:val="clear" w:color="auto" w:fill="auto"/>
            <w:vAlign w:val="bottom"/>
          </w:tcPr>
          <w:p w14:paraId="18600830" w14:textId="77777777" w:rsidR="00A91885" w:rsidRDefault="00A91885">
            <w:pPr>
              <w:rPr>
                <w:rFonts w:ascii="宋体"/>
              </w:rPr>
            </w:pPr>
          </w:p>
        </w:tc>
        <w:tc>
          <w:tcPr>
            <w:tcW w:w="5" w:type="pct"/>
            <w:shd w:val="clear" w:color="auto" w:fill="auto"/>
            <w:vAlign w:val="bottom"/>
          </w:tcPr>
          <w:p w14:paraId="18600831" w14:textId="77777777" w:rsidR="00A91885" w:rsidRDefault="00A91885">
            <w:pPr>
              <w:rPr>
                <w:rFonts w:ascii="宋体"/>
              </w:rPr>
            </w:pPr>
          </w:p>
        </w:tc>
      </w:tr>
      <w:tr w:rsidR="00A91885" w14:paraId="1860083E" w14:textId="77777777">
        <w:tc>
          <w:tcPr>
            <w:tcW w:w="0" w:type="auto"/>
            <w:gridSpan w:val="3"/>
            <w:shd w:val="clear" w:color="auto" w:fill="auto"/>
            <w:tcMar>
              <w:top w:w="0" w:type="dxa"/>
              <w:left w:w="20" w:type="dxa"/>
              <w:bottom w:w="0" w:type="dxa"/>
              <w:right w:w="20" w:type="dxa"/>
            </w:tcMar>
            <w:vAlign w:val="bottom"/>
          </w:tcPr>
          <w:p w14:paraId="18600833"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834" w14:textId="77777777" w:rsidR="00A91885" w:rsidRDefault="009C4196">
            <w:pPr>
              <w:jc w:val="center"/>
              <w:textAlignment w:val="bottom"/>
            </w:pPr>
            <w:r>
              <w:rPr>
                <w:rFonts w:ascii="Arial" w:eastAsia="宋体" w:hAnsi="Arial" w:cs="Arial"/>
                <w:b/>
                <w:bCs/>
                <w:color w:val="000000"/>
                <w:sz w:val="17"/>
                <w:szCs w:val="17"/>
              </w:rPr>
              <w:t>June 30, 2022</w:t>
            </w:r>
          </w:p>
        </w:tc>
        <w:tc>
          <w:tcPr>
            <w:tcW w:w="0" w:type="auto"/>
            <w:gridSpan w:val="3"/>
            <w:shd w:val="clear" w:color="auto" w:fill="auto"/>
            <w:tcMar>
              <w:top w:w="0" w:type="dxa"/>
              <w:left w:w="20" w:type="dxa"/>
              <w:bottom w:w="0" w:type="dxa"/>
              <w:right w:w="20" w:type="dxa"/>
            </w:tcMar>
            <w:vAlign w:val="bottom"/>
          </w:tcPr>
          <w:p w14:paraId="18600835"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836" w14:textId="77777777" w:rsidR="00A91885" w:rsidRDefault="009C4196">
            <w:pPr>
              <w:jc w:val="center"/>
              <w:textAlignment w:val="bottom"/>
            </w:pPr>
            <w:r>
              <w:rPr>
                <w:rFonts w:ascii="Arial" w:eastAsia="宋体" w:hAnsi="Arial" w:cs="Arial"/>
                <w:b/>
                <w:bCs/>
                <w:color w:val="000000"/>
                <w:sz w:val="17"/>
                <w:szCs w:val="17"/>
              </w:rPr>
              <w:t>Quoted Prices in Active Markets for Identical Assets</w:t>
            </w:r>
          </w:p>
          <w:p w14:paraId="18600837" w14:textId="77777777" w:rsidR="00A91885" w:rsidRDefault="009C4196">
            <w:pPr>
              <w:jc w:val="center"/>
              <w:textAlignment w:val="bottom"/>
            </w:pPr>
            <w:r>
              <w:rPr>
                <w:rFonts w:ascii="Arial" w:eastAsia="宋体" w:hAnsi="Arial" w:cs="Arial"/>
                <w:b/>
                <w:bCs/>
                <w:color w:val="000000"/>
                <w:sz w:val="17"/>
                <w:szCs w:val="17"/>
              </w:rPr>
              <w:t xml:space="preserve">(Level 1) </w:t>
            </w:r>
          </w:p>
        </w:tc>
        <w:tc>
          <w:tcPr>
            <w:tcW w:w="0" w:type="auto"/>
            <w:gridSpan w:val="3"/>
            <w:shd w:val="clear" w:color="auto" w:fill="auto"/>
            <w:tcMar>
              <w:top w:w="0" w:type="dxa"/>
              <w:left w:w="20" w:type="dxa"/>
              <w:bottom w:w="0" w:type="dxa"/>
              <w:right w:w="20" w:type="dxa"/>
            </w:tcMar>
            <w:vAlign w:val="bottom"/>
          </w:tcPr>
          <w:p w14:paraId="18600838"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839" w14:textId="77777777" w:rsidR="00A91885" w:rsidRDefault="009C4196">
            <w:pPr>
              <w:jc w:val="center"/>
              <w:textAlignment w:val="bottom"/>
            </w:pPr>
            <w:r>
              <w:rPr>
                <w:rFonts w:ascii="Arial" w:eastAsia="宋体" w:hAnsi="Arial" w:cs="Arial"/>
                <w:b/>
                <w:bCs/>
                <w:color w:val="000000"/>
                <w:sz w:val="17"/>
                <w:szCs w:val="17"/>
              </w:rPr>
              <w:t>Significant Other Observable Inputs</w:t>
            </w:r>
          </w:p>
          <w:p w14:paraId="1860083A" w14:textId="77777777" w:rsidR="00A91885" w:rsidRDefault="009C4196">
            <w:pPr>
              <w:jc w:val="center"/>
              <w:textAlignment w:val="bottom"/>
            </w:pPr>
            <w:r>
              <w:rPr>
                <w:rFonts w:ascii="Arial" w:eastAsia="宋体" w:hAnsi="Arial" w:cs="Arial"/>
                <w:b/>
                <w:bCs/>
                <w:color w:val="000000"/>
                <w:sz w:val="17"/>
                <w:szCs w:val="17"/>
              </w:rPr>
              <w:t>(Level 2)</w:t>
            </w:r>
          </w:p>
        </w:tc>
        <w:tc>
          <w:tcPr>
            <w:tcW w:w="0" w:type="auto"/>
            <w:gridSpan w:val="3"/>
            <w:shd w:val="clear" w:color="auto" w:fill="auto"/>
            <w:tcMar>
              <w:top w:w="0" w:type="dxa"/>
              <w:left w:w="20" w:type="dxa"/>
              <w:bottom w:w="0" w:type="dxa"/>
              <w:right w:w="20" w:type="dxa"/>
            </w:tcMar>
            <w:vAlign w:val="bottom"/>
          </w:tcPr>
          <w:p w14:paraId="1860083B"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83C" w14:textId="77777777" w:rsidR="00A91885" w:rsidRDefault="009C4196">
            <w:pPr>
              <w:jc w:val="center"/>
              <w:textAlignment w:val="bottom"/>
            </w:pPr>
            <w:r>
              <w:rPr>
                <w:rFonts w:ascii="Arial" w:eastAsia="宋体" w:hAnsi="Arial" w:cs="Arial"/>
                <w:b/>
                <w:bCs/>
                <w:color w:val="000000"/>
                <w:sz w:val="17"/>
                <w:szCs w:val="17"/>
              </w:rPr>
              <w:t>Significant Unobservable Inputs</w:t>
            </w:r>
          </w:p>
          <w:p w14:paraId="1860083D" w14:textId="77777777" w:rsidR="00A91885" w:rsidRDefault="009C4196">
            <w:pPr>
              <w:jc w:val="center"/>
              <w:textAlignment w:val="bottom"/>
            </w:pPr>
            <w:r>
              <w:rPr>
                <w:rFonts w:ascii="Arial" w:eastAsia="宋体" w:hAnsi="Arial" w:cs="Arial"/>
                <w:b/>
                <w:bCs/>
                <w:color w:val="000000"/>
                <w:sz w:val="17"/>
                <w:szCs w:val="17"/>
              </w:rPr>
              <w:t>(Level 3)</w:t>
            </w:r>
          </w:p>
        </w:tc>
      </w:tr>
      <w:tr w:rsidR="00A91885" w14:paraId="18600847" w14:textId="77777777">
        <w:tc>
          <w:tcPr>
            <w:tcW w:w="0" w:type="auto"/>
            <w:gridSpan w:val="3"/>
            <w:shd w:val="clear" w:color="auto" w:fill="E2E2E2"/>
            <w:tcMar>
              <w:top w:w="40" w:type="dxa"/>
              <w:left w:w="20" w:type="dxa"/>
              <w:bottom w:w="40" w:type="dxa"/>
              <w:right w:w="20" w:type="dxa"/>
            </w:tcMar>
            <w:vAlign w:val="bottom"/>
          </w:tcPr>
          <w:p w14:paraId="1860083F" w14:textId="77777777" w:rsidR="00A91885" w:rsidRDefault="009C4196">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8600840"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8600841" w14:textId="77777777" w:rsidR="00A91885" w:rsidRDefault="00A91885">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8600842"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8600843" w14:textId="77777777" w:rsidR="00A91885" w:rsidRDefault="00A91885">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8600844"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8600845"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846" w14:textId="77777777" w:rsidR="00A91885" w:rsidRDefault="00A91885">
            <w:pPr>
              <w:rPr>
                <w:rFonts w:ascii="宋体"/>
              </w:rPr>
            </w:pPr>
          </w:p>
        </w:tc>
      </w:tr>
      <w:tr w:rsidR="00A91885" w14:paraId="18600858" w14:textId="77777777">
        <w:tc>
          <w:tcPr>
            <w:tcW w:w="0" w:type="auto"/>
            <w:gridSpan w:val="3"/>
            <w:shd w:val="clear" w:color="auto" w:fill="FFFFFF"/>
            <w:tcMar>
              <w:top w:w="40" w:type="dxa"/>
              <w:left w:w="245" w:type="dxa"/>
              <w:bottom w:w="40" w:type="dxa"/>
              <w:right w:w="20" w:type="dxa"/>
            </w:tcMar>
            <w:vAlign w:val="bottom"/>
          </w:tcPr>
          <w:p w14:paraId="18600848" w14:textId="77777777" w:rsidR="00A91885" w:rsidRDefault="009C4196">
            <w:pPr>
              <w:textAlignment w:val="bottom"/>
            </w:pPr>
            <w:r>
              <w:rPr>
                <w:rFonts w:ascii="Arial" w:eastAsia="宋体" w:hAnsi="Arial" w:cs="Arial"/>
                <w:color w:val="000000"/>
                <w:sz w:val="18"/>
                <w:szCs w:val="18"/>
              </w:rPr>
              <w:t xml:space="preserve">Cash and cash </w:t>
            </w:r>
            <w:r>
              <w:rPr>
                <w:rFonts w:ascii="Arial" w:eastAsia="宋体" w:hAnsi="Arial" w:cs="Arial"/>
                <w:color w:val="000000"/>
                <w:sz w:val="18"/>
                <w:szCs w:val="18"/>
              </w:rPr>
              <w:t>equivalents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1860084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60084A" w14:textId="77777777" w:rsidR="00A91885" w:rsidRDefault="009C4196">
            <w:pPr>
              <w:jc w:val="right"/>
              <w:textAlignment w:val="bottom"/>
            </w:pPr>
            <w:r>
              <w:rPr>
                <w:rFonts w:ascii="Arial" w:eastAsia="宋体" w:hAnsi="Arial" w:cs="Arial"/>
                <w:color w:val="000000"/>
                <w:sz w:val="18"/>
                <w:szCs w:val="18"/>
              </w:rPr>
              <w:t>1,742 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84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4C"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60084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60084E" w14:textId="77777777" w:rsidR="00A91885" w:rsidRDefault="009C4196">
            <w:pPr>
              <w:jc w:val="right"/>
              <w:textAlignment w:val="bottom"/>
            </w:pPr>
            <w:r>
              <w:rPr>
                <w:rFonts w:ascii="Arial" w:eastAsia="宋体" w:hAnsi="Arial" w:cs="Arial"/>
                <w:color w:val="000000"/>
                <w:sz w:val="18"/>
                <w:szCs w:val="18"/>
              </w:rPr>
              <w:t>1,742 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84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50"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60085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600852"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85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54"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60085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600856"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857" w14:textId="77777777" w:rsidR="00A91885" w:rsidRDefault="00A91885">
            <w:pPr>
              <w:jc w:val="right"/>
              <w:rPr>
                <w:rFonts w:ascii="宋体"/>
              </w:rPr>
            </w:pPr>
          </w:p>
        </w:tc>
      </w:tr>
      <w:tr w:rsidR="00A91885" w14:paraId="18600861" w14:textId="77777777">
        <w:tc>
          <w:tcPr>
            <w:tcW w:w="0" w:type="auto"/>
            <w:gridSpan w:val="3"/>
            <w:shd w:val="clear" w:color="auto" w:fill="E2E2E2"/>
            <w:tcMar>
              <w:top w:w="40" w:type="dxa"/>
              <w:left w:w="245" w:type="dxa"/>
              <w:bottom w:w="40" w:type="dxa"/>
              <w:right w:w="20" w:type="dxa"/>
            </w:tcMar>
            <w:vAlign w:val="bottom"/>
          </w:tcPr>
          <w:p w14:paraId="18600859" w14:textId="77777777" w:rsidR="00A91885" w:rsidRDefault="009C4196">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85A"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85B"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85C"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85D"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85E"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85F"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860" w14:textId="77777777" w:rsidR="00A91885" w:rsidRDefault="00A91885">
            <w:pPr>
              <w:rPr>
                <w:rFonts w:ascii="宋体"/>
              </w:rPr>
            </w:pPr>
          </w:p>
        </w:tc>
      </w:tr>
      <w:tr w:rsidR="00A91885" w14:paraId="1860086E" w14:textId="77777777">
        <w:tc>
          <w:tcPr>
            <w:tcW w:w="0" w:type="auto"/>
            <w:gridSpan w:val="3"/>
            <w:shd w:val="clear" w:color="auto" w:fill="FFFFFF"/>
            <w:tcMar>
              <w:top w:w="40" w:type="dxa"/>
              <w:left w:w="500" w:type="dxa"/>
              <w:bottom w:w="40" w:type="dxa"/>
              <w:right w:w="20" w:type="dxa"/>
            </w:tcMar>
            <w:vAlign w:val="bottom"/>
          </w:tcPr>
          <w:p w14:paraId="18600862" w14:textId="77777777" w:rsidR="00A91885" w:rsidRDefault="009C4196">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18600863" w14:textId="77777777" w:rsidR="00A91885" w:rsidRDefault="009C4196">
            <w:pPr>
              <w:jc w:val="right"/>
              <w:textAlignment w:val="bottom"/>
            </w:pPr>
            <w:r>
              <w:rPr>
                <w:rFonts w:ascii="Arial" w:eastAsia="宋体" w:hAnsi="Arial" w:cs="Arial"/>
                <w:color w:val="000000"/>
                <w:sz w:val="18"/>
                <w:szCs w:val="18"/>
              </w:rPr>
              <w:t>26 </w:t>
            </w:r>
          </w:p>
        </w:tc>
        <w:tc>
          <w:tcPr>
            <w:tcW w:w="0" w:type="auto"/>
            <w:shd w:val="clear" w:color="auto" w:fill="FFFFFF"/>
            <w:tcMar>
              <w:top w:w="40" w:type="dxa"/>
              <w:left w:w="0" w:type="dxa"/>
              <w:bottom w:w="40" w:type="dxa"/>
              <w:right w:w="20" w:type="dxa"/>
            </w:tcMar>
            <w:vAlign w:val="bottom"/>
          </w:tcPr>
          <w:p w14:paraId="1860086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6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866" w14:textId="77777777" w:rsidR="00A91885" w:rsidRDefault="009C4196">
            <w:pPr>
              <w:jc w:val="right"/>
              <w:textAlignment w:val="bottom"/>
            </w:pPr>
            <w:r>
              <w:rPr>
                <w:rFonts w:ascii="Arial" w:eastAsia="宋体" w:hAnsi="Arial" w:cs="Arial"/>
                <w:color w:val="000000"/>
                <w:sz w:val="18"/>
                <w:szCs w:val="18"/>
              </w:rPr>
              <w:t>26 </w:t>
            </w:r>
          </w:p>
        </w:tc>
        <w:tc>
          <w:tcPr>
            <w:tcW w:w="0" w:type="auto"/>
            <w:shd w:val="clear" w:color="auto" w:fill="FFFFFF"/>
            <w:tcMar>
              <w:top w:w="40" w:type="dxa"/>
              <w:left w:w="0" w:type="dxa"/>
              <w:bottom w:w="40" w:type="dxa"/>
              <w:right w:w="20" w:type="dxa"/>
            </w:tcMar>
            <w:vAlign w:val="bottom"/>
          </w:tcPr>
          <w:p w14:paraId="1860086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6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86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86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6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86C"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86D" w14:textId="77777777" w:rsidR="00A91885" w:rsidRDefault="00A91885">
            <w:pPr>
              <w:jc w:val="right"/>
              <w:rPr>
                <w:rFonts w:ascii="宋体"/>
              </w:rPr>
            </w:pPr>
          </w:p>
        </w:tc>
      </w:tr>
      <w:tr w:rsidR="00A91885" w14:paraId="1860087B" w14:textId="77777777">
        <w:tc>
          <w:tcPr>
            <w:tcW w:w="0" w:type="auto"/>
            <w:gridSpan w:val="3"/>
            <w:shd w:val="clear" w:color="auto" w:fill="E2E2E2"/>
            <w:tcMar>
              <w:top w:w="40" w:type="dxa"/>
              <w:left w:w="500" w:type="dxa"/>
              <w:bottom w:w="40" w:type="dxa"/>
              <w:right w:w="20" w:type="dxa"/>
            </w:tcMar>
            <w:vAlign w:val="bottom"/>
          </w:tcPr>
          <w:p w14:paraId="1860086F" w14:textId="77777777" w:rsidR="00A91885" w:rsidRDefault="009C4196">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18600870" w14:textId="77777777" w:rsidR="00A91885" w:rsidRDefault="009C4196">
            <w:pPr>
              <w:jc w:val="right"/>
              <w:textAlignment w:val="bottom"/>
            </w:pPr>
            <w:r>
              <w:rPr>
                <w:rFonts w:ascii="Arial" w:eastAsia="宋体" w:hAnsi="Arial" w:cs="Arial"/>
                <w:color w:val="000000"/>
                <w:sz w:val="18"/>
                <w:szCs w:val="18"/>
              </w:rPr>
              <w:t>1,195 </w:t>
            </w:r>
          </w:p>
        </w:tc>
        <w:tc>
          <w:tcPr>
            <w:tcW w:w="0" w:type="auto"/>
            <w:shd w:val="clear" w:color="auto" w:fill="E2E2E2"/>
            <w:tcMar>
              <w:top w:w="40" w:type="dxa"/>
              <w:left w:w="0" w:type="dxa"/>
              <w:bottom w:w="40" w:type="dxa"/>
              <w:right w:w="20" w:type="dxa"/>
            </w:tcMar>
            <w:vAlign w:val="bottom"/>
          </w:tcPr>
          <w:p w14:paraId="1860087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872"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873"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87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87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876" w14:textId="77777777" w:rsidR="00A91885" w:rsidRDefault="009C4196">
            <w:pPr>
              <w:jc w:val="right"/>
              <w:textAlignment w:val="bottom"/>
            </w:pPr>
            <w:r>
              <w:rPr>
                <w:rFonts w:ascii="Arial" w:eastAsia="宋体" w:hAnsi="Arial" w:cs="Arial"/>
                <w:color w:val="000000"/>
                <w:sz w:val="18"/>
                <w:szCs w:val="18"/>
              </w:rPr>
              <w:t>1,195 </w:t>
            </w:r>
          </w:p>
        </w:tc>
        <w:tc>
          <w:tcPr>
            <w:tcW w:w="0" w:type="auto"/>
            <w:shd w:val="clear" w:color="auto" w:fill="E2E2E2"/>
            <w:tcMar>
              <w:top w:w="40" w:type="dxa"/>
              <w:left w:w="0" w:type="dxa"/>
              <w:bottom w:w="40" w:type="dxa"/>
              <w:right w:w="20" w:type="dxa"/>
            </w:tcMar>
            <w:vAlign w:val="bottom"/>
          </w:tcPr>
          <w:p w14:paraId="1860087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87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87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87A" w14:textId="77777777" w:rsidR="00A91885" w:rsidRDefault="00A91885">
            <w:pPr>
              <w:jc w:val="right"/>
              <w:rPr>
                <w:rFonts w:ascii="宋体"/>
              </w:rPr>
            </w:pPr>
          </w:p>
        </w:tc>
      </w:tr>
      <w:tr w:rsidR="00A91885" w14:paraId="18600888" w14:textId="77777777">
        <w:tc>
          <w:tcPr>
            <w:tcW w:w="0" w:type="auto"/>
            <w:gridSpan w:val="3"/>
            <w:shd w:val="clear" w:color="auto" w:fill="FFFFFF"/>
            <w:tcMar>
              <w:top w:w="40" w:type="dxa"/>
              <w:left w:w="500" w:type="dxa"/>
              <w:bottom w:w="40" w:type="dxa"/>
              <w:right w:w="20" w:type="dxa"/>
            </w:tcMar>
            <w:vAlign w:val="bottom"/>
          </w:tcPr>
          <w:p w14:paraId="1860087C" w14:textId="77777777" w:rsidR="00A91885" w:rsidRDefault="009C4196">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1860087D" w14:textId="77777777" w:rsidR="00A91885" w:rsidRDefault="009C4196">
            <w:pPr>
              <w:jc w:val="right"/>
              <w:textAlignment w:val="bottom"/>
            </w:pPr>
            <w:r>
              <w:rPr>
                <w:rFonts w:ascii="Arial" w:eastAsia="宋体" w:hAnsi="Arial" w:cs="Arial"/>
                <w:color w:val="000000"/>
                <w:sz w:val="18"/>
                <w:szCs w:val="18"/>
              </w:rPr>
              <w:t>40 </w:t>
            </w:r>
          </w:p>
        </w:tc>
        <w:tc>
          <w:tcPr>
            <w:tcW w:w="0" w:type="auto"/>
            <w:shd w:val="clear" w:color="auto" w:fill="FFFFFF"/>
            <w:tcMar>
              <w:top w:w="40" w:type="dxa"/>
              <w:left w:w="0" w:type="dxa"/>
              <w:bottom w:w="40" w:type="dxa"/>
              <w:right w:w="20" w:type="dxa"/>
            </w:tcMar>
            <w:vAlign w:val="bottom"/>
          </w:tcPr>
          <w:p w14:paraId="1860087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7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880"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88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8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883" w14:textId="77777777" w:rsidR="00A91885" w:rsidRDefault="009C4196">
            <w:pPr>
              <w:jc w:val="right"/>
              <w:textAlignment w:val="bottom"/>
            </w:pPr>
            <w:r>
              <w:rPr>
                <w:rFonts w:ascii="Arial" w:eastAsia="宋体" w:hAnsi="Arial" w:cs="Arial"/>
                <w:color w:val="000000"/>
                <w:sz w:val="18"/>
                <w:szCs w:val="18"/>
              </w:rPr>
              <w:t>40 </w:t>
            </w:r>
          </w:p>
        </w:tc>
        <w:tc>
          <w:tcPr>
            <w:tcW w:w="0" w:type="auto"/>
            <w:shd w:val="clear" w:color="auto" w:fill="FFFFFF"/>
            <w:tcMar>
              <w:top w:w="40" w:type="dxa"/>
              <w:left w:w="0" w:type="dxa"/>
              <w:bottom w:w="40" w:type="dxa"/>
              <w:right w:w="20" w:type="dxa"/>
            </w:tcMar>
            <w:vAlign w:val="bottom"/>
          </w:tcPr>
          <w:p w14:paraId="1860088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8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886"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887" w14:textId="77777777" w:rsidR="00A91885" w:rsidRDefault="00A91885">
            <w:pPr>
              <w:jc w:val="right"/>
              <w:rPr>
                <w:rFonts w:ascii="宋体"/>
              </w:rPr>
            </w:pPr>
          </w:p>
        </w:tc>
      </w:tr>
      <w:tr w:rsidR="00A91885" w14:paraId="18600891" w14:textId="77777777">
        <w:trPr>
          <w:hidden/>
        </w:trPr>
        <w:tc>
          <w:tcPr>
            <w:tcW w:w="0" w:type="auto"/>
            <w:gridSpan w:val="3"/>
            <w:shd w:val="clear" w:color="auto" w:fill="auto"/>
            <w:vAlign w:val="bottom"/>
          </w:tcPr>
          <w:p w14:paraId="18600889" w14:textId="77777777" w:rsidR="00A91885" w:rsidRDefault="00A91885">
            <w:pPr>
              <w:rPr>
                <w:rFonts w:ascii="宋体"/>
                <w:vanish/>
              </w:rPr>
            </w:pPr>
          </w:p>
        </w:tc>
        <w:tc>
          <w:tcPr>
            <w:tcW w:w="0" w:type="auto"/>
            <w:gridSpan w:val="3"/>
            <w:shd w:val="clear" w:color="auto" w:fill="auto"/>
            <w:vAlign w:val="bottom"/>
          </w:tcPr>
          <w:p w14:paraId="1860088A" w14:textId="77777777" w:rsidR="00A91885" w:rsidRDefault="00A91885">
            <w:pPr>
              <w:rPr>
                <w:rFonts w:ascii="宋体"/>
                <w:vanish/>
              </w:rPr>
            </w:pPr>
          </w:p>
        </w:tc>
        <w:tc>
          <w:tcPr>
            <w:tcW w:w="0" w:type="auto"/>
            <w:gridSpan w:val="3"/>
            <w:shd w:val="clear" w:color="auto" w:fill="auto"/>
            <w:vAlign w:val="bottom"/>
          </w:tcPr>
          <w:p w14:paraId="1860088B" w14:textId="77777777" w:rsidR="00A91885" w:rsidRDefault="00A91885">
            <w:pPr>
              <w:rPr>
                <w:rFonts w:ascii="宋体"/>
                <w:vanish/>
              </w:rPr>
            </w:pPr>
          </w:p>
        </w:tc>
        <w:tc>
          <w:tcPr>
            <w:tcW w:w="0" w:type="auto"/>
            <w:gridSpan w:val="3"/>
            <w:shd w:val="clear" w:color="auto" w:fill="auto"/>
            <w:vAlign w:val="bottom"/>
          </w:tcPr>
          <w:p w14:paraId="1860088C" w14:textId="77777777" w:rsidR="00A91885" w:rsidRDefault="00A91885">
            <w:pPr>
              <w:rPr>
                <w:rFonts w:ascii="宋体"/>
                <w:vanish/>
              </w:rPr>
            </w:pPr>
          </w:p>
        </w:tc>
        <w:tc>
          <w:tcPr>
            <w:tcW w:w="0" w:type="auto"/>
            <w:gridSpan w:val="3"/>
            <w:shd w:val="clear" w:color="auto" w:fill="auto"/>
            <w:vAlign w:val="bottom"/>
          </w:tcPr>
          <w:p w14:paraId="1860088D" w14:textId="77777777" w:rsidR="00A91885" w:rsidRDefault="00A91885">
            <w:pPr>
              <w:rPr>
                <w:rFonts w:ascii="宋体"/>
                <w:vanish/>
              </w:rPr>
            </w:pPr>
          </w:p>
        </w:tc>
        <w:tc>
          <w:tcPr>
            <w:tcW w:w="0" w:type="auto"/>
            <w:gridSpan w:val="3"/>
            <w:shd w:val="clear" w:color="auto" w:fill="auto"/>
            <w:vAlign w:val="bottom"/>
          </w:tcPr>
          <w:p w14:paraId="1860088E" w14:textId="77777777" w:rsidR="00A91885" w:rsidRDefault="00A91885">
            <w:pPr>
              <w:rPr>
                <w:rFonts w:ascii="宋体"/>
                <w:vanish/>
              </w:rPr>
            </w:pPr>
          </w:p>
        </w:tc>
        <w:tc>
          <w:tcPr>
            <w:tcW w:w="0" w:type="auto"/>
            <w:gridSpan w:val="3"/>
            <w:shd w:val="clear" w:color="auto" w:fill="auto"/>
            <w:vAlign w:val="bottom"/>
          </w:tcPr>
          <w:p w14:paraId="1860088F" w14:textId="77777777" w:rsidR="00A91885" w:rsidRDefault="00A91885">
            <w:pPr>
              <w:rPr>
                <w:rFonts w:ascii="宋体"/>
                <w:vanish/>
              </w:rPr>
            </w:pPr>
          </w:p>
        </w:tc>
        <w:tc>
          <w:tcPr>
            <w:tcW w:w="0" w:type="auto"/>
            <w:gridSpan w:val="3"/>
            <w:shd w:val="clear" w:color="auto" w:fill="auto"/>
            <w:vAlign w:val="bottom"/>
          </w:tcPr>
          <w:p w14:paraId="18600890" w14:textId="77777777" w:rsidR="00A91885" w:rsidRDefault="00A91885">
            <w:pPr>
              <w:rPr>
                <w:rFonts w:ascii="宋体"/>
                <w:vanish/>
              </w:rPr>
            </w:pPr>
          </w:p>
        </w:tc>
      </w:tr>
      <w:tr w:rsidR="00A91885" w14:paraId="1860089E" w14:textId="77777777">
        <w:tc>
          <w:tcPr>
            <w:tcW w:w="0" w:type="auto"/>
            <w:gridSpan w:val="3"/>
            <w:shd w:val="clear" w:color="auto" w:fill="E2E2E2"/>
            <w:tcMar>
              <w:top w:w="40" w:type="dxa"/>
              <w:left w:w="500" w:type="dxa"/>
              <w:bottom w:w="40" w:type="dxa"/>
              <w:right w:w="20" w:type="dxa"/>
            </w:tcMar>
            <w:vAlign w:val="bottom"/>
          </w:tcPr>
          <w:p w14:paraId="18600892" w14:textId="77777777" w:rsidR="00A91885" w:rsidRDefault="009C4196">
            <w:pPr>
              <w:textAlignment w:val="bottom"/>
            </w:pPr>
            <w:r>
              <w:rPr>
                <w:rFonts w:ascii="Arial" w:eastAsia="宋体" w:hAnsi="Arial" w:cs="Arial"/>
                <w:color w:val="000000"/>
                <w:sz w:val="18"/>
                <w:szCs w:val="18"/>
              </w:rPr>
              <w:t>Equity investments with readily determinable fair values</w:t>
            </w:r>
          </w:p>
        </w:tc>
        <w:tc>
          <w:tcPr>
            <w:tcW w:w="0" w:type="auto"/>
            <w:gridSpan w:val="2"/>
            <w:shd w:val="clear" w:color="auto" w:fill="E2E2E2"/>
            <w:tcMar>
              <w:top w:w="40" w:type="dxa"/>
              <w:left w:w="20" w:type="dxa"/>
              <w:bottom w:w="40" w:type="dxa"/>
              <w:right w:w="0" w:type="dxa"/>
            </w:tcMar>
            <w:vAlign w:val="bottom"/>
          </w:tcPr>
          <w:p w14:paraId="18600893" w14:textId="77777777" w:rsidR="00A91885" w:rsidRDefault="009C4196">
            <w:pPr>
              <w:jc w:val="right"/>
              <w:textAlignment w:val="bottom"/>
            </w:pPr>
            <w:r>
              <w:rPr>
                <w:rFonts w:ascii="Arial" w:eastAsia="宋体" w:hAnsi="Arial" w:cs="Arial"/>
                <w:color w:val="000000"/>
                <w:sz w:val="18"/>
                <w:szCs w:val="18"/>
              </w:rPr>
              <w:t>222 </w:t>
            </w:r>
          </w:p>
        </w:tc>
        <w:tc>
          <w:tcPr>
            <w:tcW w:w="0" w:type="auto"/>
            <w:shd w:val="clear" w:color="auto" w:fill="E2E2E2"/>
            <w:tcMar>
              <w:top w:w="40" w:type="dxa"/>
              <w:left w:w="0" w:type="dxa"/>
              <w:bottom w:w="40" w:type="dxa"/>
              <w:right w:w="20" w:type="dxa"/>
            </w:tcMar>
            <w:vAlign w:val="bottom"/>
          </w:tcPr>
          <w:p w14:paraId="1860089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89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896" w14:textId="77777777" w:rsidR="00A91885" w:rsidRDefault="009C4196">
            <w:pPr>
              <w:jc w:val="right"/>
              <w:textAlignment w:val="bottom"/>
            </w:pPr>
            <w:r>
              <w:rPr>
                <w:rFonts w:ascii="Arial" w:eastAsia="宋体" w:hAnsi="Arial" w:cs="Arial"/>
                <w:color w:val="000000"/>
                <w:sz w:val="18"/>
                <w:szCs w:val="18"/>
              </w:rPr>
              <w:t>222 </w:t>
            </w:r>
          </w:p>
        </w:tc>
        <w:tc>
          <w:tcPr>
            <w:tcW w:w="0" w:type="auto"/>
            <w:shd w:val="clear" w:color="auto" w:fill="E2E2E2"/>
            <w:tcMar>
              <w:top w:w="40" w:type="dxa"/>
              <w:left w:w="0" w:type="dxa"/>
              <w:bottom w:w="40" w:type="dxa"/>
              <w:right w:w="20" w:type="dxa"/>
            </w:tcMar>
            <w:vAlign w:val="bottom"/>
          </w:tcPr>
          <w:p w14:paraId="1860089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89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89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89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89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89C"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89D" w14:textId="77777777" w:rsidR="00A91885" w:rsidRDefault="00A91885">
            <w:pPr>
              <w:jc w:val="right"/>
              <w:rPr>
                <w:rFonts w:ascii="宋体"/>
              </w:rPr>
            </w:pPr>
          </w:p>
        </w:tc>
      </w:tr>
      <w:tr w:rsidR="00A91885" w14:paraId="186008AB" w14:textId="77777777">
        <w:tc>
          <w:tcPr>
            <w:tcW w:w="0" w:type="auto"/>
            <w:gridSpan w:val="3"/>
            <w:shd w:val="clear" w:color="auto" w:fill="FFFFFF"/>
            <w:tcMar>
              <w:top w:w="40" w:type="dxa"/>
              <w:left w:w="245" w:type="dxa"/>
              <w:bottom w:w="40" w:type="dxa"/>
              <w:right w:w="20" w:type="dxa"/>
            </w:tcMar>
            <w:vAlign w:val="bottom"/>
          </w:tcPr>
          <w:p w14:paraId="1860089F" w14:textId="77777777" w:rsidR="00A91885" w:rsidRDefault="009C4196">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8A0" w14:textId="77777777" w:rsidR="00A91885" w:rsidRDefault="009C4196">
            <w:pPr>
              <w:jc w:val="right"/>
              <w:textAlignment w:val="bottom"/>
            </w:pPr>
            <w:r>
              <w:rPr>
                <w:rFonts w:ascii="Arial" w:eastAsia="宋体" w:hAnsi="Arial" w:cs="Arial"/>
                <w:color w:val="000000"/>
                <w:sz w:val="18"/>
                <w:szCs w:val="18"/>
              </w:rPr>
              <w:t>1,483 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8A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A2"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8A3" w14:textId="77777777" w:rsidR="00A91885" w:rsidRDefault="009C4196">
            <w:pPr>
              <w:jc w:val="right"/>
              <w:textAlignment w:val="bottom"/>
            </w:pPr>
            <w:r>
              <w:rPr>
                <w:rFonts w:ascii="Arial" w:eastAsia="宋体" w:hAnsi="Arial" w:cs="Arial"/>
                <w:color w:val="000000"/>
                <w:sz w:val="18"/>
                <w:szCs w:val="18"/>
              </w:rPr>
              <w:t>248 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8A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A5"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8A6" w14:textId="77777777" w:rsidR="00A91885" w:rsidRDefault="009C4196">
            <w:pPr>
              <w:jc w:val="right"/>
              <w:textAlignment w:val="bottom"/>
            </w:pPr>
            <w:r>
              <w:rPr>
                <w:rFonts w:ascii="Arial" w:eastAsia="宋体" w:hAnsi="Arial" w:cs="Arial"/>
                <w:color w:val="000000"/>
                <w:sz w:val="18"/>
                <w:szCs w:val="18"/>
              </w:rPr>
              <w:t>1,235 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8A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A8"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8A9"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8AA" w14:textId="77777777" w:rsidR="00A91885" w:rsidRDefault="00A91885">
            <w:pPr>
              <w:jc w:val="right"/>
              <w:rPr>
                <w:rFonts w:ascii="宋体"/>
              </w:rPr>
            </w:pPr>
          </w:p>
        </w:tc>
      </w:tr>
      <w:tr w:rsidR="00A91885" w14:paraId="186008B8" w14:textId="77777777">
        <w:tc>
          <w:tcPr>
            <w:tcW w:w="0" w:type="auto"/>
            <w:gridSpan w:val="3"/>
            <w:shd w:val="clear" w:color="auto" w:fill="E2E2E2"/>
            <w:tcMar>
              <w:top w:w="40" w:type="dxa"/>
              <w:left w:w="245" w:type="dxa"/>
              <w:bottom w:w="40" w:type="dxa"/>
              <w:right w:w="20" w:type="dxa"/>
            </w:tcMar>
            <w:vAlign w:val="bottom"/>
          </w:tcPr>
          <w:p w14:paraId="186008AC" w14:textId="77777777" w:rsidR="00A91885" w:rsidRDefault="009C4196">
            <w:pPr>
              <w:textAlignment w:val="bottom"/>
            </w:pPr>
            <w:r>
              <w:rPr>
                <w:rFonts w:ascii="Arial" w:eastAsia="宋体" w:hAnsi="Arial" w:cs="Arial"/>
                <w:color w:val="000000"/>
                <w:sz w:val="18"/>
                <w:szCs w:val="18"/>
              </w:rPr>
              <w:t>Equity investment in Adevinta</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08AD" w14:textId="77777777" w:rsidR="00A91885" w:rsidRDefault="009C4196">
            <w:pPr>
              <w:jc w:val="right"/>
              <w:textAlignment w:val="bottom"/>
            </w:pPr>
            <w:r>
              <w:rPr>
                <w:rFonts w:ascii="Arial" w:eastAsia="宋体" w:hAnsi="Arial" w:cs="Arial"/>
                <w:color w:val="000000"/>
                <w:sz w:val="18"/>
                <w:szCs w:val="18"/>
              </w:rPr>
              <w:t>2,919 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8A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8AF"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08B0" w14:textId="77777777" w:rsidR="00A91885" w:rsidRDefault="009C4196">
            <w:pPr>
              <w:jc w:val="right"/>
              <w:textAlignment w:val="bottom"/>
            </w:pPr>
            <w:r>
              <w:rPr>
                <w:rFonts w:ascii="Arial" w:eastAsia="宋体" w:hAnsi="Arial" w:cs="Arial"/>
                <w:color w:val="000000"/>
                <w:sz w:val="18"/>
                <w:szCs w:val="18"/>
              </w:rPr>
              <w:t>2,919 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8B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8B2"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08B3"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8B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8B5"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08B6"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8B7" w14:textId="77777777" w:rsidR="00A91885" w:rsidRDefault="00A91885">
            <w:pPr>
              <w:jc w:val="right"/>
              <w:rPr>
                <w:rFonts w:ascii="宋体"/>
              </w:rPr>
            </w:pPr>
          </w:p>
        </w:tc>
      </w:tr>
      <w:tr w:rsidR="00A91885" w14:paraId="186008C1" w14:textId="77777777">
        <w:trPr>
          <w:hidden/>
        </w:trPr>
        <w:tc>
          <w:tcPr>
            <w:tcW w:w="0" w:type="auto"/>
            <w:gridSpan w:val="3"/>
            <w:shd w:val="clear" w:color="auto" w:fill="auto"/>
            <w:vAlign w:val="bottom"/>
          </w:tcPr>
          <w:p w14:paraId="186008B9" w14:textId="77777777" w:rsidR="00A91885" w:rsidRDefault="00A91885">
            <w:pPr>
              <w:rPr>
                <w:rFonts w:ascii="宋体"/>
                <w:vanish/>
              </w:rPr>
            </w:pPr>
          </w:p>
        </w:tc>
        <w:tc>
          <w:tcPr>
            <w:tcW w:w="0" w:type="auto"/>
            <w:gridSpan w:val="3"/>
            <w:shd w:val="clear" w:color="auto" w:fill="auto"/>
            <w:vAlign w:val="bottom"/>
          </w:tcPr>
          <w:p w14:paraId="186008BA" w14:textId="77777777" w:rsidR="00A91885" w:rsidRDefault="00A91885">
            <w:pPr>
              <w:rPr>
                <w:rFonts w:ascii="宋体"/>
                <w:vanish/>
              </w:rPr>
            </w:pPr>
          </w:p>
        </w:tc>
        <w:tc>
          <w:tcPr>
            <w:tcW w:w="0" w:type="auto"/>
            <w:gridSpan w:val="3"/>
            <w:shd w:val="clear" w:color="auto" w:fill="auto"/>
            <w:vAlign w:val="bottom"/>
          </w:tcPr>
          <w:p w14:paraId="186008BB" w14:textId="77777777" w:rsidR="00A91885" w:rsidRDefault="00A91885">
            <w:pPr>
              <w:rPr>
                <w:rFonts w:ascii="宋体"/>
                <w:vanish/>
              </w:rPr>
            </w:pPr>
          </w:p>
        </w:tc>
        <w:tc>
          <w:tcPr>
            <w:tcW w:w="0" w:type="auto"/>
            <w:gridSpan w:val="3"/>
            <w:shd w:val="clear" w:color="auto" w:fill="auto"/>
            <w:vAlign w:val="bottom"/>
          </w:tcPr>
          <w:p w14:paraId="186008BC" w14:textId="77777777" w:rsidR="00A91885" w:rsidRDefault="00A91885">
            <w:pPr>
              <w:rPr>
                <w:rFonts w:ascii="宋体"/>
                <w:vanish/>
              </w:rPr>
            </w:pPr>
          </w:p>
        </w:tc>
        <w:tc>
          <w:tcPr>
            <w:tcW w:w="0" w:type="auto"/>
            <w:gridSpan w:val="3"/>
            <w:shd w:val="clear" w:color="auto" w:fill="auto"/>
            <w:vAlign w:val="bottom"/>
          </w:tcPr>
          <w:p w14:paraId="186008BD" w14:textId="77777777" w:rsidR="00A91885" w:rsidRDefault="00A91885">
            <w:pPr>
              <w:rPr>
                <w:rFonts w:ascii="宋体"/>
                <w:vanish/>
              </w:rPr>
            </w:pPr>
          </w:p>
        </w:tc>
        <w:tc>
          <w:tcPr>
            <w:tcW w:w="0" w:type="auto"/>
            <w:gridSpan w:val="3"/>
            <w:shd w:val="clear" w:color="auto" w:fill="auto"/>
            <w:vAlign w:val="bottom"/>
          </w:tcPr>
          <w:p w14:paraId="186008BE" w14:textId="77777777" w:rsidR="00A91885" w:rsidRDefault="00A91885">
            <w:pPr>
              <w:rPr>
                <w:rFonts w:ascii="宋体"/>
                <w:vanish/>
              </w:rPr>
            </w:pPr>
          </w:p>
        </w:tc>
        <w:tc>
          <w:tcPr>
            <w:tcW w:w="0" w:type="auto"/>
            <w:gridSpan w:val="3"/>
            <w:shd w:val="clear" w:color="auto" w:fill="auto"/>
            <w:vAlign w:val="bottom"/>
          </w:tcPr>
          <w:p w14:paraId="186008BF" w14:textId="77777777" w:rsidR="00A91885" w:rsidRDefault="00A91885">
            <w:pPr>
              <w:rPr>
                <w:rFonts w:ascii="宋体"/>
                <w:vanish/>
              </w:rPr>
            </w:pPr>
          </w:p>
        </w:tc>
        <w:tc>
          <w:tcPr>
            <w:tcW w:w="0" w:type="auto"/>
            <w:gridSpan w:val="3"/>
            <w:shd w:val="clear" w:color="auto" w:fill="auto"/>
            <w:vAlign w:val="bottom"/>
          </w:tcPr>
          <w:p w14:paraId="186008C0" w14:textId="77777777" w:rsidR="00A91885" w:rsidRDefault="00A91885">
            <w:pPr>
              <w:rPr>
                <w:rFonts w:ascii="宋体"/>
                <w:vanish/>
              </w:rPr>
            </w:pPr>
          </w:p>
        </w:tc>
      </w:tr>
      <w:tr w:rsidR="00A91885" w14:paraId="186008CE" w14:textId="77777777">
        <w:tc>
          <w:tcPr>
            <w:tcW w:w="0" w:type="auto"/>
            <w:gridSpan w:val="3"/>
            <w:shd w:val="clear" w:color="auto" w:fill="FFFFFF"/>
            <w:tcMar>
              <w:top w:w="40" w:type="dxa"/>
              <w:left w:w="245" w:type="dxa"/>
              <w:bottom w:w="40" w:type="dxa"/>
              <w:right w:w="20" w:type="dxa"/>
            </w:tcMar>
            <w:vAlign w:val="bottom"/>
          </w:tcPr>
          <w:p w14:paraId="186008C2" w14:textId="77777777" w:rsidR="00A91885" w:rsidRDefault="009C4196">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8C3" w14:textId="77777777" w:rsidR="00A91885" w:rsidRDefault="009C4196">
            <w:pPr>
              <w:jc w:val="right"/>
              <w:textAlignment w:val="bottom"/>
            </w:pPr>
            <w:r>
              <w:rPr>
                <w:rFonts w:ascii="Arial" w:eastAsia="宋体" w:hAnsi="Arial" w:cs="Arial"/>
                <w:color w:val="000000"/>
                <w:sz w:val="18"/>
                <w:szCs w:val="18"/>
              </w:rPr>
              <w:t>454 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8C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C5"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8C6"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8C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C8"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8C9" w14:textId="77777777" w:rsidR="00A91885" w:rsidRDefault="009C4196">
            <w:pPr>
              <w:jc w:val="right"/>
              <w:textAlignment w:val="bottom"/>
            </w:pPr>
            <w:r>
              <w:rPr>
                <w:rFonts w:ascii="Arial" w:eastAsia="宋体" w:hAnsi="Arial" w:cs="Arial"/>
                <w:color w:val="000000"/>
                <w:sz w:val="18"/>
                <w:szCs w:val="18"/>
              </w:rPr>
              <w:t>229 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8C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CB"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8CC" w14:textId="77777777" w:rsidR="00A91885" w:rsidRDefault="009C4196">
            <w:pPr>
              <w:jc w:val="right"/>
              <w:textAlignment w:val="bottom"/>
            </w:pPr>
            <w:r>
              <w:rPr>
                <w:rFonts w:ascii="Arial" w:eastAsia="宋体" w:hAnsi="Arial" w:cs="Arial"/>
                <w:color w:val="000000"/>
                <w:sz w:val="18"/>
                <w:szCs w:val="18"/>
              </w:rPr>
              <w:t>225 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8CD" w14:textId="77777777" w:rsidR="00A91885" w:rsidRDefault="00A91885">
            <w:pPr>
              <w:jc w:val="right"/>
              <w:rPr>
                <w:rFonts w:ascii="宋体"/>
              </w:rPr>
            </w:pPr>
          </w:p>
        </w:tc>
      </w:tr>
      <w:tr w:rsidR="00A91885" w14:paraId="186008D7" w14:textId="77777777">
        <w:tc>
          <w:tcPr>
            <w:tcW w:w="0" w:type="auto"/>
            <w:gridSpan w:val="3"/>
            <w:shd w:val="clear" w:color="auto" w:fill="E2E2E2"/>
            <w:tcMar>
              <w:top w:w="40" w:type="dxa"/>
              <w:left w:w="245" w:type="dxa"/>
              <w:bottom w:w="40" w:type="dxa"/>
              <w:right w:w="20" w:type="dxa"/>
            </w:tcMar>
            <w:vAlign w:val="bottom"/>
          </w:tcPr>
          <w:p w14:paraId="186008CF" w14:textId="77777777" w:rsidR="00A91885" w:rsidRDefault="009C4196">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8D0"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8D1"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8D2"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8D3"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8D4"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8D5"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8D6" w14:textId="77777777" w:rsidR="00A91885" w:rsidRDefault="00A91885">
            <w:pPr>
              <w:rPr>
                <w:rFonts w:ascii="宋体"/>
              </w:rPr>
            </w:pPr>
          </w:p>
        </w:tc>
      </w:tr>
      <w:tr w:rsidR="00A91885" w14:paraId="186008E4" w14:textId="77777777">
        <w:tc>
          <w:tcPr>
            <w:tcW w:w="0" w:type="auto"/>
            <w:gridSpan w:val="3"/>
            <w:shd w:val="clear" w:color="auto" w:fill="FFFFFF"/>
            <w:tcMar>
              <w:top w:w="40" w:type="dxa"/>
              <w:left w:w="500" w:type="dxa"/>
              <w:bottom w:w="40" w:type="dxa"/>
              <w:right w:w="20" w:type="dxa"/>
            </w:tcMar>
            <w:vAlign w:val="bottom"/>
          </w:tcPr>
          <w:p w14:paraId="186008D8" w14:textId="77777777" w:rsidR="00A91885" w:rsidRDefault="009C4196">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186008D9" w14:textId="77777777" w:rsidR="00A91885" w:rsidRDefault="009C4196">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186008D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D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8DC" w14:textId="77777777" w:rsidR="00A91885" w:rsidRDefault="009C4196">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186008D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D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8DF"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8E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E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8E2"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8E3" w14:textId="77777777" w:rsidR="00A91885" w:rsidRDefault="00A91885">
            <w:pPr>
              <w:jc w:val="right"/>
              <w:rPr>
                <w:rFonts w:ascii="宋体"/>
              </w:rPr>
            </w:pPr>
          </w:p>
        </w:tc>
      </w:tr>
      <w:tr w:rsidR="00A91885" w14:paraId="186008F1" w14:textId="77777777">
        <w:tc>
          <w:tcPr>
            <w:tcW w:w="0" w:type="auto"/>
            <w:gridSpan w:val="3"/>
            <w:shd w:val="clear" w:color="auto" w:fill="E2E2E2"/>
            <w:tcMar>
              <w:top w:w="40" w:type="dxa"/>
              <w:left w:w="500" w:type="dxa"/>
              <w:bottom w:w="40" w:type="dxa"/>
              <w:right w:w="20" w:type="dxa"/>
            </w:tcMar>
            <w:vAlign w:val="bottom"/>
          </w:tcPr>
          <w:p w14:paraId="186008E5" w14:textId="77777777" w:rsidR="00A91885" w:rsidRDefault="009C4196">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186008E6" w14:textId="77777777" w:rsidR="00A91885" w:rsidRDefault="009C4196">
            <w:pPr>
              <w:jc w:val="right"/>
              <w:textAlignment w:val="bottom"/>
            </w:pPr>
            <w:r>
              <w:rPr>
                <w:rFonts w:ascii="Arial" w:eastAsia="宋体" w:hAnsi="Arial" w:cs="Arial"/>
                <w:color w:val="000000"/>
                <w:sz w:val="18"/>
                <w:szCs w:val="18"/>
              </w:rPr>
              <w:t>767 </w:t>
            </w:r>
          </w:p>
        </w:tc>
        <w:tc>
          <w:tcPr>
            <w:tcW w:w="0" w:type="auto"/>
            <w:shd w:val="clear" w:color="auto" w:fill="E2E2E2"/>
            <w:tcMar>
              <w:top w:w="40" w:type="dxa"/>
              <w:left w:w="0" w:type="dxa"/>
              <w:bottom w:w="40" w:type="dxa"/>
              <w:right w:w="20" w:type="dxa"/>
            </w:tcMar>
            <w:vAlign w:val="bottom"/>
          </w:tcPr>
          <w:p w14:paraId="186008E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8E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8E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8E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8E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8EC" w14:textId="77777777" w:rsidR="00A91885" w:rsidRDefault="009C4196">
            <w:pPr>
              <w:jc w:val="right"/>
              <w:textAlignment w:val="bottom"/>
            </w:pPr>
            <w:r>
              <w:rPr>
                <w:rFonts w:ascii="Arial" w:eastAsia="宋体" w:hAnsi="Arial" w:cs="Arial"/>
                <w:color w:val="000000"/>
                <w:sz w:val="18"/>
                <w:szCs w:val="18"/>
              </w:rPr>
              <w:t>767 </w:t>
            </w:r>
          </w:p>
        </w:tc>
        <w:tc>
          <w:tcPr>
            <w:tcW w:w="0" w:type="auto"/>
            <w:shd w:val="clear" w:color="auto" w:fill="E2E2E2"/>
            <w:tcMar>
              <w:top w:w="40" w:type="dxa"/>
              <w:left w:w="0" w:type="dxa"/>
              <w:bottom w:w="40" w:type="dxa"/>
              <w:right w:w="20" w:type="dxa"/>
            </w:tcMar>
            <w:vAlign w:val="bottom"/>
          </w:tcPr>
          <w:p w14:paraId="186008E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8E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8EF"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8F0" w14:textId="77777777" w:rsidR="00A91885" w:rsidRDefault="00A91885">
            <w:pPr>
              <w:jc w:val="right"/>
              <w:rPr>
                <w:rFonts w:ascii="宋体"/>
              </w:rPr>
            </w:pPr>
          </w:p>
        </w:tc>
      </w:tr>
      <w:tr w:rsidR="00A91885" w14:paraId="186008FE" w14:textId="77777777">
        <w:tc>
          <w:tcPr>
            <w:tcW w:w="0" w:type="auto"/>
            <w:gridSpan w:val="3"/>
            <w:shd w:val="clear" w:color="auto" w:fill="FFFFFF"/>
            <w:tcMar>
              <w:top w:w="40" w:type="dxa"/>
              <w:left w:w="500" w:type="dxa"/>
              <w:bottom w:w="40" w:type="dxa"/>
              <w:right w:w="20" w:type="dxa"/>
            </w:tcMar>
            <w:vAlign w:val="bottom"/>
          </w:tcPr>
          <w:p w14:paraId="186008F2" w14:textId="77777777" w:rsidR="00A91885" w:rsidRDefault="009C4196">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186008F3" w14:textId="77777777" w:rsidR="00A91885" w:rsidRDefault="009C4196">
            <w:pPr>
              <w:jc w:val="right"/>
              <w:textAlignment w:val="bottom"/>
            </w:pPr>
            <w:r>
              <w:rPr>
                <w:rFonts w:ascii="Arial" w:eastAsia="宋体" w:hAnsi="Arial" w:cs="Arial"/>
                <w:color w:val="000000"/>
                <w:sz w:val="18"/>
                <w:szCs w:val="18"/>
              </w:rPr>
              <w:t>762 </w:t>
            </w:r>
          </w:p>
        </w:tc>
        <w:tc>
          <w:tcPr>
            <w:tcW w:w="0" w:type="auto"/>
            <w:shd w:val="clear" w:color="auto" w:fill="FFFFFF"/>
            <w:tcMar>
              <w:top w:w="40" w:type="dxa"/>
              <w:left w:w="0" w:type="dxa"/>
              <w:bottom w:w="40" w:type="dxa"/>
              <w:right w:w="20" w:type="dxa"/>
            </w:tcMar>
            <w:vAlign w:val="bottom"/>
          </w:tcPr>
          <w:p w14:paraId="186008F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F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8F6"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8F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F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8F9" w14:textId="77777777" w:rsidR="00A91885" w:rsidRDefault="009C4196">
            <w:pPr>
              <w:jc w:val="right"/>
              <w:textAlignment w:val="bottom"/>
            </w:pPr>
            <w:r>
              <w:rPr>
                <w:rFonts w:ascii="Arial" w:eastAsia="宋体" w:hAnsi="Arial" w:cs="Arial"/>
                <w:color w:val="000000"/>
                <w:sz w:val="18"/>
                <w:szCs w:val="18"/>
              </w:rPr>
              <w:t>762 </w:t>
            </w:r>
          </w:p>
        </w:tc>
        <w:tc>
          <w:tcPr>
            <w:tcW w:w="0" w:type="auto"/>
            <w:shd w:val="clear" w:color="auto" w:fill="FFFFFF"/>
            <w:tcMar>
              <w:top w:w="40" w:type="dxa"/>
              <w:left w:w="0" w:type="dxa"/>
              <w:bottom w:w="40" w:type="dxa"/>
              <w:right w:w="20" w:type="dxa"/>
            </w:tcMar>
            <w:vAlign w:val="bottom"/>
          </w:tcPr>
          <w:p w14:paraId="186008F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8F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8FC"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8FD" w14:textId="77777777" w:rsidR="00A91885" w:rsidRDefault="00A91885">
            <w:pPr>
              <w:jc w:val="right"/>
              <w:rPr>
                <w:rFonts w:ascii="宋体"/>
              </w:rPr>
            </w:pPr>
          </w:p>
        </w:tc>
      </w:tr>
      <w:tr w:rsidR="00A91885" w14:paraId="1860090B" w14:textId="77777777">
        <w:tc>
          <w:tcPr>
            <w:tcW w:w="0" w:type="auto"/>
            <w:gridSpan w:val="3"/>
            <w:shd w:val="clear" w:color="auto" w:fill="E2E2E2"/>
            <w:tcMar>
              <w:top w:w="40" w:type="dxa"/>
              <w:left w:w="245" w:type="dxa"/>
              <w:bottom w:w="40" w:type="dxa"/>
              <w:right w:w="20" w:type="dxa"/>
            </w:tcMar>
            <w:vAlign w:val="bottom"/>
          </w:tcPr>
          <w:p w14:paraId="186008FF" w14:textId="77777777" w:rsidR="00A91885" w:rsidRDefault="009C4196">
            <w:pPr>
              <w:textAlignment w:val="bottom"/>
            </w:pPr>
            <w:r>
              <w:rPr>
                <w:rFonts w:ascii="Arial" w:eastAsia="宋体" w:hAnsi="Arial" w:cs="Arial"/>
                <w:color w:val="000000"/>
                <w:sz w:val="18"/>
                <w:szCs w:val="18"/>
              </w:rPr>
              <w:t>Equity investment under the fair value option</w:t>
            </w:r>
          </w:p>
        </w:tc>
        <w:tc>
          <w:tcPr>
            <w:tcW w:w="0" w:type="auto"/>
            <w:gridSpan w:val="2"/>
            <w:shd w:val="clear" w:color="auto" w:fill="E2E2E2"/>
            <w:tcMar>
              <w:top w:w="40" w:type="dxa"/>
              <w:left w:w="20" w:type="dxa"/>
              <w:bottom w:w="40" w:type="dxa"/>
              <w:right w:w="0" w:type="dxa"/>
            </w:tcMar>
            <w:vAlign w:val="bottom"/>
          </w:tcPr>
          <w:p w14:paraId="18600900" w14:textId="77777777" w:rsidR="00A91885" w:rsidRDefault="009C4196">
            <w:pPr>
              <w:jc w:val="right"/>
              <w:textAlignment w:val="bottom"/>
            </w:pPr>
            <w:r>
              <w:rPr>
                <w:rFonts w:ascii="Arial" w:eastAsia="宋体" w:hAnsi="Arial" w:cs="Arial"/>
                <w:color w:val="000000"/>
                <w:sz w:val="18"/>
                <w:szCs w:val="18"/>
              </w:rPr>
              <w:t>466 </w:t>
            </w:r>
          </w:p>
        </w:tc>
        <w:tc>
          <w:tcPr>
            <w:tcW w:w="0" w:type="auto"/>
            <w:shd w:val="clear" w:color="auto" w:fill="E2E2E2"/>
            <w:tcMar>
              <w:top w:w="40" w:type="dxa"/>
              <w:left w:w="0" w:type="dxa"/>
              <w:bottom w:w="40" w:type="dxa"/>
              <w:right w:w="20" w:type="dxa"/>
            </w:tcMar>
            <w:vAlign w:val="bottom"/>
          </w:tcPr>
          <w:p w14:paraId="1860090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902"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903"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90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90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906"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90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90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909" w14:textId="77777777" w:rsidR="00A91885" w:rsidRDefault="009C4196">
            <w:pPr>
              <w:jc w:val="right"/>
              <w:textAlignment w:val="bottom"/>
            </w:pPr>
            <w:r>
              <w:rPr>
                <w:rFonts w:ascii="Arial" w:eastAsia="宋体" w:hAnsi="Arial" w:cs="Arial"/>
                <w:color w:val="000000"/>
                <w:sz w:val="18"/>
                <w:szCs w:val="18"/>
              </w:rPr>
              <w:t>466 </w:t>
            </w:r>
          </w:p>
        </w:tc>
        <w:tc>
          <w:tcPr>
            <w:tcW w:w="0" w:type="auto"/>
            <w:shd w:val="clear" w:color="auto" w:fill="E2E2E2"/>
            <w:tcMar>
              <w:top w:w="40" w:type="dxa"/>
              <w:left w:w="0" w:type="dxa"/>
              <w:bottom w:w="40" w:type="dxa"/>
              <w:right w:w="20" w:type="dxa"/>
            </w:tcMar>
            <w:vAlign w:val="bottom"/>
          </w:tcPr>
          <w:p w14:paraId="1860090A" w14:textId="77777777" w:rsidR="00A91885" w:rsidRDefault="00A91885">
            <w:pPr>
              <w:jc w:val="right"/>
              <w:rPr>
                <w:rFonts w:ascii="宋体"/>
              </w:rPr>
            </w:pPr>
          </w:p>
        </w:tc>
      </w:tr>
      <w:tr w:rsidR="00A91885" w14:paraId="18600918" w14:textId="77777777">
        <w:tc>
          <w:tcPr>
            <w:tcW w:w="0" w:type="auto"/>
            <w:gridSpan w:val="3"/>
            <w:shd w:val="clear" w:color="auto" w:fill="FFFFFF"/>
            <w:tcMar>
              <w:top w:w="40" w:type="dxa"/>
              <w:left w:w="245" w:type="dxa"/>
              <w:bottom w:w="40" w:type="dxa"/>
              <w:right w:w="20" w:type="dxa"/>
            </w:tcMar>
            <w:vAlign w:val="bottom"/>
          </w:tcPr>
          <w:p w14:paraId="1860090C" w14:textId="77777777" w:rsidR="00A91885" w:rsidRDefault="009C4196">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90D" w14:textId="77777777" w:rsidR="00A91885" w:rsidRDefault="009C4196">
            <w:pPr>
              <w:jc w:val="right"/>
              <w:textAlignment w:val="bottom"/>
            </w:pPr>
            <w:r>
              <w:rPr>
                <w:rFonts w:ascii="Arial" w:eastAsia="宋体" w:hAnsi="Arial" w:cs="Arial"/>
                <w:color w:val="000000"/>
                <w:sz w:val="18"/>
                <w:szCs w:val="18"/>
              </w:rPr>
              <w:t>1,999 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90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0F"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910" w14:textId="77777777" w:rsidR="00A91885" w:rsidRDefault="009C4196">
            <w:pPr>
              <w:jc w:val="right"/>
              <w:textAlignment w:val="bottom"/>
            </w:pPr>
            <w:r>
              <w:rPr>
                <w:rFonts w:ascii="Arial" w:eastAsia="宋体" w:hAnsi="Arial" w:cs="Arial"/>
                <w:color w:val="000000"/>
                <w:sz w:val="18"/>
                <w:szCs w:val="18"/>
              </w:rPr>
              <w:t>4 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91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12"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913" w14:textId="77777777" w:rsidR="00A91885" w:rsidRDefault="009C4196">
            <w:pPr>
              <w:jc w:val="right"/>
              <w:textAlignment w:val="bottom"/>
            </w:pPr>
            <w:r>
              <w:rPr>
                <w:rFonts w:ascii="Arial" w:eastAsia="宋体" w:hAnsi="Arial" w:cs="Arial"/>
                <w:color w:val="000000"/>
                <w:sz w:val="18"/>
                <w:szCs w:val="18"/>
              </w:rPr>
              <w:t>1,529 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91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15"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916" w14:textId="77777777" w:rsidR="00A91885" w:rsidRDefault="009C4196">
            <w:pPr>
              <w:jc w:val="right"/>
              <w:textAlignment w:val="bottom"/>
            </w:pPr>
            <w:r>
              <w:rPr>
                <w:rFonts w:ascii="Arial" w:eastAsia="宋体" w:hAnsi="Arial" w:cs="Arial"/>
                <w:color w:val="000000"/>
                <w:sz w:val="18"/>
                <w:szCs w:val="18"/>
              </w:rPr>
              <w:t>466 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917" w14:textId="77777777" w:rsidR="00A91885" w:rsidRDefault="00A91885">
            <w:pPr>
              <w:jc w:val="right"/>
              <w:rPr>
                <w:rFonts w:ascii="宋体"/>
              </w:rPr>
            </w:pPr>
          </w:p>
        </w:tc>
      </w:tr>
      <w:tr w:rsidR="00A91885" w14:paraId="18600929" w14:textId="77777777">
        <w:tc>
          <w:tcPr>
            <w:tcW w:w="0" w:type="auto"/>
            <w:gridSpan w:val="3"/>
            <w:shd w:val="clear" w:color="auto" w:fill="E2E2E2"/>
            <w:tcMar>
              <w:top w:w="40" w:type="dxa"/>
              <w:left w:w="245" w:type="dxa"/>
              <w:bottom w:w="40" w:type="dxa"/>
              <w:right w:w="20" w:type="dxa"/>
            </w:tcMar>
            <w:vAlign w:val="bottom"/>
          </w:tcPr>
          <w:p w14:paraId="18600919" w14:textId="77777777" w:rsidR="00A91885" w:rsidRDefault="009C4196">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091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91B" w14:textId="77777777" w:rsidR="00A91885" w:rsidRDefault="009C4196">
            <w:pPr>
              <w:jc w:val="right"/>
              <w:textAlignment w:val="bottom"/>
            </w:pPr>
            <w:r>
              <w:rPr>
                <w:rFonts w:ascii="Arial" w:eastAsia="宋体" w:hAnsi="Arial" w:cs="Arial"/>
                <w:color w:val="000000"/>
                <w:sz w:val="18"/>
                <w:szCs w:val="18"/>
              </w:rPr>
              <w:t>8,597 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91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91D"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91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91F" w14:textId="77777777" w:rsidR="00A91885" w:rsidRDefault="009C4196">
            <w:pPr>
              <w:jc w:val="right"/>
              <w:textAlignment w:val="bottom"/>
            </w:pPr>
            <w:r>
              <w:rPr>
                <w:rFonts w:ascii="Arial" w:eastAsia="宋体" w:hAnsi="Arial" w:cs="Arial"/>
                <w:color w:val="000000"/>
                <w:sz w:val="18"/>
                <w:szCs w:val="18"/>
              </w:rPr>
              <w:t>4,913 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92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921"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92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923" w14:textId="77777777" w:rsidR="00A91885" w:rsidRDefault="009C4196">
            <w:pPr>
              <w:jc w:val="right"/>
              <w:textAlignment w:val="bottom"/>
            </w:pPr>
            <w:r>
              <w:rPr>
                <w:rFonts w:ascii="Arial" w:eastAsia="宋体" w:hAnsi="Arial" w:cs="Arial"/>
                <w:color w:val="000000"/>
                <w:sz w:val="18"/>
                <w:szCs w:val="18"/>
              </w:rPr>
              <w:t>2,993 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92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925"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92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927" w14:textId="77777777" w:rsidR="00A91885" w:rsidRDefault="009C4196">
            <w:pPr>
              <w:jc w:val="right"/>
              <w:textAlignment w:val="bottom"/>
            </w:pPr>
            <w:r>
              <w:rPr>
                <w:rFonts w:ascii="Arial" w:eastAsia="宋体" w:hAnsi="Arial" w:cs="Arial"/>
                <w:color w:val="000000"/>
                <w:sz w:val="18"/>
                <w:szCs w:val="18"/>
              </w:rPr>
              <w:t>691 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928" w14:textId="77777777" w:rsidR="00A91885" w:rsidRDefault="00A91885">
            <w:pPr>
              <w:jc w:val="right"/>
              <w:rPr>
                <w:rFonts w:ascii="宋体"/>
              </w:rPr>
            </w:pPr>
          </w:p>
        </w:tc>
      </w:tr>
      <w:tr w:rsidR="00A91885" w14:paraId="18600932" w14:textId="77777777">
        <w:trPr>
          <w:trHeight w:val="280"/>
        </w:trPr>
        <w:tc>
          <w:tcPr>
            <w:tcW w:w="0" w:type="auto"/>
            <w:gridSpan w:val="3"/>
            <w:shd w:val="clear" w:color="auto" w:fill="FFFFFF"/>
            <w:tcMar>
              <w:top w:w="0" w:type="dxa"/>
              <w:left w:w="20" w:type="dxa"/>
              <w:bottom w:w="0" w:type="dxa"/>
              <w:right w:w="20" w:type="dxa"/>
            </w:tcMar>
            <w:vAlign w:val="bottom"/>
          </w:tcPr>
          <w:p w14:paraId="1860092A"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60092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92C"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60092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92E"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60092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930" w14:textId="77777777" w:rsidR="00A91885" w:rsidRDefault="00A91885">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18600931" w14:textId="77777777" w:rsidR="00A91885" w:rsidRDefault="00A91885">
            <w:pPr>
              <w:rPr>
                <w:rFonts w:ascii="宋体"/>
              </w:rPr>
            </w:pPr>
          </w:p>
        </w:tc>
      </w:tr>
      <w:tr w:rsidR="00A91885" w14:paraId="1860093B" w14:textId="77777777">
        <w:tc>
          <w:tcPr>
            <w:tcW w:w="0" w:type="auto"/>
            <w:gridSpan w:val="3"/>
            <w:shd w:val="clear" w:color="auto" w:fill="E2E2E2"/>
            <w:tcMar>
              <w:top w:w="40" w:type="dxa"/>
              <w:left w:w="20" w:type="dxa"/>
              <w:bottom w:w="40" w:type="dxa"/>
              <w:right w:w="20" w:type="dxa"/>
            </w:tcMar>
            <w:vAlign w:val="bottom"/>
          </w:tcPr>
          <w:p w14:paraId="18600933" w14:textId="77777777" w:rsidR="00A91885" w:rsidRDefault="009C4196">
            <w:pPr>
              <w:textAlignment w:val="bottom"/>
            </w:pPr>
            <w:r>
              <w:rPr>
                <w:rFonts w:ascii="Arial" w:eastAsia="宋体" w:hAnsi="Arial" w:cs="Arial"/>
                <w:b/>
                <w:bCs/>
                <w:i/>
                <w:iCs/>
                <w:color w:val="000000"/>
                <w:sz w:val="18"/>
                <w:szCs w:val="18"/>
              </w:rPr>
              <w:t>Liabilities:</w:t>
            </w:r>
          </w:p>
        </w:tc>
        <w:tc>
          <w:tcPr>
            <w:tcW w:w="0" w:type="auto"/>
            <w:gridSpan w:val="3"/>
            <w:shd w:val="clear" w:color="auto" w:fill="E2E2E2"/>
            <w:tcMar>
              <w:top w:w="0" w:type="dxa"/>
              <w:left w:w="20" w:type="dxa"/>
              <w:bottom w:w="0" w:type="dxa"/>
              <w:right w:w="20" w:type="dxa"/>
            </w:tcMar>
            <w:vAlign w:val="bottom"/>
          </w:tcPr>
          <w:p w14:paraId="18600934"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935"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936"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937"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938"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939"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93A" w14:textId="77777777" w:rsidR="00A91885" w:rsidRDefault="00A91885">
            <w:pPr>
              <w:rPr>
                <w:rFonts w:ascii="宋体"/>
              </w:rPr>
            </w:pPr>
          </w:p>
        </w:tc>
      </w:tr>
      <w:tr w:rsidR="00A91885" w14:paraId="1860094C" w14:textId="77777777">
        <w:tc>
          <w:tcPr>
            <w:tcW w:w="0" w:type="auto"/>
            <w:gridSpan w:val="3"/>
            <w:shd w:val="clear" w:color="auto" w:fill="FFFFFF"/>
            <w:tcMar>
              <w:top w:w="40" w:type="dxa"/>
              <w:left w:w="245" w:type="dxa"/>
              <w:bottom w:w="40" w:type="dxa"/>
              <w:right w:w="20" w:type="dxa"/>
            </w:tcMar>
            <w:vAlign w:val="bottom"/>
          </w:tcPr>
          <w:p w14:paraId="1860093C" w14:textId="77777777" w:rsidR="00A91885" w:rsidRDefault="009C4196">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FFFFFF"/>
            <w:tcMar>
              <w:top w:w="40" w:type="dxa"/>
              <w:left w:w="20" w:type="dxa"/>
              <w:bottom w:w="40" w:type="dxa"/>
              <w:right w:w="0" w:type="dxa"/>
            </w:tcMar>
            <w:vAlign w:val="bottom"/>
          </w:tcPr>
          <w:p w14:paraId="1860093D" w14:textId="77777777" w:rsidR="00A91885" w:rsidRDefault="009C4196">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1860093E" w14:textId="77777777" w:rsidR="00A91885" w:rsidRDefault="009C4196">
            <w:pPr>
              <w:jc w:val="right"/>
              <w:textAlignment w:val="bottom"/>
            </w:pPr>
            <w:r>
              <w:rPr>
                <w:rFonts w:ascii="Arial" w:eastAsia="宋体" w:hAnsi="Arial" w:cs="Arial"/>
                <w:color w:val="000000"/>
                <w:sz w:val="18"/>
                <w:szCs w:val="18"/>
              </w:rPr>
              <w:t>36 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1860093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40" w14:textId="77777777" w:rsidR="00A91885" w:rsidRDefault="00A91885">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18600941" w14:textId="77777777" w:rsidR="00A91885" w:rsidRDefault="009C4196">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18600942" w14:textId="77777777" w:rsidR="00A91885" w:rsidRDefault="009C4196">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1860094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44" w14:textId="77777777" w:rsidR="00A91885" w:rsidRDefault="00A91885">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18600945" w14:textId="77777777" w:rsidR="00A91885" w:rsidRDefault="009C4196">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18600946" w14:textId="77777777" w:rsidR="00A91885" w:rsidRDefault="009C4196">
            <w:pPr>
              <w:jc w:val="right"/>
              <w:textAlignment w:val="bottom"/>
            </w:pPr>
            <w:r>
              <w:rPr>
                <w:rFonts w:ascii="Arial" w:eastAsia="宋体" w:hAnsi="Arial" w:cs="Arial"/>
                <w:color w:val="000000"/>
                <w:sz w:val="18"/>
                <w:szCs w:val="18"/>
              </w:rPr>
              <w:t>36 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1860094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48" w14:textId="77777777" w:rsidR="00A91885" w:rsidRDefault="00A91885">
            <w:pPr>
              <w:rPr>
                <w:rFonts w:ascii="宋体"/>
              </w:rPr>
            </w:pPr>
          </w:p>
        </w:tc>
        <w:tc>
          <w:tcPr>
            <w:tcW w:w="0" w:type="auto"/>
            <w:tcBorders>
              <w:bottom w:val="double" w:sz="6" w:space="0" w:color="000000"/>
            </w:tcBorders>
            <w:shd w:val="clear" w:color="auto" w:fill="FFFFFF"/>
            <w:tcMar>
              <w:top w:w="40" w:type="dxa"/>
              <w:left w:w="20" w:type="dxa"/>
              <w:bottom w:w="40" w:type="dxa"/>
              <w:right w:w="0" w:type="dxa"/>
            </w:tcMar>
            <w:vAlign w:val="bottom"/>
          </w:tcPr>
          <w:p w14:paraId="18600949" w14:textId="77777777" w:rsidR="00A91885" w:rsidRDefault="009C4196">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FFFFFF"/>
            <w:tcMar>
              <w:top w:w="40" w:type="dxa"/>
              <w:left w:w="0" w:type="dxa"/>
              <w:bottom w:w="40" w:type="dxa"/>
              <w:right w:w="0" w:type="dxa"/>
            </w:tcMar>
            <w:vAlign w:val="bottom"/>
          </w:tcPr>
          <w:p w14:paraId="1860094A" w14:textId="77777777" w:rsidR="00A91885" w:rsidRDefault="009C4196">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1860094B" w14:textId="77777777" w:rsidR="00A91885" w:rsidRDefault="00A91885">
            <w:pPr>
              <w:jc w:val="right"/>
              <w:rPr>
                <w:rFonts w:ascii="宋体"/>
              </w:rPr>
            </w:pPr>
          </w:p>
        </w:tc>
      </w:tr>
    </w:tbl>
    <w:p w14:paraId="1860094D" w14:textId="77777777" w:rsidR="00A91885" w:rsidRDefault="00A91885"/>
    <w:p w14:paraId="1860094E" w14:textId="77777777" w:rsidR="00A91885" w:rsidRDefault="00A91885">
      <w:pPr>
        <w:jc w:val="center"/>
      </w:pPr>
    </w:p>
    <w:p w14:paraId="1860094F" w14:textId="77777777" w:rsidR="00A91885" w:rsidRDefault="009C4196">
      <w:pPr>
        <w:jc w:val="center"/>
      </w:pPr>
      <w:r>
        <w:rPr>
          <w:rFonts w:ascii="Arial" w:eastAsia="宋体" w:hAnsi="Arial" w:cs="Arial"/>
          <w:color w:val="000000"/>
          <w:sz w:val="20"/>
          <w:szCs w:val="20"/>
        </w:rPr>
        <w:t>28</w:t>
      </w:r>
    </w:p>
    <w:p w14:paraId="18600950" w14:textId="77777777" w:rsidR="00A91885" w:rsidRDefault="009C4196">
      <w:r>
        <w:pict w14:anchorId="1860219F">
          <v:rect id="_x0000_i1052" style="width:415.3pt;height:1.5pt" o:hralign="center" o:hrstd="t" o:hr="t" fillcolor="#a0a0a0" stroked="f"/>
        </w:pict>
      </w:r>
    </w:p>
    <w:p w14:paraId="18600951" w14:textId="77777777" w:rsidR="00A91885" w:rsidRDefault="009C4196">
      <w:hyperlink r:id="rId112" w:anchor="ieb971428a625452486c65ae24899afca_7" w:history="1">
        <w:r>
          <w:rPr>
            <w:rStyle w:val="a5"/>
            <w:rFonts w:ascii="Arial" w:eastAsia="宋体" w:hAnsi="Arial" w:cs="Arial"/>
            <w:sz w:val="18"/>
            <w:szCs w:val="18"/>
          </w:rPr>
          <w:t>Table of Contents</w:t>
        </w:r>
      </w:hyperlink>
    </w:p>
    <w:p w14:paraId="18600952" w14:textId="77777777" w:rsidR="00A91885" w:rsidRDefault="009C4196">
      <w:pPr>
        <w:jc w:val="center"/>
      </w:pPr>
      <w:r>
        <w:rPr>
          <w:rFonts w:ascii="Arial" w:eastAsia="宋体" w:hAnsi="Arial" w:cs="Arial"/>
          <w:b/>
          <w:bCs/>
          <w:color w:val="000000"/>
          <w:sz w:val="20"/>
          <w:szCs w:val="20"/>
        </w:rPr>
        <w:t>eBay Inc.</w:t>
      </w:r>
    </w:p>
    <w:p w14:paraId="18600953"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tbl>
      <w:tblPr>
        <w:tblW w:w="5000" w:type="pct"/>
        <w:tblCellMar>
          <w:top w:w="15" w:type="dxa"/>
          <w:left w:w="15" w:type="dxa"/>
          <w:bottom w:w="15" w:type="dxa"/>
          <w:right w:w="15" w:type="dxa"/>
        </w:tblCellMar>
        <w:tblLook w:val="04A0" w:firstRow="1" w:lastRow="0" w:firstColumn="1" w:lastColumn="0" w:noHBand="0" w:noVBand="1"/>
      </w:tblPr>
      <w:tblGrid>
        <w:gridCol w:w="47"/>
        <w:gridCol w:w="1899"/>
        <w:gridCol w:w="40"/>
        <w:gridCol w:w="122"/>
        <w:gridCol w:w="947"/>
        <w:gridCol w:w="36"/>
        <w:gridCol w:w="36"/>
        <w:gridCol w:w="36"/>
        <w:gridCol w:w="36"/>
        <w:gridCol w:w="122"/>
        <w:gridCol w:w="1412"/>
        <w:gridCol w:w="36"/>
        <w:gridCol w:w="36"/>
        <w:gridCol w:w="36"/>
        <w:gridCol w:w="36"/>
        <w:gridCol w:w="122"/>
        <w:gridCol w:w="1421"/>
        <w:gridCol w:w="36"/>
        <w:gridCol w:w="36"/>
        <w:gridCol w:w="36"/>
        <w:gridCol w:w="36"/>
        <w:gridCol w:w="122"/>
        <w:gridCol w:w="1614"/>
        <w:gridCol w:w="36"/>
      </w:tblGrid>
      <w:tr w:rsidR="00A91885" w14:paraId="1860096C" w14:textId="77777777">
        <w:tc>
          <w:tcPr>
            <w:tcW w:w="50" w:type="pct"/>
            <w:shd w:val="clear" w:color="auto" w:fill="auto"/>
            <w:vAlign w:val="bottom"/>
          </w:tcPr>
          <w:p w14:paraId="18600954" w14:textId="77777777" w:rsidR="00A91885" w:rsidRDefault="00A91885">
            <w:pPr>
              <w:rPr>
                <w:rFonts w:ascii="宋体"/>
              </w:rPr>
            </w:pPr>
          </w:p>
        </w:tc>
        <w:tc>
          <w:tcPr>
            <w:tcW w:w="1523" w:type="pct"/>
            <w:shd w:val="clear" w:color="auto" w:fill="auto"/>
            <w:vAlign w:val="bottom"/>
          </w:tcPr>
          <w:p w14:paraId="18600955" w14:textId="77777777" w:rsidR="00A91885" w:rsidRDefault="00A91885">
            <w:pPr>
              <w:rPr>
                <w:rFonts w:ascii="宋体"/>
              </w:rPr>
            </w:pPr>
          </w:p>
        </w:tc>
        <w:tc>
          <w:tcPr>
            <w:tcW w:w="5" w:type="pct"/>
            <w:shd w:val="clear" w:color="auto" w:fill="auto"/>
            <w:vAlign w:val="bottom"/>
          </w:tcPr>
          <w:p w14:paraId="18600956" w14:textId="77777777" w:rsidR="00A91885" w:rsidRDefault="00A91885">
            <w:pPr>
              <w:rPr>
                <w:rFonts w:ascii="宋体"/>
              </w:rPr>
            </w:pPr>
          </w:p>
        </w:tc>
        <w:tc>
          <w:tcPr>
            <w:tcW w:w="50" w:type="pct"/>
            <w:shd w:val="clear" w:color="auto" w:fill="auto"/>
            <w:vAlign w:val="bottom"/>
          </w:tcPr>
          <w:p w14:paraId="18600957" w14:textId="77777777" w:rsidR="00A91885" w:rsidRDefault="00A91885">
            <w:pPr>
              <w:rPr>
                <w:rFonts w:ascii="宋体"/>
              </w:rPr>
            </w:pPr>
          </w:p>
        </w:tc>
        <w:tc>
          <w:tcPr>
            <w:tcW w:w="771" w:type="pct"/>
            <w:shd w:val="clear" w:color="auto" w:fill="auto"/>
            <w:vAlign w:val="bottom"/>
          </w:tcPr>
          <w:p w14:paraId="18600958" w14:textId="77777777" w:rsidR="00A91885" w:rsidRDefault="00A91885">
            <w:pPr>
              <w:rPr>
                <w:rFonts w:ascii="宋体"/>
              </w:rPr>
            </w:pPr>
          </w:p>
        </w:tc>
        <w:tc>
          <w:tcPr>
            <w:tcW w:w="5" w:type="pct"/>
            <w:shd w:val="clear" w:color="auto" w:fill="auto"/>
            <w:vAlign w:val="bottom"/>
          </w:tcPr>
          <w:p w14:paraId="18600959" w14:textId="77777777" w:rsidR="00A91885" w:rsidRDefault="00A91885">
            <w:pPr>
              <w:rPr>
                <w:rFonts w:ascii="宋体"/>
              </w:rPr>
            </w:pPr>
          </w:p>
        </w:tc>
        <w:tc>
          <w:tcPr>
            <w:tcW w:w="5" w:type="pct"/>
            <w:shd w:val="clear" w:color="auto" w:fill="auto"/>
            <w:vAlign w:val="bottom"/>
          </w:tcPr>
          <w:p w14:paraId="1860095A" w14:textId="77777777" w:rsidR="00A91885" w:rsidRDefault="00A91885">
            <w:pPr>
              <w:rPr>
                <w:rFonts w:ascii="宋体"/>
              </w:rPr>
            </w:pPr>
          </w:p>
        </w:tc>
        <w:tc>
          <w:tcPr>
            <w:tcW w:w="19" w:type="pct"/>
            <w:shd w:val="clear" w:color="auto" w:fill="auto"/>
            <w:vAlign w:val="bottom"/>
          </w:tcPr>
          <w:p w14:paraId="1860095B" w14:textId="77777777" w:rsidR="00A91885" w:rsidRDefault="00A91885">
            <w:pPr>
              <w:rPr>
                <w:rFonts w:ascii="宋体"/>
              </w:rPr>
            </w:pPr>
          </w:p>
        </w:tc>
        <w:tc>
          <w:tcPr>
            <w:tcW w:w="5" w:type="pct"/>
            <w:shd w:val="clear" w:color="auto" w:fill="auto"/>
            <w:vAlign w:val="bottom"/>
          </w:tcPr>
          <w:p w14:paraId="1860095C" w14:textId="77777777" w:rsidR="00A91885" w:rsidRDefault="00A91885">
            <w:pPr>
              <w:rPr>
                <w:rFonts w:ascii="宋体"/>
              </w:rPr>
            </w:pPr>
          </w:p>
        </w:tc>
        <w:tc>
          <w:tcPr>
            <w:tcW w:w="50" w:type="pct"/>
            <w:shd w:val="clear" w:color="auto" w:fill="auto"/>
            <w:vAlign w:val="bottom"/>
          </w:tcPr>
          <w:p w14:paraId="1860095D" w14:textId="77777777" w:rsidR="00A91885" w:rsidRDefault="00A91885">
            <w:pPr>
              <w:rPr>
                <w:rFonts w:ascii="宋体"/>
              </w:rPr>
            </w:pPr>
          </w:p>
        </w:tc>
        <w:tc>
          <w:tcPr>
            <w:tcW w:w="763" w:type="pct"/>
            <w:shd w:val="clear" w:color="auto" w:fill="auto"/>
            <w:vAlign w:val="bottom"/>
          </w:tcPr>
          <w:p w14:paraId="1860095E" w14:textId="77777777" w:rsidR="00A91885" w:rsidRDefault="00A91885">
            <w:pPr>
              <w:rPr>
                <w:rFonts w:ascii="宋体"/>
              </w:rPr>
            </w:pPr>
          </w:p>
        </w:tc>
        <w:tc>
          <w:tcPr>
            <w:tcW w:w="5" w:type="pct"/>
            <w:shd w:val="clear" w:color="auto" w:fill="auto"/>
            <w:vAlign w:val="bottom"/>
          </w:tcPr>
          <w:p w14:paraId="1860095F" w14:textId="77777777" w:rsidR="00A91885" w:rsidRDefault="00A91885">
            <w:pPr>
              <w:rPr>
                <w:rFonts w:ascii="宋体"/>
              </w:rPr>
            </w:pPr>
          </w:p>
        </w:tc>
        <w:tc>
          <w:tcPr>
            <w:tcW w:w="5" w:type="pct"/>
            <w:shd w:val="clear" w:color="auto" w:fill="auto"/>
            <w:vAlign w:val="bottom"/>
          </w:tcPr>
          <w:p w14:paraId="18600960" w14:textId="77777777" w:rsidR="00A91885" w:rsidRDefault="00A91885">
            <w:pPr>
              <w:rPr>
                <w:rFonts w:ascii="宋体"/>
              </w:rPr>
            </w:pPr>
          </w:p>
        </w:tc>
        <w:tc>
          <w:tcPr>
            <w:tcW w:w="19" w:type="pct"/>
            <w:shd w:val="clear" w:color="auto" w:fill="auto"/>
            <w:vAlign w:val="bottom"/>
          </w:tcPr>
          <w:p w14:paraId="18600961" w14:textId="77777777" w:rsidR="00A91885" w:rsidRDefault="00A91885">
            <w:pPr>
              <w:rPr>
                <w:rFonts w:ascii="宋体"/>
              </w:rPr>
            </w:pPr>
          </w:p>
        </w:tc>
        <w:tc>
          <w:tcPr>
            <w:tcW w:w="5" w:type="pct"/>
            <w:shd w:val="clear" w:color="auto" w:fill="auto"/>
            <w:vAlign w:val="bottom"/>
          </w:tcPr>
          <w:p w14:paraId="18600962" w14:textId="77777777" w:rsidR="00A91885" w:rsidRDefault="00A91885">
            <w:pPr>
              <w:rPr>
                <w:rFonts w:ascii="宋体"/>
              </w:rPr>
            </w:pPr>
          </w:p>
        </w:tc>
        <w:tc>
          <w:tcPr>
            <w:tcW w:w="50" w:type="pct"/>
            <w:shd w:val="clear" w:color="auto" w:fill="auto"/>
            <w:vAlign w:val="bottom"/>
          </w:tcPr>
          <w:p w14:paraId="18600963" w14:textId="77777777" w:rsidR="00A91885" w:rsidRDefault="00A91885">
            <w:pPr>
              <w:rPr>
                <w:rFonts w:ascii="宋体"/>
              </w:rPr>
            </w:pPr>
          </w:p>
        </w:tc>
        <w:tc>
          <w:tcPr>
            <w:tcW w:w="763" w:type="pct"/>
            <w:shd w:val="clear" w:color="auto" w:fill="auto"/>
            <w:vAlign w:val="bottom"/>
          </w:tcPr>
          <w:p w14:paraId="18600964" w14:textId="77777777" w:rsidR="00A91885" w:rsidRDefault="00A91885">
            <w:pPr>
              <w:rPr>
                <w:rFonts w:ascii="宋体"/>
              </w:rPr>
            </w:pPr>
          </w:p>
        </w:tc>
        <w:tc>
          <w:tcPr>
            <w:tcW w:w="5" w:type="pct"/>
            <w:shd w:val="clear" w:color="auto" w:fill="auto"/>
            <w:vAlign w:val="bottom"/>
          </w:tcPr>
          <w:p w14:paraId="18600965" w14:textId="77777777" w:rsidR="00A91885" w:rsidRDefault="00A91885">
            <w:pPr>
              <w:rPr>
                <w:rFonts w:ascii="宋体"/>
              </w:rPr>
            </w:pPr>
          </w:p>
        </w:tc>
        <w:tc>
          <w:tcPr>
            <w:tcW w:w="5" w:type="pct"/>
            <w:shd w:val="clear" w:color="auto" w:fill="auto"/>
            <w:vAlign w:val="bottom"/>
          </w:tcPr>
          <w:p w14:paraId="18600966" w14:textId="77777777" w:rsidR="00A91885" w:rsidRDefault="00A91885">
            <w:pPr>
              <w:rPr>
                <w:rFonts w:ascii="宋体"/>
              </w:rPr>
            </w:pPr>
          </w:p>
        </w:tc>
        <w:tc>
          <w:tcPr>
            <w:tcW w:w="19" w:type="pct"/>
            <w:shd w:val="clear" w:color="auto" w:fill="auto"/>
            <w:vAlign w:val="bottom"/>
          </w:tcPr>
          <w:p w14:paraId="18600967" w14:textId="77777777" w:rsidR="00A91885" w:rsidRDefault="00A91885">
            <w:pPr>
              <w:rPr>
                <w:rFonts w:ascii="宋体"/>
              </w:rPr>
            </w:pPr>
          </w:p>
        </w:tc>
        <w:tc>
          <w:tcPr>
            <w:tcW w:w="5" w:type="pct"/>
            <w:shd w:val="clear" w:color="auto" w:fill="auto"/>
            <w:vAlign w:val="bottom"/>
          </w:tcPr>
          <w:p w14:paraId="18600968" w14:textId="77777777" w:rsidR="00A91885" w:rsidRDefault="00A91885">
            <w:pPr>
              <w:rPr>
                <w:rFonts w:ascii="宋体"/>
              </w:rPr>
            </w:pPr>
          </w:p>
        </w:tc>
        <w:tc>
          <w:tcPr>
            <w:tcW w:w="50" w:type="pct"/>
            <w:shd w:val="clear" w:color="auto" w:fill="auto"/>
            <w:vAlign w:val="bottom"/>
          </w:tcPr>
          <w:p w14:paraId="18600969" w14:textId="77777777" w:rsidR="00A91885" w:rsidRDefault="00A91885">
            <w:pPr>
              <w:rPr>
                <w:rFonts w:ascii="宋体"/>
              </w:rPr>
            </w:pPr>
          </w:p>
        </w:tc>
        <w:tc>
          <w:tcPr>
            <w:tcW w:w="815" w:type="pct"/>
            <w:shd w:val="clear" w:color="auto" w:fill="auto"/>
            <w:vAlign w:val="bottom"/>
          </w:tcPr>
          <w:p w14:paraId="1860096A" w14:textId="77777777" w:rsidR="00A91885" w:rsidRDefault="00A91885">
            <w:pPr>
              <w:rPr>
                <w:rFonts w:ascii="宋体"/>
              </w:rPr>
            </w:pPr>
          </w:p>
        </w:tc>
        <w:tc>
          <w:tcPr>
            <w:tcW w:w="5" w:type="pct"/>
            <w:shd w:val="clear" w:color="auto" w:fill="auto"/>
            <w:vAlign w:val="bottom"/>
          </w:tcPr>
          <w:p w14:paraId="1860096B" w14:textId="77777777" w:rsidR="00A91885" w:rsidRDefault="00A91885">
            <w:pPr>
              <w:rPr>
                <w:rFonts w:ascii="宋体"/>
              </w:rPr>
            </w:pPr>
          </w:p>
        </w:tc>
      </w:tr>
      <w:tr w:rsidR="00A91885" w14:paraId="18600977" w14:textId="77777777">
        <w:tc>
          <w:tcPr>
            <w:tcW w:w="0" w:type="auto"/>
            <w:gridSpan w:val="3"/>
            <w:shd w:val="clear" w:color="auto" w:fill="auto"/>
            <w:tcMar>
              <w:top w:w="0" w:type="dxa"/>
              <w:left w:w="20" w:type="dxa"/>
              <w:bottom w:w="0" w:type="dxa"/>
              <w:right w:w="20" w:type="dxa"/>
            </w:tcMar>
            <w:vAlign w:val="bottom"/>
          </w:tcPr>
          <w:p w14:paraId="1860096D"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96E" w14:textId="77777777" w:rsidR="00A91885" w:rsidRDefault="009C4196">
            <w:pPr>
              <w:jc w:val="center"/>
              <w:textAlignment w:val="bottom"/>
            </w:pPr>
            <w:r>
              <w:rPr>
                <w:rFonts w:ascii="Arial" w:eastAsia="宋体" w:hAnsi="Arial" w:cs="Arial"/>
                <w:b/>
                <w:bCs/>
                <w:color w:val="000000"/>
                <w:sz w:val="17"/>
                <w:szCs w:val="17"/>
              </w:rPr>
              <w:t>December 31, 2021</w:t>
            </w:r>
          </w:p>
        </w:tc>
        <w:tc>
          <w:tcPr>
            <w:tcW w:w="0" w:type="auto"/>
            <w:gridSpan w:val="3"/>
            <w:shd w:val="clear" w:color="auto" w:fill="auto"/>
            <w:tcMar>
              <w:top w:w="0" w:type="dxa"/>
              <w:left w:w="20" w:type="dxa"/>
              <w:bottom w:w="0" w:type="dxa"/>
              <w:right w:w="20" w:type="dxa"/>
            </w:tcMar>
            <w:vAlign w:val="bottom"/>
          </w:tcPr>
          <w:p w14:paraId="1860096F"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970" w14:textId="77777777" w:rsidR="00A91885" w:rsidRDefault="009C4196">
            <w:pPr>
              <w:jc w:val="center"/>
              <w:textAlignment w:val="bottom"/>
            </w:pPr>
            <w:r>
              <w:rPr>
                <w:rFonts w:ascii="Arial" w:eastAsia="宋体" w:hAnsi="Arial" w:cs="Arial"/>
                <w:b/>
                <w:bCs/>
                <w:color w:val="000000"/>
                <w:sz w:val="17"/>
                <w:szCs w:val="17"/>
              </w:rPr>
              <w:t>Quoted Prices in Active Markets for Identical Assets</w:t>
            </w:r>
          </w:p>
          <w:p w14:paraId="18600971" w14:textId="77777777" w:rsidR="00A91885" w:rsidRDefault="009C4196">
            <w:pPr>
              <w:jc w:val="center"/>
              <w:textAlignment w:val="bottom"/>
            </w:pPr>
            <w:r>
              <w:rPr>
                <w:rFonts w:ascii="Arial" w:eastAsia="宋体" w:hAnsi="Arial" w:cs="Arial"/>
                <w:b/>
                <w:bCs/>
                <w:color w:val="000000"/>
                <w:sz w:val="17"/>
                <w:szCs w:val="17"/>
              </w:rPr>
              <w:t>(Level 1)</w:t>
            </w:r>
            <w:r>
              <w:rPr>
                <w:rFonts w:ascii="Arial" w:eastAsia="宋体" w:hAnsi="Arial" w:cs="Arial"/>
                <w:color w:val="000000"/>
                <w:sz w:val="17"/>
                <w:szCs w:val="17"/>
              </w:rPr>
              <w:t xml:space="preserve"> </w:t>
            </w:r>
          </w:p>
        </w:tc>
        <w:tc>
          <w:tcPr>
            <w:tcW w:w="0" w:type="auto"/>
            <w:gridSpan w:val="3"/>
            <w:shd w:val="clear" w:color="auto" w:fill="auto"/>
            <w:tcMar>
              <w:top w:w="0" w:type="dxa"/>
              <w:left w:w="20" w:type="dxa"/>
              <w:bottom w:w="0" w:type="dxa"/>
              <w:right w:w="20" w:type="dxa"/>
            </w:tcMar>
            <w:vAlign w:val="bottom"/>
          </w:tcPr>
          <w:p w14:paraId="18600972"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973" w14:textId="77777777" w:rsidR="00A91885" w:rsidRDefault="009C4196">
            <w:pPr>
              <w:jc w:val="center"/>
              <w:textAlignment w:val="bottom"/>
            </w:pPr>
            <w:r>
              <w:rPr>
                <w:rFonts w:ascii="Arial" w:eastAsia="宋体" w:hAnsi="Arial" w:cs="Arial"/>
                <w:b/>
                <w:bCs/>
                <w:color w:val="000000"/>
                <w:sz w:val="17"/>
                <w:szCs w:val="17"/>
              </w:rPr>
              <w:t>Significant Other Observable Inputs</w:t>
            </w:r>
            <w:r>
              <w:rPr>
                <w:rFonts w:ascii="Arial" w:eastAsia="宋体" w:hAnsi="Arial" w:cs="Arial"/>
                <w:b/>
                <w:bCs/>
                <w:color w:val="000000"/>
                <w:sz w:val="17"/>
                <w:szCs w:val="17"/>
              </w:rPr>
              <w:br/>
              <w:t>(Level 2)</w:t>
            </w:r>
          </w:p>
        </w:tc>
        <w:tc>
          <w:tcPr>
            <w:tcW w:w="0" w:type="auto"/>
            <w:gridSpan w:val="3"/>
            <w:shd w:val="clear" w:color="auto" w:fill="auto"/>
            <w:tcMar>
              <w:top w:w="0" w:type="dxa"/>
              <w:left w:w="20" w:type="dxa"/>
              <w:bottom w:w="0" w:type="dxa"/>
              <w:right w:w="20" w:type="dxa"/>
            </w:tcMar>
            <w:vAlign w:val="bottom"/>
          </w:tcPr>
          <w:p w14:paraId="18600974"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975" w14:textId="77777777" w:rsidR="00A91885" w:rsidRDefault="009C4196">
            <w:pPr>
              <w:jc w:val="center"/>
              <w:textAlignment w:val="bottom"/>
            </w:pPr>
            <w:r>
              <w:rPr>
                <w:rFonts w:ascii="Arial" w:eastAsia="宋体" w:hAnsi="Arial" w:cs="Arial"/>
                <w:b/>
                <w:bCs/>
                <w:color w:val="000000"/>
                <w:sz w:val="17"/>
                <w:szCs w:val="17"/>
              </w:rPr>
              <w:t>Significant Unobservable Inputs</w:t>
            </w:r>
          </w:p>
          <w:p w14:paraId="18600976" w14:textId="77777777" w:rsidR="00A91885" w:rsidRDefault="009C4196">
            <w:pPr>
              <w:jc w:val="center"/>
              <w:textAlignment w:val="bottom"/>
            </w:pPr>
            <w:r>
              <w:rPr>
                <w:rFonts w:ascii="Arial" w:eastAsia="宋体" w:hAnsi="Arial" w:cs="Arial"/>
                <w:b/>
                <w:bCs/>
                <w:color w:val="000000"/>
                <w:sz w:val="17"/>
                <w:szCs w:val="17"/>
              </w:rPr>
              <w:t>(Level 3)</w:t>
            </w:r>
          </w:p>
        </w:tc>
      </w:tr>
      <w:tr w:rsidR="00A91885" w14:paraId="18600980" w14:textId="77777777">
        <w:tc>
          <w:tcPr>
            <w:tcW w:w="0" w:type="auto"/>
            <w:gridSpan w:val="3"/>
            <w:shd w:val="clear" w:color="auto" w:fill="E2E2E2"/>
            <w:tcMar>
              <w:top w:w="40" w:type="dxa"/>
              <w:left w:w="20" w:type="dxa"/>
              <w:bottom w:w="40" w:type="dxa"/>
              <w:right w:w="20" w:type="dxa"/>
            </w:tcMar>
            <w:vAlign w:val="bottom"/>
          </w:tcPr>
          <w:p w14:paraId="18600978" w14:textId="77777777" w:rsidR="00A91885" w:rsidRDefault="009C4196">
            <w:pPr>
              <w:textAlignment w:val="bottom"/>
            </w:pPr>
            <w:r>
              <w:rPr>
                <w:rFonts w:ascii="Arial" w:eastAsia="宋体" w:hAnsi="Arial" w:cs="Arial"/>
                <w:b/>
                <w:bCs/>
                <w:i/>
                <w:iCs/>
                <w:color w:val="000000"/>
                <w:sz w:val="18"/>
                <w:szCs w:val="18"/>
              </w:rPr>
              <w:t>Assets:</w:t>
            </w: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8600979"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860097A" w14:textId="77777777" w:rsidR="00A91885" w:rsidRDefault="00A91885">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860097B"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860097C" w14:textId="77777777" w:rsidR="00A91885" w:rsidRDefault="00A91885">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860097D"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860097E"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97F" w14:textId="77777777" w:rsidR="00A91885" w:rsidRDefault="00A91885">
            <w:pPr>
              <w:rPr>
                <w:rFonts w:ascii="宋体"/>
              </w:rPr>
            </w:pPr>
          </w:p>
        </w:tc>
      </w:tr>
      <w:tr w:rsidR="00A91885" w14:paraId="18600991" w14:textId="77777777">
        <w:tc>
          <w:tcPr>
            <w:tcW w:w="0" w:type="auto"/>
            <w:gridSpan w:val="3"/>
            <w:shd w:val="clear" w:color="auto" w:fill="FFFFFF"/>
            <w:tcMar>
              <w:top w:w="40" w:type="dxa"/>
              <w:left w:w="125" w:type="dxa"/>
              <w:bottom w:w="40" w:type="dxa"/>
              <w:right w:w="20" w:type="dxa"/>
            </w:tcMar>
            <w:vAlign w:val="bottom"/>
          </w:tcPr>
          <w:p w14:paraId="18600981" w14:textId="77777777" w:rsidR="00A91885" w:rsidRDefault="009C4196">
            <w:pPr>
              <w:textAlignment w:val="bottom"/>
            </w:pPr>
            <w:r>
              <w:rPr>
                <w:rFonts w:ascii="Arial" w:eastAsia="宋体" w:hAnsi="Arial" w:cs="Arial"/>
                <w:color w:val="000000"/>
                <w:sz w:val="18"/>
                <w:szCs w:val="18"/>
              </w:rPr>
              <w:t xml:space="preserve">Cash and cash </w:t>
            </w:r>
            <w:r>
              <w:rPr>
                <w:rFonts w:ascii="Arial" w:eastAsia="宋体" w:hAnsi="Arial" w:cs="Arial"/>
                <w:color w:val="000000"/>
                <w:sz w:val="18"/>
                <w:szCs w:val="18"/>
              </w:rPr>
              <w:t>equivalents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1860098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600983" w14:textId="77777777" w:rsidR="00A91885" w:rsidRDefault="009C4196">
            <w:pPr>
              <w:jc w:val="right"/>
              <w:textAlignment w:val="bottom"/>
            </w:pPr>
            <w:r>
              <w:rPr>
                <w:rFonts w:ascii="Arial" w:eastAsia="宋体" w:hAnsi="Arial" w:cs="Arial"/>
                <w:color w:val="000000"/>
                <w:sz w:val="18"/>
                <w:szCs w:val="18"/>
              </w:rPr>
              <w:t>1,379 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98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85"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60098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600987" w14:textId="77777777" w:rsidR="00A91885" w:rsidRDefault="009C4196">
            <w:pPr>
              <w:jc w:val="right"/>
              <w:textAlignment w:val="bottom"/>
            </w:pPr>
            <w:r>
              <w:rPr>
                <w:rFonts w:ascii="Arial" w:eastAsia="宋体" w:hAnsi="Arial" w:cs="Arial"/>
                <w:color w:val="000000"/>
                <w:sz w:val="18"/>
                <w:szCs w:val="18"/>
              </w:rPr>
              <w:t>1,379 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98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89"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60098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60098B"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98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8D"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60098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60098F"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990" w14:textId="77777777" w:rsidR="00A91885" w:rsidRDefault="00A91885">
            <w:pPr>
              <w:jc w:val="right"/>
              <w:rPr>
                <w:rFonts w:ascii="宋体"/>
              </w:rPr>
            </w:pPr>
          </w:p>
        </w:tc>
      </w:tr>
      <w:tr w:rsidR="00A91885" w14:paraId="1860099A" w14:textId="77777777">
        <w:tc>
          <w:tcPr>
            <w:tcW w:w="0" w:type="auto"/>
            <w:gridSpan w:val="3"/>
            <w:shd w:val="clear" w:color="auto" w:fill="E2E2E2"/>
            <w:tcMar>
              <w:top w:w="40" w:type="dxa"/>
              <w:left w:w="140" w:type="dxa"/>
              <w:bottom w:w="40" w:type="dxa"/>
              <w:right w:w="20" w:type="dxa"/>
            </w:tcMar>
            <w:vAlign w:val="bottom"/>
          </w:tcPr>
          <w:p w14:paraId="18600992" w14:textId="77777777" w:rsidR="00A91885" w:rsidRDefault="009C4196">
            <w:pPr>
              <w:textAlignment w:val="bottom"/>
            </w:pPr>
            <w:r>
              <w:rPr>
                <w:rFonts w:ascii="Arial" w:eastAsia="宋体" w:hAnsi="Arial" w:cs="Arial"/>
                <w:color w:val="000000"/>
                <w:sz w:val="18"/>
                <w:szCs w:val="18"/>
              </w:rPr>
              <w:t>Short-term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993"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994"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995"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996"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997"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998"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999" w14:textId="77777777" w:rsidR="00A91885" w:rsidRDefault="00A91885">
            <w:pPr>
              <w:rPr>
                <w:rFonts w:ascii="宋体"/>
              </w:rPr>
            </w:pPr>
          </w:p>
        </w:tc>
      </w:tr>
      <w:tr w:rsidR="00A91885" w14:paraId="186009A7" w14:textId="77777777">
        <w:tc>
          <w:tcPr>
            <w:tcW w:w="0" w:type="auto"/>
            <w:gridSpan w:val="3"/>
            <w:shd w:val="clear" w:color="auto" w:fill="FFFFFF"/>
            <w:tcMar>
              <w:top w:w="40" w:type="dxa"/>
              <w:left w:w="380" w:type="dxa"/>
              <w:bottom w:w="40" w:type="dxa"/>
              <w:right w:w="20" w:type="dxa"/>
            </w:tcMar>
            <w:vAlign w:val="bottom"/>
          </w:tcPr>
          <w:p w14:paraId="1860099B" w14:textId="77777777" w:rsidR="00A91885" w:rsidRDefault="009C4196">
            <w:pPr>
              <w:textAlignment w:val="bottom"/>
            </w:pPr>
            <w:r>
              <w:rPr>
                <w:rFonts w:ascii="Arial" w:eastAsia="宋体" w:hAnsi="Arial" w:cs="Arial"/>
                <w:color w:val="000000"/>
                <w:sz w:val="18"/>
                <w:szCs w:val="18"/>
              </w:rPr>
              <w:t>Restricted cash</w:t>
            </w:r>
          </w:p>
        </w:tc>
        <w:tc>
          <w:tcPr>
            <w:tcW w:w="0" w:type="auto"/>
            <w:gridSpan w:val="2"/>
            <w:shd w:val="clear" w:color="auto" w:fill="FFFFFF"/>
            <w:tcMar>
              <w:top w:w="40" w:type="dxa"/>
              <w:left w:w="20" w:type="dxa"/>
              <w:bottom w:w="40" w:type="dxa"/>
              <w:right w:w="0" w:type="dxa"/>
            </w:tcMar>
            <w:vAlign w:val="bottom"/>
          </w:tcPr>
          <w:p w14:paraId="1860099C" w14:textId="77777777" w:rsidR="00A91885" w:rsidRDefault="009C4196">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1860099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9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99F" w14:textId="77777777" w:rsidR="00A91885" w:rsidRDefault="009C4196">
            <w:pPr>
              <w:jc w:val="right"/>
              <w:textAlignment w:val="bottom"/>
            </w:pPr>
            <w:r>
              <w:rPr>
                <w:rFonts w:ascii="Arial" w:eastAsia="宋体" w:hAnsi="Arial" w:cs="Arial"/>
                <w:color w:val="000000"/>
                <w:sz w:val="18"/>
                <w:szCs w:val="18"/>
              </w:rPr>
              <w:t>22 </w:t>
            </w:r>
          </w:p>
        </w:tc>
        <w:tc>
          <w:tcPr>
            <w:tcW w:w="0" w:type="auto"/>
            <w:shd w:val="clear" w:color="auto" w:fill="FFFFFF"/>
            <w:tcMar>
              <w:top w:w="40" w:type="dxa"/>
              <w:left w:w="0" w:type="dxa"/>
              <w:bottom w:w="40" w:type="dxa"/>
              <w:right w:w="20" w:type="dxa"/>
            </w:tcMar>
            <w:vAlign w:val="bottom"/>
          </w:tcPr>
          <w:p w14:paraId="186009A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A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9A2"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9A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A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9A5"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9A6" w14:textId="77777777" w:rsidR="00A91885" w:rsidRDefault="00A91885">
            <w:pPr>
              <w:jc w:val="right"/>
              <w:rPr>
                <w:rFonts w:ascii="宋体"/>
              </w:rPr>
            </w:pPr>
          </w:p>
        </w:tc>
      </w:tr>
      <w:tr w:rsidR="00A91885" w14:paraId="186009B4" w14:textId="77777777">
        <w:tc>
          <w:tcPr>
            <w:tcW w:w="0" w:type="auto"/>
            <w:gridSpan w:val="3"/>
            <w:shd w:val="clear" w:color="auto" w:fill="E2E2E2"/>
            <w:tcMar>
              <w:top w:w="40" w:type="dxa"/>
              <w:left w:w="395" w:type="dxa"/>
              <w:bottom w:w="40" w:type="dxa"/>
              <w:right w:w="20" w:type="dxa"/>
            </w:tcMar>
            <w:vAlign w:val="bottom"/>
          </w:tcPr>
          <w:p w14:paraId="186009A8" w14:textId="77777777" w:rsidR="00A91885" w:rsidRDefault="009C4196">
            <w:pPr>
              <w:textAlignment w:val="bottom"/>
            </w:pPr>
            <w:r>
              <w:rPr>
                <w:rFonts w:ascii="Arial" w:eastAsia="宋体" w:hAnsi="Arial" w:cs="Arial"/>
                <w:color w:val="000000"/>
                <w:sz w:val="18"/>
                <w:szCs w:val="18"/>
              </w:rPr>
              <w:t>Corporate debt securities</w:t>
            </w:r>
          </w:p>
        </w:tc>
        <w:tc>
          <w:tcPr>
            <w:tcW w:w="0" w:type="auto"/>
            <w:gridSpan w:val="2"/>
            <w:shd w:val="clear" w:color="auto" w:fill="E2E2E2"/>
            <w:tcMar>
              <w:top w:w="40" w:type="dxa"/>
              <w:left w:w="20" w:type="dxa"/>
              <w:bottom w:w="40" w:type="dxa"/>
              <w:right w:w="0" w:type="dxa"/>
            </w:tcMar>
            <w:vAlign w:val="bottom"/>
          </w:tcPr>
          <w:p w14:paraId="186009A9" w14:textId="77777777" w:rsidR="00A91885" w:rsidRDefault="009C4196">
            <w:pPr>
              <w:jc w:val="right"/>
              <w:textAlignment w:val="bottom"/>
            </w:pPr>
            <w:r>
              <w:rPr>
                <w:rFonts w:ascii="Arial" w:eastAsia="宋体" w:hAnsi="Arial" w:cs="Arial"/>
                <w:color w:val="000000"/>
                <w:sz w:val="18"/>
                <w:szCs w:val="18"/>
              </w:rPr>
              <w:t>4,152 </w:t>
            </w:r>
          </w:p>
        </w:tc>
        <w:tc>
          <w:tcPr>
            <w:tcW w:w="0" w:type="auto"/>
            <w:shd w:val="clear" w:color="auto" w:fill="E2E2E2"/>
            <w:tcMar>
              <w:top w:w="40" w:type="dxa"/>
              <w:left w:w="0" w:type="dxa"/>
              <w:bottom w:w="40" w:type="dxa"/>
              <w:right w:w="20" w:type="dxa"/>
            </w:tcMar>
            <w:vAlign w:val="bottom"/>
          </w:tcPr>
          <w:p w14:paraId="186009A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9A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9AC"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9A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9A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9AF" w14:textId="77777777" w:rsidR="00A91885" w:rsidRDefault="009C4196">
            <w:pPr>
              <w:jc w:val="right"/>
              <w:textAlignment w:val="bottom"/>
            </w:pPr>
            <w:r>
              <w:rPr>
                <w:rFonts w:ascii="Arial" w:eastAsia="宋体" w:hAnsi="Arial" w:cs="Arial"/>
                <w:color w:val="000000"/>
                <w:sz w:val="18"/>
                <w:szCs w:val="18"/>
              </w:rPr>
              <w:t>4,152 </w:t>
            </w:r>
          </w:p>
        </w:tc>
        <w:tc>
          <w:tcPr>
            <w:tcW w:w="0" w:type="auto"/>
            <w:shd w:val="clear" w:color="auto" w:fill="E2E2E2"/>
            <w:tcMar>
              <w:top w:w="40" w:type="dxa"/>
              <w:left w:w="0" w:type="dxa"/>
              <w:bottom w:w="40" w:type="dxa"/>
              <w:right w:w="20" w:type="dxa"/>
            </w:tcMar>
            <w:vAlign w:val="bottom"/>
          </w:tcPr>
          <w:p w14:paraId="186009B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9B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9B2"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9B3" w14:textId="77777777" w:rsidR="00A91885" w:rsidRDefault="00A91885">
            <w:pPr>
              <w:jc w:val="right"/>
              <w:rPr>
                <w:rFonts w:ascii="宋体"/>
              </w:rPr>
            </w:pPr>
          </w:p>
        </w:tc>
      </w:tr>
      <w:tr w:rsidR="00A91885" w14:paraId="186009C1" w14:textId="77777777">
        <w:tc>
          <w:tcPr>
            <w:tcW w:w="0" w:type="auto"/>
            <w:gridSpan w:val="3"/>
            <w:shd w:val="clear" w:color="auto" w:fill="FFFFFF"/>
            <w:tcMar>
              <w:top w:w="40" w:type="dxa"/>
              <w:left w:w="395" w:type="dxa"/>
              <w:bottom w:w="40" w:type="dxa"/>
              <w:right w:w="20" w:type="dxa"/>
            </w:tcMar>
            <w:vAlign w:val="bottom"/>
          </w:tcPr>
          <w:p w14:paraId="186009B5" w14:textId="77777777" w:rsidR="00A91885" w:rsidRDefault="009C4196">
            <w:pPr>
              <w:textAlignment w:val="bottom"/>
            </w:pPr>
            <w:r>
              <w:rPr>
                <w:rFonts w:ascii="Arial" w:eastAsia="宋体" w:hAnsi="Arial" w:cs="Arial"/>
                <w:color w:val="000000"/>
                <w:sz w:val="18"/>
                <w:szCs w:val="18"/>
              </w:rPr>
              <w:t>Government and agency securities</w:t>
            </w:r>
          </w:p>
        </w:tc>
        <w:tc>
          <w:tcPr>
            <w:tcW w:w="0" w:type="auto"/>
            <w:gridSpan w:val="2"/>
            <w:shd w:val="clear" w:color="auto" w:fill="FFFFFF"/>
            <w:tcMar>
              <w:top w:w="40" w:type="dxa"/>
              <w:left w:w="20" w:type="dxa"/>
              <w:bottom w:w="40" w:type="dxa"/>
              <w:right w:w="0" w:type="dxa"/>
            </w:tcMar>
            <w:vAlign w:val="bottom"/>
          </w:tcPr>
          <w:p w14:paraId="186009B6" w14:textId="77777777" w:rsidR="00A91885" w:rsidRDefault="009C4196">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186009B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B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9B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9B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B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9BC" w14:textId="77777777" w:rsidR="00A91885" w:rsidRDefault="009C4196">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186009B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B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9BF"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9C0" w14:textId="77777777" w:rsidR="00A91885" w:rsidRDefault="00A91885">
            <w:pPr>
              <w:jc w:val="right"/>
              <w:rPr>
                <w:rFonts w:ascii="宋体"/>
              </w:rPr>
            </w:pPr>
          </w:p>
        </w:tc>
      </w:tr>
      <w:tr w:rsidR="00A91885" w14:paraId="186009CA" w14:textId="77777777">
        <w:trPr>
          <w:hidden/>
        </w:trPr>
        <w:tc>
          <w:tcPr>
            <w:tcW w:w="0" w:type="auto"/>
            <w:gridSpan w:val="3"/>
            <w:shd w:val="clear" w:color="auto" w:fill="auto"/>
            <w:vAlign w:val="bottom"/>
          </w:tcPr>
          <w:p w14:paraId="186009C2" w14:textId="77777777" w:rsidR="00A91885" w:rsidRDefault="00A91885">
            <w:pPr>
              <w:rPr>
                <w:rFonts w:ascii="宋体"/>
                <w:vanish/>
              </w:rPr>
            </w:pPr>
          </w:p>
        </w:tc>
        <w:tc>
          <w:tcPr>
            <w:tcW w:w="0" w:type="auto"/>
            <w:gridSpan w:val="3"/>
            <w:shd w:val="clear" w:color="auto" w:fill="auto"/>
            <w:vAlign w:val="bottom"/>
          </w:tcPr>
          <w:p w14:paraId="186009C3" w14:textId="77777777" w:rsidR="00A91885" w:rsidRDefault="00A91885">
            <w:pPr>
              <w:rPr>
                <w:rFonts w:ascii="宋体"/>
                <w:vanish/>
              </w:rPr>
            </w:pPr>
          </w:p>
        </w:tc>
        <w:tc>
          <w:tcPr>
            <w:tcW w:w="0" w:type="auto"/>
            <w:gridSpan w:val="3"/>
            <w:shd w:val="clear" w:color="auto" w:fill="auto"/>
            <w:vAlign w:val="bottom"/>
          </w:tcPr>
          <w:p w14:paraId="186009C4" w14:textId="77777777" w:rsidR="00A91885" w:rsidRDefault="00A91885">
            <w:pPr>
              <w:rPr>
                <w:rFonts w:ascii="宋体"/>
                <w:vanish/>
              </w:rPr>
            </w:pPr>
          </w:p>
        </w:tc>
        <w:tc>
          <w:tcPr>
            <w:tcW w:w="0" w:type="auto"/>
            <w:gridSpan w:val="3"/>
            <w:shd w:val="clear" w:color="auto" w:fill="auto"/>
            <w:vAlign w:val="bottom"/>
          </w:tcPr>
          <w:p w14:paraId="186009C5" w14:textId="77777777" w:rsidR="00A91885" w:rsidRDefault="00A91885">
            <w:pPr>
              <w:rPr>
                <w:rFonts w:ascii="宋体"/>
                <w:vanish/>
              </w:rPr>
            </w:pPr>
          </w:p>
        </w:tc>
        <w:tc>
          <w:tcPr>
            <w:tcW w:w="0" w:type="auto"/>
            <w:gridSpan w:val="3"/>
            <w:shd w:val="clear" w:color="auto" w:fill="auto"/>
            <w:vAlign w:val="bottom"/>
          </w:tcPr>
          <w:p w14:paraId="186009C6" w14:textId="77777777" w:rsidR="00A91885" w:rsidRDefault="00A91885">
            <w:pPr>
              <w:rPr>
                <w:rFonts w:ascii="宋体"/>
                <w:vanish/>
              </w:rPr>
            </w:pPr>
          </w:p>
        </w:tc>
        <w:tc>
          <w:tcPr>
            <w:tcW w:w="0" w:type="auto"/>
            <w:gridSpan w:val="3"/>
            <w:shd w:val="clear" w:color="auto" w:fill="auto"/>
            <w:vAlign w:val="bottom"/>
          </w:tcPr>
          <w:p w14:paraId="186009C7" w14:textId="77777777" w:rsidR="00A91885" w:rsidRDefault="00A91885">
            <w:pPr>
              <w:rPr>
                <w:rFonts w:ascii="宋体"/>
                <w:vanish/>
              </w:rPr>
            </w:pPr>
          </w:p>
        </w:tc>
        <w:tc>
          <w:tcPr>
            <w:tcW w:w="0" w:type="auto"/>
            <w:gridSpan w:val="3"/>
            <w:shd w:val="clear" w:color="auto" w:fill="auto"/>
            <w:vAlign w:val="bottom"/>
          </w:tcPr>
          <w:p w14:paraId="186009C8" w14:textId="77777777" w:rsidR="00A91885" w:rsidRDefault="00A91885">
            <w:pPr>
              <w:rPr>
                <w:rFonts w:ascii="宋体"/>
                <w:vanish/>
              </w:rPr>
            </w:pPr>
          </w:p>
        </w:tc>
        <w:tc>
          <w:tcPr>
            <w:tcW w:w="0" w:type="auto"/>
            <w:gridSpan w:val="3"/>
            <w:shd w:val="clear" w:color="auto" w:fill="auto"/>
            <w:vAlign w:val="bottom"/>
          </w:tcPr>
          <w:p w14:paraId="186009C9" w14:textId="77777777" w:rsidR="00A91885" w:rsidRDefault="00A91885">
            <w:pPr>
              <w:rPr>
                <w:rFonts w:ascii="宋体"/>
                <w:vanish/>
              </w:rPr>
            </w:pPr>
          </w:p>
        </w:tc>
      </w:tr>
      <w:tr w:rsidR="00A91885" w14:paraId="186009D7" w14:textId="77777777">
        <w:tc>
          <w:tcPr>
            <w:tcW w:w="0" w:type="auto"/>
            <w:gridSpan w:val="3"/>
            <w:shd w:val="clear" w:color="auto" w:fill="E2E2E2"/>
            <w:tcMar>
              <w:top w:w="40" w:type="dxa"/>
              <w:left w:w="395" w:type="dxa"/>
              <w:bottom w:w="40" w:type="dxa"/>
              <w:right w:w="20" w:type="dxa"/>
            </w:tcMar>
            <w:vAlign w:val="bottom"/>
          </w:tcPr>
          <w:p w14:paraId="186009CB" w14:textId="77777777" w:rsidR="00A91885" w:rsidRDefault="009C4196">
            <w:pPr>
              <w:textAlignment w:val="bottom"/>
            </w:pPr>
            <w:r>
              <w:rPr>
                <w:rFonts w:ascii="Arial" w:eastAsia="宋体" w:hAnsi="Arial" w:cs="Arial"/>
                <w:color w:val="000000"/>
                <w:sz w:val="18"/>
                <w:szCs w:val="18"/>
              </w:rPr>
              <w:t>Equity investments with readily determinable fair values</w:t>
            </w:r>
          </w:p>
        </w:tc>
        <w:tc>
          <w:tcPr>
            <w:tcW w:w="0" w:type="auto"/>
            <w:gridSpan w:val="2"/>
            <w:shd w:val="clear" w:color="auto" w:fill="E2E2E2"/>
            <w:tcMar>
              <w:top w:w="40" w:type="dxa"/>
              <w:left w:w="20" w:type="dxa"/>
              <w:bottom w:w="40" w:type="dxa"/>
              <w:right w:w="0" w:type="dxa"/>
            </w:tcMar>
            <w:vAlign w:val="bottom"/>
          </w:tcPr>
          <w:p w14:paraId="186009CC" w14:textId="77777777" w:rsidR="00A91885" w:rsidRDefault="009C4196">
            <w:pPr>
              <w:jc w:val="right"/>
              <w:textAlignment w:val="bottom"/>
            </w:pPr>
            <w:r>
              <w:rPr>
                <w:rFonts w:ascii="Arial" w:eastAsia="宋体" w:hAnsi="Arial" w:cs="Arial"/>
                <w:color w:val="000000"/>
                <w:sz w:val="18"/>
                <w:szCs w:val="18"/>
              </w:rPr>
              <w:t>1,745 </w:t>
            </w:r>
          </w:p>
        </w:tc>
        <w:tc>
          <w:tcPr>
            <w:tcW w:w="0" w:type="auto"/>
            <w:shd w:val="clear" w:color="auto" w:fill="E2E2E2"/>
            <w:tcMar>
              <w:top w:w="40" w:type="dxa"/>
              <w:left w:w="0" w:type="dxa"/>
              <w:bottom w:w="40" w:type="dxa"/>
              <w:right w:w="20" w:type="dxa"/>
            </w:tcMar>
            <w:vAlign w:val="bottom"/>
          </w:tcPr>
          <w:p w14:paraId="186009C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9C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9CF" w14:textId="77777777" w:rsidR="00A91885" w:rsidRDefault="009C4196">
            <w:pPr>
              <w:jc w:val="right"/>
              <w:textAlignment w:val="bottom"/>
            </w:pPr>
            <w:r>
              <w:rPr>
                <w:rFonts w:ascii="Arial" w:eastAsia="宋体" w:hAnsi="Arial" w:cs="Arial"/>
                <w:color w:val="000000"/>
                <w:sz w:val="18"/>
                <w:szCs w:val="18"/>
              </w:rPr>
              <w:t>1,745 </w:t>
            </w:r>
          </w:p>
        </w:tc>
        <w:tc>
          <w:tcPr>
            <w:tcW w:w="0" w:type="auto"/>
            <w:shd w:val="clear" w:color="auto" w:fill="E2E2E2"/>
            <w:tcMar>
              <w:top w:w="40" w:type="dxa"/>
              <w:left w:w="0" w:type="dxa"/>
              <w:bottom w:w="40" w:type="dxa"/>
              <w:right w:w="20" w:type="dxa"/>
            </w:tcMar>
            <w:vAlign w:val="bottom"/>
          </w:tcPr>
          <w:p w14:paraId="186009D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9D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9D2"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9D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9D4"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9D5"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9D6" w14:textId="77777777" w:rsidR="00A91885" w:rsidRDefault="00A91885">
            <w:pPr>
              <w:jc w:val="right"/>
              <w:rPr>
                <w:rFonts w:ascii="宋体"/>
              </w:rPr>
            </w:pPr>
          </w:p>
        </w:tc>
      </w:tr>
      <w:tr w:rsidR="00A91885" w14:paraId="186009E4" w14:textId="77777777">
        <w:tc>
          <w:tcPr>
            <w:tcW w:w="0" w:type="auto"/>
            <w:gridSpan w:val="3"/>
            <w:shd w:val="clear" w:color="auto" w:fill="FFFFFF"/>
            <w:tcMar>
              <w:top w:w="40" w:type="dxa"/>
              <w:left w:w="140" w:type="dxa"/>
              <w:bottom w:w="40" w:type="dxa"/>
              <w:right w:w="20" w:type="dxa"/>
            </w:tcMar>
            <w:vAlign w:val="bottom"/>
          </w:tcPr>
          <w:p w14:paraId="186009D8" w14:textId="77777777" w:rsidR="00A91885" w:rsidRDefault="009C4196">
            <w:pPr>
              <w:textAlignment w:val="bottom"/>
            </w:pPr>
            <w:r>
              <w:rPr>
                <w:rFonts w:ascii="Arial" w:eastAsia="宋体" w:hAnsi="Arial" w:cs="Arial"/>
                <w:color w:val="000000"/>
                <w:sz w:val="18"/>
                <w:szCs w:val="18"/>
              </w:rPr>
              <w:t>Total short-term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9D9" w14:textId="77777777" w:rsidR="00A91885" w:rsidRDefault="009C4196">
            <w:pPr>
              <w:jc w:val="right"/>
              <w:textAlignment w:val="bottom"/>
            </w:pPr>
            <w:r>
              <w:rPr>
                <w:rFonts w:ascii="Arial" w:eastAsia="宋体" w:hAnsi="Arial" w:cs="Arial"/>
                <w:color w:val="000000"/>
                <w:sz w:val="18"/>
                <w:szCs w:val="18"/>
              </w:rPr>
              <w:t>5,944 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9D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DB"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9DC" w14:textId="77777777" w:rsidR="00A91885" w:rsidRDefault="009C4196">
            <w:pPr>
              <w:jc w:val="right"/>
              <w:textAlignment w:val="bottom"/>
            </w:pPr>
            <w:r>
              <w:rPr>
                <w:rFonts w:ascii="Arial" w:eastAsia="宋体" w:hAnsi="Arial" w:cs="Arial"/>
                <w:color w:val="000000"/>
                <w:sz w:val="18"/>
                <w:szCs w:val="18"/>
              </w:rPr>
              <w:t>1,767 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9D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DE"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9DF" w14:textId="77777777" w:rsidR="00A91885" w:rsidRDefault="009C4196">
            <w:pPr>
              <w:jc w:val="right"/>
              <w:textAlignment w:val="bottom"/>
            </w:pPr>
            <w:r>
              <w:rPr>
                <w:rFonts w:ascii="Arial" w:eastAsia="宋体" w:hAnsi="Arial" w:cs="Arial"/>
                <w:color w:val="000000"/>
                <w:sz w:val="18"/>
                <w:szCs w:val="18"/>
              </w:rPr>
              <w:t>4,177 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9E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E1"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9E2"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9E3" w14:textId="77777777" w:rsidR="00A91885" w:rsidRDefault="00A91885">
            <w:pPr>
              <w:jc w:val="right"/>
              <w:rPr>
                <w:rFonts w:ascii="宋体"/>
              </w:rPr>
            </w:pPr>
          </w:p>
        </w:tc>
      </w:tr>
      <w:tr w:rsidR="00A91885" w14:paraId="186009F1" w14:textId="77777777">
        <w:tc>
          <w:tcPr>
            <w:tcW w:w="0" w:type="auto"/>
            <w:gridSpan w:val="3"/>
            <w:shd w:val="clear" w:color="auto" w:fill="E2E2E2"/>
            <w:tcMar>
              <w:top w:w="40" w:type="dxa"/>
              <w:left w:w="140" w:type="dxa"/>
              <w:bottom w:w="40" w:type="dxa"/>
              <w:right w:w="20" w:type="dxa"/>
            </w:tcMar>
            <w:vAlign w:val="bottom"/>
          </w:tcPr>
          <w:p w14:paraId="186009E5" w14:textId="77777777" w:rsidR="00A91885" w:rsidRDefault="009C4196">
            <w:pPr>
              <w:textAlignment w:val="bottom"/>
            </w:pPr>
            <w:r>
              <w:rPr>
                <w:rFonts w:ascii="Arial" w:eastAsia="宋体" w:hAnsi="Arial" w:cs="Arial"/>
                <w:color w:val="000000"/>
                <w:sz w:val="18"/>
                <w:szCs w:val="18"/>
              </w:rPr>
              <w:t>Equity investment in Adevinta</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09E6" w14:textId="77777777" w:rsidR="00A91885" w:rsidRDefault="009C4196">
            <w:pPr>
              <w:jc w:val="right"/>
              <w:textAlignment w:val="bottom"/>
            </w:pPr>
            <w:r>
              <w:rPr>
                <w:rFonts w:ascii="Arial" w:eastAsia="宋体" w:hAnsi="Arial" w:cs="Arial"/>
                <w:color w:val="000000"/>
                <w:sz w:val="18"/>
                <w:szCs w:val="18"/>
              </w:rPr>
              <w:t>5,391 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9E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9E8"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09E9" w14:textId="77777777" w:rsidR="00A91885" w:rsidRDefault="009C4196">
            <w:pPr>
              <w:jc w:val="right"/>
              <w:textAlignment w:val="bottom"/>
            </w:pPr>
            <w:r>
              <w:rPr>
                <w:rFonts w:ascii="Arial" w:eastAsia="宋体" w:hAnsi="Arial" w:cs="Arial"/>
                <w:color w:val="000000"/>
                <w:sz w:val="18"/>
                <w:szCs w:val="18"/>
              </w:rPr>
              <w:t>5,391 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9E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9EB"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09EC"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9E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9EE"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09EF"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9F0" w14:textId="77777777" w:rsidR="00A91885" w:rsidRDefault="00A91885">
            <w:pPr>
              <w:jc w:val="right"/>
              <w:rPr>
                <w:rFonts w:ascii="宋体"/>
              </w:rPr>
            </w:pPr>
          </w:p>
        </w:tc>
      </w:tr>
      <w:tr w:rsidR="00A91885" w14:paraId="186009FE" w14:textId="77777777">
        <w:tc>
          <w:tcPr>
            <w:tcW w:w="0" w:type="auto"/>
            <w:gridSpan w:val="3"/>
            <w:shd w:val="clear" w:color="auto" w:fill="FFFFFF"/>
            <w:tcMar>
              <w:top w:w="40" w:type="dxa"/>
              <w:left w:w="140" w:type="dxa"/>
              <w:bottom w:w="40" w:type="dxa"/>
              <w:right w:w="20" w:type="dxa"/>
            </w:tcMar>
            <w:vAlign w:val="bottom"/>
          </w:tcPr>
          <w:p w14:paraId="186009F2" w14:textId="77777777" w:rsidR="00A91885" w:rsidRDefault="009C4196">
            <w:pPr>
              <w:textAlignment w:val="bottom"/>
            </w:pPr>
            <w:r>
              <w:rPr>
                <w:rFonts w:ascii="Arial" w:eastAsia="宋体" w:hAnsi="Arial" w:cs="Arial"/>
                <w:color w:val="000000"/>
                <w:sz w:val="18"/>
                <w:szCs w:val="18"/>
              </w:rPr>
              <w:t>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9F3" w14:textId="77777777" w:rsidR="00A91885" w:rsidRDefault="009C4196">
            <w:pPr>
              <w:jc w:val="right"/>
              <w:textAlignment w:val="bottom"/>
            </w:pPr>
            <w:r>
              <w:rPr>
                <w:rFonts w:ascii="Arial" w:eastAsia="宋体" w:hAnsi="Arial" w:cs="Arial"/>
                <w:color w:val="000000"/>
                <w:sz w:val="18"/>
                <w:szCs w:val="18"/>
              </w:rPr>
              <w:t>553 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9F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F5"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9F6"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9F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F8"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9F9" w14:textId="77777777" w:rsidR="00A91885" w:rsidRDefault="009C4196">
            <w:pPr>
              <w:jc w:val="right"/>
              <w:textAlignment w:val="bottom"/>
            </w:pPr>
            <w:r>
              <w:rPr>
                <w:rFonts w:ascii="Arial" w:eastAsia="宋体" w:hAnsi="Arial" w:cs="Arial"/>
                <w:color w:val="000000"/>
                <w:sz w:val="18"/>
                <w:szCs w:val="18"/>
              </w:rPr>
              <w:t>109 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9F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9FB"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09FC" w14:textId="77777777" w:rsidR="00A91885" w:rsidRDefault="009C4196">
            <w:pPr>
              <w:jc w:val="right"/>
              <w:textAlignment w:val="bottom"/>
            </w:pPr>
            <w:r>
              <w:rPr>
                <w:rFonts w:ascii="Arial" w:eastAsia="宋体" w:hAnsi="Arial" w:cs="Arial"/>
                <w:color w:val="000000"/>
                <w:sz w:val="18"/>
                <w:szCs w:val="18"/>
              </w:rPr>
              <w:t>444 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9FD" w14:textId="77777777" w:rsidR="00A91885" w:rsidRDefault="00A91885">
            <w:pPr>
              <w:jc w:val="right"/>
              <w:rPr>
                <w:rFonts w:ascii="宋体"/>
              </w:rPr>
            </w:pPr>
          </w:p>
        </w:tc>
      </w:tr>
      <w:tr w:rsidR="00A91885" w14:paraId="18600A07" w14:textId="77777777">
        <w:tc>
          <w:tcPr>
            <w:tcW w:w="0" w:type="auto"/>
            <w:gridSpan w:val="3"/>
            <w:shd w:val="clear" w:color="auto" w:fill="E2E2E2"/>
            <w:tcMar>
              <w:top w:w="40" w:type="dxa"/>
              <w:left w:w="140" w:type="dxa"/>
              <w:bottom w:w="40" w:type="dxa"/>
              <w:right w:w="20" w:type="dxa"/>
            </w:tcMar>
            <w:vAlign w:val="bottom"/>
          </w:tcPr>
          <w:p w14:paraId="186009FF" w14:textId="77777777" w:rsidR="00A91885" w:rsidRDefault="009C4196">
            <w:pPr>
              <w:textAlignment w:val="bottom"/>
            </w:pPr>
            <w:r>
              <w:rPr>
                <w:rFonts w:ascii="Arial" w:eastAsia="宋体" w:hAnsi="Arial" w:cs="Arial"/>
                <w:color w:val="000000"/>
                <w:sz w:val="18"/>
                <w:szCs w:val="18"/>
              </w:rPr>
              <w:t>Long-term investments:</w:t>
            </w: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A00"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A01"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A02"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A03"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A04"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A05" w14:textId="77777777" w:rsidR="00A91885" w:rsidRDefault="00A91885">
            <w:pPr>
              <w:rPr>
                <w:rFonts w:ascii="宋体"/>
              </w:rPr>
            </w:pPr>
          </w:p>
        </w:tc>
        <w:tc>
          <w:tcPr>
            <w:tcW w:w="0" w:type="auto"/>
            <w:gridSpan w:val="3"/>
            <w:tcBorders>
              <w:top w:val="single" w:sz="8" w:space="0" w:color="000000"/>
            </w:tcBorders>
            <w:shd w:val="clear" w:color="auto" w:fill="E2E2E2"/>
            <w:tcMar>
              <w:top w:w="0" w:type="dxa"/>
              <w:left w:w="20" w:type="dxa"/>
              <w:bottom w:w="0" w:type="dxa"/>
              <w:right w:w="20" w:type="dxa"/>
            </w:tcMar>
            <w:vAlign w:val="bottom"/>
          </w:tcPr>
          <w:p w14:paraId="18600A06" w14:textId="77777777" w:rsidR="00A91885" w:rsidRDefault="00A91885">
            <w:pPr>
              <w:rPr>
                <w:rFonts w:ascii="宋体"/>
              </w:rPr>
            </w:pPr>
          </w:p>
        </w:tc>
      </w:tr>
      <w:tr w:rsidR="00A91885" w14:paraId="18600A14" w14:textId="77777777">
        <w:tc>
          <w:tcPr>
            <w:tcW w:w="0" w:type="auto"/>
            <w:gridSpan w:val="3"/>
            <w:shd w:val="clear" w:color="auto" w:fill="FFFFFF"/>
            <w:tcMar>
              <w:top w:w="40" w:type="dxa"/>
              <w:left w:w="380" w:type="dxa"/>
              <w:bottom w:w="40" w:type="dxa"/>
              <w:right w:w="20" w:type="dxa"/>
            </w:tcMar>
            <w:vAlign w:val="bottom"/>
          </w:tcPr>
          <w:p w14:paraId="18600A08" w14:textId="77777777" w:rsidR="00A91885" w:rsidRDefault="009C4196">
            <w:pPr>
              <w:textAlignment w:val="bottom"/>
            </w:pPr>
            <w:r>
              <w:rPr>
                <w:rFonts w:ascii="Arial" w:eastAsia="宋体" w:hAnsi="Arial" w:cs="Arial"/>
                <w:color w:val="000000"/>
                <w:sz w:val="18"/>
                <w:szCs w:val="18"/>
              </w:rPr>
              <w:t>Corporate debt securities</w:t>
            </w:r>
          </w:p>
        </w:tc>
        <w:tc>
          <w:tcPr>
            <w:tcW w:w="0" w:type="auto"/>
            <w:gridSpan w:val="2"/>
            <w:shd w:val="clear" w:color="auto" w:fill="FFFFFF"/>
            <w:tcMar>
              <w:top w:w="40" w:type="dxa"/>
              <w:left w:w="20" w:type="dxa"/>
              <w:bottom w:w="40" w:type="dxa"/>
              <w:right w:w="0" w:type="dxa"/>
            </w:tcMar>
            <w:vAlign w:val="bottom"/>
          </w:tcPr>
          <w:p w14:paraId="18600A09" w14:textId="77777777" w:rsidR="00A91885" w:rsidRDefault="009C4196">
            <w:pPr>
              <w:jc w:val="right"/>
              <w:textAlignment w:val="bottom"/>
            </w:pPr>
            <w:r>
              <w:rPr>
                <w:rFonts w:ascii="Arial" w:eastAsia="宋体" w:hAnsi="Arial" w:cs="Arial"/>
                <w:color w:val="000000"/>
                <w:sz w:val="18"/>
                <w:szCs w:val="18"/>
              </w:rPr>
              <w:t>950 </w:t>
            </w:r>
          </w:p>
        </w:tc>
        <w:tc>
          <w:tcPr>
            <w:tcW w:w="0" w:type="auto"/>
            <w:shd w:val="clear" w:color="auto" w:fill="FFFFFF"/>
            <w:tcMar>
              <w:top w:w="40" w:type="dxa"/>
              <w:left w:w="0" w:type="dxa"/>
              <w:bottom w:w="40" w:type="dxa"/>
              <w:right w:w="20" w:type="dxa"/>
            </w:tcMar>
            <w:vAlign w:val="bottom"/>
          </w:tcPr>
          <w:p w14:paraId="18600A0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A0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A0C"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A0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A0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A0F" w14:textId="77777777" w:rsidR="00A91885" w:rsidRDefault="009C4196">
            <w:pPr>
              <w:jc w:val="right"/>
              <w:textAlignment w:val="bottom"/>
            </w:pPr>
            <w:r>
              <w:rPr>
                <w:rFonts w:ascii="Arial" w:eastAsia="宋体" w:hAnsi="Arial" w:cs="Arial"/>
                <w:color w:val="000000"/>
                <w:sz w:val="18"/>
                <w:szCs w:val="18"/>
              </w:rPr>
              <w:t>950 </w:t>
            </w:r>
          </w:p>
        </w:tc>
        <w:tc>
          <w:tcPr>
            <w:tcW w:w="0" w:type="auto"/>
            <w:shd w:val="clear" w:color="auto" w:fill="FFFFFF"/>
            <w:tcMar>
              <w:top w:w="40" w:type="dxa"/>
              <w:left w:w="0" w:type="dxa"/>
              <w:bottom w:w="40" w:type="dxa"/>
              <w:right w:w="20" w:type="dxa"/>
            </w:tcMar>
            <w:vAlign w:val="bottom"/>
          </w:tcPr>
          <w:p w14:paraId="18600A1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A1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A12"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A13" w14:textId="77777777" w:rsidR="00A91885" w:rsidRDefault="00A91885">
            <w:pPr>
              <w:jc w:val="right"/>
              <w:rPr>
                <w:rFonts w:ascii="宋体"/>
              </w:rPr>
            </w:pPr>
          </w:p>
        </w:tc>
      </w:tr>
      <w:tr w:rsidR="00A91885" w14:paraId="18600A21" w14:textId="77777777">
        <w:tc>
          <w:tcPr>
            <w:tcW w:w="0" w:type="auto"/>
            <w:gridSpan w:val="3"/>
            <w:shd w:val="clear" w:color="auto" w:fill="E2E2E2"/>
            <w:tcMar>
              <w:top w:w="40" w:type="dxa"/>
              <w:left w:w="395" w:type="dxa"/>
              <w:bottom w:w="40" w:type="dxa"/>
              <w:right w:w="20" w:type="dxa"/>
            </w:tcMar>
            <w:vAlign w:val="bottom"/>
          </w:tcPr>
          <w:p w14:paraId="18600A15" w14:textId="77777777" w:rsidR="00A91885" w:rsidRDefault="009C4196">
            <w:pPr>
              <w:textAlignment w:val="bottom"/>
            </w:pPr>
            <w:r>
              <w:rPr>
                <w:rFonts w:ascii="Arial" w:eastAsia="宋体" w:hAnsi="Arial" w:cs="Arial"/>
                <w:color w:val="000000"/>
                <w:sz w:val="18"/>
                <w:szCs w:val="18"/>
              </w:rPr>
              <w:t>Government and agency securities</w:t>
            </w:r>
          </w:p>
        </w:tc>
        <w:tc>
          <w:tcPr>
            <w:tcW w:w="0" w:type="auto"/>
            <w:gridSpan w:val="2"/>
            <w:shd w:val="clear" w:color="auto" w:fill="E2E2E2"/>
            <w:tcMar>
              <w:top w:w="40" w:type="dxa"/>
              <w:left w:w="20" w:type="dxa"/>
              <w:bottom w:w="40" w:type="dxa"/>
              <w:right w:w="0" w:type="dxa"/>
            </w:tcMar>
            <w:vAlign w:val="bottom"/>
          </w:tcPr>
          <w:p w14:paraId="18600A16" w14:textId="77777777" w:rsidR="00A91885" w:rsidRDefault="009C4196">
            <w:pPr>
              <w:jc w:val="right"/>
              <w:textAlignment w:val="bottom"/>
            </w:pPr>
            <w:r>
              <w:rPr>
                <w:rFonts w:ascii="Arial" w:eastAsia="宋体" w:hAnsi="Arial" w:cs="Arial"/>
                <w:color w:val="000000"/>
                <w:sz w:val="18"/>
                <w:szCs w:val="18"/>
              </w:rPr>
              <w:t>777 </w:t>
            </w:r>
          </w:p>
        </w:tc>
        <w:tc>
          <w:tcPr>
            <w:tcW w:w="0" w:type="auto"/>
            <w:shd w:val="clear" w:color="auto" w:fill="E2E2E2"/>
            <w:tcMar>
              <w:top w:w="40" w:type="dxa"/>
              <w:left w:w="0" w:type="dxa"/>
              <w:bottom w:w="40" w:type="dxa"/>
              <w:right w:w="20" w:type="dxa"/>
            </w:tcMar>
            <w:vAlign w:val="bottom"/>
          </w:tcPr>
          <w:p w14:paraId="18600A1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A1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A1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A1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A1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A1C" w14:textId="77777777" w:rsidR="00A91885" w:rsidRDefault="009C4196">
            <w:pPr>
              <w:jc w:val="right"/>
              <w:textAlignment w:val="bottom"/>
            </w:pPr>
            <w:r>
              <w:rPr>
                <w:rFonts w:ascii="Arial" w:eastAsia="宋体" w:hAnsi="Arial" w:cs="Arial"/>
                <w:color w:val="000000"/>
                <w:sz w:val="18"/>
                <w:szCs w:val="18"/>
              </w:rPr>
              <w:t>777 </w:t>
            </w:r>
          </w:p>
        </w:tc>
        <w:tc>
          <w:tcPr>
            <w:tcW w:w="0" w:type="auto"/>
            <w:shd w:val="clear" w:color="auto" w:fill="E2E2E2"/>
            <w:tcMar>
              <w:top w:w="40" w:type="dxa"/>
              <w:left w:w="0" w:type="dxa"/>
              <w:bottom w:w="40" w:type="dxa"/>
              <w:right w:w="20" w:type="dxa"/>
            </w:tcMar>
            <w:vAlign w:val="bottom"/>
          </w:tcPr>
          <w:p w14:paraId="18600A1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A1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A1F"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0A20" w14:textId="77777777" w:rsidR="00A91885" w:rsidRDefault="00A91885">
            <w:pPr>
              <w:jc w:val="right"/>
              <w:rPr>
                <w:rFonts w:ascii="宋体"/>
              </w:rPr>
            </w:pPr>
          </w:p>
        </w:tc>
      </w:tr>
      <w:tr w:rsidR="00A91885" w14:paraId="18600A2E" w14:textId="77777777">
        <w:tc>
          <w:tcPr>
            <w:tcW w:w="0" w:type="auto"/>
            <w:gridSpan w:val="3"/>
            <w:shd w:val="clear" w:color="auto" w:fill="FFFFFF"/>
            <w:tcMar>
              <w:top w:w="40" w:type="dxa"/>
              <w:left w:w="380" w:type="dxa"/>
              <w:bottom w:w="40" w:type="dxa"/>
              <w:right w:w="20" w:type="dxa"/>
            </w:tcMar>
            <w:vAlign w:val="bottom"/>
          </w:tcPr>
          <w:p w14:paraId="18600A22" w14:textId="77777777" w:rsidR="00A91885" w:rsidRDefault="009C4196">
            <w:pPr>
              <w:textAlignment w:val="bottom"/>
            </w:pPr>
            <w:r>
              <w:rPr>
                <w:rFonts w:ascii="Arial" w:eastAsia="宋体" w:hAnsi="Arial" w:cs="Arial"/>
                <w:color w:val="000000"/>
                <w:sz w:val="18"/>
                <w:szCs w:val="18"/>
              </w:rPr>
              <w:t>Equity investment under the fair value option</w:t>
            </w:r>
          </w:p>
        </w:tc>
        <w:tc>
          <w:tcPr>
            <w:tcW w:w="0" w:type="auto"/>
            <w:gridSpan w:val="2"/>
            <w:shd w:val="clear" w:color="auto" w:fill="FFFFFF"/>
            <w:tcMar>
              <w:top w:w="40" w:type="dxa"/>
              <w:left w:w="20" w:type="dxa"/>
              <w:bottom w:w="40" w:type="dxa"/>
              <w:right w:w="0" w:type="dxa"/>
            </w:tcMar>
            <w:vAlign w:val="bottom"/>
          </w:tcPr>
          <w:p w14:paraId="18600A23" w14:textId="77777777" w:rsidR="00A91885" w:rsidRDefault="009C4196">
            <w:pPr>
              <w:jc w:val="right"/>
              <w:textAlignment w:val="bottom"/>
            </w:pPr>
            <w:r>
              <w:rPr>
                <w:rFonts w:ascii="Arial" w:eastAsia="宋体" w:hAnsi="Arial" w:cs="Arial"/>
                <w:color w:val="000000"/>
                <w:sz w:val="18"/>
                <w:szCs w:val="18"/>
              </w:rPr>
              <w:t>725 </w:t>
            </w:r>
          </w:p>
        </w:tc>
        <w:tc>
          <w:tcPr>
            <w:tcW w:w="0" w:type="auto"/>
            <w:shd w:val="clear" w:color="auto" w:fill="FFFFFF"/>
            <w:tcMar>
              <w:top w:w="40" w:type="dxa"/>
              <w:left w:w="0" w:type="dxa"/>
              <w:bottom w:w="40" w:type="dxa"/>
              <w:right w:w="20" w:type="dxa"/>
            </w:tcMar>
            <w:vAlign w:val="bottom"/>
          </w:tcPr>
          <w:p w14:paraId="18600A2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A2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A26"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A2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A2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A2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A2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A2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A2C" w14:textId="77777777" w:rsidR="00A91885" w:rsidRDefault="009C4196">
            <w:pPr>
              <w:jc w:val="right"/>
              <w:textAlignment w:val="bottom"/>
            </w:pPr>
            <w:r>
              <w:rPr>
                <w:rFonts w:ascii="Arial" w:eastAsia="宋体" w:hAnsi="Arial" w:cs="Arial"/>
                <w:color w:val="000000"/>
                <w:sz w:val="18"/>
                <w:szCs w:val="18"/>
              </w:rPr>
              <w:t>725 </w:t>
            </w:r>
          </w:p>
        </w:tc>
        <w:tc>
          <w:tcPr>
            <w:tcW w:w="0" w:type="auto"/>
            <w:shd w:val="clear" w:color="auto" w:fill="FFFFFF"/>
            <w:tcMar>
              <w:top w:w="40" w:type="dxa"/>
              <w:left w:w="0" w:type="dxa"/>
              <w:bottom w:w="40" w:type="dxa"/>
              <w:right w:w="20" w:type="dxa"/>
            </w:tcMar>
            <w:vAlign w:val="bottom"/>
          </w:tcPr>
          <w:p w14:paraId="18600A2D" w14:textId="77777777" w:rsidR="00A91885" w:rsidRDefault="00A91885">
            <w:pPr>
              <w:jc w:val="right"/>
              <w:rPr>
                <w:rFonts w:ascii="宋体"/>
              </w:rPr>
            </w:pPr>
          </w:p>
        </w:tc>
      </w:tr>
      <w:tr w:rsidR="00A91885" w14:paraId="18600A3B" w14:textId="77777777">
        <w:tc>
          <w:tcPr>
            <w:tcW w:w="0" w:type="auto"/>
            <w:gridSpan w:val="3"/>
            <w:shd w:val="clear" w:color="auto" w:fill="E2E2E2"/>
            <w:tcMar>
              <w:top w:w="40" w:type="dxa"/>
              <w:left w:w="140" w:type="dxa"/>
              <w:bottom w:w="40" w:type="dxa"/>
              <w:right w:w="20" w:type="dxa"/>
            </w:tcMar>
            <w:vAlign w:val="bottom"/>
          </w:tcPr>
          <w:p w14:paraId="18600A2F" w14:textId="77777777" w:rsidR="00A91885" w:rsidRDefault="009C4196">
            <w:pPr>
              <w:textAlignment w:val="bottom"/>
            </w:pPr>
            <w:r>
              <w:rPr>
                <w:rFonts w:ascii="Arial" w:eastAsia="宋体" w:hAnsi="Arial" w:cs="Arial"/>
                <w:color w:val="000000"/>
                <w:sz w:val="18"/>
                <w:szCs w:val="18"/>
              </w:rPr>
              <w:t>Total long-term investments</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0A30" w14:textId="77777777" w:rsidR="00A91885" w:rsidRDefault="009C4196">
            <w:pPr>
              <w:jc w:val="right"/>
              <w:textAlignment w:val="bottom"/>
            </w:pPr>
            <w:r>
              <w:rPr>
                <w:rFonts w:ascii="Arial" w:eastAsia="宋体" w:hAnsi="Arial" w:cs="Arial"/>
                <w:color w:val="000000"/>
                <w:sz w:val="18"/>
                <w:szCs w:val="18"/>
              </w:rPr>
              <w:t>2,452 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A3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A32"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0A33"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A3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A35"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0A36" w14:textId="77777777" w:rsidR="00A91885" w:rsidRDefault="009C4196">
            <w:pPr>
              <w:jc w:val="right"/>
              <w:textAlignment w:val="bottom"/>
            </w:pPr>
            <w:r>
              <w:rPr>
                <w:rFonts w:ascii="Arial" w:eastAsia="宋体" w:hAnsi="Arial" w:cs="Arial"/>
                <w:color w:val="000000"/>
                <w:sz w:val="18"/>
                <w:szCs w:val="18"/>
              </w:rPr>
              <w:t>1,727 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A3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A38"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0A39" w14:textId="77777777" w:rsidR="00A91885" w:rsidRDefault="009C4196">
            <w:pPr>
              <w:jc w:val="right"/>
              <w:textAlignment w:val="bottom"/>
            </w:pPr>
            <w:r>
              <w:rPr>
                <w:rFonts w:ascii="Arial" w:eastAsia="宋体" w:hAnsi="Arial" w:cs="Arial"/>
                <w:color w:val="000000"/>
                <w:sz w:val="18"/>
                <w:szCs w:val="18"/>
              </w:rPr>
              <w:t>725 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A3A" w14:textId="77777777" w:rsidR="00A91885" w:rsidRDefault="00A91885">
            <w:pPr>
              <w:jc w:val="right"/>
              <w:rPr>
                <w:rFonts w:ascii="宋体"/>
              </w:rPr>
            </w:pPr>
          </w:p>
        </w:tc>
      </w:tr>
      <w:tr w:rsidR="00A91885" w14:paraId="18600A4C" w14:textId="77777777">
        <w:tc>
          <w:tcPr>
            <w:tcW w:w="0" w:type="auto"/>
            <w:gridSpan w:val="3"/>
            <w:shd w:val="clear" w:color="auto" w:fill="FFFFFF"/>
            <w:tcMar>
              <w:top w:w="40" w:type="dxa"/>
              <w:left w:w="140" w:type="dxa"/>
              <w:bottom w:w="40" w:type="dxa"/>
              <w:right w:w="20" w:type="dxa"/>
            </w:tcMar>
            <w:vAlign w:val="bottom"/>
          </w:tcPr>
          <w:p w14:paraId="18600A3C" w14:textId="77777777" w:rsidR="00A91885" w:rsidRDefault="009C4196">
            <w:pPr>
              <w:textAlignment w:val="bottom"/>
            </w:pPr>
            <w:r>
              <w:rPr>
                <w:rFonts w:ascii="Arial" w:eastAsia="宋体" w:hAnsi="Arial" w:cs="Arial"/>
                <w:color w:val="000000"/>
                <w:sz w:val="18"/>
                <w:szCs w:val="18"/>
              </w:rPr>
              <w:t>Total financial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18600A3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600A3E" w14:textId="77777777" w:rsidR="00A91885" w:rsidRDefault="009C4196">
            <w:pPr>
              <w:jc w:val="right"/>
              <w:textAlignment w:val="bottom"/>
            </w:pPr>
            <w:r>
              <w:rPr>
                <w:rFonts w:ascii="Arial" w:eastAsia="宋体" w:hAnsi="Arial" w:cs="Arial"/>
                <w:color w:val="000000"/>
                <w:sz w:val="18"/>
                <w:szCs w:val="18"/>
              </w:rPr>
              <w:t>15,719 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A3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A40"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600A4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600A42" w14:textId="77777777" w:rsidR="00A91885" w:rsidRDefault="009C4196">
            <w:pPr>
              <w:jc w:val="right"/>
              <w:textAlignment w:val="bottom"/>
            </w:pPr>
            <w:r>
              <w:rPr>
                <w:rFonts w:ascii="Arial" w:eastAsia="宋体" w:hAnsi="Arial" w:cs="Arial"/>
                <w:color w:val="000000"/>
                <w:sz w:val="18"/>
                <w:szCs w:val="18"/>
              </w:rPr>
              <w:t>8,537 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A4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A44"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600A4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600A46" w14:textId="77777777" w:rsidR="00A91885" w:rsidRDefault="009C4196">
            <w:pPr>
              <w:jc w:val="right"/>
              <w:textAlignment w:val="bottom"/>
            </w:pPr>
            <w:r>
              <w:rPr>
                <w:rFonts w:ascii="Arial" w:eastAsia="宋体" w:hAnsi="Arial" w:cs="Arial"/>
                <w:color w:val="000000"/>
                <w:sz w:val="18"/>
                <w:szCs w:val="18"/>
              </w:rPr>
              <w:t>6,013 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A4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A48" w14:textId="77777777" w:rsidR="00A91885" w:rsidRDefault="00A91885">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18600A4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18600A4A" w14:textId="77777777" w:rsidR="00A91885" w:rsidRDefault="009C4196">
            <w:pPr>
              <w:jc w:val="right"/>
              <w:textAlignment w:val="bottom"/>
            </w:pPr>
            <w:r>
              <w:rPr>
                <w:rFonts w:ascii="Arial" w:eastAsia="宋体" w:hAnsi="Arial" w:cs="Arial"/>
                <w:color w:val="000000"/>
                <w:sz w:val="18"/>
                <w:szCs w:val="18"/>
              </w:rPr>
              <w:t>1,169 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0A4B" w14:textId="77777777" w:rsidR="00A91885" w:rsidRDefault="00A91885">
            <w:pPr>
              <w:jc w:val="right"/>
              <w:rPr>
                <w:rFonts w:ascii="宋体"/>
              </w:rPr>
            </w:pPr>
          </w:p>
        </w:tc>
      </w:tr>
      <w:tr w:rsidR="00A91885" w14:paraId="18600A55" w14:textId="77777777">
        <w:trPr>
          <w:trHeight w:val="280"/>
        </w:trPr>
        <w:tc>
          <w:tcPr>
            <w:tcW w:w="0" w:type="auto"/>
            <w:gridSpan w:val="3"/>
            <w:shd w:val="clear" w:color="auto" w:fill="E2E2E2"/>
            <w:tcMar>
              <w:top w:w="0" w:type="dxa"/>
              <w:left w:w="20" w:type="dxa"/>
              <w:bottom w:w="0" w:type="dxa"/>
              <w:right w:w="20" w:type="dxa"/>
            </w:tcMar>
            <w:vAlign w:val="bottom"/>
          </w:tcPr>
          <w:p w14:paraId="18600A4D"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600A4E"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A4F"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600A50"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A51"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600A52"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0A53" w14:textId="77777777" w:rsidR="00A91885" w:rsidRDefault="00A91885">
            <w:pPr>
              <w:rPr>
                <w:rFonts w:ascii="宋体"/>
              </w:rPr>
            </w:pPr>
          </w:p>
        </w:tc>
        <w:tc>
          <w:tcPr>
            <w:tcW w:w="0" w:type="auto"/>
            <w:gridSpan w:val="3"/>
            <w:tcBorders>
              <w:top w:val="double" w:sz="6" w:space="0" w:color="000000"/>
            </w:tcBorders>
            <w:shd w:val="clear" w:color="auto" w:fill="E2E2E2"/>
            <w:tcMar>
              <w:top w:w="0" w:type="dxa"/>
              <w:left w:w="20" w:type="dxa"/>
              <w:bottom w:w="0" w:type="dxa"/>
              <w:right w:w="20" w:type="dxa"/>
            </w:tcMar>
            <w:vAlign w:val="bottom"/>
          </w:tcPr>
          <w:p w14:paraId="18600A54" w14:textId="77777777" w:rsidR="00A91885" w:rsidRDefault="00A91885">
            <w:pPr>
              <w:rPr>
                <w:rFonts w:ascii="宋体"/>
              </w:rPr>
            </w:pPr>
          </w:p>
        </w:tc>
      </w:tr>
      <w:tr w:rsidR="00A91885" w14:paraId="18600A5E" w14:textId="77777777">
        <w:tc>
          <w:tcPr>
            <w:tcW w:w="0" w:type="auto"/>
            <w:gridSpan w:val="3"/>
            <w:shd w:val="clear" w:color="auto" w:fill="FFFFFF"/>
            <w:tcMar>
              <w:top w:w="40" w:type="dxa"/>
              <w:left w:w="20" w:type="dxa"/>
              <w:bottom w:w="40" w:type="dxa"/>
              <w:right w:w="20" w:type="dxa"/>
            </w:tcMar>
            <w:vAlign w:val="bottom"/>
          </w:tcPr>
          <w:p w14:paraId="18600A56" w14:textId="77777777" w:rsidR="00A91885" w:rsidRDefault="009C4196">
            <w:pPr>
              <w:textAlignment w:val="bottom"/>
            </w:pPr>
            <w:r>
              <w:rPr>
                <w:rFonts w:ascii="Arial" w:eastAsia="宋体" w:hAnsi="Arial" w:cs="Arial"/>
                <w:b/>
                <w:bCs/>
                <w:i/>
                <w:iCs/>
                <w:color w:val="000000"/>
                <w:sz w:val="18"/>
                <w:szCs w:val="18"/>
              </w:rPr>
              <w:t>Liabilities:</w:t>
            </w:r>
          </w:p>
        </w:tc>
        <w:tc>
          <w:tcPr>
            <w:tcW w:w="0" w:type="auto"/>
            <w:gridSpan w:val="3"/>
            <w:shd w:val="clear" w:color="auto" w:fill="FFFFFF"/>
            <w:tcMar>
              <w:top w:w="0" w:type="dxa"/>
              <w:left w:w="20" w:type="dxa"/>
              <w:bottom w:w="0" w:type="dxa"/>
              <w:right w:w="20" w:type="dxa"/>
            </w:tcMar>
            <w:vAlign w:val="bottom"/>
          </w:tcPr>
          <w:p w14:paraId="18600A57"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A58"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A59"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A5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A5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A5C"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A5D" w14:textId="77777777" w:rsidR="00A91885" w:rsidRDefault="00A91885">
            <w:pPr>
              <w:rPr>
                <w:rFonts w:ascii="宋体"/>
              </w:rPr>
            </w:pPr>
          </w:p>
        </w:tc>
      </w:tr>
      <w:tr w:rsidR="00A91885" w14:paraId="18600A6F" w14:textId="77777777">
        <w:tc>
          <w:tcPr>
            <w:tcW w:w="0" w:type="auto"/>
            <w:gridSpan w:val="3"/>
            <w:shd w:val="clear" w:color="auto" w:fill="E2E2E2"/>
            <w:tcMar>
              <w:top w:w="40" w:type="dxa"/>
              <w:left w:w="140" w:type="dxa"/>
              <w:bottom w:w="40" w:type="dxa"/>
              <w:right w:w="20" w:type="dxa"/>
            </w:tcMar>
            <w:vAlign w:val="bottom"/>
          </w:tcPr>
          <w:p w14:paraId="18600A5F" w14:textId="77777777" w:rsidR="00A91885" w:rsidRDefault="009C4196">
            <w:pPr>
              <w:textAlignment w:val="bottom"/>
            </w:pPr>
            <w:r>
              <w:rPr>
                <w:rFonts w:ascii="Arial" w:eastAsia="宋体" w:hAnsi="Arial" w:cs="Arial"/>
                <w:color w:val="000000"/>
                <w:sz w:val="18"/>
                <w:szCs w:val="18"/>
              </w:rPr>
              <w:t>Derivatives</w:t>
            </w:r>
          </w:p>
        </w:tc>
        <w:tc>
          <w:tcPr>
            <w:tcW w:w="0" w:type="auto"/>
            <w:tcBorders>
              <w:bottom w:val="double" w:sz="6" w:space="0" w:color="000000"/>
            </w:tcBorders>
            <w:shd w:val="clear" w:color="auto" w:fill="E2E2E2"/>
            <w:tcMar>
              <w:top w:w="40" w:type="dxa"/>
              <w:left w:w="20" w:type="dxa"/>
              <w:bottom w:w="40" w:type="dxa"/>
              <w:right w:w="0" w:type="dxa"/>
            </w:tcMar>
            <w:vAlign w:val="bottom"/>
          </w:tcPr>
          <w:p w14:paraId="18600A60" w14:textId="77777777" w:rsidR="00A91885" w:rsidRDefault="009C4196">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18600A61" w14:textId="77777777" w:rsidR="00A91885" w:rsidRDefault="009C4196">
            <w:pPr>
              <w:jc w:val="right"/>
              <w:textAlignment w:val="bottom"/>
            </w:pPr>
            <w:r>
              <w:rPr>
                <w:rFonts w:ascii="Arial" w:eastAsia="宋体" w:hAnsi="Arial" w:cs="Arial"/>
                <w:color w:val="000000"/>
                <w:sz w:val="18"/>
                <w:szCs w:val="18"/>
              </w:rPr>
              <w:t>17 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18600A6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A63" w14:textId="77777777" w:rsidR="00A91885" w:rsidRDefault="00A91885">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18600A64" w14:textId="77777777" w:rsidR="00A91885" w:rsidRDefault="009C4196">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18600A65" w14:textId="77777777" w:rsidR="00A91885" w:rsidRDefault="009C4196">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18600A6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A67" w14:textId="77777777" w:rsidR="00A91885" w:rsidRDefault="00A91885">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18600A68" w14:textId="77777777" w:rsidR="00A91885" w:rsidRDefault="009C4196">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18600A69" w14:textId="77777777" w:rsidR="00A91885" w:rsidRDefault="009C4196">
            <w:pPr>
              <w:jc w:val="right"/>
              <w:textAlignment w:val="bottom"/>
            </w:pPr>
            <w:r>
              <w:rPr>
                <w:rFonts w:ascii="Arial" w:eastAsia="宋体" w:hAnsi="Arial" w:cs="Arial"/>
                <w:color w:val="000000"/>
                <w:sz w:val="18"/>
                <w:szCs w:val="18"/>
              </w:rPr>
              <w:t>17 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18600A6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A6B" w14:textId="77777777" w:rsidR="00A91885" w:rsidRDefault="00A91885">
            <w:pPr>
              <w:rPr>
                <w:rFonts w:ascii="宋体"/>
              </w:rPr>
            </w:pPr>
          </w:p>
        </w:tc>
        <w:tc>
          <w:tcPr>
            <w:tcW w:w="0" w:type="auto"/>
            <w:tcBorders>
              <w:bottom w:val="double" w:sz="6" w:space="0" w:color="000000"/>
            </w:tcBorders>
            <w:shd w:val="clear" w:color="auto" w:fill="E2E2E2"/>
            <w:tcMar>
              <w:top w:w="40" w:type="dxa"/>
              <w:left w:w="20" w:type="dxa"/>
              <w:bottom w:w="40" w:type="dxa"/>
              <w:right w:w="0" w:type="dxa"/>
            </w:tcMar>
            <w:vAlign w:val="bottom"/>
          </w:tcPr>
          <w:p w14:paraId="18600A6C" w14:textId="77777777" w:rsidR="00A91885" w:rsidRDefault="009C4196">
            <w:pPr>
              <w:textAlignment w:val="bottom"/>
            </w:pPr>
            <w:r>
              <w:rPr>
                <w:rFonts w:ascii="Arial" w:eastAsia="宋体" w:hAnsi="Arial" w:cs="Arial"/>
                <w:color w:val="000000"/>
                <w:sz w:val="18"/>
                <w:szCs w:val="18"/>
              </w:rPr>
              <w:t>$</w:t>
            </w:r>
          </w:p>
        </w:tc>
        <w:tc>
          <w:tcPr>
            <w:tcW w:w="0" w:type="auto"/>
            <w:tcBorders>
              <w:bottom w:val="double" w:sz="6" w:space="0" w:color="000000"/>
            </w:tcBorders>
            <w:shd w:val="clear" w:color="auto" w:fill="E2E2E2"/>
            <w:tcMar>
              <w:top w:w="40" w:type="dxa"/>
              <w:left w:w="0" w:type="dxa"/>
              <w:bottom w:w="40" w:type="dxa"/>
              <w:right w:w="0" w:type="dxa"/>
            </w:tcMar>
            <w:vAlign w:val="bottom"/>
          </w:tcPr>
          <w:p w14:paraId="18600A6D" w14:textId="77777777" w:rsidR="00A91885" w:rsidRDefault="009C4196">
            <w:pPr>
              <w:jc w:val="right"/>
              <w:textAlignment w:val="bottom"/>
            </w:pPr>
            <w:r>
              <w:rPr>
                <w:rFonts w:ascii="Arial" w:eastAsia="宋体" w:hAnsi="Arial" w:cs="Arial"/>
                <w:color w:val="000000"/>
                <w:sz w:val="18"/>
                <w:szCs w:val="18"/>
              </w:rPr>
              <w:t>— </w:t>
            </w:r>
          </w:p>
        </w:tc>
        <w:tc>
          <w:tcPr>
            <w:tcW w:w="0" w:type="auto"/>
            <w:tcBorders>
              <w:bottom w:val="double" w:sz="6" w:space="0" w:color="000000"/>
            </w:tcBorders>
            <w:shd w:val="clear" w:color="auto" w:fill="E2E2E2"/>
            <w:tcMar>
              <w:top w:w="40" w:type="dxa"/>
              <w:left w:w="0" w:type="dxa"/>
              <w:bottom w:w="40" w:type="dxa"/>
              <w:right w:w="20" w:type="dxa"/>
            </w:tcMar>
            <w:vAlign w:val="bottom"/>
          </w:tcPr>
          <w:p w14:paraId="18600A6E" w14:textId="77777777" w:rsidR="00A91885" w:rsidRDefault="00A91885">
            <w:pPr>
              <w:jc w:val="right"/>
              <w:rPr>
                <w:rFonts w:ascii="宋体"/>
              </w:rPr>
            </w:pPr>
          </w:p>
        </w:tc>
      </w:tr>
    </w:tbl>
    <w:p w14:paraId="18600A70" w14:textId="77777777" w:rsidR="00A91885" w:rsidRDefault="00A91885">
      <w:pPr>
        <w:ind w:firstLine="540"/>
        <w:jc w:val="both"/>
      </w:pPr>
    </w:p>
    <w:p w14:paraId="18600A71" w14:textId="77777777" w:rsidR="00A91885" w:rsidRDefault="009C4196">
      <w:pPr>
        <w:ind w:firstLine="540"/>
        <w:jc w:val="both"/>
      </w:pPr>
      <w:r>
        <w:rPr>
          <w:rFonts w:ascii="Arial" w:eastAsia="宋体" w:hAnsi="Arial" w:cs="Arial"/>
          <w:color w:val="000000"/>
          <w:sz w:val="20"/>
          <w:szCs w:val="20"/>
        </w:rPr>
        <w:t>Our financial assets and liabilities are valued using market prices on both active markets (Level 1), less active markets (Level 2) a</w:t>
      </w:r>
      <w:r>
        <w:rPr>
          <w:rFonts w:ascii="Arial" w:eastAsia="宋体" w:hAnsi="Arial" w:cs="Arial"/>
          <w:color w:val="000000"/>
          <w:sz w:val="20"/>
          <w:szCs w:val="20"/>
        </w:rPr>
        <w:t>nd little or no market activity (Level 3). Level 1 instrument valuations are obtained from real-time quotes for transactions in active exchange markets involving identical assets. Level 2 instrument valuations are obtained from readily available pricing so</w:t>
      </w:r>
      <w:r>
        <w:rPr>
          <w:rFonts w:ascii="Arial" w:eastAsia="宋体" w:hAnsi="Arial" w:cs="Arial"/>
          <w:color w:val="000000"/>
          <w:sz w:val="20"/>
          <w:szCs w:val="20"/>
        </w:rPr>
        <w:t>urces for comparable instruments, identical instruments in less active markets, or models using market observable inputs. Level 3 instrument valuations typically reflect management’s estimate of assumptions that market participants would use in pricing the</w:t>
      </w:r>
      <w:r>
        <w:rPr>
          <w:rFonts w:ascii="Arial" w:eastAsia="宋体" w:hAnsi="Arial" w:cs="Arial"/>
          <w:color w:val="000000"/>
          <w:sz w:val="20"/>
          <w:szCs w:val="20"/>
        </w:rPr>
        <w:t xml:space="preserve"> asset or liability. We did not have any transfers of financial instruments between valuation levels during the three months ended June 30, 2022.</w:t>
      </w:r>
    </w:p>
    <w:p w14:paraId="18600A72" w14:textId="77777777" w:rsidR="00A91885" w:rsidRDefault="00A91885">
      <w:pPr>
        <w:ind w:firstLine="540"/>
        <w:jc w:val="both"/>
      </w:pPr>
    </w:p>
    <w:p w14:paraId="18600A73" w14:textId="77777777" w:rsidR="00A91885" w:rsidRDefault="009C4196">
      <w:pPr>
        <w:ind w:firstLine="540"/>
        <w:jc w:val="both"/>
      </w:pPr>
      <w:r>
        <w:rPr>
          <w:rFonts w:ascii="Arial" w:eastAsia="宋体" w:hAnsi="Arial" w:cs="Arial"/>
          <w:color w:val="000000"/>
          <w:sz w:val="20"/>
          <w:szCs w:val="20"/>
        </w:rPr>
        <w:t>Other financial instruments, including accounts receivable and accounts payable, are carried at cost, which a</w:t>
      </w:r>
      <w:r>
        <w:rPr>
          <w:rFonts w:ascii="Arial" w:eastAsia="宋体" w:hAnsi="Arial" w:cs="Arial"/>
          <w:color w:val="000000"/>
          <w:sz w:val="20"/>
          <w:szCs w:val="20"/>
        </w:rPr>
        <w:t>pproximates their fair value because of the short-term nature of these instruments.</w:t>
      </w:r>
    </w:p>
    <w:p w14:paraId="18600A74" w14:textId="77777777" w:rsidR="00A91885" w:rsidRDefault="00A91885">
      <w:pPr>
        <w:ind w:firstLine="540"/>
        <w:jc w:val="both"/>
      </w:pPr>
    </w:p>
    <w:p w14:paraId="18600A75" w14:textId="77777777" w:rsidR="00A91885" w:rsidRDefault="009C4196">
      <w:pPr>
        <w:ind w:firstLine="540"/>
        <w:jc w:val="both"/>
      </w:pPr>
      <w:r>
        <w:rPr>
          <w:rFonts w:ascii="Arial" w:eastAsia="宋体" w:hAnsi="Arial" w:cs="Arial"/>
          <w:i/>
          <w:iCs/>
          <w:color w:val="000000"/>
          <w:sz w:val="20"/>
          <w:szCs w:val="20"/>
        </w:rPr>
        <w:t>Fair value measurement of derivative instruments</w:t>
      </w:r>
    </w:p>
    <w:p w14:paraId="18600A76" w14:textId="77777777" w:rsidR="00A91885" w:rsidRDefault="00A91885">
      <w:pPr>
        <w:ind w:firstLine="540"/>
        <w:jc w:val="both"/>
      </w:pPr>
    </w:p>
    <w:p w14:paraId="18600A77" w14:textId="77777777" w:rsidR="00A91885" w:rsidRDefault="009C4196">
      <w:pPr>
        <w:ind w:firstLine="540"/>
        <w:jc w:val="both"/>
      </w:pPr>
      <w:r>
        <w:rPr>
          <w:rFonts w:ascii="Arial" w:eastAsia="宋体" w:hAnsi="Arial" w:cs="Arial"/>
          <w:color w:val="000000"/>
          <w:sz w:val="20"/>
          <w:szCs w:val="20"/>
        </w:rPr>
        <w:t xml:space="preserve">The majority of our derivative instruments are valued using pricing models that take into account the contract terms as </w:t>
      </w:r>
      <w:r>
        <w:rPr>
          <w:rFonts w:ascii="Arial" w:eastAsia="宋体" w:hAnsi="Arial" w:cs="Arial"/>
          <w:color w:val="000000"/>
          <w:sz w:val="20"/>
          <w:szCs w:val="20"/>
        </w:rPr>
        <w:t>well as multiple inputs where applicable, such as equity prices, interest rate yield curves, option volatility and currency rates. Our warrant, which is accounted for as a derivative instrument, is valued using a Black-Scholes model. Key assumptions used i</w:t>
      </w:r>
      <w:r>
        <w:rPr>
          <w:rFonts w:ascii="Arial" w:eastAsia="宋体" w:hAnsi="Arial" w:cs="Arial"/>
          <w:color w:val="000000"/>
          <w:sz w:val="20"/>
          <w:szCs w:val="20"/>
        </w:rPr>
        <w:t>n the valuation include risk-free interest rates; Adyen’s common stock price, equity volatility and common stock outstanding; exercise price; and details specific to the warrant. The value is also probability adjusted for management’s assumptions with resp</w:t>
      </w:r>
      <w:r>
        <w:rPr>
          <w:rFonts w:ascii="Arial" w:eastAsia="宋体" w:hAnsi="Arial" w:cs="Arial"/>
          <w:color w:val="000000"/>
          <w:sz w:val="20"/>
          <w:szCs w:val="20"/>
        </w:rPr>
        <w:t>ect to vesting of the remaining three tranches which are each subject to meeting processing volume milestone targets.</w:t>
      </w:r>
      <w:r>
        <w:rPr>
          <w:rFonts w:ascii="Arial" w:eastAsia="宋体" w:hAnsi="Arial" w:cs="Arial"/>
          <w:color w:val="FF0000"/>
          <w:sz w:val="20"/>
          <w:szCs w:val="20"/>
        </w:rPr>
        <w:t xml:space="preserve"> </w:t>
      </w:r>
      <w:r>
        <w:rPr>
          <w:rFonts w:ascii="Arial" w:eastAsia="宋体" w:hAnsi="Arial" w:cs="Arial"/>
          <w:color w:val="000000"/>
          <w:sz w:val="20"/>
          <w:szCs w:val="20"/>
        </w:rPr>
        <w:t>These assumptions and the probability of meeting processing volume milestone targets may have a significant impact on the value of the war</w:t>
      </w:r>
      <w:r>
        <w:rPr>
          <w:rFonts w:ascii="Arial" w:eastAsia="宋体" w:hAnsi="Arial" w:cs="Arial"/>
          <w:color w:val="000000"/>
          <w:sz w:val="20"/>
          <w:szCs w:val="20"/>
        </w:rPr>
        <w:t>rant. Refer to “Note 7 — Derivative Instruments” for further details on our derivative instruments.</w:t>
      </w:r>
    </w:p>
    <w:p w14:paraId="18600A78" w14:textId="77777777" w:rsidR="00A91885" w:rsidRDefault="00A91885">
      <w:pPr>
        <w:ind w:firstLine="540"/>
        <w:jc w:val="both"/>
      </w:pPr>
    </w:p>
    <w:p w14:paraId="18600A79" w14:textId="77777777" w:rsidR="00A91885" w:rsidRDefault="00A91885">
      <w:pPr>
        <w:jc w:val="center"/>
      </w:pPr>
    </w:p>
    <w:p w14:paraId="18600A7A" w14:textId="77777777" w:rsidR="00A91885" w:rsidRDefault="009C4196">
      <w:pPr>
        <w:jc w:val="center"/>
      </w:pPr>
      <w:r>
        <w:rPr>
          <w:rFonts w:ascii="Arial" w:eastAsia="宋体" w:hAnsi="Arial" w:cs="Arial"/>
          <w:color w:val="000000"/>
          <w:sz w:val="20"/>
          <w:szCs w:val="20"/>
        </w:rPr>
        <w:t>29</w:t>
      </w:r>
    </w:p>
    <w:p w14:paraId="18600A7B" w14:textId="77777777" w:rsidR="00A91885" w:rsidRDefault="009C4196">
      <w:r>
        <w:pict w14:anchorId="186021A0">
          <v:rect id="_x0000_i1053" style="width:415.3pt;height:1.5pt" o:hralign="center" o:hrstd="t" o:hr="t" fillcolor="#a0a0a0" stroked="f"/>
        </w:pict>
      </w:r>
    </w:p>
    <w:p w14:paraId="18600A7C" w14:textId="77777777" w:rsidR="00A91885" w:rsidRDefault="009C4196">
      <w:hyperlink r:id="rId113" w:anchor="ieb971428a625452486c65ae24899afca_7" w:history="1">
        <w:r>
          <w:rPr>
            <w:rStyle w:val="a5"/>
            <w:rFonts w:ascii="Arial" w:eastAsia="宋体" w:hAnsi="Arial" w:cs="Arial"/>
            <w:sz w:val="18"/>
            <w:szCs w:val="18"/>
          </w:rPr>
          <w:t>Table of Contents</w:t>
        </w:r>
      </w:hyperlink>
    </w:p>
    <w:p w14:paraId="18600A7D" w14:textId="77777777" w:rsidR="00A91885" w:rsidRDefault="009C4196">
      <w:pPr>
        <w:jc w:val="center"/>
      </w:pPr>
      <w:r>
        <w:rPr>
          <w:rFonts w:ascii="Arial" w:eastAsia="宋体" w:hAnsi="Arial" w:cs="Arial"/>
          <w:b/>
          <w:bCs/>
          <w:color w:val="000000"/>
          <w:sz w:val="20"/>
          <w:szCs w:val="20"/>
        </w:rPr>
        <w:t>eBay Inc.</w:t>
      </w:r>
    </w:p>
    <w:p w14:paraId="18600A7E"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0A7F" w14:textId="77777777" w:rsidR="00A91885" w:rsidRDefault="009C4196">
      <w:pPr>
        <w:spacing w:after="120"/>
        <w:ind w:firstLine="540"/>
        <w:jc w:val="both"/>
      </w:pPr>
      <w:r>
        <w:rPr>
          <w:rFonts w:ascii="Arial" w:eastAsia="宋体" w:hAnsi="Arial" w:cs="Arial"/>
          <w:color w:val="000000"/>
          <w:sz w:val="20"/>
          <w:szCs w:val="20"/>
        </w:rPr>
        <w:t>The follow</w:t>
      </w:r>
      <w:r>
        <w:rPr>
          <w:rFonts w:ascii="Arial" w:eastAsia="宋体" w:hAnsi="Arial" w:cs="Arial"/>
          <w:color w:val="000000"/>
          <w:sz w:val="20"/>
          <w:szCs w:val="20"/>
        </w:rPr>
        <w:t>ing table presents a reconciliation of the opening to closing balance of assets measured using significant unobservable inputs (Level 3) as of the dates indicated (in millions):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94"/>
        <w:gridCol w:w="37"/>
        <w:gridCol w:w="121"/>
        <w:gridCol w:w="1071"/>
        <w:gridCol w:w="36"/>
        <w:gridCol w:w="36"/>
        <w:gridCol w:w="36"/>
        <w:gridCol w:w="36"/>
        <w:gridCol w:w="122"/>
        <w:gridCol w:w="1073"/>
        <w:gridCol w:w="36"/>
      </w:tblGrid>
      <w:tr w:rsidR="00A91885" w14:paraId="18600A8C" w14:textId="77777777">
        <w:trPr>
          <w:jc w:val="center"/>
        </w:trPr>
        <w:tc>
          <w:tcPr>
            <w:tcW w:w="50" w:type="pct"/>
            <w:shd w:val="clear" w:color="auto" w:fill="auto"/>
            <w:vAlign w:val="bottom"/>
          </w:tcPr>
          <w:p w14:paraId="18600A80" w14:textId="77777777" w:rsidR="00A91885" w:rsidRDefault="00A91885">
            <w:pPr>
              <w:rPr>
                <w:rFonts w:ascii="宋体"/>
              </w:rPr>
            </w:pPr>
          </w:p>
        </w:tc>
        <w:tc>
          <w:tcPr>
            <w:tcW w:w="3453" w:type="pct"/>
            <w:shd w:val="clear" w:color="auto" w:fill="auto"/>
            <w:vAlign w:val="bottom"/>
          </w:tcPr>
          <w:p w14:paraId="18600A81" w14:textId="77777777" w:rsidR="00A91885" w:rsidRDefault="00A91885">
            <w:pPr>
              <w:rPr>
                <w:rFonts w:ascii="宋体"/>
              </w:rPr>
            </w:pPr>
          </w:p>
        </w:tc>
        <w:tc>
          <w:tcPr>
            <w:tcW w:w="5" w:type="pct"/>
            <w:shd w:val="clear" w:color="auto" w:fill="auto"/>
            <w:vAlign w:val="bottom"/>
          </w:tcPr>
          <w:p w14:paraId="18600A82" w14:textId="77777777" w:rsidR="00A91885" w:rsidRDefault="00A91885">
            <w:pPr>
              <w:rPr>
                <w:rFonts w:ascii="宋体"/>
              </w:rPr>
            </w:pPr>
          </w:p>
        </w:tc>
        <w:tc>
          <w:tcPr>
            <w:tcW w:w="50" w:type="pct"/>
            <w:shd w:val="clear" w:color="auto" w:fill="auto"/>
            <w:vAlign w:val="bottom"/>
          </w:tcPr>
          <w:p w14:paraId="18600A83" w14:textId="77777777" w:rsidR="00A91885" w:rsidRDefault="00A91885">
            <w:pPr>
              <w:rPr>
                <w:rFonts w:ascii="宋体"/>
              </w:rPr>
            </w:pPr>
          </w:p>
        </w:tc>
        <w:tc>
          <w:tcPr>
            <w:tcW w:w="675" w:type="pct"/>
            <w:shd w:val="clear" w:color="auto" w:fill="auto"/>
            <w:vAlign w:val="bottom"/>
          </w:tcPr>
          <w:p w14:paraId="18600A84" w14:textId="77777777" w:rsidR="00A91885" w:rsidRDefault="00A91885">
            <w:pPr>
              <w:rPr>
                <w:rFonts w:ascii="宋体"/>
              </w:rPr>
            </w:pPr>
          </w:p>
        </w:tc>
        <w:tc>
          <w:tcPr>
            <w:tcW w:w="5" w:type="pct"/>
            <w:shd w:val="clear" w:color="auto" w:fill="auto"/>
            <w:vAlign w:val="bottom"/>
          </w:tcPr>
          <w:p w14:paraId="18600A85" w14:textId="77777777" w:rsidR="00A91885" w:rsidRDefault="00A91885">
            <w:pPr>
              <w:rPr>
                <w:rFonts w:ascii="宋体"/>
              </w:rPr>
            </w:pPr>
          </w:p>
        </w:tc>
        <w:tc>
          <w:tcPr>
            <w:tcW w:w="5" w:type="pct"/>
            <w:shd w:val="clear" w:color="auto" w:fill="auto"/>
            <w:vAlign w:val="bottom"/>
          </w:tcPr>
          <w:p w14:paraId="18600A86" w14:textId="77777777" w:rsidR="00A91885" w:rsidRDefault="00A91885">
            <w:pPr>
              <w:rPr>
                <w:rFonts w:ascii="宋体"/>
              </w:rPr>
            </w:pPr>
          </w:p>
        </w:tc>
        <w:tc>
          <w:tcPr>
            <w:tcW w:w="19" w:type="pct"/>
            <w:shd w:val="clear" w:color="auto" w:fill="auto"/>
            <w:vAlign w:val="bottom"/>
          </w:tcPr>
          <w:p w14:paraId="18600A87" w14:textId="77777777" w:rsidR="00A91885" w:rsidRDefault="00A91885">
            <w:pPr>
              <w:rPr>
                <w:rFonts w:ascii="宋体"/>
              </w:rPr>
            </w:pPr>
          </w:p>
        </w:tc>
        <w:tc>
          <w:tcPr>
            <w:tcW w:w="5" w:type="pct"/>
            <w:shd w:val="clear" w:color="auto" w:fill="auto"/>
            <w:vAlign w:val="bottom"/>
          </w:tcPr>
          <w:p w14:paraId="18600A88" w14:textId="77777777" w:rsidR="00A91885" w:rsidRDefault="00A91885">
            <w:pPr>
              <w:rPr>
                <w:rFonts w:ascii="宋体"/>
              </w:rPr>
            </w:pPr>
          </w:p>
        </w:tc>
        <w:tc>
          <w:tcPr>
            <w:tcW w:w="50" w:type="pct"/>
            <w:shd w:val="clear" w:color="auto" w:fill="auto"/>
            <w:vAlign w:val="bottom"/>
          </w:tcPr>
          <w:p w14:paraId="18600A89" w14:textId="77777777" w:rsidR="00A91885" w:rsidRDefault="00A91885">
            <w:pPr>
              <w:rPr>
                <w:rFonts w:ascii="宋体"/>
              </w:rPr>
            </w:pPr>
          </w:p>
        </w:tc>
        <w:tc>
          <w:tcPr>
            <w:tcW w:w="676" w:type="pct"/>
            <w:shd w:val="clear" w:color="auto" w:fill="auto"/>
            <w:vAlign w:val="bottom"/>
          </w:tcPr>
          <w:p w14:paraId="18600A8A" w14:textId="77777777" w:rsidR="00A91885" w:rsidRDefault="00A91885">
            <w:pPr>
              <w:rPr>
                <w:rFonts w:ascii="宋体"/>
              </w:rPr>
            </w:pPr>
          </w:p>
        </w:tc>
        <w:tc>
          <w:tcPr>
            <w:tcW w:w="5" w:type="pct"/>
            <w:shd w:val="clear" w:color="auto" w:fill="auto"/>
            <w:vAlign w:val="bottom"/>
          </w:tcPr>
          <w:p w14:paraId="18600A8B" w14:textId="77777777" w:rsidR="00A91885" w:rsidRDefault="00A91885">
            <w:pPr>
              <w:rPr>
                <w:rFonts w:ascii="宋体"/>
              </w:rPr>
            </w:pPr>
          </w:p>
        </w:tc>
      </w:tr>
      <w:tr w:rsidR="00A91885" w14:paraId="18600A91" w14:textId="77777777">
        <w:trPr>
          <w:jc w:val="center"/>
        </w:trPr>
        <w:tc>
          <w:tcPr>
            <w:tcW w:w="0" w:type="auto"/>
            <w:gridSpan w:val="3"/>
            <w:shd w:val="clear" w:color="auto" w:fill="auto"/>
            <w:tcMar>
              <w:top w:w="0" w:type="dxa"/>
              <w:left w:w="20" w:type="dxa"/>
              <w:bottom w:w="0" w:type="dxa"/>
              <w:right w:w="20" w:type="dxa"/>
            </w:tcMar>
            <w:vAlign w:val="bottom"/>
          </w:tcPr>
          <w:p w14:paraId="18600A8D"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A8E" w14:textId="77777777" w:rsidR="00A91885" w:rsidRDefault="009C4196">
            <w:pPr>
              <w:jc w:val="center"/>
              <w:textAlignment w:val="bottom"/>
            </w:pPr>
            <w:r>
              <w:rPr>
                <w:rFonts w:ascii="Arial" w:eastAsia="宋体" w:hAnsi="Arial" w:cs="Arial"/>
                <w:b/>
                <w:bCs/>
                <w:color w:val="000000"/>
                <w:sz w:val="17"/>
                <w:szCs w:val="17"/>
              </w:rPr>
              <w:t>June 30,</w:t>
            </w:r>
            <w:r>
              <w:rPr>
                <w:rFonts w:ascii="Arial" w:eastAsia="宋体" w:hAnsi="Arial" w:cs="Arial"/>
                <w:b/>
                <w:bCs/>
                <w:color w:val="000000"/>
                <w:sz w:val="17"/>
                <w:szCs w:val="17"/>
              </w:rPr>
              <w:br/>
              <w:t>2022</w:t>
            </w:r>
          </w:p>
        </w:tc>
        <w:tc>
          <w:tcPr>
            <w:tcW w:w="0" w:type="auto"/>
            <w:gridSpan w:val="3"/>
            <w:shd w:val="clear" w:color="auto" w:fill="auto"/>
            <w:tcMar>
              <w:top w:w="0" w:type="dxa"/>
              <w:left w:w="20" w:type="dxa"/>
              <w:bottom w:w="0" w:type="dxa"/>
              <w:right w:w="20" w:type="dxa"/>
            </w:tcMar>
            <w:vAlign w:val="bottom"/>
          </w:tcPr>
          <w:p w14:paraId="18600A8F"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A90" w14:textId="77777777" w:rsidR="00A91885" w:rsidRDefault="009C4196">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r>
      <w:tr w:rsidR="00A91885" w14:paraId="18600A9A" w14:textId="77777777">
        <w:trPr>
          <w:jc w:val="center"/>
        </w:trPr>
        <w:tc>
          <w:tcPr>
            <w:tcW w:w="0" w:type="auto"/>
            <w:gridSpan w:val="3"/>
            <w:shd w:val="clear" w:color="auto" w:fill="E2E2E2"/>
            <w:tcMar>
              <w:top w:w="40" w:type="dxa"/>
              <w:left w:w="20" w:type="dxa"/>
              <w:bottom w:w="40" w:type="dxa"/>
              <w:right w:w="20" w:type="dxa"/>
            </w:tcMar>
            <w:vAlign w:val="bottom"/>
          </w:tcPr>
          <w:p w14:paraId="18600A92" w14:textId="77777777" w:rsidR="00A91885" w:rsidRDefault="009C4196">
            <w:pPr>
              <w:textAlignment w:val="bottom"/>
            </w:pPr>
            <w:r>
              <w:rPr>
                <w:rFonts w:ascii="Arial" w:eastAsia="宋体" w:hAnsi="Arial" w:cs="Arial"/>
                <w:color w:val="000000"/>
                <w:sz w:val="18"/>
                <w:szCs w:val="18"/>
              </w:rPr>
              <w:t xml:space="preserve">Opening balance at </w:t>
            </w:r>
            <w:r>
              <w:rPr>
                <w:rFonts w:ascii="Arial" w:eastAsia="宋体" w:hAnsi="Arial" w:cs="Arial"/>
                <w:color w:val="000000"/>
                <w:sz w:val="18"/>
                <w:szCs w:val="18"/>
              </w:rPr>
              <w:t>beginning of period</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0A9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A94" w14:textId="77777777" w:rsidR="00A91885" w:rsidRDefault="009C4196">
            <w:pPr>
              <w:jc w:val="right"/>
              <w:textAlignment w:val="bottom"/>
            </w:pPr>
            <w:r>
              <w:rPr>
                <w:rFonts w:ascii="Arial" w:eastAsia="宋体" w:hAnsi="Arial" w:cs="Arial"/>
                <w:color w:val="000000"/>
                <w:sz w:val="18"/>
                <w:szCs w:val="18"/>
              </w:rPr>
              <w:t>444 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A9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A96"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A97"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A98" w14:textId="77777777" w:rsidR="00A91885" w:rsidRDefault="009C4196">
            <w:pPr>
              <w:jc w:val="right"/>
              <w:textAlignment w:val="bottom"/>
            </w:pPr>
            <w:r>
              <w:rPr>
                <w:rFonts w:ascii="Arial" w:eastAsia="宋体" w:hAnsi="Arial" w:cs="Arial"/>
                <w:color w:val="000000"/>
                <w:sz w:val="18"/>
                <w:szCs w:val="18"/>
              </w:rPr>
              <w:t>1,051 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A99" w14:textId="77777777" w:rsidR="00A91885" w:rsidRDefault="00A91885">
            <w:pPr>
              <w:jc w:val="right"/>
              <w:rPr>
                <w:rFonts w:ascii="宋体"/>
              </w:rPr>
            </w:pPr>
          </w:p>
        </w:tc>
      </w:tr>
      <w:tr w:rsidR="00A91885" w14:paraId="18600AA1" w14:textId="77777777">
        <w:trPr>
          <w:jc w:val="center"/>
        </w:trPr>
        <w:tc>
          <w:tcPr>
            <w:tcW w:w="0" w:type="auto"/>
            <w:gridSpan w:val="3"/>
            <w:shd w:val="clear" w:color="auto" w:fill="FFFFFF"/>
            <w:tcMar>
              <w:top w:w="40" w:type="dxa"/>
              <w:left w:w="245" w:type="dxa"/>
              <w:bottom w:w="40" w:type="dxa"/>
              <w:right w:w="20" w:type="dxa"/>
            </w:tcMar>
            <w:vAlign w:val="bottom"/>
          </w:tcPr>
          <w:p w14:paraId="18600A9B" w14:textId="77777777" w:rsidR="00A91885" w:rsidRDefault="009C4196">
            <w:pPr>
              <w:textAlignment w:val="bottom"/>
            </w:pPr>
            <w:r>
              <w:rPr>
                <w:rFonts w:ascii="Arial" w:eastAsia="宋体" w:hAnsi="Arial" w:cs="Arial"/>
                <w:color w:val="000000"/>
                <w:sz w:val="18"/>
                <w:szCs w:val="18"/>
              </w:rPr>
              <w:t>Exercise of options under warrant</w:t>
            </w:r>
          </w:p>
        </w:tc>
        <w:tc>
          <w:tcPr>
            <w:tcW w:w="0" w:type="auto"/>
            <w:gridSpan w:val="2"/>
            <w:shd w:val="clear" w:color="auto" w:fill="FFFFFF"/>
            <w:tcMar>
              <w:top w:w="40" w:type="dxa"/>
              <w:left w:w="20" w:type="dxa"/>
              <w:bottom w:w="40" w:type="dxa"/>
              <w:right w:w="0" w:type="dxa"/>
            </w:tcMar>
            <w:vAlign w:val="bottom"/>
          </w:tcPr>
          <w:p w14:paraId="18600A9C"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A9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A9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A9F" w14:textId="77777777" w:rsidR="00A91885" w:rsidRDefault="009C4196">
            <w:pPr>
              <w:jc w:val="right"/>
              <w:textAlignment w:val="bottom"/>
            </w:pPr>
            <w:r>
              <w:rPr>
                <w:rFonts w:ascii="Arial" w:eastAsia="宋体" w:hAnsi="Arial" w:cs="Arial"/>
                <w:color w:val="000000"/>
                <w:sz w:val="18"/>
                <w:szCs w:val="18"/>
              </w:rPr>
              <w:t>(961)</w:t>
            </w:r>
          </w:p>
        </w:tc>
        <w:tc>
          <w:tcPr>
            <w:tcW w:w="0" w:type="auto"/>
            <w:shd w:val="clear" w:color="auto" w:fill="FFFFFF"/>
            <w:tcMar>
              <w:top w:w="40" w:type="dxa"/>
              <w:left w:w="0" w:type="dxa"/>
              <w:bottom w:w="40" w:type="dxa"/>
              <w:right w:w="20" w:type="dxa"/>
            </w:tcMar>
            <w:vAlign w:val="bottom"/>
          </w:tcPr>
          <w:p w14:paraId="18600AA0" w14:textId="77777777" w:rsidR="00A91885" w:rsidRDefault="00A91885">
            <w:pPr>
              <w:jc w:val="right"/>
              <w:rPr>
                <w:rFonts w:ascii="宋体"/>
              </w:rPr>
            </w:pPr>
          </w:p>
        </w:tc>
      </w:tr>
      <w:tr w:rsidR="00A91885" w14:paraId="18600AA8" w14:textId="77777777">
        <w:trPr>
          <w:jc w:val="center"/>
        </w:trPr>
        <w:tc>
          <w:tcPr>
            <w:tcW w:w="0" w:type="auto"/>
            <w:gridSpan w:val="3"/>
            <w:shd w:val="clear" w:color="auto" w:fill="E2E2E2"/>
            <w:tcMar>
              <w:top w:w="40" w:type="dxa"/>
              <w:left w:w="245" w:type="dxa"/>
              <w:bottom w:w="40" w:type="dxa"/>
              <w:right w:w="20" w:type="dxa"/>
            </w:tcMar>
            <w:vAlign w:val="bottom"/>
          </w:tcPr>
          <w:p w14:paraId="18600AA2" w14:textId="77777777" w:rsidR="00A91885" w:rsidRDefault="009C4196">
            <w:pPr>
              <w:textAlignment w:val="bottom"/>
            </w:pPr>
            <w:r>
              <w:rPr>
                <w:rFonts w:ascii="Arial" w:eastAsia="宋体" w:hAnsi="Arial" w:cs="Arial"/>
                <w:color w:val="000000"/>
                <w:sz w:val="18"/>
                <w:szCs w:val="18"/>
              </w:rPr>
              <w:t>Change in fair value</w:t>
            </w:r>
          </w:p>
        </w:tc>
        <w:tc>
          <w:tcPr>
            <w:tcW w:w="0" w:type="auto"/>
            <w:gridSpan w:val="2"/>
            <w:shd w:val="clear" w:color="auto" w:fill="E2E2E2"/>
            <w:tcMar>
              <w:top w:w="40" w:type="dxa"/>
              <w:left w:w="20" w:type="dxa"/>
              <w:bottom w:w="40" w:type="dxa"/>
              <w:right w:w="0" w:type="dxa"/>
            </w:tcMar>
            <w:vAlign w:val="bottom"/>
          </w:tcPr>
          <w:p w14:paraId="18600AA3" w14:textId="77777777" w:rsidR="00A91885" w:rsidRDefault="009C4196">
            <w:pPr>
              <w:jc w:val="right"/>
              <w:textAlignment w:val="bottom"/>
            </w:pPr>
            <w:r>
              <w:rPr>
                <w:rFonts w:ascii="Arial" w:eastAsia="宋体" w:hAnsi="Arial" w:cs="Arial"/>
                <w:color w:val="000000"/>
                <w:sz w:val="18"/>
                <w:szCs w:val="18"/>
              </w:rPr>
              <w:t>(219)</w:t>
            </w:r>
          </w:p>
        </w:tc>
        <w:tc>
          <w:tcPr>
            <w:tcW w:w="0" w:type="auto"/>
            <w:shd w:val="clear" w:color="auto" w:fill="E2E2E2"/>
            <w:tcMar>
              <w:top w:w="40" w:type="dxa"/>
              <w:left w:w="0" w:type="dxa"/>
              <w:bottom w:w="40" w:type="dxa"/>
              <w:right w:w="20" w:type="dxa"/>
            </w:tcMar>
            <w:vAlign w:val="bottom"/>
          </w:tcPr>
          <w:p w14:paraId="18600AA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AA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AA6" w14:textId="77777777" w:rsidR="00A91885" w:rsidRDefault="009C4196">
            <w:pPr>
              <w:jc w:val="right"/>
              <w:textAlignment w:val="bottom"/>
            </w:pPr>
            <w:r>
              <w:rPr>
                <w:rFonts w:ascii="Arial" w:eastAsia="宋体" w:hAnsi="Arial" w:cs="Arial"/>
                <w:color w:val="000000"/>
                <w:sz w:val="18"/>
                <w:szCs w:val="18"/>
              </w:rPr>
              <w:t>354 </w:t>
            </w:r>
          </w:p>
        </w:tc>
        <w:tc>
          <w:tcPr>
            <w:tcW w:w="0" w:type="auto"/>
            <w:shd w:val="clear" w:color="auto" w:fill="E2E2E2"/>
            <w:tcMar>
              <w:top w:w="40" w:type="dxa"/>
              <w:left w:w="0" w:type="dxa"/>
              <w:bottom w:w="40" w:type="dxa"/>
              <w:right w:w="20" w:type="dxa"/>
            </w:tcMar>
            <w:vAlign w:val="bottom"/>
          </w:tcPr>
          <w:p w14:paraId="18600AA7" w14:textId="77777777" w:rsidR="00A91885" w:rsidRDefault="00A91885">
            <w:pPr>
              <w:jc w:val="right"/>
              <w:rPr>
                <w:rFonts w:ascii="宋体"/>
              </w:rPr>
            </w:pPr>
          </w:p>
        </w:tc>
      </w:tr>
      <w:tr w:rsidR="00A91885" w14:paraId="18600AB1" w14:textId="77777777">
        <w:trPr>
          <w:jc w:val="center"/>
        </w:trPr>
        <w:tc>
          <w:tcPr>
            <w:tcW w:w="0" w:type="auto"/>
            <w:gridSpan w:val="3"/>
            <w:shd w:val="clear" w:color="auto" w:fill="FFFFFF"/>
            <w:tcMar>
              <w:top w:w="40" w:type="dxa"/>
              <w:left w:w="20" w:type="dxa"/>
              <w:bottom w:w="40" w:type="dxa"/>
              <w:right w:w="20" w:type="dxa"/>
            </w:tcMar>
            <w:vAlign w:val="bottom"/>
          </w:tcPr>
          <w:p w14:paraId="18600AA9" w14:textId="77777777" w:rsidR="00A91885" w:rsidRDefault="009C4196">
            <w:pPr>
              <w:textAlignment w:val="bottom"/>
            </w:pPr>
            <w:r>
              <w:rPr>
                <w:rFonts w:ascii="Arial" w:eastAsia="宋体" w:hAnsi="Arial" w:cs="Arial"/>
                <w:color w:val="000000"/>
                <w:sz w:val="18"/>
                <w:szCs w:val="18"/>
              </w:rPr>
              <w:t>Closing balance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AA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AAB" w14:textId="77777777" w:rsidR="00A91885" w:rsidRDefault="009C4196">
            <w:pPr>
              <w:jc w:val="right"/>
              <w:textAlignment w:val="bottom"/>
            </w:pPr>
            <w:r>
              <w:rPr>
                <w:rFonts w:ascii="Arial" w:eastAsia="宋体" w:hAnsi="Arial" w:cs="Arial"/>
                <w:color w:val="000000"/>
                <w:sz w:val="18"/>
                <w:szCs w:val="18"/>
              </w:rPr>
              <w:t>225 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AA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AAD"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AA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AAF" w14:textId="77777777" w:rsidR="00A91885" w:rsidRDefault="009C4196">
            <w:pPr>
              <w:jc w:val="right"/>
              <w:textAlignment w:val="bottom"/>
            </w:pPr>
            <w:r>
              <w:rPr>
                <w:rFonts w:ascii="Arial" w:eastAsia="宋体" w:hAnsi="Arial" w:cs="Arial"/>
                <w:color w:val="000000"/>
                <w:sz w:val="18"/>
                <w:szCs w:val="18"/>
              </w:rPr>
              <w:t>444 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AB0" w14:textId="77777777" w:rsidR="00A91885" w:rsidRDefault="00A91885">
            <w:pPr>
              <w:jc w:val="right"/>
              <w:rPr>
                <w:rFonts w:ascii="宋体"/>
              </w:rPr>
            </w:pPr>
          </w:p>
        </w:tc>
      </w:tr>
    </w:tbl>
    <w:p w14:paraId="18600AB2" w14:textId="77777777" w:rsidR="00A91885" w:rsidRDefault="00A91885">
      <w:pPr>
        <w:ind w:firstLine="540"/>
      </w:pPr>
    </w:p>
    <w:p w14:paraId="18600AB3" w14:textId="77777777" w:rsidR="00A91885" w:rsidRDefault="009C4196">
      <w:pPr>
        <w:spacing w:after="120"/>
        <w:ind w:firstLine="540"/>
        <w:jc w:val="both"/>
      </w:pPr>
      <w:r>
        <w:rPr>
          <w:rFonts w:ascii="Arial" w:eastAsia="宋体" w:hAnsi="Arial" w:cs="Arial"/>
          <w:color w:val="000000"/>
          <w:sz w:val="20"/>
          <w:szCs w:val="20"/>
        </w:rPr>
        <w:t xml:space="preserve">The following table presents quantitative information about Level 3 </w:t>
      </w:r>
      <w:r>
        <w:rPr>
          <w:rFonts w:ascii="Arial" w:eastAsia="宋体" w:hAnsi="Arial" w:cs="Arial"/>
          <w:color w:val="000000"/>
          <w:sz w:val="20"/>
          <w:szCs w:val="20"/>
        </w:rPr>
        <w:t>significant unobservable inputs used in the fair value measurement of the warrant as of June 30, 2022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1520"/>
        <w:gridCol w:w="36"/>
        <w:gridCol w:w="36"/>
        <w:gridCol w:w="36"/>
        <w:gridCol w:w="36"/>
        <w:gridCol w:w="121"/>
        <w:gridCol w:w="1483"/>
        <w:gridCol w:w="36"/>
        <w:gridCol w:w="36"/>
        <w:gridCol w:w="36"/>
        <w:gridCol w:w="36"/>
        <w:gridCol w:w="61"/>
        <w:gridCol w:w="1459"/>
        <w:gridCol w:w="37"/>
        <w:gridCol w:w="36"/>
        <w:gridCol w:w="36"/>
        <w:gridCol w:w="36"/>
        <w:gridCol w:w="60"/>
        <w:gridCol w:w="1460"/>
        <w:gridCol w:w="36"/>
        <w:gridCol w:w="36"/>
        <w:gridCol w:w="36"/>
        <w:gridCol w:w="36"/>
        <w:gridCol w:w="43"/>
        <w:gridCol w:w="1479"/>
        <w:gridCol w:w="36"/>
      </w:tblGrid>
      <w:tr w:rsidR="00A91885" w14:paraId="18600ACF" w14:textId="77777777">
        <w:tc>
          <w:tcPr>
            <w:tcW w:w="50" w:type="pct"/>
            <w:shd w:val="clear" w:color="auto" w:fill="auto"/>
            <w:vAlign w:val="bottom"/>
          </w:tcPr>
          <w:p w14:paraId="18600AB4" w14:textId="77777777" w:rsidR="00A91885" w:rsidRDefault="00A91885">
            <w:pPr>
              <w:rPr>
                <w:rFonts w:ascii="宋体"/>
              </w:rPr>
            </w:pPr>
          </w:p>
        </w:tc>
        <w:tc>
          <w:tcPr>
            <w:tcW w:w="939" w:type="pct"/>
            <w:shd w:val="clear" w:color="auto" w:fill="auto"/>
            <w:vAlign w:val="bottom"/>
          </w:tcPr>
          <w:p w14:paraId="18600AB5" w14:textId="77777777" w:rsidR="00A91885" w:rsidRDefault="00A91885">
            <w:pPr>
              <w:rPr>
                <w:rFonts w:ascii="宋体"/>
              </w:rPr>
            </w:pPr>
          </w:p>
        </w:tc>
        <w:tc>
          <w:tcPr>
            <w:tcW w:w="5" w:type="pct"/>
            <w:shd w:val="clear" w:color="auto" w:fill="auto"/>
            <w:vAlign w:val="bottom"/>
          </w:tcPr>
          <w:p w14:paraId="18600AB6" w14:textId="77777777" w:rsidR="00A91885" w:rsidRDefault="00A91885">
            <w:pPr>
              <w:rPr>
                <w:rFonts w:ascii="宋体"/>
              </w:rPr>
            </w:pPr>
          </w:p>
        </w:tc>
        <w:tc>
          <w:tcPr>
            <w:tcW w:w="5" w:type="pct"/>
            <w:shd w:val="clear" w:color="auto" w:fill="auto"/>
            <w:vAlign w:val="bottom"/>
          </w:tcPr>
          <w:p w14:paraId="18600AB7" w14:textId="77777777" w:rsidR="00A91885" w:rsidRDefault="00A91885">
            <w:pPr>
              <w:rPr>
                <w:rFonts w:ascii="宋体"/>
              </w:rPr>
            </w:pPr>
          </w:p>
        </w:tc>
        <w:tc>
          <w:tcPr>
            <w:tcW w:w="19" w:type="pct"/>
            <w:shd w:val="clear" w:color="auto" w:fill="auto"/>
            <w:vAlign w:val="bottom"/>
          </w:tcPr>
          <w:p w14:paraId="18600AB8" w14:textId="77777777" w:rsidR="00A91885" w:rsidRDefault="00A91885">
            <w:pPr>
              <w:rPr>
                <w:rFonts w:ascii="宋体"/>
              </w:rPr>
            </w:pPr>
          </w:p>
        </w:tc>
        <w:tc>
          <w:tcPr>
            <w:tcW w:w="5" w:type="pct"/>
            <w:shd w:val="clear" w:color="auto" w:fill="auto"/>
            <w:vAlign w:val="bottom"/>
          </w:tcPr>
          <w:p w14:paraId="18600AB9" w14:textId="77777777" w:rsidR="00A91885" w:rsidRDefault="00A91885">
            <w:pPr>
              <w:rPr>
                <w:rFonts w:ascii="宋体"/>
              </w:rPr>
            </w:pPr>
          </w:p>
        </w:tc>
        <w:tc>
          <w:tcPr>
            <w:tcW w:w="50" w:type="pct"/>
            <w:shd w:val="clear" w:color="auto" w:fill="auto"/>
            <w:vAlign w:val="bottom"/>
          </w:tcPr>
          <w:p w14:paraId="18600ABA" w14:textId="77777777" w:rsidR="00A91885" w:rsidRDefault="00A91885">
            <w:pPr>
              <w:rPr>
                <w:rFonts w:ascii="宋体"/>
              </w:rPr>
            </w:pPr>
          </w:p>
        </w:tc>
        <w:tc>
          <w:tcPr>
            <w:tcW w:w="917" w:type="pct"/>
            <w:shd w:val="clear" w:color="auto" w:fill="auto"/>
            <w:vAlign w:val="bottom"/>
          </w:tcPr>
          <w:p w14:paraId="18600ABB" w14:textId="77777777" w:rsidR="00A91885" w:rsidRDefault="00A91885">
            <w:pPr>
              <w:rPr>
                <w:rFonts w:ascii="宋体"/>
              </w:rPr>
            </w:pPr>
          </w:p>
        </w:tc>
        <w:tc>
          <w:tcPr>
            <w:tcW w:w="5" w:type="pct"/>
            <w:shd w:val="clear" w:color="auto" w:fill="auto"/>
            <w:vAlign w:val="bottom"/>
          </w:tcPr>
          <w:p w14:paraId="18600ABC" w14:textId="77777777" w:rsidR="00A91885" w:rsidRDefault="00A91885">
            <w:pPr>
              <w:rPr>
                <w:rFonts w:ascii="宋体"/>
              </w:rPr>
            </w:pPr>
          </w:p>
        </w:tc>
        <w:tc>
          <w:tcPr>
            <w:tcW w:w="5" w:type="pct"/>
            <w:shd w:val="clear" w:color="auto" w:fill="auto"/>
            <w:vAlign w:val="bottom"/>
          </w:tcPr>
          <w:p w14:paraId="18600ABD" w14:textId="77777777" w:rsidR="00A91885" w:rsidRDefault="00A91885">
            <w:pPr>
              <w:rPr>
                <w:rFonts w:ascii="宋体"/>
              </w:rPr>
            </w:pPr>
          </w:p>
        </w:tc>
        <w:tc>
          <w:tcPr>
            <w:tcW w:w="19" w:type="pct"/>
            <w:shd w:val="clear" w:color="auto" w:fill="auto"/>
            <w:vAlign w:val="bottom"/>
          </w:tcPr>
          <w:p w14:paraId="18600ABE" w14:textId="77777777" w:rsidR="00A91885" w:rsidRDefault="00A91885">
            <w:pPr>
              <w:rPr>
                <w:rFonts w:ascii="宋体"/>
              </w:rPr>
            </w:pPr>
          </w:p>
        </w:tc>
        <w:tc>
          <w:tcPr>
            <w:tcW w:w="5" w:type="pct"/>
            <w:shd w:val="clear" w:color="auto" w:fill="auto"/>
            <w:vAlign w:val="bottom"/>
          </w:tcPr>
          <w:p w14:paraId="18600ABF" w14:textId="77777777" w:rsidR="00A91885" w:rsidRDefault="00A91885">
            <w:pPr>
              <w:rPr>
                <w:rFonts w:ascii="宋体"/>
              </w:rPr>
            </w:pPr>
          </w:p>
        </w:tc>
        <w:tc>
          <w:tcPr>
            <w:tcW w:w="50" w:type="pct"/>
            <w:shd w:val="clear" w:color="auto" w:fill="auto"/>
            <w:vAlign w:val="bottom"/>
          </w:tcPr>
          <w:p w14:paraId="18600AC0" w14:textId="77777777" w:rsidR="00A91885" w:rsidRDefault="00A91885">
            <w:pPr>
              <w:rPr>
                <w:rFonts w:ascii="宋体"/>
              </w:rPr>
            </w:pPr>
          </w:p>
        </w:tc>
        <w:tc>
          <w:tcPr>
            <w:tcW w:w="917" w:type="pct"/>
            <w:shd w:val="clear" w:color="auto" w:fill="auto"/>
            <w:vAlign w:val="bottom"/>
          </w:tcPr>
          <w:p w14:paraId="18600AC1" w14:textId="77777777" w:rsidR="00A91885" w:rsidRDefault="00A91885">
            <w:pPr>
              <w:rPr>
                <w:rFonts w:ascii="宋体"/>
              </w:rPr>
            </w:pPr>
          </w:p>
        </w:tc>
        <w:tc>
          <w:tcPr>
            <w:tcW w:w="5" w:type="pct"/>
            <w:shd w:val="clear" w:color="auto" w:fill="auto"/>
            <w:vAlign w:val="bottom"/>
          </w:tcPr>
          <w:p w14:paraId="18600AC2" w14:textId="77777777" w:rsidR="00A91885" w:rsidRDefault="00A91885">
            <w:pPr>
              <w:rPr>
                <w:rFonts w:ascii="宋体"/>
              </w:rPr>
            </w:pPr>
          </w:p>
        </w:tc>
        <w:tc>
          <w:tcPr>
            <w:tcW w:w="5" w:type="pct"/>
            <w:shd w:val="clear" w:color="auto" w:fill="auto"/>
            <w:vAlign w:val="bottom"/>
          </w:tcPr>
          <w:p w14:paraId="18600AC3" w14:textId="77777777" w:rsidR="00A91885" w:rsidRDefault="00A91885">
            <w:pPr>
              <w:rPr>
                <w:rFonts w:ascii="宋体"/>
              </w:rPr>
            </w:pPr>
          </w:p>
        </w:tc>
        <w:tc>
          <w:tcPr>
            <w:tcW w:w="19" w:type="pct"/>
            <w:shd w:val="clear" w:color="auto" w:fill="auto"/>
            <w:vAlign w:val="bottom"/>
          </w:tcPr>
          <w:p w14:paraId="18600AC4" w14:textId="77777777" w:rsidR="00A91885" w:rsidRDefault="00A91885">
            <w:pPr>
              <w:rPr>
                <w:rFonts w:ascii="宋体"/>
              </w:rPr>
            </w:pPr>
          </w:p>
        </w:tc>
        <w:tc>
          <w:tcPr>
            <w:tcW w:w="5" w:type="pct"/>
            <w:shd w:val="clear" w:color="auto" w:fill="auto"/>
            <w:vAlign w:val="bottom"/>
          </w:tcPr>
          <w:p w14:paraId="18600AC5" w14:textId="77777777" w:rsidR="00A91885" w:rsidRDefault="00A91885">
            <w:pPr>
              <w:rPr>
                <w:rFonts w:ascii="宋体"/>
              </w:rPr>
            </w:pPr>
          </w:p>
        </w:tc>
        <w:tc>
          <w:tcPr>
            <w:tcW w:w="50" w:type="pct"/>
            <w:shd w:val="clear" w:color="auto" w:fill="auto"/>
            <w:vAlign w:val="bottom"/>
          </w:tcPr>
          <w:p w14:paraId="18600AC6" w14:textId="77777777" w:rsidR="00A91885" w:rsidRDefault="00A91885">
            <w:pPr>
              <w:rPr>
                <w:rFonts w:ascii="宋体"/>
              </w:rPr>
            </w:pPr>
          </w:p>
        </w:tc>
        <w:tc>
          <w:tcPr>
            <w:tcW w:w="917" w:type="pct"/>
            <w:shd w:val="clear" w:color="auto" w:fill="auto"/>
            <w:vAlign w:val="bottom"/>
          </w:tcPr>
          <w:p w14:paraId="18600AC7" w14:textId="77777777" w:rsidR="00A91885" w:rsidRDefault="00A91885">
            <w:pPr>
              <w:rPr>
                <w:rFonts w:ascii="宋体"/>
              </w:rPr>
            </w:pPr>
          </w:p>
        </w:tc>
        <w:tc>
          <w:tcPr>
            <w:tcW w:w="5" w:type="pct"/>
            <w:shd w:val="clear" w:color="auto" w:fill="auto"/>
            <w:vAlign w:val="bottom"/>
          </w:tcPr>
          <w:p w14:paraId="18600AC8" w14:textId="77777777" w:rsidR="00A91885" w:rsidRDefault="00A91885">
            <w:pPr>
              <w:rPr>
                <w:rFonts w:ascii="宋体"/>
              </w:rPr>
            </w:pPr>
          </w:p>
        </w:tc>
        <w:tc>
          <w:tcPr>
            <w:tcW w:w="5" w:type="pct"/>
            <w:shd w:val="clear" w:color="auto" w:fill="auto"/>
            <w:vAlign w:val="bottom"/>
          </w:tcPr>
          <w:p w14:paraId="18600AC9" w14:textId="77777777" w:rsidR="00A91885" w:rsidRDefault="00A91885">
            <w:pPr>
              <w:rPr>
                <w:rFonts w:ascii="宋体"/>
              </w:rPr>
            </w:pPr>
          </w:p>
        </w:tc>
        <w:tc>
          <w:tcPr>
            <w:tcW w:w="19" w:type="pct"/>
            <w:shd w:val="clear" w:color="auto" w:fill="auto"/>
            <w:vAlign w:val="bottom"/>
          </w:tcPr>
          <w:p w14:paraId="18600ACA" w14:textId="77777777" w:rsidR="00A91885" w:rsidRDefault="00A91885">
            <w:pPr>
              <w:rPr>
                <w:rFonts w:ascii="宋体"/>
              </w:rPr>
            </w:pPr>
          </w:p>
        </w:tc>
        <w:tc>
          <w:tcPr>
            <w:tcW w:w="5" w:type="pct"/>
            <w:shd w:val="clear" w:color="auto" w:fill="auto"/>
            <w:vAlign w:val="bottom"/>
          </w:tcPr>
          <w:p w14:paraId="18600ACB" w14:textId="77777777" w:rsidR="00A91885" w:rsidRDefault="00A91885">
            <w:pPr>
              <w:rPr>
                <w:rFonts w:ascii="宋体"/>
              </w:rPr>
            </w:pPr>
          </w:p>
        </w:tc>
        <w:tc>
          <w:tcPr>
            <w:tcW w:w="50" w:type="pct"/>
            <w:shd w:val="clear" w:color="auto" w:fill="auto"/>
            <w:vAlign w:val="bottom"/>
          </w:tcPr>
          <w:p w14:paraId="18600ACC" w14:textId="77777777" w:rsidR="00A91885" w:rsidRDefault="00A91885">
            <w:pPr>
              <w:rPr>
                <w:rFonts w:ascii="宋体"/>
              </w:rPr>
            </w:pPr>
          </w:p>
        </w:tc>
        <w:tc>
          <w:tcPr>
            <w:tcW w:w="917" w:type="pct"/>
            <w:shd w:val="clear" w:color="auto" w:fill="auto"/>
            <w:vAlign w:val="bottom"/>
          </w:tcPr>
          <w:p w14:paraId="18600ACD" w14:textId="77777777" w:rsidR="00A91885" w:rsidRDefault="00A91885">
            <w:pPr>
              <w:rPr>
                <w:rFonts w:ascii="宋体"/>
              </w:rPr>
            </w:pPr>
          </w:p>
        </w:tc>
        <w:tc>
          <w:tcPr>
            <w:tcW w:w="5" w:type="pct"/>
            <w:shd w:val="clear" w:color="auto" w:fill="auto"/>
            <w:vAlign w:val="bottom"/>
          </w:tcPr>
          <w:p w14:paraId="18600ACE" w14:textId="77777777" w:rsidR="00A91885" w:rsidRDefault="00A91885">
            <w:pPr>
              <w:rPr>
                <w:rFonts w:ascii="宋体"/>
              </w:rPr>
            </w:pPr>
          </w:p>
        </w:tc>
      </w:tr>
      <w:tr w:rsidR="00A91885" w14:paraId="18600AD9" w14:textId="77777777">
        <w:tc>
          <w:tcPr>
            <w:tcW w:w="0" w:type="auto"/>
            <w:gridSpan w:val="3"/>
            <w:shd w:val="clear" w:color="auto" w:fill="auto"/>
            <w:tcMar>
              <w:top w:w="0" w:type="dxa"/>
              <w:left w:w="20" w:type="dxa"/>
              <w:bottom w:w="0" w:type="dxa"/>
              <w:right w:w="20" w:type="dxa"/>
            </w:tcMar>
            <w:vAlign w:val="bottom"/>
          </w:tcPr>
          <w:p w14:paraId="18600AD0"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0AD1"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AD2" w14:textId="77777777" w:rsidR="00A91885" w:rsidRDefault="009C4196">
            <w:pPr>
              <w:jc w:val="center"/>
              <w:textAlignment w:val="bottom"/>
            </w:pPr>
            <w:r>
              <w:rPr>
                <w:rFonts w:ascii="Arial" w:eastAsia="宋体" w:hAnsi="Arial" w:cs="Arial"/>
                <w:b/>
                <w:bCs/>
                <w:color w:val="000000"/>
                <w:sz w:val="17"/>
                <w:szCs w:val="17"/>
              </w:rPr>
              <w:t xml:space="preserve">Fair value </w:t>
            </w:r>
          </w:p>
        </w:tc>
        <w:tc>
          <w:tcPr>
            <w:tcW w:w="0" w:type="auto"/>
            <w:gridSpan w:val="3"/>
            <w:shd w:val="clear" w:color="auto" w:fill="auto"/>
            <w:tcMar>
              <w:top w:w="0" w:type="dxa"/>
              <w:left w:w="20" w:type="dxa"/>
              <w:bottom w:w="0" w:type="dxa"/>
              <w:right w:w="20" w:type="dxa"/>
            </w:tcMar>
            <w:vAlign w:val="bottom"/>
          </w:tcPr>
          <w:p w14:paraId="18600AD3"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AD4" w14:textId="77777777" w:rsidR="00A91885" w:rsidRDefault="009C4196">
            <w:pPr>
              <w:jc w:val="center"/>
              <w:textAlignment w:val="bottom"/>
            </w:pPr>
            <w:r>
              <w:rPr>
                <w:rFonts w:ascii="Arial" w:eastAsia="宋体" w:hAnsi="Arial" w:cs="Arial"/>
                <w:b/>
                <w:bCs/>
                <w:color w:val="000000"/>
                <w:sz w:val="17"/>
                <w:szCs w:val="17"/>
              </w:rPr>
              <w:t>Valuation technique</w:t>
            </w:r>
          </w:p>
        </w:tc>
        <w:tc>
          <w:tcPr>
            <w:tcW w:w="0" w:type="auto"/>
            <w:gridSpan w:val="3"/>
            <w:shd w:val="clear" w:color="auto" w:fill="auto"/>
            <w:tcMar>
              <w:top w:w="0" w:type="dxa"/>
              <w:left w:w="20" w:type="dxa"/>
              <w:bottom w:w="0" w:type="dxa"/>
              <w:right w:w="20" w:type="dxa"/>
            </w:tcMar>
            <w:vAlign w:val="bottom"/>
          </w:tcPr>
          <w:p w14:paraId="18600AD5"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AD6" w14:textId="77777777" w:rsidR="00A91885" w:rsidRDefault="009C4196">
            <w:pPr>
              <w:jc w:val="center"/>
              <w:textAlignment w:val="bottom"/>
            </w:pPr>
            <w:r>
              <w:rPr>
                <w:rFonts w:ascii="Arial" w:eastAsia="宋体" w:hAnsi="Arial" w:cs="Arial"/>
                <w:b/>
                <w:bCs/>
                <w:color w:val="000000"/>
                <w:sz w:val="17"/>
                <w:szCs w:val="17"/>
              </w:rPr>
              <w:t>Unobservable Input</w:t>
            </w:r>
            <w:r>
              <w:rPr>
                <w:rFonts w:ascii="Arial" w:eastAsia="宋体" w:hAnsi="Arial" w:cs="Arial"/>
                <w:b/>
                <w:bCs/>
                <w:color w:val="000000"/>
                <w:sz w:val="11"/>
                <w:szCs w:val="11"/>
              </w:rPr>
              <w:t>(1)</w:t>
            </w:r>
          </w:p>
        </w:tc>
        <w:tc>
          <w:tcPr>
            <w:tcW w:w="0" w:type="auto"/>
            <w:gridSpan w:val="3"/>
            <w:shd w:val="clear" w:color="auto" w:fill="auto"/>
            <w:tcMar>
              <w:top w:w="0" w:type="dxa"/>
              <w:left w:w="20" w:type="dxa"/>
              <w:bottom w:w="0" w:type="dxa"/>
              <w:right w:w="20" w:type="dxa"/>
            </w:tcMar>
            <w:vAlign w:val="bottom"/>
          </w:tcPr>
          <w:p w14:paraId="18600AD7"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AD8" w14:textId="77777777" w:rsidR="00A91885" w:rsidRDefault="009C4196">
            <w:pPr>
              <w:jc w:val="center"/>
              <w:textAlignment w:val="bottom"/>
            </w:pPr>
            <w:r>
              <w:rPr>
                <w:rFonts w:ascii="Arial" w:eastAsia="宋体" w:hAnsi="Arial" w:cs="Arial"/>
                <w:b/>
                <w:bCs/>
                <w:color w:val="000000"/>
                <w:sz w:val="17"/>
                <w:szCs w:val="17"/>
              </w:rPr>
              <w:t>Range (weighted average)</w:t>
            </w:r>
          </w:p>
        </w:tc>
      </w:tr>
      <w:tr w:rsidR="00A91885" w14:paraId="18600AE5" w14:textId="77777777">
        <w:tc>
          <w:tcPr>
            <w:tcW w:w="0" w:type="auto"/>
            <w:gridSpan w:val="3"/>
            <w:shd w:val="clear" w:color="auto" w:fill="E1E1E1"/>
            <w:tcMar>
              <w:top w:w="40" w:type="dxa"/>
              <w:left w:w="20" w:type="dxa"/>
              <w:bottom w:w="40" w:type="dxa"/>
              <w:right w:w="20" w:type="dxa"/>
            </w:tcMar>
            <w:vAlign w:val="bottom"/>
          </w:tcPr>
          <w:p w14:paraId="18600ADA" w14:textId="77777777" w:rsidR="00A91885" w:rsidRDefault="009C4196">
            <w:pPr>
              <w:textAlignment w:val="bottom"/>
            </w:pPr>
            <w:r>
              <w:rPr>
                <w:rFonts w:ascii="Arial" w:eastAsia="宋体" w:hAnsi="Arial" w:cs="Arial"/>
                <w:color w:val="000000"/>
                <w:sz w:val="18"/>
                <w:szCs w:val="18"/>
              </w:rPr>
              <w:t>Warrant</w:t>
            </w:r>
          </w:p>
        </w:tc>
        <w:tc>
          <w:tcPr>
            <w:tcW w:w="0" w:type="auto"/>
            <w:gridSpan w:val="3"/>
            <w:shd w:val="clear" w:color="auto" w:fill="E1E1E1"/>
            <w:tcMar>
              <w:top w:w="0" w:type="dxa"/>
              <w:left w:w="20" w:type="dxa"/>
              <w:bottom w:w="0" w:type="dxa"/>
              <w:right w:w="20" w:type="dxa"/>
            </w:tcMar>
            <w:vAlign w:val="bottom"/>
          </w:tcPr>
          <w:p w14:paraId="18600ADB"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600AD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600ADD" w14:textId="77777777" w:rsidR="00A91885" w:rsidRDefault="009C4196">
            <w:pPr>
              <w:jc w:val="right"/>
              <w:textAlignment w:val="bottom"/>
            </w:pPr>
            <w:r>
              <w:rPr>
                <w:rFonts w:ascii="Arial" w:eastAsia="宋体" w:hAnsi="Arial" w:cs="Arial"/>
                <w:color w:val="000000"/>
                <w:sz w:val="18"/>
                <w:szCs w:val="18"/>
              </w:rPr>
              <w:t>225 </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0ADE"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0ADF" w14:textId="77777777" w:rsidR="00A91885" w:rsidRDefault="00A91885">
            <w:pPr>
              <w:rPr>
                <w:rFonts w:ascii="宋体"/>
              </w:rPr>
            </w:pP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18600AE0" w14:textId="77777777" w:rsidR="00A91885" w:rsidRDefault="009C4196">
            <w:pPr>
              <w:jc w:val="center"/>
              <w:textAlignment w:val="bottom"/>
            </w:pPr>
            <w:r>
              <w:rPr>
                <w:rFonts w:ascii="Arial" w:eastAsia="宋体" w:hAnsi="Arial" w:cs="Arial"/>
                <w:color w:val="000000"/>
                <w:sz w:val="18"/>
                <w:szCs w:val="18"/>
              </w:rPr>
              <w:t>Black-Scholes and Monte Carlo</w:t>
            </w:r>
          </w:p>
        </w:tc>
        <w:tc>
          <w:tcPr>
            <w:tcW w:w="0" w:type="auto"/>
            <w:gridSpan w:val="3"/>
            <w:shd w:val="clear" w:color="auto" w:fill="E1E1E1"/>
            <w:tcMar>
              <w:top w:w="0" w:type="dxa"/>
              <w:left w:w="20" w:type="dxa"/>
              <w:bottom w:w="0" w:type="dxa"/>
              <w:right w:w="20" w:type="dxa"/>
            </w:tcMar>
            <w:vAlign w:val="bottom"/>
          </w:tcPr>
          <w:p w14:paraId="18600AE1" w14:textId="77777777" w:rsidR="00A91885" w:rsidRDefault="00A91885">
            <w:pPr>
              <w:rPr>
                <w:rFonts w:ascii="宋体"/>
              </w:rPr>
            </w:pP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18600AE2" w14:textId="77777777" w:rsidR="00A91885" w:rsidRDefault="009C4196">
            <w:pPr>
              <w:jc w:val="center"/>
              <w:textAlignment w:val="bottom"/>
            </w:pPr>
            <w:r>
              <w:rPr>
                <w:rFonts w:ascii="Arial" w:eastAsia="宋体" w:hAnsi="Arial" w:cs="Arial"/>
                <w:color w:val="000000"/>
                <w:sz w:val="18"/>
                <w:szCs w:val="18"/>
              </w:rPr>
              <w:t>Probability of vesting</w:t>
            </w:r>
          </w:p>
        </w:tc>
        <w:tc>
          <w:tcPr>
            <w:tcW w:w="0" w:type="auto"/>
            <w:gridSpan w:val="3"/>
            <w:shd w:val="clear" w:color="auto" w:fill="E1E1E1"/>
            <w:tcMar>
              <w:top w:w="0" w:type="dxa"/>
              <w:left w:w="20" w:type="dxa"/>
              <w:bottom w:w="0" w:type="dxa"/>
              <w:right w:w="20" w:type="dxa"/>
            </w:tcMar>
            <w:vAlign w:val="bottom"/>
          </w:tcPr>
          <w:p w14:paraId="18600AE3" w14:textId="77777777" w:rsidR="00A91885" w:rsidRDefault="00A91885">
            <w:pPr>
              <w:rPr>
                <w:rFonts w:ascii="宋体"/>
              </w:rPr>
            </w:pPr>
          </w:p>
        </w:tc>
        <w:tc>
          <w:tcPr>
            <w:tcW w:w="0" w:type="auto"/>
            <w:gridSpan w:val="3"/>
            <w:tcBorders>
              <w:top w:val="single" w:sz="8" w:space="0" w:color="000000"/>
            </w:tcBorders>
            <w:shd w:val="clear" w:color="auto" w:fill="E1E1E1"/>
            <w:tcMar>
              <w:top w:w="40" w:type="dxa"/>
              <w:left w:w="20" w:type="dxa"/>
              <w:bottom w:w="40" w:type="dxa"/>
              <w:right w:w="20" w:type="dxa"/>
            </w:tcMar>
            <w:vAlign w:val="bottom"/>
          </w:tcPr>
          <w:p w14:paraId="18600AE4" w14:textId="77777777" w:rsidR="00A91885" w:rsidRDefault="009C4196">
            <w:pPr>
              <w:jc w:val="center"/>
              <w:textAlignment w:val="bottom"/>
            </w:pPr>
            <w:r>
              <w:rPr>
                <w:rFonts w:ascii="Arial" w:eastAsia="宋体" w:hAnsi="Arial" w:cs="Arial"/>
                <w:color w:val="000000"/>
                <w:sz w:val="18"/>
                <w:szCs w:val="18"/>
              </w:rPr>
              <w:t>0.0% - 55.0% (49%)</w:t>
            </w:r>
          </w:p>
        </w:tc>
      </w:tr>
      <w:tr w:rsidR="00A91885" w14:paraId="18600AEF" w14:textId="77777777">
        <w:tc>
          <w:tcPr>
            <w:tcW w:w="0" w:type="auto"/>
            <w:gridSpan w:val="3"/>
            <w:shd w:val="clear" w:color="auto" w:fill="FFFFFF"/>
            <w:tcMar>
              <w:top w:w="0" w:type="dxa"/>
              <w:left w:w="20" w:type="dxa"/>
              <w:bottom w:w="0" w:type="dxa"/>
              <w:right w:w="20" w:type="dxa"/>
            </w:tcMar>
            <w:vAlign w:val="bottom"/>
          </w:tcPr>
          <w:p w14:paraId="18600AE6"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AE7"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AE8"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AE9"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AE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AEB"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0AEC" w14:textId="77777777" w:rsidR="00A91885" w:rsidRDefault="009C4196">
            <w:pPr>
              <w:jc w:val="center"/>
              <w:textAlignment w:val="bottom"/>
            </w:pPr>
            <w:r>
              <w:rPr>
                <w:rFonts w:ascii="Arial" w:eastAsia="宋体" w:hAnsi="Arial" w:cs="Arial"/>
                <w:color w:val="000000"/>
                <w:sz w:val="18"/>
                <w:szCs w:val="18"/>
              </w:rPr>
              <w:t>Equity volatility</w:t>
            </w:r>
          </w:p>
        </w:tc>
        <w:tc>
          <w:tcPr>
            <w:tcW w:w="0" w:type="auto"/>
            <w:gridSpan w:val="3"/>
            <w:shd w:val="clear" w:color="auto" w:fill="FFFFFF"/>
            <w:tcMar>
              <w:top w:w="0" w:type="dxa"/>
              <w:left w:w="20" w:type="dxa"/>
              <w:bottom w:w="0" w:type="dxa"/>
              <w:right w:w="20" w:type="dxa"/>
            </w:tcMar>
            <w:vAlign w:val="bottom"/>
          </w:tcPr>
          <w:p w14:paraId="18600AED"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0AEE" w14:textId="77777777" w:rsidR="00A91885" w:rsidRDefault="009C4196">
            <w:pPr>
              <w:jc w:val="center"/>
              <w:textAlignment w:val="bottom"/>
            </w:pPr>
            <w:r>
              <w:rPr>
                <w:rFonts w:ascii="Arial" w:eastAsia="宋体" w:hAnsi="Arial" w:cs="Arial"/>
                <w:color w:val="000000"/>
                <w:sz w:val="18"/>
                <w:szCs w:val="18"/>
              </w:rPr>
              <w:t>(46%)</w:t>
            </w:r>
          </w:p>
        </w:tc>
      </w:tr>
    </w:tbl>
    <w:p w14:paraId="18600AF0" w14:textId="77777777" w:rsidR="00A91885" w:rsidRDefault="009C4196">
      <w:pPr>
        <w:ind w:hanging="180"/>
      </w:pPr>
      <w:r>
        <w:rPr>
          <w:rFonts w:ascii="Arial" w:eastAsia="宋体" w:hAnsi="Arial" w:cs="Arial"/>
          <w:color w:val="000000"/>
          <w:sz w:val="13"/>
          <w:szCs w:val="13"/>
        </w:rPr>
        <w:t>(1)</w:t>
      </w:r>
      <w:r>
        <w:rPr>
          <w:rFonts w:ascii="Arial" w:eastAsia="宋体" w:hAnsi="Arial" w:cs="Arial"/>
          <w:color w:val="000000"/>
          <w:sz w:val="20"/>
          <w:szCs w:val="20"/>
        </w:rPr>
        <w:t xml:space="preserve"> </w:t>
      </w:r>
      <w:r>
        <w:rPr>
          <w:rFonts w:ascii="Arial" w:eastAsia="宋体" w:hAnsi="Arial" w:cs="Arial"/>
          <w:color w:val="000000"/>
          <w:sz w:val="16"/>
          <w:szCs w:val="16"/>
        </w:rPr>
        <w:t xml:space="preserve">Probability of vesting was weighted by the unadjusted value of the tranches. For volatility, the average represents the arithmetic average of the points within the range and is not weighted by the relative fair </w:t>
      </w:r>
      <w:r>
        <w:rPr>
          <w:rFonts w:ascii="Arial" w:eastAsia="宋体" w:hAnsi="Arial" w:cs="Arial"/>
          <w:color w:val="000000"/>
          <w:sz w:val="16"/>
          <w:szCs w:val="16"/>
        </w:rPr>
        <w:t>value or notional amount.</w:t>
      </w:r>
    </w:p>
    <w:p w14:paraId="18600AF1" w14:textId="77777777" w:rsidR="00A91885" w:rsidRDefault="00A91885">
      <w:pPr>
        <w:ind w:firstLine="540"/>
      </w:pPr>
    </w:p>
    <w:p w14:paraId="18600AF2" w14:textId="77777777" w:rsidR="00A91885" w:rsidRDefault="009C4196">
      <w:pPr>
        <w:ind w:firstLine="540"/>
      </w:pPr>
      <w:r>
        <w:rPr>
          <w:rFonts w:ascii="Arial" w:eastAsia="宋体" w:hAnsi="Arial" w:cs="Arial"/>
          <w:i/>
          <w:iCs/>
          <w:color w:val="000000"/>
          <w:sz w:val="20"/>
          <w:szCs w:val="20"/>
        </w:rPr>
        <w:t>Fair value measurement of equity investments</w:t>
      </w:r>
    </w:p>
    <w:p w14:paraId="18600AF3" w14:textId="77777777" w:rsidR="00A91885" w:rsidRDefault="00A91885">
      <w:pPr>
        <w:ind w:firstLine="720"/>
      </w:pPr>
    </w:p>
    <w:p w14:paraId="18600AF4" w14:textId="77777777" w:rsidR="00A91885" w:rsidRDefault="009C4196">
      <w:pPr>
        <w:ind w:firstLine="540"/>
        <w:jc w:val="both"/>
      </w:pPr>
      <w:r>
        <w:rPr>
          <w:rFonts w:ascii="Arial" w:eastAsia="宋体" w:hAnsi="Arial" w:cs="Arial"/>
          <w:color w:val="000000"/>
          <w:sz w:val="20"/>
          <w:szCs w:val="20"/>
        </w:rPr>
        <w:t>Certain of our equity investments are measured at fair value on a recurring basis, including our equity investment in Adevinta, equity investments with readily determinable fair value</w:t>
      </w:r>
      <w:r>
        <w:rPr>
          <w:rFonts w:ascii="Arial" w:eastAsia="宋体" w:hAnsi="Arial" w:cs="Arial"/>
          <w:color w:val="000000"/>
          <w:sz w:val="20"/>
          <w:szCs w:val="20"/>
        </w:rPr>
        <w:t xml:space="preserve">s and equity investments under the fair value option. </w:t>
      </w:r>
    </w:p>
    <w:p w14:paraId="18600AF5" w14:textId="77777777" w:rsidR="00A91885" w:rsidRDefault="00A91885">
      <w:pPr>
        <w:ind w:firstLine="540"/>
        <w:jc w:val="both"/>
      </w:pPr>
    </w:p>
    <w:p w14:paraId="18600AF6" w14:textId="77777777" w:rsidR="00A91885" w:rsidRDefault="009C4196">
      <w:pPr>
        <w:ind w:firstLine="540"/>
        <w:jc w:val="both"/>
      </w:pPr>
      <w:r>
        <w:rPr>
          <w:rFonts w:ascii="Arial" w:eastAsia="宋体" w:hAnsi="Arial" w:cs="Arial"/>
          <w:color w:val="000000"/>
          <w:sz w:val="20"/>
          <w:szCs w:val="20"/>
        </w:rPr>
        <w:t>Our equity investment in Adevinta is accounted for under the fair value option and classified within Level 1 in the fair value hierarchy as the fair value is measured based on Adevinta’s closing stock</w:t>
      </w:r>
      <w:r>
        <w:rPr>
          <w:rFonts w:ascii="Arial" w:eastAsia="宋体" w:hAnsi="Arial" w:cs="Arial"/>
          <w:color w:val="000000"/>
          <w:sz w:val="20"/>
          <w:szCs w:val="20"/>
        </w:rPr>
        <w:t xml:space="preserve"> price and prevailing foreign exchange rate at each balance sheet date. Our equity investments with readily determinable fair values are also classified within Level 1 in the fair value hierarchy as the valuation can be obtained from real time quotes in ac</w:t>
      </w:r>
      <w:r>
        <w:rPr>
          <w:rFonts w:ascii="Arial" w:eastAsia="宋体" w:hAnsi="Arial" w:cs="Arial"/>
          <w:color w:val="000000"/>
          <w:sz w:val="20"/>
          <w:szCs w:val="20"/>
        </w:rPr>
        <w:t xml:space="preserve">tive markets. </w:t>
      </w:r>
    </w:p>
    <w:p w14:paraId="18600AF7" w14:textId="77777777" w:rsidR="00A91885" w:rsidRDefault="00A91885">
      <w:pPr>
        <w:jc w:val="both"/>
      </w:pPr>
    </w:p>
    <w:p w14:paraId="18600AF8" w14:textId="77777777" w:rsidR="00A91885" w:rsidRDefault="009C4196">
      <w:pPr>
        <w:ind w:firstLine="540"/>
        <w:jc w:val="both"/>
      </w:pPr>
      <w:r>
        <w:rPr>
          <w:rFonts w:ascii="Arial" w:eastAsia="宋体" w:hAnsi="Arial" w:cs="Arial"/>
          <w:color w:val="000000"/>
          <w:sz w:val="20"/>
          <w:szCs w:val="20"/>
        </w:rPr>
        <w:t>Our equity investment in Gmarket was initially recognized on November 14, 2021 in connection with the sale of 80.01% of the outstanding equity interests of eBay Korea to Emart. This equity investment is accounted for under the fair value option and its ini</w:t>
      </w:r>
      <w:r>
        <w:rPr>
          <w:rFonts w:ascii="Arial" w:eastAsia="宋体" w:hAnsi="Arial" w:cs="Arial"/>
          <w:color w:val="000000"/>
          <w:sz w:val="20"/>
          <w:szCs w:val="20"/>
        </w:rPr>
        <w:t xml:space="preserve">tial valuation of $728 million was based on the sale price of eBay Korea. </w:t>
      </w:r>
      <w:r>
        <w:rPr>
          <w:rFonts w:ascii="Arial" w:eastAsia="宋体" w:hAnsi="Arial" w:cs="Arial"/>
          <w:color w:val="222222"/>
          <w:sz w:val="20"/>
          <w:szCs w:val="20"/>
        </w:rPr>
        <w:t>Our investment in Gmarket is subject to a two year right held by Emart from the date of disposal to purchase the remaining interest at or near the close price of the sale.</w:t>
      </w:r>
    </w:p>
    <w:p w14:paraId="18600AF9" w14:textId="77777777" w:rsidR="00A91885" w:rsidRDefault="00A91885">
      <w:pPr>
        <w:ind w:firstLine="540"/>
        <w:jc w:val="both"/>
      </w:pPr>
    </w:p>
    <w:p w14:paraId="18600AFA" w14:textId="77777777" w:rsidR="00A91885" w:rsidRDefault="009C4196">
      <w:pPr>
        <w:spacing w:after="120"/>
        <w:ind w:firstLine="540"/>
        <w:jc w:val="both"/>
      </w:pPr>
      <w:r>
        <w:rPr>
          <w:rFonts w:ascii="Arial" w:eastAsia="宋体" w:hAnsi="Arial" w:cs="Arial"/>
          <w:color w:val="000000"/>
          <w:sz w:val="20"/>
          <w:szCs w:val="20"/>
        </w:rPr>
        <w:t>The follo</w:t>
      </w:r>
      <w:r>
        <w:rPr>
          <w:rFonts w:ascii="Arial" w:eastAsia="宋体" w:hAnsi="Arial" w:cs="Arial"/>
          <w:color w:val="000000"/>
          <w:sz w:val="20"/>
          <w:szCs w:val="20"/>
        </w:rPr>
        <w:t>wing table presents a reconciliation of the opening to closing balance of the equity investment in Gmarket measured using significant unobservable inputs (Level 3) as of the dates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5694"/>
        <w:gridCol w:w="37"/>
        <w:gridCol w:w="121"/>
        <w:gridCol w:w="1071"/>
        <w:gridCol w:w="36"/>
        <w:gridCol w:w="36"/>
        <w:gridCol w:w="36"/>
        <w:gridCol w:w="36"/>
        <w:gridCol w:w="122"/>
        <w:gridCol w:w="1073"/>
        <w:gridCol w:w="36"/>
      </w:tblGrid>
      <w:tr w:rsidR="00A91885" w14:paraId="18600B07" w14:textId="77777777">
        <w:tc>
          <w:tcPr>
            <w:tcW w:w="50" w:type="pct"/>
            <w:shd w:val="clear" w:color="auto" w:fill="auto"/>
            <w:vAlign w:val="bottom"/>
          </w:tcPr>
          <w:p w14:paraId="18600AFB" w14:textId="77777777" w:rsidR="00A91885" w:rsidRDefault="00A91885">
            <w:pPr>
              <w:rPr>
                <w:rFonts w:ascii="宋体"/>
              </w:rPr>
            </w:pPr>
          </w:p>
        </w:tc>
        <w:tc>
          <w:tcPr>
            <w:tcW w:w="3453" w:type="pct"/>
            <w:shd w:val="clear" w:color="auto" w:fill="auto"/>
            <w:vAlign w:val="bottom"/>
          </w:tcPr>
          <w:p w14:paraId="18600AFC" w14:textId="77777777" w:rsidR="00A91885" w:rsidRDefault="00A91885">
            <w:pPr>
              <w:rPr>
                <w:rFonts w:ascii="宋体"/>
              </w:rPr>
            </w:pPr>
          </w:p>
        </w:tc>
        <w:tc>
          <w:tcPr>
            <w:tcW w:w="5" w:type="pct"/>
            <w:shd w:val="clear" w:color="auto" w:fill="auto"/>
            <w:vAlign w:val="bottom"/>
          </w:tcPr>
          <w:p w14:paraId="18600AFD" w14:textId="77777777" w:rsidR="00A91885" w:rsidRDefault="00A91885">
            <w:pPr>
              <w:rPr>
                <w:rFonts w:ascii="宋体"/>
              </w:rPr>
            </w:pPr>
          </w:p>
        </w:tc>
        <w:tc>
          <w:tcPr>
            <w:tcW w:w="50" w:type="pct"/>
            <w:shd w:val="clear" w:color="auto" w:fill="auto"/>
            <w:vAlign w:val="bottom"/>
          </w:tcPr>
          <w:p w14:paraId="18600AFE" w14:textId="77777777" w:rsidR="00A91885" w:rsidRDefault="00A91885">
            <w:pPr>
              <w:rPr>
                <w:rFonts w:ascii="宋体"/>
              </w:rPr>
            </w:pPr>
          </w:p>
        </w:tc>
        <w:tc>
          <w:tcPr>
            <w:tcW w:w="675" w:type="pct"/>
            <w:shd w:val="clear" w:color="auto" w:fill="auto"/>
            <w:vAlign w:val="bottom"/>
          </w:tcPr>
          <w:p w14:paraId="18600AFF" w14:textId="77777777" w:rsidR="00A91885" w:rsidRDefault="00A91885">
            <w:pPr>
              <w:rPr>
                <w:rFonts w:ascii="宋体"/>
              </w:rPr>
            </w:pPr>
          </w:p>
        </w:tc>
        <w:tc>
          <w:tcPr>
            <w:tcW w:w="5" w:type="pct"/>
            <w:shd w:val="clear" w:color="auto" w:fill="auto"/>
            <w:vAlign w:val="bottom"/>
          </w:tcPr>
          <w:p w14:paraId="18600B00" w14:textId="77777777" w:rsidR="00A91885" w:rsidRDefault="00A91885">
            <w:pPr>
              <w:rPr>
                <w:rFonts w:ascii="宋体"/>
              </w:rPr>
            </w:pPr>
          </w:p>
        </w:tc>
        <w:tc>
          <w:tcPr>
            <w:tcW w:w="5" w:type="pct"/>
            <w:shd w:val="clear" w:color="auto" w:fill="auto"/>
            <w:vAlign w:val="bottom"/>
          </w:tcPr>
          <w:p w14:paraId="18600B01" w14:textId="77777777" w:rsidR="00A91885" w:rsidRDefault="00A91885">
            <w:pPr>
              <w:rPr>
                <w:rFonts w:ascii="宋体"/>
              </w:rPr>
            </w:pPr>
          </w:p>
        </w:tc>
        <w:tc>
          <w:tcPr>
            <w:tcW w:w="19" w:type="pct"/>
            <w:shd w:val="clear" w:color="auto" w:fill="auto"/>
            <w:vAlign w:val="bottom"/>
          </w:tcPr>
          <w:p w14:paraId="18600B02" w14:textId="77777777" w:rsidR="00A91885" w:rsidRDefault="00A91885">
            <w:pPr>
              <w:rPr>
                <w:rFonts w:ascii="宋体"/>
              </w:rPr>
            </w:pPr>
          </w:p>
        </w:tc>
        <w:tc>
          <w:tcPr>
            <w:tcW w:w="5" w:type="pct"/>
            <w:shd w:val="clear" w:color="auto" w:fill="auto"/>
            <w:vAlign w:val="bottom"/>
          </w:tcPr>
          <w:p w14:paraId="18600B03" w14:textId="77777777" w:rsidR="00A91885" w:rsidRDefault="00A91885">
            <w:pPr>
              <w:rPr>
                <w:rFonts w:ascii="宋体"/>
              </w:rPr>
            </w:pPr>
          </w:p>
        </w:tc>
        <w:tc>
          <w:tcPr>
            <w:tcW w:w="50" w:type="pct"/>
            <w:shd w:val="clear" w:color="auto" w:fill="auto"/>
            <w:vAlign w:val="bottom"/>
          </w:tcPr>
          <w:p w14:paraId="18600B04" w14:textId="77777777" w:rsidR="00A91885" w:rsidRDefault="00A91885">
            <w:pPr>
              <w:rPr>
                <w:rFonts w:ascii="宋体"/>
              </w:rPr>
            </w:pPr>
          </w:p>
        </w:tc>
        <w:tc>
          <w:tcPr>
            <w:tcW w:w="676" w:type="pct"/>
            <w:shd w:val="clear" w:color="auto" w:fill="auto"/>
            <w:vAlign w:val="bottom"/>
          </w:tcPr>
          <w:p w14:paraId="18600B05" w14:textId="77777777" w:rsidR="00A91885" w:rsidRDefault="00A91885">
            <w:pPr>
              <w:rPr>
                <w:rFonts w:ascii="宋体"/>
              </w:rPr>
            </w:pPr>
          </w:p>
        </w:tc>
        <w:tc>
          <w:tcPr>
            <w:tcW w:w="5" w:type="pct"/>
            <w:shd w:val="clear" w:color="auto" w:fill="auto"/>
            <w:vAlign w:val="bottom"/>
          </w:tcPr>
          <w:p w14:paraId="18600B06" w14:textId="77777777" w:rsidR="00A91885" w:rsidRDefault="00A91885">
            <w:pPr>
              <w:rPr>
                <w:rFonts w:ascii="宋体"/>
              </w:rPr>
            </w:pPr>
          </w:p>
        </w:tc>
      </w:tr>
      <w:tr w:rsidR="00A91885" w14:paraId="18600B0D" w14:textId="77777777">
        <w:tc>
          <w:tcPr>
            <w:tcW w:w="0" w:type="auto"/>
            <w:gridSpan w:val="3"/>
            <w:shd w:val="clear" w:color="auto" w:fill="auto"/>
            <w:tcMar>
              <w:top w:w="0" w:type="dxa"/>
              <w:left w:w="20" w:type="dxa"/>
              <w:bottom w:w="0" w:type="dxa"/>
              <w:right w:w="20" w:type="dxa"/>
            </w:tcMar>
            <w:vAlign w:val="bottom"/>
          </w:tcPr>
          <w:p w14:paraId="18600B08"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B09" w14:textId="77777777" w:rsidR="00A91885" w:rsidRDefault="009C4196">
            <w:pPr>
              <w:jc w:val="center"/>
              <w:textAlignment w:val="bottom"/>
            </w:pPr>
            <w:r>
              <w:rPr>
                <w:rFonts w:ascii="Arial" w:eastAsia="宋体" w:hAnsi="Arial" w:cs="Arial"/>
                <w:b/>
                <w:bCs/>
                <w:color w:val="000000"/>
                <w:sz w:val="17"/>
                <w:szCs w:val="17"/>
              </w:rPr>
              <w:t>June 30,</w:t>
            </w:r>
            <w:r>
              <w:rPr>
                <w:rFonts w:ascii="Arial" w:eastAsia="宋体" w:hAnsi="Arial" w:cs="Arial"/>
                <w:b/>
                <w:bCs/>
                <w:color w:val="000000"/>
                <w:sz w:val="17"/>
                <w:szCs w:val="17"/>
              </w:rPr>
              <w:br/>
              <w:t>2022</w:t>
            </w:r>
          </w:p>
        </w:tc>
        <w:tc>
          <w:tcPr>
            <w:tcW w:w="0" w:type="auto"/>
            <w:gridSpan w:val="3"/>
            <w:shd w:val="clear" w:color="auto" w:fill="auto"/>
            <w:tcMar>
              <w:top w:w="0" w:type="dxa"/>
              <w:left w:w="20" w:type="dxa"/>
              <w:bottom w:w="0" w:type="dxa"/>
              <w:right w:w="20" w:type="dxa"/>
            </w:tcMar>
            <w:vAlign w:val="bottom"/>
          </w:tcPr>
          <w:p w14:paraId="18600B0A"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B0B" w14:textId="77777777" w:rsidR="00A91885" w:rsidRDefault="009C4196">
            <w:pPr>
              <w:jc w:val="center"/>
              <w:textAlignment w:val="bottom"/>
            </w:pPr>
            <w:r>
              <w:rPr>
                <w:rFonts w:ascii="Arial" w:eastAsia="宋体" w:hAnsi="Arial" w:cs="Arial"/>
                <w:b/>
                <w:bCs/>
                <w:color w:val="000000"/>
                <w:sz w:val="17"/>
                <w:szCs w:val="17"/>
              </w:rPr>
              <w:t xml:space="preserve">December 31, </w:t>
            </w:r>
          </w:p>
          <w:p w14:paraId="18600B0C" w14:textId="77777777" w:rsidR="00A91885" w:rsidRDefault="009C4196">
            <w:pPr>
              <w:jc w:val="center"/>
              <w:textAlignment w:val="bottom"/>
            </w:pPr>
            <w:r>
              <w:rPr>
                <w:rFonts w:ascii="Arial" w:eastAsia="宋体" w:hAnsi="Arial" w:cs="Arial"/>
                <w:b/>
                <w:bCs/>
                <w:color w:val="000000"/>
                <w:sz w:val="17"/>
                <w:szCs w:val="17"/>
              </w:rPr>
              <w:t>2021</w:t>
            </w:r>
            <w:r>
              <w:rPr>
                <w:rFonts w:ascii="Arial" w:eastAsia="宋体" w:hAnsi="Arial" w:cs="Arial"/>
                <w:b/>
                <w:bCs/>
                <w:color w:val="000000"/>
                <w:sz w:val="11"/>
                <w:szCs w:val="11"/>
              </w:rPr>
              <w:t xml:space="preserve"> (1)</w:t>
            </w:r>
          </w:p>
        </w:tc>
      </w:tr>
      <w:tr w:rsidR="00A91885" w14:paraId="18600B16" w14:textId="77777777">
        <w:tc>
          <w:tcPr>
            <w:tcW w:w="0" w:type="auto"/>
            <w:gridSpan w:val="3"/>
            <w:shd w:val="clear" w:color="auto" w:fill="E2E2E2"/>
            <w:tcMar>
              <w:top w:w="40" w:type="dxa"/>
              <w:left w:w="20" w:type="dxa"/>
              <w:bottom w:w="40" w:type="dxa"/>
              <w:right w:w="20" w:type="dxa"/>
            </w:tcMar>
            <w:vAlign w:val="bottom"/>
          </w:tcPr>
          <w:p w14:paraId="18600B0E" w14:textId="77777777" w:rsidR="00A91885" w:rsidRDefault="009C4196">
            <w:pPr>
              <w:textAlignment w:val="bottom"/>
            </w:pPr>
            <w:r>
              <w:rPr>
                <w:rFonts w:ascii="Arial" w:eastAsia="宋体" w:hAnsi="Arial" w:cs="Arial"/>
                <w:color w:val="000000"/>
                <w:sz w:val="18"/>
                <w:szCs w:val="18"/>
              </w:rPr>
              <w:t>Opening balance at beginning of period</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0B0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B10" w14:textId="77777777" w:rsidR="00A91885" w:rsidRDefault="009C4196">
            <w:pPr>
              <w:jc w:val="right"/>
              <w:textAlignment w:val="bottom"/>
            </w:pPr>
            <w:r>
              <w:rPr>
                <w:rFonts w:ascii="Arial" w:eastAsia="宋体" w:hAnsi="Arial" w:cs="Arial"/>
                <w:color w:val="000000"/>
                <w:sz w:val="18"/>
                <w:szCs w:val="18"/>
              </w:rPr>
              <w:t>725 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B1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B12"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0B1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0B14"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0B15" w14:textId="77777777" w:rsidR="00A91885" w:rsidRDefault="00A91885">
            <w:pPr>
              <w:jc w:val="right"/>
              <w:rPr>
                <w:rFonts w:ascii="宋体"/>
              </w:rPr>
            </w:pPr>
          </w:p>
        </w:tc>
      </w:tr>
      <w:tr w:rsidR="00A91885" w14:paraId="18600B1D" w14:textId="77777777">
        <w:tc>
          <w:tcPr>
            <w:tcW w:w="0" w:type="auto"/>
            <w:gridSpan w:val="3"/>
            <w:shd w:val="clear" w:color="auto" w:fill="FFFFFF"/>
            <w:tcMar>
              <w:top w:w="40" w:type="dxa"/>
              <w:left w:w="245" w:type="dxa"/>
              <w:bottom w:w="40" w:type="dxa"/>
              <w:right w:w="20" w:type="dxa"/>
            </w:tcMar>
            <w:vAlign w:val="bottom"/>
          </w:tcPr>
          <w:p w14:paraId="18600B17" w14:textId="77777777" w:rsidR="00A91885" w:rsidRDefault="009C4196">
            <w:pPr>
              <w:textAlignment w:val="bottom"/>
            </w:pPr>
            <w:r>
              <w:rPr>
                <w:rFonts w:ascii="Arial" w:eastAsia="宋体" w:hAnsi="Arial" w:cs="Arial"/>
                <w:color w:val="000000"/>
                <w:sz w:val="18"/>
                <w:szCs w:val="18"/>
              </w:rPr>
              <w:t>Recognition of equity investment</w:t>
            </w:r>
          </w:p>
        </w:tc>
        <w:tc>
          <w:tcPr>
            <w:tcW w:w="0" w:type="auto"/>
            <w:gridSpan w:val="2"/>
            <w:shd w:val="clear" w:color="auto" w:fill="FFFFFF"/>
            <w:tcMar>
              <w:top w:w="40" w:type="dxa"/>
              <w:left w:w="20" w:type="dxa"/>
              <w:bottom w:w="40" w:type="dxa"/>
              <w:right w:w="0" w:type="dxa"/>
            </w:tcMar>
            <w:vAlign w:val="bottom"/>
          </w:tcPr>
          <w:p w14:paraId="18600B18"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B1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B1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B1B" w14:textId="77777777" w:rsidR="00A91885" w:rsidRDefault="009C4196">
            <w:pPr>
              <w:jc w:val="right"/>
              <w:textAlignment w:val="bottom"/>
            </w:pPr>
            <w:r>
              <w:rPr>
                <w:rFonts w:ascii="Arial" w:eastAsia="宋体" w:hAnsi="Arial" w:cs="Arial"/>
                <w:color w:val="000000"/>
                <w:sz w:val="18"/>
                <w:szCs w:val="18"/>
              </w:rPr>
              <w:t>728 </w:t>
            </w:r>
          </w:p>
        </w:tc>
        <w:tc>
          <w:tcPr>
            <w:tcW w:w="0" w:type="auto"/>
            <w:shd w:val="clear" w:color="auto" w:fill="FFFFFF"/>
            <w:tcMar>
              <w:top w:w="40" w:type="dxa"/>
              <w:left w:w="0" w:type="dxa"/>
              <w:bottom w:w="40" w:type="dxa"/>
              <w:right w:w="20" w:type="dxa"/>
            </w:tcMar>
            <w:vAlign w:val="bottom"/>
          </w:tcPr>
          <w:p w14:paraId="18600B1C" w14:textId="77777777" w:rsidR="00A91885" w:rsidRDefault="00A91885">
            <w:pPr>
              <w:jc w:val="right"/>
              <w:rPr>
                <w:rFonts w:ascii="宋体"/>
              </w:rPr>
            </w:pPr>
          </w:p>
        </w:tc>
      </w:tr>
      <w:tr w:rsidR="00A91885" w14:paraId="18600B24" w14:textId="77777777">
        <w:tc>
          <w:tcPr>
            <w:tcW w:w="0" w:type="auto"/>
            <w:gridSpan w:val="3"/>
            <w:shd w:val="clear" w:color="auto" w:fill="E2E2E2"/>
            <w:tcMar>
              <w:top w:w="40" w:type="dxa"/>
              <w:left w:w="245" w:type="dxa"/>
              <w:bottom w:w="40" w:type="dxa"/>
              <w:right w:w="20" w:type="dxa"/>
            </w:tcMar>
            <w:vAlign w:val="bottom"/>
          </w:tcPr>
          <w:p w14:paraId="18600B1E" w14:textId="77777777" w:rsidR="00A91885" w:rsidRDefault="009C4196">
            <w:pPr>
              <w:textAlignment w:val="bottom"/>
            </w:pPr>
            <w:r>
              <w:rPr>
                <w:rFonts w:ascii="Arial" w:eastAsia="宋体" w:hAnsi="Arial" w:cs="Arial"/>
                <w:color w:val="000000"/>
                <w:sz w:val="18"/>
                <w:szCs w:val="18"/>
              </w:rPr>
              <w:t>Change in fair value</w:t>
            </w:r>
          </w:p>
        </w:tc>
        <w:tc>
          <w:tcPr>
            <w:tcW w:w="0" w:type="auto"/>
            <w:gridSpan w:val="2"/>
            <w:shd w:val="clear" w:color="auto" w:fill="E2E2E2"/>
            <w:tcMar>
              <w:top w:w="40" w:type="dxa"/>
              <w:left w:w="20" w:type="dxa"/>
              <w:bottom w:w="40" w:type="dxa"/>
              <w:right w:w="0" w:type="dxa"/>
            </w:tcMar>
            <w:vAlign w:val="bottom"/>
          </w:tcPr>
          <w:p w14:paraId="18600B1F" w14:textId="77777777" w:rsidR="00A91885" w:rsidRDefault="009C4196">
            <w:pPr>
              <w:jc w:val="right"/>
              <w:textAlignment w:val="bottom"/>
            </w:pPr>
            <w:r>
              <w:rPr>
                <w:rFonts w:ascii="Arial" w:eastAsia="宋体" w:hAnsi="Arial" w:cs="Arial"/>
                <w:color w:val="000000"/>
                <w:sz w:val="18"/>
                <w:szCs w:val="18"/>
              </w:rPr>
              <w:t>(259)</w:t>
            </w:r>
          </w:p>
        </w:tc>
        <w:tc>
          <w:tcPr>
            <w:tcW w:w="0" w:type="auto"/>
            <w:shd w:val="clear" w:color="auto" w:fill="E2E2E2"/>
            <w:tcMar>
              <w:top w:w="40" w:type="dxa"/>
              <w:left w:w="0" w:type="dxa"/>
              <w:bottom w:w="40" w:type="dxa"/>
              <w:right w:w="20" w:type="dxa"/>
            </w:tcMar>
            <w:vAlign w:val="bottom"/>
          </w:tcPr>
          <w:p w14:paraId="18600B2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B2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B22" w14:textId="77777777" w:rsidR="00A91885" w:rsidRDefault="009C4196">
            <w:pPr>
              <w:jc w:val="right"/>
              <w:textAlignment w:val="bottom"/>
            </w:pPr>
            <w:r>
              <w:rPr>
                <w:rFonts w:ascii="Arial" w:eastAsia="宋体" w:hAnsi="Arial" w:cs="Arial"/>
                <w:color w:val="000000"/>
                <w:sz w:val="18"/>
                <w:szCs w:val="18"/>
              </w:rPr>
              <w:t>(3)</w:t>
            </w:r>
          </w:p>
        </w:tc>
        <w:tc>
          <w:tcPr>
            <w:tcW w:w="0" w:type="auto"/>
            <w:shd w:val="clear" w:color="auto" w:fill="E2E2E2"/>
            <w:tcMar>
              <w:top w:w="40" w:type="dxa"/>
              <w:left w:w="0" w:type="dxa"/>
              <w:bottom w:w="40" w:type="dxa"/>
              <w:right w:w="20" w:type="dxa"/>
            </w:tcMar>
            <w:vAlign w:val="bottom"/>
          </w:tcPr>
          <w:p w14:paraId="18600B23" w14:textId="77777777" w:rsidR="00A91885" w:rsidRDefault="00A91885">
            <w:pPr>
              <w:jc w:val="right"/>
              <w:rPr>
                <w:rFonts w:ascii="宋体"/>
              </w:rPr>
            </w:pPr>
          </w:p>
        </w:tc>
      </w:tr>
      <w:tr w:rsidR="00A91885" w14:paraId="18600B2D" w14:textId="77777777">
        <w:tc>
          <w:tcPr>
            <w:tcW w:w="0" w:type="auto"/>
            <w:gridSpan w:val="3"/>
            <w:shd w:val="clear" w:color="auto" w:fill="FFFFFF"/>
            <w:tcMar>
              <w:top w:w="40" w:type="dxa"/>
              <w:left w:w="20" w:type="dxa"/>
              <w:bottom w:w="40" w:type="dxa"/>
              <w:right w:w="20" w:type="dxa"/>
            </w:tcMar>
            <w:vAlign w:val="bottom"/>
          </w:tcPr>
          <w:p w14:paraId="18600B25" w14:textId="77777777" w:rsidR="00A91885" w:rsidRDefault="009C4196">
            <w:pPr>
              <w:textAlignment w:val="bottom"/>
            </w:pPr>
            <w:r>
              <w:rPr>
                <w:rFonts w:ascii="Arial" w:eastAsia="宋体" w:hAnsi="Arial" w:cs="Arial"/>
                <w:color w:val="000000"/>
                <w:sz w:val="18"/>
                <w:szCs w:val="18"/>
              </w:rPr>
              <w:t>Closing balance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B2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B27" w14:textId="77777777" w:rsidR="00A91885" w:rsidRDefault="009C4196">
            <w:pPr>
              <w:jc w:val="right"/>
              <w:textAlignment w:val="bottom"/>
            </w:pPr>
            <w:r>
              <w:rPr>
                <w:rFonts w:ascii="Arial" w:eastAsia="宋体" w:hAnsi="Arial" w:cs="Arial"/>
                <w:color w:val="000000"/>
                <w:sz w:val="18"/>
                <w:szCs w:val="18"/>
              </w:rPr>
              <w:t>466 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B2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B29"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B2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B2B" w14:textId="77777777" w:rsidR="00A91885" w:rsidRDefault="009C4196">
            <w:pPr>
              <w:jc w:val="right"/>
              <w:textAlignment w:val="bottom"/>
            </w:pPr>
            <w:r>
              <w:rPr>
                <w:rFonts w:ascii="Arial" w:eastAsia="宋体" w:hAnsi="Arial" w:cs="Arial"/>
                <w:color w:val="000000"/>
                <w:sz w:val="18"/>
                <w:szCs w:val="18"/>
              </w:rPr>
              <w:t>725 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B2C" w14:textId="77777777" w:rsidR="00A91885" w:rsidRDefault="00A91885">
            <w:pPr>
              <w:jc w:val="right"/>
              <w:rPr>
                <w:rFonts w:ascii="宋体"/>
              </w:rPr>
            </w:pPr>
          </w:p>
        </w:tc>
      </w:tr>
    </w:tbl>
    <w:p w14:paraId="18600B2E" w14:textId="77777777" w:rsidR="00A91885" w:rsidRDefault="009C4196">
      <w:pPr>
        <w:ind w:hanging="180"/>
        <w:jc w:val="both"/>
      </w:pPr>
      <w:r>
        <w:rPr>
          <w:rFonts w:ascii="Arial" w:eastAsia="宋体" w:hAnsi="Arial" w:cs="Arial"/>
          <w:color w:val="000000"/>
          <w:sz w:val="13"/>
          <w:szCs w:val="13"/>
        </w:rPr>
        <w:t>(1)</w:t>
      </w:r>
      <w:r>
        <w:rPr>
          <w:rFonts w:ascii="Arial" w:eastAsia="宋体" w:hAnsi="Arial" w:cs="Arial"/>
          <w:color w:val="000000"/>
          <w:sz w:val="20"/>
          <w:szCs w:val="20"/>
        </w:rPr>
        <w:t xml:space="preserve"> </w:t>
      </w:r>
      <w:r>
        <w:rPr>
          <w:rFonts w:ascii="Arial" w:eastAsia="宋体" w:hAnsi="Arial" w:cs="Arial"/>
          <w:color w:val="000000"/>
          <w:sz w:val="16"/>
          <w:szCs w:val="16"/>
        </w:rPr>
        <w:t xml:space="preserve">There were no indicators of a potential material change in fair value of the investment between the date of recognition and December 31, 2021. The fair value of the investment was $725 million as of December 31, 2021 due to foreign currency adjustments. </w:t>
      </w:r>
    </w:p>
    <w:p w14:paraId="18600B2F" w14:textId="77777777" w:rsidR="00A91885" w:rsidRDefault="00A91885">
      <w:pPr>
        <w:ind w:firstLine="540"/>
        <w:jc w:val="both"/>
      </w:pPr>
    </w:p>
    <w:p w14:paraId="18600B30" w14:textId="77777777" w:rsidR="00A91885" w:rsidRDefault="00A91885">
      <w:pPr>
        <w:jc w:val="center"/>
      </w:pPr>
    </w:p>
    <w:p w14:paraId="18600B31" w14:textId="77777777" w:rsidR="00A91885" w:rsidRDefault="009C4196">
      <w:pPr>
        <w:jc w:val="center"/>
      </w:pPr>
      <w:r>
        <w:rPr>
          <w:rFonts w:ascii="Arial" w:eastAsia="宋体" w:hAnsi="Arial" w:cs="Arial"/>
          <w:color w:val="000000"/>
          <w:sz w:val="20"/>
          <w:szCs w:val="20"/>
        </w:rPr>
        <w:t>30</w:t>
      </w:r>
    </w:p>
    <w:p w14:paraId="18600B32" w14:textId="77777777" w:rsidR="00A91885" w:rsidRDefault="009C4196">
      <w:r>
        <w:pict w14:anchorId="186021A1">
          <v:rect id="_x0000_i1054" style="width:415.3pt;height:1.5pt" o:hralign="center" o:hrstd="t" o:hr="t" fillcolor="#a0a0a0" stroked="f"/>
        </w:pict>
      </w:r>
    </w:p>
    <w:p w14:paraId="18600B33" w14:textId="77777777" w:rsidR="00A91885" w:rsidRDefault="009C4196">
      <w:hyperlink r:id="rId114" w:anchor="ieb971428a625452486c65ae24899afca_7" w:history="1">
        <w:r>
          <w:rPr>
            <w:rStyle w:val="a5"/>
            <w:rFonts w:ascii="Arial" w:eastAsia="宋体" w:hAnsi="Arial" w:cs="Arial"/>
            <w:sz w:val="18"/>
            <w:szCs w:val="18"/>
          </w:rPr>
          <w:t>Table of Contents</w:t>
        </w:r>
      </w:hyperlink>
    </w:p>
    <w:p w14:paraId="18600B34" w14:textId="77777777" w:rsidR="00A91885" w:rsidRDefault="009C4196">
      <w:pPr>
        <w:jc w:val="center"/>
      </w:pPr>
      <w:r>
        <w:rPr>
          <w:rFonts w:ascii="Arial" w:eastAsia="宋体" w:hAnsi="Arial" w:cs="Arial"/>
          <w:b/>
          <w:bCs/>
          <w:color w:val="000000"/>
          <w:sz w:val="20"/>
          <w:szCs w:val="20"/>
        </w:rPr>
        <w:t>eBay Inc.</w:t>
      </w:r>
    </w:p>
    <w:p w14:paraId="18600B35"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0B36" w14:textId="77777777" w:rsidR="00A91885" w:rsidRDefault="009C4196">
      <w:pPr>
        <w:spacing w:after="120"/>
        <w:ind w:firstLine="540"/>
        <w:jc w:val="both"/>
      </w:pPr>
      <w:r>
        <w:rPr>
          <w:rFonts w:ascii="Arial" w:eastAsia="宋体" w:hAnsi="Arial" w:cs="Arial"/>
          <w:color w:val="000000"/>
          <w:sz w:val="20"/>
          <w:szCs w:val="20"/>
        </w:rPr>
        <w:t>This inves</w:t>
      </w:r>
      <w:r>
        <w:rPr>
          <w:rFonts w:ascii="Arial" w:eastAsia="宋体" w:hAnsi="Arial" w:cs="Arial"/>
          <w:color w:val="000000"/>
          <w:sz w:val="20"/>
          <w:szCs w:val="20"/>
        </w:rPr>
        <w:t>tment is classified within Level 3 in the fair value hierarchy as valuation of the investment reflects management’s estimate of assumptions that market participants would use in pricing the asset. The following table presents quantitative information about</w:t>
      </w:r>
      <w:r>
        <w:rPr>
          <w:rFonts w:ascii="Arial" w:eastAsia="宋体" w:hAnsi="Arial" w:cs="Arial"/>
          <w:color w:val="000000"/>
          <w:sz w:val="20"/>
          <w:szCs w:val="20"/>
        </w:rPr>
        <w:t xml:space="preserve"> Level 3 significant unobservable inputs used in the fair value measurement of the equity investment in Gmarket as of June 30, 2022 that may have a significant impact on the overall valuation (in millions):</w:t>
      </w:r>
    </w:p>
    <w:tbl>
      <w:tblPr>
        <w:tblW w:w="5000" w:type="pct"/>
        <w:tblCellMar>
          <w:top w:w="15" w:type="dxa"/>
          <w:left w:w="15" w:type="dxa"/>
          <w:bottom w:w="15" w:type="dxa"/>
          <w:right w:w="15" w:type="dxa"/>
        </w:tblCellMar>
        <w:tblLook w:val="04A0" w:firstRow="1" w:lastRow="0" w:firstColumn="1" w:lastColumn="0" w:noHBand="0" w:noVBand="1"/>
      </w:tblPr>
      <w:tblGrid>
        <w:gridCol w:w="37"/>
        <w:gridCol w:w="1923"/>
        <w:gridCol w:w="36"/>
        <w:gridCol w:w="36"/>
        <w:gridCol w:w="36"/>
        <w:gridCol w:w="36"/>
        <w:gridCol w:w="121"/>
        <w:gridCol w:w="799"/>
        <w:gridCol w:w="36"/>
        <w:gridCol w:w="36"/>
        <w:gridCol w:w="36"/>
        <w:gridCol w:w="36"/>
        <w:gridCol w:w="47"/>
        <w:gridCol w:w="1364"/>
        <w:gridCol w:w="36"/>
        <w:gridCol w:w="36"/>
        <w:gridCol w:w="36"/>
        <w:gridCol w:w="36"/>
        <w:gridCol w:w="38"/>
        <w:gridCol w:w="2470"/>
        <w:gridCol w:w="36"/>
        <w:gridCol w:w="36"/>
        <w:gridCol w:w="36"/>
        <w:gridCol w:w="36"/>
        <w:gridCol w:w="46"/>
        <w:gridCol w:w="879"/>
        <w:gridCol w:w="36"/>
      </w:tblGrid>
      <w:tr w:rsidR="00A91885" w14:paraId="18600B52" w14:textId="77777777">
        <w:tc>
          <w:tcPr>
            <w:tcW w:w="50" w:type="pct"/>
            <w:shd w:val="clear" w:color="auto" w:fill="auto"/>
            <w:vAlign w:val="bottom"/>
          </w:tcPr>
          <w:p w14:paraId="18600B37" w14:textId="77777777" w:rsidR="00A91885" w:rsidRDefault="00A91885">
            <w:pPr>
              <w:rPr>
                <w:rFonts w:ascii="宋体"/>
              </w:rPr>
            </w:pPr>
          </w:p>
        </w:tc>
        <w:tc>
          <w:tcPr>
            <w:tcW w:w="1180" w:type="pct"/>
            <w:shd w:val="clear" w:color="auto" w:fill="auto"/>
            <w:vAlign w:val="bottom"/>
          </w:tcPr>
          <w:p w14:paraId="18600B38" w14:textId="77777777" w:rsidR="00A91885" w:rsidRDefault="00A91885">
            <w:pPr>
              <w:rPr>
                <w:rFonts w:ascii="宋体"/>
              </w:rPr>
            </w:pPr>
          </w:p>
        </w:tc>
        <w:tc>
          <w:tcPr>
            <w:tcW w:w="5" w:type="pct"/>
            <w:shd w:val="clear" w:color="auto" w:fill="auto"/>
            <w:vAlign w:val="bottom"/>
          </w:tcPr>
          <w:p w14:paraId="18600B39" w14:textId="77777777" w:rsidR="00A91885" w:rsidRDefault="00A91885">
            <w:pPr>
              <w:rPr>
                <w:rFonts w:ascii="宋体"/>
              </w:rPr>
            </w:pPr>
          </w:p>
        </w:tc>
        <w:tc>
          <w:tcPr>
            <w:tcW w:w="5" w:type="pct"/>
            <w:shd w:val="clear" w:color="auto" w:fill="auto"/>
            <w:vAlign w:val="bottom"/>
          </w:tcPr>
          <w:p w14:paraId="18600B3A" w14:textId="77777777" w:rsidR="00A91885" w:rsidRDefault="00A91885">
            <w:pPr>
              <w:rPr>
                <w:rFonts w:ascii="宋体"/>
              </w:rPr>
            </w:pPr>
          </w:p>
        </w:tc>
        <w:tc>
          <w:tcPr>
            <w:tcW w:w="19" w:type="pct"/>
            <w:shd w:val="clear" w:color="auto" w:fill="auto"/>
            <w:vAlign w:val="bottom"/>
          </w:tcPr>
          <w:p w14:paraId="18600B3B" w14:textId="77777777" w:rsidR="00A91885" w:rsidRDefault="00A91885">
            <w:pPr>
              <w:rPr>
                <w:rFonts w:ascii="宋体"/>
              </w:rPr>
            </w:pPr>
          </w:p>
        </w:tc>
        <w:tc>
          <w:tcPr>
            <w:tcW w:w="5" w:type="pct"/>
            <w:shd w:val="clear" w:color="auto" w:fill="auto"/>
            <w:vAlign w:val="bottom"/>
          </w:tcPr>
          <w:p w14:paraId="18600B3C" w14:textId="77777777" w:rsidR="00A91885" w:rsidRDefault="00A91885">
            <w:pPr>
              <w:rPr>
                <w:rFonts w:ascii="宋体"/>
              </w:rPr>
            </w:pPr>
          </w:p>
        </w:tc>
        <w:tc>
          <w:tcPr>
            <w:tcW w:w="50" w:type="pct"/>
            <w:shd w:val="clear" w:color="auto" w:fill="auto"/>
            <w:vAlign w:val="bottom"/>
          </w:tcPr>
          <w:p w14:paraId="18600B3D" w14:textId="77777777" w:rsidR="00A91885" w:rsidRDefault="00A91885">
            <w:pPr>
              <w:rPr>
                <w:rFonts w:ascii="宋体"/>
              </w:rPr>
            </w:pPr>
          </w:p>
        </w:tc>
        <w:tc>
          <w:tcPr>
            <w:tcW w:w="507" w:type="pct"/>
            <w:shd w:val="clear" w:color="auto" w:fill="auto"/>
            <w:vAlign w:val="bottom"/>
          </w:tcPr>
          <w:p w14:paraId="18600B3E" w14:textId="77777777" w:rsidR="00A91885" w:rsidRDefault="00A91885">
            <w:pPr>
              <w:rPr>
                <w:rFonts w:ascii="宋体"/>
              </w:rPr>
            </w:pPr>
          </w:p>
        </w:tc>
        <w:tc>
          <w:tcPr>
            <w:tcW w:w="5" w:type="pct"/>
            <w:shd w:val="clear" w:color="auto" w:fill="auto"/>
            <w:vAlign w:val="bottom"/>
          </w:tcPr>
          <w:p w14:paraId="18600B3F" w14:textId="77777777" w:rsidR="00A91885" w:rsidRDefault="00A91885">
            <w:pPr>
              <w:rPr>
                <w:rFonts w:ascii="宋体"/>
              </w:rPr>
            </w:pPr>
          </w:p>
        </w:tc>
        <w:tc>
          <w:tcPr>
            <w:tcW w:w="5" w:type="pct"/>
            <w:shd w:val="clear" w:color="auto" w:fill="auto"/>
            <w:vAlign w:val="bottom"/>
          </w:tcPr>
          <w:p w14:paraId="18600B40" w14:textId="77777777" w:rsidR="00A91885" w:rsidRDefault="00A91885">
            <w:pPr>
              <w:rPr>
                <w:rFonts w:ascii="宋体"/>
              </w:rPr>
            </w:pPr>
          </w:p>
        </w:tc>
        <w:tc>
          <w:tcPr>
            <w:tcW w:w="19" w:type="pct"/>
            <w:shd w:val="clear" w:color="auto" w:fill="auto"/>
            <w:vAlign w:val="bottom"/>
          </w:tcPr>
          <w:p w14:paraId="18600B41" w14:textId="77777777" w:rsidR="00A91885" w:rsidRDefault="00A91885">
            <w:pPr>
              <w:rPr>
                <w:rFonts w:ascii="宋体"/>
              </w:rPr>
            </w:pPr>
          </w:p>
        </w:tc>
        <w:tc>
          <w:tcPr>
            <w:tcW w:w="5" w:type="pct"/>
            <w:shd w:val="clear" w:color="auto" w:fill="auto"/>
            <w:vAlign w:val="bottom"/>
          </w:tcPr>
          <w:p w14:paraId="18600B42" w14:textId="77777777" w:rsidR="00A91885" w:rsidRDefault="00A91885">
            <w:pPr>
              <w:rPr>
                <w:rFonts w:ascii="宋体"/>
              </w:rPr>
            </w:pPr>
          </w:p>
        </w:tc>
        <w:tc>
          <w:tcPr>
            <w:tcW w:w="50" w:type="pct"/>
            <w:shd w:val="clear" w:color="auto" w:fill="auto"/>
            <w:vAlign w:val="bottom"/>
          </w:tcPr>
          <w:p w14:paraId="18600B43" w14:textId="77777777" w:rsidR="00A91885" w:rsidRDefault="00A91885">
            <w:pPr>
              <w:rPr>
                <w:rFonts w:ascii="宋体"/>
              </w:rPr>
            </w:pPr>
          </w:p>
        </w:tc>
        <w:tc>
          <w:tcPr>
            <w:tcW w:w="851" w:type="pct"/>
            <w:shd w:val="clear" w:color="auto" w:fill="auto"/>
            <w:vAlign w:val="bottom"/>
          </w:tcPr>
          <w:p w14:paraId="18600B44" w14:textId="77777777" w:rsidR="00A91885" w:rsidRDefault="00A91885">
            <w:pPr>
              <w:rPr>
                <w:rFonts w:ascii="宋体"/>
              </w:rPr>
            </w:pPr>
          </w:p>
        </w:tc>
        <w:tc>
          <w:tcPr>
            <w:tcW w:w="5" w:type="pct"/>
            <w:shd w:val="clear" w:color="auto" w:fill="auto"/>
            <w:vAlign w:val="bottom"/>
          </w:tcPr>
          <w:p w14:paraId="18600B45" w14:textId="77777777" w:rsidR="00A91885" w:rsidRDefault="00A91885">
            <w:pPr>
              <w:rPr>
                <w:rFonts w:ascii="宋体"/>
              </w:rPr>
            </w:pPr>
          </w:p>
        </w:tc>
        <w:tc>
          <w:tcPr>
            <w:tcW w:w="5" w:type="pct"/>
            <w:shd w:val="clear" w:color="auto" w:fill="auto"/>
            <w:vAlign w:val="bottom"/>
          </w:tcPr>
          <w:p w14:paraId="18600B46" w14:textId="77777777" w:rsidR="00A91885" w:rsidRDefault="00A91885">
            <w:pPr>
              <w:rPr>
                <w:rFonts w:ascii="宋体"/>
              </w:rPr>
            </w:pPr>
          </w:p>
        </w:tc>
        <w:tc>
          <w:tcPr>
            <w:tcW w:w="19" w:type="pct"/>
            <w:shd w:val="clear" w:color="auto" w:fill="auto"/>
            <w:vAlign w:val="bottom"/>
          </w:tcPr>
          <w:p w14:paraId="18600B47" w14:textId="77777777" w:rsidR="00A91885" w:rsidRDefault="00A91885">
            <w:pPr>
              <w:rPr>
                <w:rFonts w:ascii="宋体"/>
              </w:rPr>
            </w:pPr>
          </w:p>
        </w:tc>
        <w:tc>
          <w:tcPr>
            <w:tcW w:w="5" w:type="pct"/>
            <w:shd w:val="clear" w:color="auto" w:fill="auto"/>
            <w:vAlign w:val="bottom"/>
          </w:tcPr>
          <w:p w14:paraId="18600B48" w14:textId="77777777" w:rsidR="00A91885" w:rsidRDefault="00A91885">
            <w:pPr>
              <w:rPr>
                <w:rFonts w:ascii="宋体"/>
              </w:rPr>
            </w:pPr>
          </w:p>
        </w:tc>
        <w:tc>
          <w:tcPr>
            <w:tcW w:w="50" w:type="pct"/>
            <w:shd w:val="clear" w:color="auto" w:fill="auto"/>
            <w:vAlign w:val="bottom"/>
          </w:tcPr>
          <w:p w14:paraId="18600B49" w14:textId="77777777" w:rsidR="00A91885" w:rsidRDefault="00A91885">
            <w:pPr>
              <w:rPr>
                <w:rFonts w:ascii="宋体"/>
              </w:rPr>
            </w:pPr>
          </w:p>
        </w:tc>
        <w:tc>
          <w:tcPr>
            <w:tcW w:w="1509" w:type="pct"/>
            <w:shd w:val="clear" w:color="auto" w:fill="auto"/>
            <w:vAlign w:val="bottom"/>
          </w:tcPr>
          <w:p w14:paraId="18600B4A" w14:textId="77777777" w:rsidR="00A91885" w:rsidRDefault="00A91885">
            <w:pPr>
              <w:rPr>
                <w:rFonts w:ascii="宋体"/>
              </w:rPr>
            </w:pPr>
          </w:p>
        </w:tc>
        <w:tc>
          <w:tcPr>
            <w:tcW w:w="5" w:type="pct"/>
            <w:shd w:val="clear" w:color="auto" w:fill="auto"/>
            <w:vAlign w:val="bottom"/>
          </w:tcPr>
          <w:p w14:paraId="18600B4B" w14:textId="77777777" w:rsidR="00A91885" w:rsidRDefault="00A91885">
            <w:pPr>
              <w:rPr>
                <w:rFonts w:ascii="宋体"/>
              </w:rPr>
            </w:pPr>
          </w:p>
        </w:tc>
        <w:tc>
          <w:tcPr>
            <w:tcW w:w="5" w:type="pct"/>
            <w:shd w:val="clear" w:color="auto" w:fill="auto"/>
            <w:vAlign w:val="bottom"/>
          </w:tcPr>
          <w:p w14:paraId="18600B4C" w14:textId="77777777" w:rsidR="00A91885" w:rsidRDefault="00A91885">
            <w:pPr>
              <w:rPr>
                <w:rFonts w:ascii="宋体"/>
              </w:rPr>
            </w:pPr>
          </w:p>
        </w:tc>
        <w:tc>
          <w:tcPr>
            <w:tcW w:w="19" w:type="pct"/>
            <w:shd w:val="clear" w:color="auto" w:fill="auto"/>
            <w:vAlign w:val="bottom"/>
          </w:tcPr>
          <w:p w14:paraId="18600B4D" w14:textId="77777777" w:rsidR="00A91885" w:rsidRDefault="00A91885">
            <w:pPr>
              <w:rPr>
                <w:rFonts w:ascii="宋体"/>
              </w:rPr>
            </w:pPr>
          </w:p>
        </w:tc>
        <w:tc>
          <w:tcPr>
            <w:tcW w:w="5" w:type="pct"/>
            <w:shd w:val="clear" w:color="auto" w:fill="auto"/>
            <w:vAlign w:val="bottom"/>
          </w:tcPr>
          <w:p w14:paraId="18600B4E" w14:textId="77777777" w:rsidR="00A91885" w:rsidRDefault="00A91885">
            <w:pPr>
              <w:rPr>
                <w:rFonts w:ascii="宋体"/>
              </w:rPr>
            </w:pPr>
          </w:p>
        </w:tc>
        <w:tc>
          <w:tcPr>
            <w:tcW w:w="50" w:type="pct"/>
            <w:shd w:val="clear" w:color="auto" w:fill="auto"/>
            <w:vAlign w:val="bottom"/>
          </w:tcPr>
          <w:p w14:paraId="18600B4F" w14:textId="77777777" w:rsidR="00A91885" w:rsidRDefault="00A91885">
            <w:pPr>
              <w:rPr>
                <w:rFonts w:ascii="宋体"/>
              </w:rPr>
            </w:pPr>
          </w:p>
        </w:tc>
        <w:tc>
          <w:tcPr>
            <w:tcW w:w="559" w:type="pct"/>
            <w:shd w:val="clear" w:color="auto" w:fill="auto"/>
            <w:vAlign w:val="bottom"/>
          </w:tcPr>
          <w:p w14:paraId="18600B50" w14:textId="77777777" w:rsidR="00A91885" w:rsidRDefault="00A91885">
            <w:pPr>
              <w:rPr>
                <w:rFonts w:ascii="宋体"/>
              </w:rPr>
            </w:pPr>
          </w:p>
        </w:tc>
        <w:tc>
          <w:tcPr>
            <w:tcW w:w="5" w:type="pct"/>
            <w:shd w:val="clear" w:color="auto" w:fill="auto"/>
            <w:vAlign w:val="bottom"/>
          </w:tcPr>
          <w:p w14:paraId="18600B51" w14:textId="77777777" w:rsidR="00A91885" w:rsidRDefault="00A91885">
            <w:pPr>
              <w:rPr>
                <w:rFonts w:ascii="宋体"/>
              </w:rPr>
            </w:pPr>
          </w:p>
        </w:tc>
      </w:tr>
      <w:tr w:rsidR="00A91885" w14:paraId="18600B5C" w14:textId="77777777">
        <w:tc>
          <w:tcPr>
            <w:tcW w:w="0" w:type="auto"/>
            <w:gridSpan w:val="3"/>
            <w:shd w:val="clear" w:color="auto" w:fill="auto"/>
            <w:tcMar>
              <w:top w:w="0" w:type="dxa"/>
              <w:left w:w="20" w:type="dxa"/>
              <w:bottom w:w="0" w:type="dxa"/>
              <w:right w:w="20" w:type="dxa"/>
            </w:tcMar>
            <w:vAlign w:val="bottom"/>
          </w:tcPr>
          <w:p w14:paraId="18600B53"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0B54"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B55" w14:textId="77777777" w:rsidR="00A91885" w:rsidRDefault="009C4196">
            <w:pPr>
              <w:jc w:val="center"/>
              <w:textAlignment w:val="bottom"/>
            </w:pPr>
            <w:r>
              <w:rPr>
                <w:rFonts w:ascii="Arial" w:eastAsia="宋体" w:hAnsi="Arial" w:cs="Arial"/>
                <w:b/>
                <w:bCs/>
                <w:color w:val="000000"/>
                <w:sz w:val="17"/>
                <w:szCs w:val="17"/>
              </w:rPr>
              <w:t xml:space="preserve">Fair value </w:t>
            </w:r>
          </w:p>
        </w:tc>
        <w:tc>
          <w:tcPr>
            <w:tcW w:w="0" w:type="auto"/>
            <w:gridSpan w:val="3"/>
            <w:shd w:val="clear" w:color="auto" w:fill="auto"/>
            <w:tcMar>
              <w:top w:w="0" w:type="dxa"/>
              <w:left w:w="20" w:type="dxa"/>
              <w:bottom w:w="0" w:type="dxa"/>
              <w:right w:w="20" w:type="dxa"/>
            </w:tcMar>
            <w:vAlign w:val="bottom"/>
          </w:tcPr>
          <w:p w14:paraId="18600B56"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B57" w14:textId="77777777" w:rsidR="00A91885" w:rsidRDefault="009C4196">
            <w:pPr>
              <w:jc w:val="center"/>
              <w:textAlignment w:val="bottom"/>
            </w:pPr>
            <w:r>
              <w:rPr>
                <w:rFonts w:ascii="Arial" w:eastAsia="宋体" w:hAnsi="Arial" w:cs="Arial"/>
                <w:b/>
                <w:bCs/>
                <w:color w:val="000000"/>
                <w:sz w:val="17"/>
                <w:szCs w:val="17"/>
              </w:rPr>
              <w:t>Valuation technique</w:t>
            </w:r>
          </w:p>
        </w:tc>
        <w:tc>
          <w:tcPr>
            <w:tcW w:w="0" w:type="auto"/>
            <w:gridSpan w:val="3"/>
            <w:shd w:val="clear" w:color="auto" w:fill="auto"/>
            <w:tcMar>
              <w:top w:w="0" w:type="dxa"/>
              <w:left w:w="20" w:type="dxa"/>
              <w:bottom w:w="0" w:type="dxa"/>
              <w:right w:w="20" w:type="dxa"/>
            </w:tcMar>
            <w:vAlign w:val="bottom"/>
          </w:tcPr>
          <w:p w14:paraId="18600B58"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B59" w14:textId="77777777" w:rsidR="00A91885" w:rsidRDefault="009C4196">
            <w:pPr>
              <w:jc w:val="center"/>
              <w:textAlignment w:val="bottom"/>
            </w:pPr>
            <w:r>
              <w:rPr>
                <w:rFonts w:ascii="Arial" w:eastAsia="宋体" w:hAnsi="Arial" w:cs="Arial"/>
                <w:b/>
                <w:bCs/>
                <w:color w:val="000000"/>
                <w:sz w:val="17"/>
                <w:szCs w:val="17"/>
              </w:rPr>
              <w:t>Unobservable Input</w:t>
            </w:r>
          </w:p>
        </w:tc>
        <w:tc>
          <w:tcPr>
            <w:tcW w:w="0" w:type="auto"/>
            <w:gridSpan w:val="3"/>
            <w:shd w:val="clear" w:color="auto" w:fill="auto"/>
            <w:tcMar>
              <w:top w:w="0" w:type="dxa"/>
              <w:left w:w="20" w:type="dxa"/>
              <w:bottom w:w="0" w:type="dxa"/>
              <w:right w:w="20" w:type="dxa"/>
            </w:tcMar>
            <w:vAlign w:val="bottom"/>
          </w:tcPr>
          <w:p w14:paraId="18600B5A"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B5B" w14:textId="77777777" w:rsidR="00A91885" w:rsidRDefault="009C4196">
            <w:pPr>
              <w:jc w:val="center"/>
              <w:textAlignment w:val="bottom"/>
            </w:pPr>
            <w:r>
              <w:rPr>
                <w:rFonts w:ascii="Arial" w:eastAsia="宋体" w:hAnsi="Arial" w:cs="Arial"/>
                <w:b/>
                <w:bCs/>
                <w:color w:val="000000"/>
                <w:sz w:val="17"/>
                <w:szCs w:val="17"/>
              </w:rPr>
              <w:t>Range</w:t>
            </w:r>
          </w:p>
        </w:tc>
      </w:tr>
      <w:tr w:rsidR="00A91885" w14:paraId="18600B68" w14:textId="77777777">
        <w:tc>
          <w:tcPr>
            <w:tcW w:w="0" w:type="auto"/>
            <w:gridSpan w:val="3"/>
            <w:shd w:val="clear" w:color="auto" w:fill="DBDBDB"/>
            <w:tcMar>
              <w:top w:w="40" w:type="dxa"/>
              <w:left w:w="20" w:type="dxa"/>
              <w:bottom w:w="40" w:type="dxa"/>
              <w:right w:w="20" w:type="dxa"/>
            </w:tcMar>
            <w:vAlign w:val="bottom"/>
          </w:tcPr>
          <w:p w14:paraId="18600B5D" w14:textId="77777777" w:rsidR="00A91885" w:rsidRDefault="009C4196">
            <w:pPr>
              <w:textAlignment w:val="bottom"/>
            </w:pPr>
            <w:r>
              <w:rPr>
                <w:rFonts w:ascii="Arial" w:eastAsia="宋体" w:hAnsi="Arial" w:cs="Arial"/>
                <w:color w:val="000000"/>
                <w:sz w:val="18"/>
                <w:szCs w:val="18"/>
              </w:rPr>
              <w:t>Equity investment in Gmarket</w:t>
            </w:r>
          </w:p>
        </w:tc>
        <w:tc>
          <w:tcPr>
            <w:tcW w:w="0" w:type="auto"/>
            <w:gridSpan w:val="3"/>
            <w:shd w:val="clear" w:color="auto" w:fill="DBDBDB"/>
            <w:tcMar>
              <w:top w:w="0" w:type="dxa"/>
              <w:left w:w="20" w:type="dxa"/>
              <w:bottom w:w="0" w:type="dxa"/>
              <w:right w:w="20" w:type="dxa"/>
            </w:tcMar>
            <w:vAlign w:val="bottom"/>
          </w:tcPr>
          <w:p w14:paraId="18600B5E"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600B5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600B60" w14:textId="77777777" w:rsidR="00A91885" w:rsidRDefault="009C4196">
            <w:pPr>
              <w:jc w:val="right"/>
              <w:textAlignment w:val="bottom"/>
            </w:pPr>
            <w:r>
              <w:rPr>
                <w:rFonts w:ascii="Arial" w:eastAsia="宋体" w:hAnsi="Arial" w:cs="Arial"/>
                <w:color w:val="000000"/>
                <w:sz w:val="18"/>
                <w:szCs w:val="18"/>
              </w:rPr>
              <w:t>466 </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0B61"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B62" w14:textId="77777777" w:rsidR="00A91885" w:rsidRDefault="00A91885">
            <w:pPr>
              <w:rPr>
                <w:rFonts w:ascii="宋体"/>
              </w:rPr>
            </w:pPr>
          </w:p>
        </w:tc>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18600B63" w14:textId="77777777" w:rsidR="00A91885" w:rsidRDefault="009C4196">
            <w:pPr>
              <w:jc w:val="center"/>
              <w:textAlignment w:val="bottom"/>
            </w:pPr>
            <w:r>
              <w:rPr>
                <w:rFonts w:ascii="Arial" w:eastAsia="宋体" w:hAnsi="Arial" w:cs="Arial"/>
                <w:color w:val="000000"/>
                <w:sz w:val="18"/>
                <w:szCs w:val="18"/>
              </w:rPr>
              <w:t>Market multiples</w:t>
            </w:r>
          </w:p>
        </w:tc>
        <w:tc>
          <w:tcPr>
            <w:tcW w:w="0" w:type="auto"/>
            <w:gridSpan w:val="3"/>
            <w:shd w:val="clear" w:color="auto" w:fill="DBDBDB"/>
            <w:tcMar>
              <w:top w:w="0" w:type="dxa"/>
              <w:left w:w="20" w:type="dxa"/>
              <w:bottom w:w="0" w:type="dxa"/>
              <w:right w:w="20" w:type="dxa"/>
            </w:tcMar>
            <w:vAlign w:val="bottom"/>
          </w:tcPr>
          <w:p w14:paraId="18600B64" w14:textId="77777777" w:rsidR="00A91885" w:rsidRDefault="00A91885">
            <w:pPr>
              <w:rPr>
                <w:rFonts w:ascii="宋体"/>
              </w:rPr>
            </w:pPr>
          </w:p>
        </w:tc>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18600B65" w14:textId="77777777" w:rsidR="00A91885" w:rsidRDefault="009C4196">
            <w:pPr>
              <w:jc w:val="center"/>
              <w:textAlignment w:val="bottom"/>
            </w:pPr>
            <w:r>
              <w:rPr>
                <w:rFonts w:ascii="Arial" w:eastAsia="宋体" w:hAnsi="Arial" w:cs="Arial"/>
                <w:color w:val="000000"/>
                <w:sz w:val="18"/>
                <w:szCs w:val="18"/>
              </w:rPr>
              <w:t xml:space="preserve">Revenue multiple — GPC method </w:t>
            </w:r>
            <w:r>
              <w:rPr>
                <w:rFonts w:ascii="Arial" w:eastAsia="宋体" w:hAnsi="Arial" w:cs="Arial"/>
                <w:color w:val="000000"/>
                <w:sz w:val="11"/>
                <w:szCs w:val="11"/>
              </w:rPr>
              <w:t>(1)</w:t>
            </w:r>
          </w:p>
        </w:tc>
        <w:tc>
          <w:tcPr>
            <w:tcW w:w="0" w:type="auto"/>
            <w:gridSpan w:val="3"/>
            <w:shd w:val="clear" w:color="auto" w:fill="DBDBDB"/>
            <w:tcMar>
              <w:top w:w="0" w:type="dxa"/>
              <w:left w:w="20" w:type="dxa"/>
              <w:bottom w:w="0" w:type="dxa"/>
              <w:right w:w="20" w:type="dxa"/>
            </w:tcMar>
            <w:vAlign w:val="bottom"/>
          </w:tcPr>
          <w:p w14:paraId="18600B66" w14:textId="77777777" w:rsidR="00A91885" w:rsidRDefault="00A91885">
            <w:pPr>
              <w:rPr>
                <w:rFonts w:ascii="宋体"/>
              </w:rPr>
            </w:pPr>
          </w:p>
        </w:tc>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18600B67" w14:textId="77777777" w:rsidR="00A91885" w:rsidRDefault="009C4196">
            <w:pPr>
              <w:jc w:val="center"/>
              <w:textAlignment w:val="bottom"/>
            </w:pPr>
            <w:r>
              <w:rPr>
                <w:rFonts w:ascii="Arial" w:eastAsia="宋体" w:hAnsi="Arial" w:cs="Arial"/>
                <w:color w:val="000000"/>
                <w:sz w:val="18"/>
                <w:szCs w:val="18"/>
              </w:rPr>
              <w:t>1.1x — 2.0x</w:t>
            </w:r>
          </w:p>
        </w:tc>
      </w:tr>
      <w:tr w:rsidR="00A91885" w14:paraId="18600B72" w14:textId="77777777">
        <w:tc>
          <w:tcPr>
            <w:tcW w:w="0" w:type="auto"/>
            <w:gridSpan w:val="3"/>
            <w:shd w:val="clear" w:color="auto" w:fill="FFFFFF"/>
            <w:tcMar>
              <w:top w:w="0" w:type="dxa"/>
              <w:left w:w="20" w:type="dxa"/>
              <w:bottom w:w="0" w:type="dxa"/>
              <w:right w:w="20" w:type="dxa"/>
            </w:tcMar>
            <w:vAlign w:val="bottom"/>
          </w:tcPr>
          <w:p w14:paraId="18600B69"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6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6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6C"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6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6E"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0B6F" w14:textId="77777777" w:rsidR="00A91885" w:rsidRDefault="009C4196">
            <w:pPr>
              <w:jc w:val="center"/>
              <w:textAlignment w:val="bottom"/>
            </w:pPr>
            <w:r>
              <w:rPr>
                <w:rFonts w:ascii="Arial" w:eastAsia="宋体" w:hAnsi="Arial" w:cs="Arial"/>
                <w:color w:val="000000"/>
                <w:sz w:val="18"/>
                <w:szCs w:val="18"/>
              </w:rPr>
              <w:t xml:space="preserve">Revenue multiple — GMAC method </w:t>
            </w:r>
            <w:r>
              <w:rPr>
                <w:rFonts w:ascii="Arial" w:eastAsia="宋体" w:hAnsi="Arial" w:cs="Arial"/>
                <w:color w:val="000000"/>
                <w:sz w:val="11"/>
                <w:szCs w:val="11"/>
              </w:rPr>
              <w:t>(1)</w:t>
            </w:r>
          </w:p>
        </w:tc>
        <w:tc>
          <w:tcPr>
            <w:tcW w:w="0" w:type="auto"/>
            <w:gridSpan w:val="3"/>
            <w:shd w:val="clear" w:color="auto" w:fill="FFFFFF"/>
            <w:tcMar>
              <w:top w:w="0" w:type="dxa"/>
              <w:left w:w="20" w:type="dxa"/>
              <w:bottom w:w="0" w:type="dxa"/>
              <w:right w:w="20" w:type="dxa"/>
            </w:tcMar>
            <w:vAlign w:val="bottom"/>
          </w:tcPr>
          <w:p w14:paraId="18600B70"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0B71" w14:textId="77777777" w:rsidR="00A91885" w:rsidRDefault="009C4196">
            <w:pPr>
              <w:jc w:val="center"/>
              <w:textAlignment w:val="bottom"/>
            </w:pPr>
            <w:r>
              <w:rPr>
                <w:rFonts w:ascii="Arial" w:eastAsia="宋体" w:hAnsi="Arial" w:cs="Arial"/>
                <w:color w:val="000000"/>
                <w:sz w:val="18"/>
                <w:szCs w:val="18"/>
              </w:rPr>
              <w:t>1.4x — 4.1x</w:t>
            </w:r>
          </w:p>
        </w:tc>
      </w:tr>
      <w:tr w:rsidR="00A91885" w14:paraId="18600B7C" w14:textId="77777777">
        <w:trPr>
          <w:hidden/>
        </w:trPr>
        <w:tc>
          <w:tcPr>
            <w:tcW w:w="0" w:type="auto"/>
            <w:gridSpan w:val="3"/>
            <w:shd w:val="clear" w:color="auto" w:fill="auto"/>
            <w:vAlign w:val="bottom"/>
          </w:tcPr>
          <w:p w14:paraId="18600B73" w14:textId="77777777" w:rsidR="00A91885" w:rsidRDefault="00A91885">
            <w:pPr>
              <w:rPr>
                <w:rFonts w:ascii="宋体"/>
                <w:vanish/>
              </w:rPr>
            </w:pPr>
          </w:p>
        </w:tc>
        <w:tc>
          <w:tcPr>
            <w:tcW w:w="0" w:type="auto"/>
            <w:gridSpan w:val="3"/>
            <w:shd w:val="clear" w:color="auto" w:fill="auto"/>
            <w:vAlign w:val="bottom"/>
          </w:tcPr>
          <w:p w14:paraId="18600B74" w14:textId="77777777" w:rsidR="00A91885" w:rsidRDefault="00A91885">
            <w:pPr>
              <w:rPr>
                <w:rFonts w:ascii="宋体"/>
                <w:vanish/>
              </w:rPr>
            </w:pPr>
          </w:p>
        </w:tc>
        <w:tc>
          <w:tcPr>
            <w:tcW w:w="0" w:type="auto"/>
            <w:gridSpan w:val="3"/>
            <w:shd w:val="clear" w:color="auto" w:fill="auto"/>
            <w:vAlign w:val="bottom"/>
          </w:tcPr>
          <w:p w14:paraId="18600B75" w14:textId="77777777" w:rsidR="00A91885" w:rsidRDefault="00A91885">
            <w:pPr>
              <w:rPr>
                <w:rFonts w:ascii="宋体"/>
                <w:vanish/>
              </w:rPr>
            </w:pPr>
          </w:p>
        </w:tc>
        <w:tc>
          <w:tcPr>
            <w:tcW w:w="0" w:type="auto"/>
            <w:gridSpan w:val="3"/>
            <w:shd w:val="clear" w:color="auto" w:fill="auto"/>
            <w:vAlign w:val="bottom"/>
          </w:tcPr>
          <w:p w14:paraId="18600B76" w14:textId="77777777" w:rsidR="00A91885" w:rsidRDefault="00A91885">
            <w:pPr>
              <w:rPr>
                <w:rFonts w:ascii="宋体"/>
                <w:vanish/>
              </w:rPr>
            </w:pPr>
          </w:p>
        </w:tc>
        <w:tc>
          <w:tcPr>
            <w:tcW w:w="0" w:type="auto"/>
            <w:gridSpan w:val="3"/>
            <w:shd w:val="clear" w:color="auto" w:fill="auto"/>
            <w:vAlign w:val="bottom"/>
          </w:tcPr>
          <w:p w14:paraId="18600B77" w14:textId="77777777" w:rsidR="00A91885" w:rsidRDefault="00A91885">
            <w:pPr>
              <w:rPr>
                <w:rFonts w:ascii="宋体"/>
                <w:vanish/>
              </w:rPr>
            </w:pPr>
          </w:p>
        </w:tc>
        <w:tc>
          <w:tcPr>
            <w:tcW w:w="0" w:type="auto"/>
            <w:gridSpan w:val="3"/>
            <w:shd w:val="clear" w:color="auto" w:fill="auto"/>
            <w:vAlign w:val="bottom"/>
          </w:tcPr>
          <w:p w14:paraId="18600B78" w14:textId="77777777" w:rsidR="00A91885" w:rsidRDefault="00A91885">
            <w:pPr>
              <w:rPr>
                <w:rFonts w:ascii="宋体"/>
                <w:vanish/>
              </w:rPr>
            </w:pPr>
          </w:p>
        </w:tc>
        <w:tc>
          <w:tcPr>
            <w:tcW w:w="0" w:type="auto"/>
            <w:gridSpan w:val="3"/>
            <w:shd w:val="clear" w:color="auto" w:fill="auto"/>
            <w:vAlign w:val="bottom"/>
          </w:tcPr>
          <w:p w14:paraId="18600B79" w14:textId="77777777" w:rsidR="00A91885" w:rsidRDefault="00A91885">
            <w:pPr>
              <w:rPr>
                <w:rFonts w:ascii="宋体"/>
                <w:vanish/>
              </w:rPr>
            </w:pPr>
          </w:p>
        </w:tc>
        <w:tc>
          <w:tcPr>
            <w:tcW w:w="0" w:type="auto"/>
            <w:gridSpan w:val="3"/>
            <w:shd w:val="clear" w:color="auto" w:fill="auto"/>
            <w:vAlign w:val="bottom"/>
          </w:tcPr>
          <w:p w14:paraId="18600B7A" w14:textId="77777777" w:rsidR="00A91885" w:rsidRDefault="00A91885">
            <w:pPr>
              <w:rPr>
                <w:rFonts w:ascii="宋体"/>
                <w:vanish/>
              </w:rPr>
            </w:pPr>
          </w:p>
        </w:tc>
        <w:tc>
          <w:tcPr>
            <w:tcW w:w="0" w:type="auto"/>
            <w:gridSpan w:val="3"/>
            <w:shd w:val="clear" w:color="auto" w:fill="auto"/>
            <w:vAlign w:val="bottom"/>
          </w:tcPr>
          <w:p w14:paraId="18600B7B" w14:textId="77777777" w:rsidR="00A91885" w:rsidRDefault="00A91885">
            <w:pPr>
              <w:rPr>
                <w:rFonts w:ascii="宋体"/>
                <w:vanish/>
              </w:rPr>
            </w:pPr>
          </w:p>
        </w:tc>
      </w:tr>
      <w:tr w:rsidR="00A91885" w14:paraId="18600B86" w14:textId="77777777">
        <w:trPr>
          <w:hidden/>
        </w:trPr>
        <w:tc>
          <w:tcPr>
            <w:tcW w:w="0" w:type="auto"/>
            <w:gridSpan w:val="3"/>
            <w:shd w:val="clear" w:color="auto" w:fill="auto"/>
            <w:vAlign w:val="bottom"/>
          </w:tcPr>
          <w:p w14:paraId="18600B7D" w14:textId="77777777" w:rsidR="00A91885" w:rsidRDefault="00A91885">
            <w:pPr>
              <w:rPr>
                <w:rFonts w:ascii="宋体"/>
                <w:vanish/>
              </w:rPr>
            </w:pPr>
          </w:p>
        </w:tc>
        <w:tc>
          <w:tcPr>
            <w:tcW w:w="0" w:type="auto"/>
            <w:gridSpan w:val="3"/>
            <w:shd w:val="clear" w:color="auto" w:fill="auto"/>
            <w:vAlign w:val="bottom"/>
          </w:tcPr>
          <w:p w14:paraId="18600B7E" w14:textId="77777777" w:rsidR="00A91885" w:rsidRDefault="00A91885">
            <w:pPr>
              <w:rPr>
                <w:rFonts w:ascii="宋体"/>
                <w:vanish/>
              </w:rPr>
            </w:pPr>
          </w:p>
        </w:tc>
        <w:tc>
          <w:tcPr>
            <w:tcW w:w="0" w:type="auto"/>
            <w:gridSpan w:val="3"/>
            <w:shd w:val="clear" w:color="auto" w:fill="auto"/>
            <w:vAlign w:val="bottom"/>
          </w:tcPr>
          <w:p w14:paraId="18600B7F" w14:textId="77777777" w:rsidR="00A91885" w:rsidRDefault="00A91885">
            <w:pPr>
              <w:rPr>
                <w:rFonts w:ascii="宋体"/>
                <w:vanish/>
              </w:rPr>
            </w:pPr>
          </w:p>
        </w:tc>
        <w:tc>
          <w:tcPr>
            <w:tcW w:w="0" w:type="auto"/>
            <w:gridSpan w:val="3"/>
            <w:shd w:val="clear" w:color="auto" w:fill="auto"/>
            <w:vAlign w:val="bottom"/>
          </w:tcPr>
          <w:p w14:paraId="18600B80" w14:textId="77777777" w:rsidR="00A91885" w:rsidRDefault="00A91885">
            <w:pPr>
              <w:rPr>
                <w:rFonts w:ascii="宋体"/>
                <w:vanish/>
              </w:rPr>
            </w:pPr>
          </w:p>
        </w:tc>
        <w:tc>
          <w:tcPr>
            <w:tcW w:w="0" w:type="auto"/>
            <w:gridSpan w:val="3"/>
            <w:shd w:val="clear" w:color="auto" w:fill="auto"/>
            <w:vAlign w:val="bottom"/>
          </w:tcPr>
          <w:p w14:paraId="18600B81" w14:textId="77777777" w:rsidR="00A91885" w:rsidRDefault="00A91885">
            <w:pPr>
              <w:rPr>
                <w:rFonts w:ascii="宋体"/>
                <w:vanish/>
              </w:rPr>
            </w:pPr>
          </w:p>
        </w:tc>
        <w:tc>
          <w:tcPr>
            <w:tcW w:w="0" w:type="auto"/>
            <w:gridSpan w:val="3"/>
            <w:shd w:val="clear" w:color="auto" w:fill="auto"/>
            <w:vAlign w:val="bottom"/>
          </w:tcPr>
          <w:p w14:paraId="18600B82" w14:textId="77777777" w:rsidR="00A91885" w:rsidRDefault="00A91885">
            <w:pPr>
              <w:rPr>
                <w:rFonts w:ascii="宋体"/>
                <w:vanish/>
              </w:rPr>
            </w:pPr>
          </w:p>
        </w:tc>
        <w:tc>
          <w:tcPr>
            <w:tcW w:w="0" w:type="auto"/>
            <w:gridSpan w:val="3"/>
            <w:shd w:val="clear" w:color="auto" w:fill="auto"/>
            <w:vAlign w:val="bottom"/>
          </w:tcPr>
          <w:p w14:paraId="18600B83" w14:textId="77777777" w:rsidR="00A91885" w:rsidRDefault="00A91885">
            <w:pPr>
              <w:rPr>
                <w:rFonts w:ascii="宋体"/>
                <w:vanish/>
              </w:rPr>
            </w:pPr>
          </w:p>
        </w:tc>
        <w:tc>
          <w:tcPr>
            <w:tcW w:w="0" w:type="auto"/>
            <w:gridSpan w:val="3"/>
            <w:shd w:val="clear" w:color="auto" w:fill="auto"/>
            <w:vAlign w:val="bottom"/>
          </w:tcPr>
          <w:p w14:paraId="18600B84" w14:textId="77777777" w:rsidR="00A91885" w:rsidRDefault="00A91885">
            <w:pPr>
              <w:rPr>
                <w:rFonts w:ascii="宋体"/>
                <w:vanish/>
              </w:rPr>
            </w:pPr>
          </w:p>
        </w:tc>
        <w:tc>
          <w:tcPr>
            <w:tcW w:w="0" w:type="auto"/>
            <w:gridSpan w:val="3"/>
            <w:shd w:val="clear" w:color="auto" w:fill="auto"/>
            <w:vAlign w:val="bottom"/>
          </w:tcPr>
          <w:p w14:paraId="18600B85" w14:textId="77777777" w:rsidR="00A91885" w:rsidRDefault="00A91885">
            <w:pPr>
              <w:rPr>
                <w:rFonts w:ascii="宋体"/>
                <w:vanish/>
              </w:rPr>
            </w:pPr>
          </w:p>
        </w:tc>
      </w:tr>
    </w:tbl>
    <w:p w14:paraId="18600B87" w14:textId="77777777" w:rsidR="00A91885" w:rsidRDefault="009C4196">
      <w:pPr>
        <w:ind w:hanging="180"/>
        <w:jc w:val="both"/>
      </w:pPr>
      <w:r>
        <w:rPr>
          <w:rFonts w:ascii="Arial" w:eastAsia="宋体" w:hAnsi="Arial" w:cs="Arial"/>
          <w:color w:val="000000"/>
          <w:sz w:val="13"/>
          <w:szCs w:val="13"/>
        </w:rPr>
        <w:t>(1)</w:t>
      </w:r>
      <w:r>
        <w:rPr>
          <w:rFonts w:ascii="Arial" w:eastAsia="宋体" w:hAnsi="Arial" w:cs="Arial"/>
          <w:color w:val="000000"/>
          <w:sz w:val="20"/>
          <w:szCs w:val="20"/>
        </w:rPr>
        <w:t xml:space="preserve"> </w:t>
      </w:r>
      <w:r>
        <w:rPr>
          <w:rFonts w:ascii="Arial" w:eastAsia="宋体" w:hAnsi="Arial" w:cs="Arial"/>
          <w:color w:val="000000"/>
          <w:sz w:val="16"/>
          <w:szCs w:val="16"/>
        </w:rPr>
        <w:t xml:space="preserve">The primary unobservable inputs used in the fair value measurement of our equity investment in Gmarket under the fair value option, when using the Guideline Public </w:t>
      </w:r>
      <w:r>
        <w:rPr>
          <w:rFonts w:ascii="Arial" w:eastAsia="宋体" w:hAnsi="Arial" w:cs="Arial"/>
          <w:color w:val="000000"/>
          <w:sz w:val="16"/>
          <w:szCs w:val="16"/>
        </w:rPr>
        <w:t>Company (GPC) method and the Guideline Merged and Acquired Company (GMAC) method under the market multiple approach, are the respective revenue multiples. Significant increases (decreases) in the revenue multiples in isolation would result in significantly</w:t>
      </w:r>
      <w:r>
        <w:rPr>
          <w:rFonts w:ascii="Arial" w:eastAsia="宋体" w:hAnsi="Arial" w:cs="Arial"/>
          <w:color w:val="000000"/>
          <w:sz w:val="16"/>
          <w:szCs w:val="16"/>
        </w:rPr>
        <w:t xml:space="preserve"> higher (lower) fair value measurement. The market multiples are derived from respective groups of guideline public companies and guideline merged and acquired companies.</w:t>
      </w:r>
    </w:p>
    <w:p w14:paraId="18600B88" w14:textId="77777777" w:rsidR="00A91885" w:rsidRDefault="00A91885">
      <w:pPr>
        <w:ind w:firstLine="540"/>
        <w:jc w:val="both"/>
      </w:pPr>
    </w:p>
    <w:p w14:paraId="18600B89" w14:textId="77777777" w:rsidR="00A91885" w:rsidRDefault="009C4196">
      <w:pPr>
        <w:ind w:firstLine="540"/>
        <w:jc w:val="both"/>
      </w:pPr>
      <w:r>
        <w:rPr>
          <w:rFonts w:ascii="Arial" w:eastAsia="宋体" w:hAnsi="Arial" w:cs="Arial"/>
          <w:color w:val="000000"/>
          <w:sz w:val="20"/>
          <w:szCs w:val="20"/>
        </w:rPr>
        <w:t xml:space="preserve">Certain other immaterial equity investments under the fair value option aggregating to $38 million as of </w:t>
      </w:r>
      <w:r>
        <w:rPr>
          <w:rFonts w:ascii="Arial" w:eastAsia="宋体" w:hAnsi="Arial" w:cs="Arial"/>
          <w:color w:val="222222"/>
          <w:sz w:val="20"/>
          <w:szCs w:val="20"/>
        </w:rPr>
        <w:t>June 30, 2022 are measured at fair value using the net asset value per share (or its equivalent) practical expedient, and have not been classified in t</w:t>
      </w:r>
      <w:r>
        <w:rPr>
          <w:rFonts w:ascii="Arial" w:eastAsia="宋体" w:hAnsi="Arial" w:cs="Arial"/>
          <w:color w:val="222222"/>
          <w:sz w:val="20"/>
          <w:szCs w:val="20"/>
        </w:rPr>
        <w:t xml:space="preserve">he fair value hierarchy. </w:t>
      </w:r>
    </w:p>
    <w:p w14:paraId="18600B8A" w14:textId="77777777" w:rsidR="00A91885" w:rsidRDefault="00A91885">
      <w:pPr>
        <w:ind w:firstLine="540"/>
        <w:jc w:val="both"/>
      </w:pPr>
    </w:p>
    <w:p w14:paraId="18600B8B" w14:textId="77777777" w:rsidR="00A91885" w:rsidRDefault="009C4196">
      <w:pPr>
        <w:ind w:firstLine="540"/>
        <w:jc w:val="both"/>
      </w:pPr>
      <w:r>
        <w:rPr>
          <w:rFonts w:ascii="Arial" w:eastAsia="宋体" w:hAnsi="Arial" w:cs="Arial"/>
          <w:color w:val="000000"/>
          <w:sz w:val="20"/>
          <w:szCs w:val="20"/>
        </w:rPr>
        <w:t>Refer to “Note 6 — Investments” for further details about our equity investments.</w:t>
      </w:r>
    </w:p>
    <w:p w14:paraId="18600B8C" w14:textId="77777777" w:rsidR="00A91885" w:rsidRDefault="00A91885">
      <w:pPr>
        <w:ind w:firstLine="540"/>
        <w:jc w:val="both"/>
      </w:pPr>
    </w:p>
    <w:p w14:paraId="18600B8D" w14:textId="77777777" w:rsidR="00A91885" w:rsidRDefault="00A91885">
      <w:pPr>
        <w:jc w:val="both"/>
      </w:pPr>
    </w:p>
    <w:p w14:paraId="18600B8E" w14:textId="77777777" w:rsidR="00A91885" w:rsidRDefault="00A91885">
      <w:pPr>
        <w:jc w:val="center"/>
      </w:pPr>
    </w:p>
    <w:p w14:paraId="18600B8F" w14:textId="77777777" w:rsidR="00A91885" w:rsidRDefault="009C4196">
      <w:pPr>
        <w:jc w:val="center"/>
      </w:pPr>
      <w:r>
        <w:rPr>
          <w:rFonts w:ascii="Arial" w:eastAsia="宋体" w:hAnsi="Arial" w:cs="Arial"/>
          <w:color w:val="000000"/>
          <w:sz w:val="20"/>
          <w:szCs w:val="20"/>
        </w:rPr>
        <w:t>31</w:t>
      </w:r>
    </w:p>
    <w:p w14:paraId="18600B90" w14:textId="77777777" w:rsidR="00A91885" w:rsidRDefault="009C4196">
      <w:r>
        <w:pict w14:anchorId="186021A2">
          <v:rect id="_x0000_i1055" style="width:415.3pt;height:1.5pt" o:hralign="center" o:hrstd="t" o:hr="t" fillcolor="#a0a0a0" stroked="f"/>
        </w:pict>
      </w:r>
    </w:p>
    <w:p w14:paraId="18600B91" w14:textId="77777777" w:rsidR="00A91885" w:rsidRDefault="009C4196">
      <w:hyperlink r:id="rId115" w:anchor="ieb971428a625452486c65ae24899afca_7" w:history="1">
        <w:r>
          <w:rPr>
            <w:rStyle w:val="a5"/>
            <w:rFonts w:ascii="Arial" w:eastAsia="宋体" w:hAnsi="Arial" w:cs="Arial"/>
            <w:sz w:val="18"/>
            <w:szCs w:val="18"/>
          </w:rPr>
          <w:t>Table of Contents</w:t>
        </w:r>
      </w:hyperlink>
    </w:p>
    <w:p w14:paraId="18600B92" w14:textId="77777777" w:rsidR="00A91885" w:rsidRDefault="009C4196">
      <w:pPr>
        <w:jc w:val="center"/>
      </w:pPr>
      <w:r>
        <w:rPr>
          <w:rFonts w:ascii="Arial" w:eastAsia="宋体" w:hAnsi="Arial" w:cs="Arial"/>
          <w:b/>
          <w:bCs/>
          <w:color w:val="000000"/>
          <w:sz w:val="20"/>
          <w:szCs w:val="20"/>
        </w:rPr>
        <w:t>eBay Inc.</w:t>
      </w:r>
    </w:p>
    <w:p w14:paraId="18600B93"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0B94" w14:textId="77777777" w:rsidR="00A91885" w:rsidRDefault="009C4196">
      <w:r>
        <w:rPr>
          <w:rFonts w:ascii="Arial" w:eastAsia="宋体" w:hAnsi="Arial" w:cs="Arial"/>
          <w:b/>
          <w:bCs/>
          <w:color w:val="000000"/>
          <w:sz w:val="20"/>
          <w:szCs w:val="20"/>
        </w:rPr>
        <w:t>Note 9 — Debt</w:t>
      </w:r>
    </w:p>
    <w:p w14:paraId="18600B95" w14:textId="77777777" w:rsidR="00A91885" w:rsidRDefault="00A91885">
      <w:pPr>
        <w:ind w:firstLine="540"/>
      </w:pPr>
    </w:p>
    <w:p w14:paraId="18600B96" w14:textId="77777777" w:rsidR="00A91885" w:rsidRDefault="009C4196">
      <w:pPr>
        <w:spacing w:after="120"/>
        <w:ind w:firstLine="540"/>
        <w:jc w:val="both"/>
      </w:pPr>
      <w:r>
        <w:rPr>
          <w:rFonts w:ascii="Arial" w:eastAsia="宋体" w:hAnsi="Arial" w:cs="Arial"/>
          <w:color w:val="000000"/>
          <w:sz w:val="20"/>
          <w:szCs w:val="20"/>
        </w:rPr>
        <w:t xml:space="preserve">The following table summarizes the carrying value of our outstanding debt as of the dates indicated (in millions, except </w:t>
      </w:r>
      <w:r>
        <w:rPr>
          <w:rFonts w:ascii="Arial" w:eastAsia="宋体" w:hAnsi="Arial" w:cs="Arial"/>
          <w:color w:val="000000"/>
          <w:sz w:val="20"/>
          <w:szCs w:val="20"/>
        </w:rPr>
        <w:t>percentages):</w:t>
      </w:r>
    </w:p>
    <w:tbl>
      <w:tblPr>
        <w:tblW w:w="5000" w:type="pct"/>
        <w:tblCellMar>
          <w:top w:w="15" w:type="dxa"/>
          <w:left w:w="15" w:type="dxa"/>
          <w:bottom w:w="15" w:type="dxa"/>
          <w:right w:w="15" w:type="dxa"/>
        </w:tblCellMar>
        <w:tblLook w:val="04A0" w:firstRow="1" w:lastRow="0" w:firstColumn="1" w:lastColumn="0" w:noHBand="0" w:noVBand="1"/>
      </w:tblPr>
      <w:tblGrid>
        <w:gridCol w:w="50"/>
        <w:gridCol w:w="2150"/>
        <w:gridCol w:w="37"/>
        <w:gridCol w:w="36"/>
        <w:gridCol w:w="36"/>
        <w:gridCol w:w="36"/>
        <w:gridCol w:w="44"/>
        <w:gridCol w:w="938"/>
        <w:gridCol w:w="163"/>
        <w:gridCol w:w="36"/>
        <w:gridCol w:w="36"/>
        <w:gridCol w:w="36"/>
        <w:gridCol w:w="109"/>
        <w:gridCol w:w="1099"/>
        <w:gridCol w:w="36"/>
        <w:gridCol w:w="36"/>
        <w:gridCol w:w="36"/>
        <w:gridCol w:w="36"/>
        <w:gridCol w:w="57"/>
        <w:gridCol w:w="741"/>
        <w:gridCol w:w="163"/>
        <w:gridCol w:w="36"/>
        <w:gridCol w:w="36"/>
        <w:gridCol w:w="36"/>
        <w:gridCol w:w="110"/>
        <w:gridCol w:w="1100"/>
        <w:gridCol w:w="36"/>
        <w:gridCol w:w="36"/>
        <w:gridCol w:w="36"/>
        <w:gridCol w:w="36"/>
        <w:gridCol w:w="57"/>
        <w:gridCol w:w="743"/>
        <w:gridCol w:w="163"/>
      </w:tblGrid>
      <w:tr w:rsidR="00A91885" w14:paraId="18600BB8" w14:textId="77777777">
        <w:tc>
          <w:tcPr>
            <w:tcW w:w="50" w:type="pct"/>
            <w:shd w:val="clear" w:color="auto" w:fill="auto"/>
            <w:vAlign w:val="bottom"/>
          </w:tcPr>
          <w:p w14:paraId="18600B97" w14:textId="77777777" w:rsidR="00A91885" w:rsidRDefault="00A91885">
            <w:pPr>
              <w:rPr>
                <w:rFonts w:ascii="宋体"/>
              </w:rPr>
            </w:pPr>
          </w:p>
        </w:tc>
        <w:tc>
          <w:tcPr>
            <w:tcW w:w="1377" w:type="pct"/>
            <w:shd w:val="clear" w:color="auto" w:fill="auto"/>
            <w:vAlign w:val="bottom"/>
          </w:tcPr>
          <w:p w14:paraId="18600B98" w14:textId="77777777" w:rsidR="00A91885" w:rsidRDefault="00A91885">
            <w:pPr>
              <w:rPr>
                <w:rFonts w:ascii="宋体"/>
              </w:rPr>
            </w:pPr>
          </w:p>
        </w:tc>
        <w:tc>
          <w:tcPr>
            <w:tcW w:w="5" w:type="pct"/>
            <w:shd w:val="clear" w:color="auto" w:fill="auto"/>
            <w:vAlign w:val="bottom"/>
          </w:tcPr>
          <w:p w14:paraId="18600B99" w14:textId="77777777" w:rsidR="00A91885" w:rsidRDefault="00A91885">
            <w:pPr>
              <w:rPr>
                <w:rFonts w:ascii="宋体"/>
              </w:rPr>
            </w:pPr>
          </w:p>
        </w:tc>
        <w:tc>
          <w:tcPr>
            <w:tcW w:w="5" w:type="pct"/>
            <w:shd w:val="clear" w:color="auto" w:fill="auto"/>
            <w:vAlign w:val="bottom"/>
          </w:tcPr>
          <w:p w14:paraId="18600B9A" w14:textId="77777777" w:rsidR="00A91885" w:rsidRDefault="00A91885">
            <w:pPr>
              <w:rPr>
                <w:rFonts w:ascii="宋体"/>
              </w:rPr>
            </w:pPr>
          </w:p>
        </w:tc>
        <w:tc>
          <w:tcPr>
            <w:tcW w:w="19" w:type="pct"/>
            <w:shd w:val="clear" w:color="auto" w:fill="auto"/>
            <w:vAlign w:val="bottom"/>
          </w:tcPr>
          <w:p w14:paraId="18600B9B" w14:textId="77777777" w:rsidR="00A91885" w:rsidRDefault="00A91885">
            <w:pPr>
              <w:rPr>
                <w:rFonts w:ascii="宋体"/>
              </w:rPr>
            </w:pPr>
          </w:p>
        </w:tc>
        <w:tc>
          <w:tcPr>
            <w:tcW w:w="5" w:type="pct"/>
            <w:shd w:val="clear" w:color="auto" w:fill="auto"/>
            <w:vAlign w:val="bottom"/>
          </w:tcPr>
          <w:p w14:paraId="18600B9C" w14:textId="77777777" w:rsidR="00A91885" w:rsidRDefault="00A91885">
            <w:pPr>
              <w:rPr>
                <w:rFonts w:ascii="宋体"/>
              </w:rPr>
            </w:pPr>
          </w:p>
        </w:tc>
        <w:tc>
          <w:tcPr>
            <w:tcW w:w="50" w:type="pct"/>
            <w:shd w:val="clear" w:color="auto" w:fill="auto"/>
            <w:vAlign w:val="bottom"/>
          </w:tcPr>
          <w:p w14:paraId="18600B9D" w14:textId="77777777" w:rsidR="00A91885" w:rsidRDefault="00A91885">
            <w:pPr>
              <w:rPr>
                <w:rFonts w:ascii="宋体"/>
              </w:rPr>
            </w:pPr>
          </w:p>
        </w:tc>
        <w:tc>
          <w:tcPr>
            <w:tcW w:w="646" w:type="pct"/>
            <w:shd w:val="clear" w:color="auto" w:fill="auto"/>
            <w:vAlign w:val="bottom"/>
          </w:tcPr>
          <w:p w14:paraId="18600B9E" w14:textId="77777777" w:rsidR="00A91885" w:rsidRDefault="00A91885">
            <w:pPr>
              <w:rPr>
                <w:rFonts w:ascii="宋体"/>
              </w:rPr>
            </w:pPr>
          </w:p>
        </w:tc>
        <w:tc>
          <w:tcPr>
            <w:tcW w:w="5" w:type="pct"/>
            <w:shd w:val="clear" w:color="auto" w:fill="auto"/>
            <w:vAlign w:val="bottom"/>
          </w:tcPr>
          <w:p w14:paraId="18600B9F" w14:textId="77777777" w:rsidR="00A91885" w:rsidRDefault="00A91885">
            <w:pPr>
              <w:rPr>
                <w:rFonts w:ascii="宋体"/>
              </w:rPr>
            </w:pPr>
          </w:p>
        </w:tc>
        <w:tc>
          <w:tcPr>
            <w:tcW w:w="5" w:type="pct"/>
            <w:shd w:val="clear" w:color="auto" w:fill="auto"/>
            <w:vAlign w:val="bottom"/>
          </w:tcPr>
          <w:p w14:paraId="18600BA0" w14:textId="77777777" w:rsidR="00A91885" w:rsidRDefault="00A91885">
            <w:pPr>
              <w:rPr>
                <w:rFonts w:ascii="宋体"/>
              </w:rPr>
            </w:pPr>
          </w:p>
        </w:tc>
        <w:tc>
          <w:tcPr>
            <w:tcW w:w="19" w:type="pct"/>
            <w:shd w:val="clear" w:color="auto" w:fill="auto"/>
            <w:vAlign w:val="bottom"/>
          </w:tcPr>
          <w:p w14:paraId="18600BA1" w14:textId="77777777" w:rsidR="00A91885" w:rsidRDefault="00A91885">
            <w:pPr>
              <w:rPr>
                <w:rFonts w:ascii="宋体"/>
              </w:rPr>
            </w:pPr>
          </w:p>
        </w:tc>
        <w:tc>
          <w:tcPr>
            <w:tcW w:w="5" w:type="pct"/>
            <w:shd w:val="clear" w:color="auto" w:fill="auto"/>
            <w:vAlign w:val="bottom"/>
          </w:tcPr>
          <w:p w14:paraId="18600BA2" w14:textId="77777777" w:rsidR="00A91885" w:rsidRDefault="00A91885">
            <w:pPr>
              <w:rPr>
                <w:rFonts w:ascii="宋体"/>
              </w:rPr>
            </w:pPr>
          </w:p>
        </w:tc>
        <w:tc>
          <w:tcPr>
            <w:tcW w:w="50" w:type="pct"/>
            <w:shd w:val="clear" w:color="auto" w:fill="auto"/>
            <w:vAlign w:val="bottom"/>
          </w:tcPr>
          <w:p w14:paraId="18600BA3" w14:textId="77777777" w:rsidR="00A91885" w:rsidRDefault="00A91885">
            <w:pPr>
              <w:rPr>
                <w:rFonts w:ascii="宋体"/>
              </w:rPr>
            </w:pPr>
          </w:p>
        </w:tc>
        <w:tc>
          <w:tcPr>
            <w:tcW w:w="712" w:type="pct"/>
            <w:shd w:val="clear" w:color="auto" w:fill="auto"/>
            <w:vAlign w:val="bottom"/>
          </w:tcPr>
          <w:p w14:paraId="18600BA4" w14:textId="77777777" w:rsidR="00A91885" w:rsidRDefault="00A91885">
            <w:pPr>
              <w:rPr>
                <w:rFonts w:ascii="宋体"/>
              </w:rPr>
            </w:pPr>
          </w:p>
        </w:tc>
        <w:tc>
          <w:tcPr>
            <w:tcW w:w="5" w:type="pct"/>
            <w:shd w:val="clear" w:color="auto" w:fill="auto"/>
            <w:vAlign w:val="bottom"/>
          </w:tcPr>
          <w:p w14:paraId="18600BA5" w14:textId="77777777" w:rsidR="00A91885" w:rsidRDefault="00A91885">
            <w:pPr>
              <w:rPr>
                <w:rFonts w:ascii="宋体"/>
              </w:rPr>
            </w:pPr>
          </w:p>
        </w:tc>
        <w:tc>
          <w:tcPr>
            <w:tcW w:w="5" w:type="pct"/>
            <w:shd w:val="clear" w:color="auto" w:fill="auto"/>
            <w:vAlign w:val="bottom"/>
          </w:tcPr>
          <w:p w14:paraId="18600BA6" w14:textId="77777777" w:rsidR="00A91885" w:rsidRDefault="00A91885">
            <w:pPr>
              <w:rPr>
                <w:rFonts w:ascii="宋体"/>
              </w:rPr>
            </w:pPr>
          </w:p>
        </w:tc>
        <w:tc>
          <w:tcPr>
            <w:tcW w:w="19" w:type="pct"/>
            <w:shd w:val="clear" w:color="auto" w:fill="auto"/>
            <w:vAlign w:val="bottom"/>
          </w:tcPr>
          <w:p w14:paraId="18600BA7" w14:textId="77777777" w:rsidR="00A91885" w:rsidRDefault="00A91885">
            <w:pPr>
              <w:rPr>
                <w:rFonts w:ascii="宋体"/>
              </w:rPr>
            </w:pPr>
          </w:p>
        </w:tc>
        <w:tc>
          <w:tcPr>
            <w:tcW w:w="5" w:type="pct"/>
            <w:shd w:val="clear" w:color="auto" w:fill="auto"/>
            <w:vAlign w:val="bottom"/>
          </w:tcPr>
          <w:p w14:paraId="18600BA8" w14:textId="77777777" w:rsidR="00A91885" w:rsidRDefault="00A91885">
            <w:pPr>
              <w:rPr>
                <w:rFonts w:ascii="宋体"/>
              </w:rPr>
            </w:pPr>
          </w:p>
        </w:tc>
        <w:tc>
          <w:tcPr>
            <w:tcW w:w="50" w:type="pct"/>
            <w:shd w:val="clear" w:color="auto" w:fill="auto"/>
            <w:vAlign w:val="bottom"/>
          </w:tcPr>
          <w:p w14:paraId="18600BA9" w14:textId="77777777" w:rsidR="00A91885" w:rsidRDefault="00A91885">
            <w:pPr>
              <w:rPr>
                <w:rFonts w:ascii="宋体"/>
              </w:rPr>
            </w:pPr>
          </w:p>
        </w:tc>
        <w:tc>
          <w:tcPr>
            <w:tcW w:w="537" w:type="pct"/>
            <w:shd w:val="clear" w:color="auto" w:fill="auto"/>
            <w:vAlign w:val="bottom"/>
          </w:tcPr>
          <w:p w14:paraId="18600BAA" w14:textId="77777777" w:rsidR="00A91885" w:rsidRDefault="00A91885">
            <w:pPr>
              <w:rPr>
                <w:rFonts w:ascii="宋体"/>
              </w:rPr>
            </w:pPr>
          </w:p>
        </w:tc>
        <w:tc>
          <w:tcPr>
            <w:tcW w:w="5" w:type="pct"/>
            <w:shd w:val="clear" w:color="auto" w:fill="auto"/>
            <w:vAlign w:val="bottom"/>
          </w:tcPr>
          <w:p w14:paraId="18600BAB" w14:textId="77777777" w:rsidR="00A91885" w:rsidRDefault="00A91885">
            <w:pPr>
              <w:rPr>
                <w:rFonts w:ascii="宋体"/>
              </w:rPr>
            </w:pPr>
          </w:p>
        </w:tc>
        <w:tc>
          <w:tcPr>
            <w:tcW w:w="5" w:type="pct"/>
            <w:shd w:val="clear" w:color="auto" w:fill="auto"/>
            <w:vAlign w:val="bottom"/>
          </w:tcPr>
          <w:p w14:paraId="18600BAC" w14:textId="77777777" w:rsidR="00A91885" w:rsidRDefault="00A91885">
            <w:pPr>
              <w:rPr>
                <w:rFonts w:ascii="宋体"/>
              </w:rPr>
            </w:pPr>
          </w:p>
        </w:tc>
        <w:tc>
          <w:tcPr>
            <w:tcW w:w="19" w:type="pct"/>
            <w:shd w:val="clear" w:color="auto" w:fill="auto"/>
            <w:vAlign w:val="bottom"/>
          </w:tcPr>
          <w:p w14:paraId="18600BAD" w14:textId="77777777" w:rsidR="00A91885" w:rsidRDefault="00A91885">
            <w:pPr>
              <w:rPr>
                <w:rFonts w:ascii="宋体"/>
              </w:rPr>
            </w:pPr>
          </w:p>
        </w:tc>
        <w:tc>
          <w:tcPr>
            <w:tcW w:w="5" w:type="pct"/>
            <w:shd w:val="clear" w:color="auto" w:fill="auto"/>
            <w:vAlign w:val="bottom"/>
          </w:tcPr>
          <w:p w14:paraId="18600BAE" w14:textId="77777777" w:rsidR="00A91885" w:rsidRDefault="00A91885">
            <w:pPr>
              <w:rPr>
                <w:rFonts w:ascii="宋体"/>
              </w:rPr>
            </w:pPr>
          </w:p>
        </w:tc>
        <w:tc>
          <w:tcPr>
            <w:tcW w:w="50" w:type="pct"/>
            <w:shd w:val="clear" w:color="auto" w:fill="auto"/>
            <w:vAlign w:val="bottom"/>
          </w:tcPr>
          <w:p w14:paraId="18600BAF" w14:textId="77777777" w:rsidR="00A91885" w:rsidRDefault="00A91885">
            <w:pPr>
              <w:rPr>
                <w:rFonts w:ascii="宋体"/>
              </w:rPr>
            </w:pPr>
          </w:p>
        </w:tc>
        <w:tc>
          <w:tcPr>
            <w:tcW w:w="712" w:type="pct"/>
            <w:shd w:val="clear" w:color="auto" w:fill="auto"/>
            <w:vAlign w:val="bottom"/>
          </w:tcPr>
          <w:p w14:paraId="18600BB0" w14:textId="77777777" w:rsidR="00A91885" w:rsidRDefault="00A91885">
            <w:pPr>
              <w:rPr>
                <w:rFonts w:ascii="宋体"/>
              </w:rPr>
            </w:pPr>
          </w:p>
        </w:tc>
        <w:tc>
          <w:tcPr>
            <w:tcW w:w="5" w:type="pct"/>
            <w:shd w:val="clear" w:color="auto" w:fill="auto"/>
            <w:vAlign w:val="bottom"/>
          </w:tcPr>
          <w:p w14:paraId="18600BB1" w14:textId="77777777" w:rsidR="00A91885" w:rsidRDefault="00A91885">
            <w:pPr>
              <w:rPr>
                <w:rFonts w:ascii="宋体"/>
              </w:rPr>
            </w:pPr>
          </w:p>
        </w:tc>
        <w:tc>
          <w:tcPr>
            <w:tcW w:w="5" w:type="pct"/>
            <w:shd w:val="clear" w:color="auto" w:fill="auto"/>
            <w:vAlign w:val="bottom"/>
          </w:tcPr>
          <w:p w14:paraId="18600BB2" w14:textId="77777777" w:rsidR="00A91885" w:rsidRDefault="00A91885">
            <w:pPr>
              <w:rPr>
                <w:rFonts w:ascii="宋体"/>
              </w:rPr>
            </w:pPr>
          </w:p>
        </w:tc>
        <w:tc>
          <w:tcPr>
            <w:tcW w:w="19" w:type="pct"/>
            <w:shd w:val="clear" w:color="auto" w:fill="auto"/>
            <w:vAlign w:val="bottom"/>
          </w:tcPr>
          <w:p w14:paraId="18600BB3" w14:textId="77777777" w:rsidR="00A91885" w:rsidRDefault="00A91885">
            <w:pPr>
              <w:rPr>
                <w:rFonts w:ascii="宋体"/>
              </w:rPr>
            </w:pPr>
          </w:p>
        </w:tc>
        <w:tc>
          <w:tcPr>
            <w:tcW w:w="5" w:type="pct"/>
            <w:shd w:val="clear" w:color="auto" w:fill="auto"/>
            <w:vAlign w:val="bottom"/>
          </w:tcPr>
          <w:p w14:paraId="18600BB4" w14:textId="77777777" w:rsidR="00A91885" w:rsidRDefault="00A91885">
            <w:pPr>
              <w:rPr>
                <w:rFonts w:ascii="宋体"/>
              </w:rPr>
            </w:pPr>
          </w:p>
        </w:tc>
        <w:tc>
          <w:tcPr>
            <w:tcW w:w="50" w:type="pct"/>
            <w:shd w:val="clear" w:color="auto" w:fill="auto"/>
            <w:vAlign w:val="bottom"/>
          </w:tcPr>
          <w:p w14:paraId="18600BB5" w14:textId="77777777" w:rsidR="00A91885" w:rsidRDefault="00A91885">
            <w:pPr>
              <w:rPr>
                <w:rFonts w:ascii="宋体"/>
              </w:rPr>
            </w:pPr>
          </w:p>
        </w:tc>
        <w:tc>
          <w:tcPr>
            <w:tcW w:w="537" w:type="pct"/>
            <w:shd w:val="clear" w:color="auto" w:fill="auto"/>
            <w:vAlign w:val="bottom"/>
          </w:tcPr>
          <w:p w14:paraId="18600BB6" w14:textId="77777777" w:rsidR="00A91885" w:rsidRDefault="00A91885">
            <w:pPr>
              <w:rPr>
                <w:rFonts w:ascii="宋体"/>
              </w:rPr>
            </w:pPr>
          </w:p>
        </w:tc>
        <w:tc>
          <w:tcPr>
            <w:tcW w:w="5" w:type="pct"/>
            <w:shd w:val="clear" w:color="auto" w:fill="auto"/>
            <w:vAlign w:val="bottom"/>
          </w:tcPr>
          <w:p w14:paraId="18600BB7" w14:textId="77777777" w:rsidR="00A91885" w:rsidRDefault="00A91885">
            <w:pPr>
              <w:rPr>
                <w:rFonts w:ascii="宋体"/>
              </w:rPr>
            </w:pPr>
          </w:p>
        </w:tc>
      </w:tr>
      <w:tr w:rsidR="00A91885" w14:paraId="18600BC4" w14:textId="77777777">
        <w:tc>
          <w:tcPr>
            <w:tcW w:w="0" w:type="auto"/>
            <w:gridSpan w:val="3"/>
            <w:shd w:val="clear" w:color="auto" w:fill="auto"/>
            <w:tcMar>
              <w:top w:w="0" w:type="dxa"/>
              <w:left w:w="20" w:type="dxa"/>
              <w:bottom w:w="0" w:type="dxa"/>
              <w:right w:w="20" w:type="dxa"/>
            </w:tcMar>
            <w:vAlign w:val="bottom"/>
          </w:tcPr>
          <w:p w14:paraId="18600BB9"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0BBA"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BBB" w14:textId="77777777" w:rsidR="00A91885" w:rsidRDefault="009C4196">
            <w:pPr>
              <w:jc w:val="center"/>
              <w:textAlignment w:val="bottom"/>
            </w:pPr>
            <w:r>
              <w:rPr>
                <w:rFonts w:ascii="Arial" w:eastAsia="宋体" w:hAnsi="Arial" w:cs="Arial"/>
                <w:b/>
                <w:bCs/>
                <w:color w:val="000000"/>
                <w:sz w:val="15"/>
                <w:szCs w:val="15"/>
              </w:rPr>
              <w:t>Coupon</w:t>
            </w:r>
          </w:p>
        </w:tc>
        <w:tc>
          <w:tcPr>
            <w:tcW w:w="0" w:type="auto"/>
            <w:gridSpan w:val="3"/>
            <w:shd w:val="clear" w:color="auto" w:fill="auto"/>
            <w:tcMar>
              <w:top w:w="0" w:type="dxa"/>
              <w:left w:w="20" w:type="dxa"/>
              <w:bottom w:w="0" w:type="dxa"/>
              <w:right w:w="20" w:type="dxa"/>
            </w:tcMar>
            <w:vAlign w:val="bottom"/>
          </w:tcPr>
          <w:p w14:paraId="18600BBC"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BBD" w14:textId="77777777" w:rsidR="00A91885" w:rsidRDefault="009C4196">
            <w:pPr>
              <w:jc w:val="center"/>
              <w:textAlignment w:val="bottom"/>
            </w:pPr>
            <w:r>
              <w:rPr>
                <w:rFonts w:ascii="Arial" w:eastAsia="宋体" w:hAnsi="Arial" w:cs="Arial"/>
                <w:b/>
                <w:bCs/>
                <w:color w:val="000000"/>
                <w:sz w:val="15"/>
                <w:szCs w:val="15"/>
              </w:rPr>
              <w:t>As of</w:t>
            </w:r>
          </w:p>
        </w:tc>
        <w:tc>
          <w:tcPr>
            <w:tcW w:w="0" w:type="auto"/>
            <w:gridSpan w:val="3"/>
            <w:shd w:val="clear" w:color="auto" w:fill="auto"/>
            <w:tcMar>
              <w:top w:w="0" w:type="dxa"/>
              <w:left w:w="20" w:type="dxa"/>
              <w:bottom w:w="0" w:type="dxa"/>
              <w:right w:w="20" w:type="dxa"/>
            </w:tcMar>
            <w:vAlign w:val="bottom"/>
          </w:tcPr>
          <w:p w14:paraId="18600BBE"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BBF" w14:textId="77777777" w:rsidR="00A91885" w:rsidRDefault="009C4196">
            <w:pPr>
              <w:jc w:val="center"/>
              <w:textAlignment w:val="bottom"/>
            </w:pPr>
            <w:r>
              <w:rPr>
                <w:rFonts w:ascii="Arial" w:eastAsia="宋体" w:hAnsi="Arial" w:cs="Arial"/>
                <w:b/>
                <w:bCs/>
                <w:color w:val="000000"/>
                <w:sz w:val="15"/>
                <w:szCs w:val="15"/>
              </w:rPr>
              <w:t>Effective</w:t>
            </w:r>
          </w:p>
        </w:tc>
        <w:tc>
          <w:tcPr>
            <w:tcW w:w="0" w:type="auto"/>
            <w:gridSpan w:val="3"/>
            <w:shd w:val="clear" w:color="auto" w:fill="auto"/>
            <w:tcMar>
              <w:top w:w="0" w:type="dxa"/>
              <w:left w:w="20" w:type="dxa"/>
              <w:bottom w:w="0" w:type="dxa"/>
              <w:right w:w="20" w:type="dxa"/>
            </w:tcMar>
            <w:vAlign w:val="bottom"/>
          </w:tcPr>
          <w:p w14:paraId="18600BC0"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BC1" w14:textId="77777777" w:rsidR="00A91885" w:rsidRDefault="009C4196">
            <w:pPr>
              <w:jc w:val="center"/>
              <w:textAlignment w:val="bottom"/>
            </w:pPr>
            <w:r>
              <w:rPr>
                <w:rFonts w:ascii="Arial" w:eastAsia="宋体" w:hAnsi="Arial" w:cs="Arial"/>
                <w:b/>
                <w:bCs/>
                <w:color w:val="000000"/>
                <w:sz w:val="15"/>
                <w:szCs w:val="15"/>
              </w:rPr>
              <w:t>As of</w:t>
            </w:r>
          </w:p>
        </w:tc>
        <w:tc>
          <w:tcPr>
            <w:tcW w:w="0" w:type="auto"/>
            <w:gridSpan w:val="3"/>
            <w:shd w:val="clear" w:color="auto" w:fill="auto"/>
            <w:tcMar>
              <w:top w:w="0" w:type="dxa"/>
              <w:left w:w="20" w:type="dxa"/>
              <w:bottom w:w="0" w:type="dxa"/>
              <w:right w:w="20" w:type="dxa"/>
            </w:tcMar>
            <w:vAlign w:val="bottom"/>
          </w:tcPr>
          <w:p w14:paraId="18600BC2"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BC3" w14:textId="77777777" w:rsidR="00A91885" w:rsidRDefault="009C4196">
            <w:pPr>
              <w:jc w:val="center"/>
              <w:textAlignment w:val="bottom"/>
            </w:pPr>
            <w:r>
              <w:rPr>
                <w:rFonts w:ascii="Arial" w:eastAsia="宋体" w:hAnsi="Arial" w:cs="Arial"/>
                <w:b/>
                <w:bCs/>
                <w:color w:val="000000"/>
                <w:sz w:val="15"/>
                <w:szCs w:val="15"/>
              </w:rPr>
              <w:t>Effective</w:t>
            </w:r>
          </w:p>
        </w:tc>
      </w:tr>
      <w:tr w:rsidR="00A91885" w14:paraId="18600BD0" w14:textId="77777777">
        <w:tc>
          <w:tcPr>
            <w:tcW w:w="0" w:type="auto"/>
            <w:gridSpan w:val="3"/>
            <w:shd w:val="clear" w:color="auto" w:fill="auto"/>
            <w:tcMar>
              <w:top w:w="0" w:type="dxa"/>
              <w:left w:w="20" w:type="dxa"/>
              <w:bottom w:w="0" w:type="dxa"/>
              <w:right w:w="20" w:type="dxa"/>
            </w:tcMar>
            <w:vAlign w:val="bottom"/>
          </w:tcPr>
          <w:p w14:paraId="18600BC5"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0BC6"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BC7" w14:textId="77777777" w:rsidR="00A91885" w:rsidRDefault="009C4196">
            <w:pPr>
              <w:jc w:val="center"/>
              <w:textAlignment w:val="bottom"/>
            </w:pPr>
            <w:r>
              <w:rPr>
                <w:rFonts w:ascii="Arial" w:eastAsia="宋体" w:hAnsi="Arial" w:cs="Arial"/>
                <w:b/>
                <w:bCs/>
                <w:color w:val="000000"/>
                <w:sz w:val="15"/>
                <w:szCs w:val="15"/>
              </w:rPr>
              <w:t> Rate</w:t>
            </w:r>
          </w:p>
        </w:tc>
        <w:tc>
          <w:tcPr>
            <w:tcW w:w="0" w:type="auto"/>
            <w:gridSpan w:val="3"/>
            <w:shd w:val="clear" w:color="auto" w:fill="auto"/>
            <w:tcMar>
              <w:top w:w="0" w:type="dxa"/>
              <w:left w:w="20" w:type="dxa"/>
              <w:bottom w:w="0" w:type="dxa"/>
              <w:right w:w="20" w:type="dxa"/>
            </w:tcMar>
            <w:vAlign w:val="bottom"/>
          </w:tcPr>
          <w:p w14:paraId="18600BC8"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BC9" w14:textId="77777777" w:rsidR="00A91885" w:rsidRDefault="009C4196">
            <w:pPr>
              <w:jc w:val="center"/>
              <w:textAlignment w:val="bottom"/>
            </w:pPr>
            <w:r>
              <w:rPr>
                <w:rFonts w:ascii="Arial" w:eastAsia="宋体" w:hAnsi="Arial" w:cs="Arial"/>
                <w:b/>
                <w:bCs/>
                <w:color w:val="000000"/>
                <w:sz w:val="15"/>
                <w:szCs w:val="15"/>
              </w:rPr>
              <w:t>June 30, 2022</w:t>
            </w:r>
          </w:p>
        </w:tc>
        <w:tc>
          <w:tcPr>
            <w:tcW w:w="0" w:type="auto"/>
            <w:gridSpan w:val="3"/>
            <w:shd w:val="clear" w:color="auto" w:fill="auto"/>
            <w:tcMar>
              <w:top w:w="0" w:type="dxa"/>
              <w:left w:w="20" w:type="dxa"/>
              <w:bottom w:w="0" w:type="dxa"/>
              <w:right w:w="20" w:type="dxa"/>
            </w:tcMar>
            <w:vAlign w:val="bottom"/>
          </w:tcPr>
          <w:p w14:paraId="18600BCA"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BCB" w14:textId="77777777" w:rsidR="00A91885" w:rsidRDefault="009C4196">
            <w:pPr>
              <w:jc w:val="center"/>
              <w:textAlignment w:val="bottom"/>
            </w:pPr>
            <w:r>
              <w:rPr>
                <w:rFonts w:ascii="Arial" w:eastAsia="宋体" w:hAnsi="Arial" w:cs="Arial"/>
                <w:b/>
                <w:bCs/>
                <w:color w:val="000000"/>
                <w:sz w:val="15"/>
                <w:szCs w:val="15"/>
              </w:rPr>
              <w:t> Interest Rate</w:t>
            </w:r>
          </w:p>
        </w:tc>
        <w:tc>
          <w:tcPr>
            <w:tcW w:w="0" w:type="auto"/>
            <w:gridSpan w:val="3"/>
            <w:shd w:val="clear" w:color="auto" w:fill="auto"/>
            <w:tcMar>
              <w:top w:w="0" w:type="dxa"/>
              <w:left w:w="20" w:type="dxa"/>
              <w:bottom w:w="0" w:type="dxa"/>
              <w:right w:w="20" w:type="dxa"/>
            </w:tcMar>
            <w:vAlign w:val="bottom"/>
          </w:tcPr>
          <w:p w14:paraId="18600BCC"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BCD" w14:textId="77777777" w:rsidR="00A91885" w:rsidRDefault="009C4196">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18600BCE"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BCF" w14:textId="77777777" w:rsidR="00A91885" w:rsidRDefault="009C4196">
            <w:pPr>
              <w:jc w:val="center"/>
              <w:textAlignment w:val="bottom"/>
            </w:pPr>
            <w:r>
              <w:rPr>
                <w:rFonts w:ascii="Arial" w:eastAsia="宋体" w:hAnsi="Arial" w:cs="Arial"/>
                <w:b/>
                <w:bCs/>
                <w:color w:val="000000"/>
                <w:sz w:val="15"/>
                <w:szCs w:val="15"/>
              </w:rPr>
              <w:t> Interest Rate</w:t>
            </w:r>
          </w:p>
        </w:tc>
      </w:tr>
      <w:tr w:rsidR="00A91885" w14:paraId="18600BDC" w14:textId="77777777">
        <w:tc>
          <w:tcPr>
            <w:tcW w:w="0" w:type="auto"/>
            <w:gridSpan w:val="3"/>
            <w:tcBorders>
              <w:top w:val="single" w:sz="8" w:space="0" w:color="000000"/>
            </w:tcBorders>
            <w:shd w:val="clear" w:color="auto" w:fill="DBDBDB"/>
            <w:tcMar>
              <w:top w:w="40" w:type="dxa"/>
              <w:left w:w="20" w:type="dxa"/>
              <w:bottom w:w="40" w:type="dxa"/>
              <w:right w:w="20" w:type="dxa"/>
            </w:tcMar>
            <w:vAlign w:val="bottom"/>
          </w:tcPr>
          <w:p w14:paraId="18600BD1" w14:textId="77777777" w:rsidR="00A91885" w:rsidRDefault="009C4196">
            <w:pPr>
              <w:textAlignment w:val="bottom"/>
            </w:pPr>
            <w:r>
              <w:rPr>
                <w:rFonts w:ascii="Arial" w:eastAsia="宋体" w:hAnsi="Arial" w:cs="Arial"/>
                <w:b/>
                <w:bCs/>
                <w:color w:val="000000"/>
                <w:sz w:val="16"/>
                <w:szCs w:val="16"/>
              </w:rPr>
              <w:t>Long-Term Debt</w:t>
            </w:r>
          </w:p>
        </w:tc>
        <w:tc>
          <w:tcPr>
            <w:tcW w:w="0" w:type="auto"/>
            <w:gridSpan w:val="3"/>
            <w:shd w:val="clear" w:color="auto" w:fill="DBDBDB"/>
            <w:tcMar>
              <w:top w:w="0" w:type="dxa"/>
              <w:left w:w="20" w:type="dxa"/>
              <w:bottom w:w="0" w:type="dxa"/>
              <w:right w:w="20" w:type="dxa"/>
            </w:tcMar>
            <w:vAlign w:val="bottom"/>
          </w:tcPr>
          <w:p w14:paraId="18600BD2" w14:textId="77777777" w:rsidR="00A91885" w:rsidRDefault="00A91885">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18600BD3"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BD4" w14:textId="77777777" w:rsidR="00A91885" w:rsidRDefault="00A91885">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18600BD5"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BD6" w14:textId="77777777" w:rsidR="00A91885" w:rsidRDefault="00A91885">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18600BD7"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BD8" w14:textId="77777777" w:rsidR="00A91885" w:rsidRDefault="00A91885">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18600BD9"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BDA" w14:textId="77777777" w:rsidR="00A91885" w:rsidRDefault="00A91885">
            <w:pPr>
              <w:rPr>
                <w:rFonts w:ascii="宋体"/>
              </w:rPr>
            </w:pPr>
          </w:p>
        </w:tc>
        <w:tc>
          <w:tcPr>
            <w:tcW w:w="0" w:type="auto"/>
            <w:gridSpan w:val="3"/>
            <w:tcBorders>
              <w:top w:val="single" w:sz="8" w:space="0" w:color="000000"/>
            </w:tcBorders>
            <w:shd w:val="clear" w:color="auto" w:fill="DBDBDB"/>
            <w:tcMar>
              <w:top w:w="0" w:type="dxa"/>
              <w:left w:w="20" w:type="dxa"/>
              <w:bottom w:w="0" w:type="dxa"/>
              <w:right w:w="20" w:type="dxa"/>
            </w:tcMar>
            <w:vAlign w:val="bottom"/>
          </w:tcPr>
          <w:p w14:paraId="18600BDB" w14:textId="77777777" w:rsidR="00A91885" w:rsidRDefault="00A91885">
            <w:pPr>
              <w:rPr>
                <w:rFonts w:ascii="宋体"/>
              </w:rPr>
            </w:pPr>
          </w:p>
        </w:tc>
      </w:tr>
      <w:tr w:rsidR="00A91885" w14:paraId="18600BE8" w14:textId="77777777">
        <w:tc>
          <w:tcPr>
            <w:tcW w:w="0" w:type="auto"/>
            <w:gridSpan w:val="3"/>
            <w:shd w:val="clear" w:color="auto" w:fill="FFFFFF"/>
            <w:tcMar>
              <w:top w:w="40" w:type="dxa"/>
              <w:left w:w="20" w:type="dxa"/>
              <w:bottom w:w="40" w:type="dxa"/>
              <w:right w:w="20" w:type="dxa"/>
            </w:tcMar>
            <w:vAlign w:val="bottom"/>
          </w:tcPr>
          <w:p w14:paraId="18600BDD" w14:textId="77777777" w:rsidR="00A91885" w:rsidRDefault="009C4196">
            <w:pPr>
              <w:textAlignment w:val="bottom"/>
            </w:pPr>
            <w:r>
              <w:rPr>
                <w:rFonts w:ascii="Arial" w:eastAsia="宋体" w:hAnsi="Arial" w:cs="Arial"/>
                <w:color w:val="000000"/>
                <w:sz w:val="16"/>
                <w:szCs w:val="16"/>
              </w:rPr>
              <w:t>Floating Rate Notes:</w:t>
            </w:r>
          </w:p>
        </w:tc>
        <w:tc>
          <w:tcPr>
            <w:tcW w:w="0" w:type="auto"/>
            <w:gridSpan w:val="3"/>
            <w:shd w:val="clear" w:color="auto" w:fill="FFFFFF"/>
            <w:tcMar>
              <w:top w:w="0" w:type="dxa"/>
              <w:left w:w="20" w:type="dxa"/>
              <w:bottom w:w="0" w:type="dxa"/>
              <w:right w:w="20" w:type="dxa"/>
            </w:tcMar>
            <w:vAlign w:val="bottom"/>
          </w:tcPr>
          <w:p w14:paraId="18600BD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D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E0"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E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E2"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E3"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E4"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E5"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E6"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E7" w14:textId="77777777" w:rsidR="00A91885" w:rsidRDefault="00A91885">
            <w:pPr>
              <w:rPr>
                <w:rFonts w:ascii="宋体"/>
              </w:rPr>
            </w:pPr>
          </w:p>
        </w:tc>
      </w:tr>
      <w:tr w:rsidR="00A91885" w14:paraId="18600BFA" w14:textId="77777777">
        <w:tc>
          <w:tcPr>
            <w:tcW w:w="0" w:type="auto"/>
            <w:gridSpan w:val="3"/>
            <w:shd w:val="clear" w:color="auto" w:fill="DBDBDB"/>
            <w:tcMar>
              <w:top w:w="40" w:type="dxa"/>
              <w:left w:w="155" w:type="dxa"/>
              <w:bottom w:w="40" w:type="dxa"/>
              <w:right w:w="20" w:type="dxa"/>
            </w:tcMar>
            <w:vAlign w:val="bottom"/>
          </w:tcPr>
          <w:p w14:paraId="18600BE9" w14:textId="77777777" w:rsidR="00A91885" w:rsidRDefault="009C4196">
            <w:pPr>
              <w:textAlignment w:val="bottom"/>
            </w:pPr>
            <w:r>
              <w:rPr>
                <w:rFonts w:ascii="Arial" w:eastAsia="宋体" w:hAnsi="Arial" w:cs="Arial"/>
                <w:color w:val="000000"/>
                <w:sz w:val="16"/>
                <w:szCs w:val="16"/>
              </w:rPr>
              <w:t>Senior notes due 2023</w:t>
            </w:r>
          </w:p>
        </w:tc>
        <w:tc>
          <w:tcPr>
            <w:tcW w:w="0" w:type="auto"/>
            <w:gridSpan w:val="3"/>
            <w:shd w:val="clear" w:color="auto" w:fill="DBDBDB"/>
            <w:tcMar>
              <w:top w:w="0" w:type="dxa"/>
              <w:left w:w="20" w:type="dxa"/>
              <w:bottom w:w="0" w:type="dxa"/>
              <w:right w:w="20" w:type="dxa"/>
            </w:tcMar>
            <w:vAlign w:val="bottom"/>
          </w:tcPr>
          <w:p w14:paraId="18600BEA" w14:textId="77777777" w:rsidR="00A91885" w:rsidRDefault="00A91885">
            <w:pPr>
              <w:rPr>
                <w:rFonts w:ascii="宋体"/>
              </w:rPr>
            </w:pPr>
          </w:p>
        </w:tc>
        <w:tc>
          <w:tcPr>
            <w:tcW w:w="0" w:type="auto"/>
            <w:gridSpan w:val="3"/>
            <w:shd w:val="clear" w:color="auto" w:fill="DBDBDB"/>
            <w:tcMar>
              <w:top w:w="40" w:type="dxa"/>
              <w:left w:w="20" w:type="dxa"/>
              <w:bottom w:w="40" w:type="dxa"/>
              <w:right w:w="20" w:type="dxa"/>
            </w:tcMar>
            <w:vAlign w:val="bottom"/>
          </w:tcPr>
          <w:p w14:paraId="18600BEB" w14:textId="77777777" w:rsidR="00A91885" w:rsidRDefault="009C4196">
            <w:pPr>
              <w:jc w:val="right"/>
              <w:textAlignment w:val="bottom"/>
            </w:pPr>
            <w:r>
              <w:rPr>
                <w:rFonts w:ascii="Arial" w:eastAsia="宋体" w:hAnsi="Arial" w:cs="Arial"/>
                <w:color w:val="000000"/>
                <w:sz w:val="16"/>
                <w:szCs w:val="16"/>
              </w:rPr>
              <w:t xml:space="preserve">LIBOR plus 0.87% </w:t>
            </w:r>
          </w:p>
        </w:tc>
        <w:tc>
          <w:tcPr>
            <w:tcW w:w="0" w:type="auto"/>
            <w:gridSpan w:val="3"/>
            <w:shd w:val="clear" w:color="auto" w:fill="DBDBDB"/>
            <w:tcMar>
              <w:top w:w="0" w:type="dxa"/>
              <w:left w:w="20" w:type="dxa"/>
              <w:bottom w:w="0" w:type="dxa"/>
              <w:right w:w="20" w:type="dxa"/>
            </w:tcMar>
            <w:vAlign w:val="bottom"/>
          </w:tcPr>
          <w:p w14:paraId="18600BEC" w14:textId="77777777" w:rsidR="00A91885" w:rsidRDefault="00A91885">
            <w:pPr>
              <w:rPr>
                <w:rFonts w:ascii="宋体"/>
              </w:rPr>
            </w:pPr>
          </w:p>
        </w:tc>
        <w:tc>
          <w:tcPr>
            <w:tcW w:w="0" w:type="auto"/>
            <w:shd w:val="clear" w:color="auto" w:fill="DBDBDB"/>
            <w:tcMar>
              <w:top w:w="40" w:type="dxa"/>
              <w:left w:w="20" w:type="dxa"/>
              <w:bottom w:w="40" w:type="dxa"/>
              <w:right w:w="0" w:type="dxa"/>
            </w:tcMar>
            <w:vAlign w:val="bottom"/>
          </w:tcPr>
          <w:p w14:paraId="18600BED" w14:textId="77777777" w:rsidR="00A91885" w:rsidRDefault="009C4196">
            <w:pPr>
              <w:textAlignment w:val="bottom"/>
            </w:pPr>
            <w:r>
              <w:rPr>
                <w:rFonts w:ascii="Arial" w:eastAsia="宋体" w:hAnsi="Arial" w:cs="Arial"/>
                <w:color w:val="000000"/>
                <w:sz w:val="16"/>
                <w:szCs w:val="16"/>
              </w:rPr>
              <w:t>$</w:t>
            </w:r>
          </w:p>
        </w:tc>
        <w:tc>
          <w:tcPr>
            <w:tcW w:w="0" w:type="auto"/>
            <w:shd w:val="clear" w:color="auto" w:fill="DBDBDB"/>
            <w:tcMar>
              <w:top w:w="40" w:type="dxa"/>
              <w:left w:w="0" w:type="dxa"/>
              <w:bottom w:w="40" w:type="dxa"/>
              <w:right w:w="0" w:type="dxa"/>
            </w:tcMar>
            <w:vAlign w:val="bottom"/>
          </w:tcPr>
          <w:p w14:paraId="18600BEE" w14:textId="77777777" w:rsidR="00A91885" w:rsidRDefault="009C4196">
            <w:pPr>
              <w:jc w:val="right"/>
              <w:textAlignment w:val="bottom"/>
            </w:pPr>
            <w:r>
              <w:rPr>
                <w:rFonts w:ascii="Arial" w:eastAsia="宋体" w:hAnsi="Arial" w:cs="Arial"/>
                <w:color w:val="000000"/>
                <w:sz w:val="16"/>
                <w:szCs w:val="16"/>
              </w:rPr>
              <w:t>400 </w:t>
            </w:r>
          </w:p>
        </w:tc>
        <w:tc>
          <w:tcPr>
            <w:tcW w:w="0" w:type="auto"/>
            <w:shd w:val="clear" w:color="auto" w:fill="DBDBDB"/>
            <w:tcMar>
              <w:top w:w="40" w:type="dxa"/>
              <w:left w:w="0" w:type="dxa"/>
              <w:bottom w:w="40" w:type="dxa"/>
              <w:right w:w="20" w:type="dxa"/>
            </w:tcMar>
            <w:vAlign w:val="bottom"/>
          </w:tcPr>
          <w:p w14:paraId="18600BEF"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BF0"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BF1" w14:textId="77777777" w:rsidR="00A91885" w:rsidRDefault="009C4196">
            <w:pPr>
              <w:jc w:val="right"/>
              <w:textAlignment w:val="bottom"/>
            </w:pPr>
            <w:r>
              <w:rPr>
                <w:rFonts w:ascii="Arial" w:eastAsia="宋体" w:hAnsi="Arial" w:cs="Arial"/>
                <w:color w:val="000000"/>
                <w:sz w:val="16"/>
                <w:szCs w:val="16"/>
              </w:rPr>
              <w:t>1.100 </w:t>
            </w:r>
          </w:p>
        </w:tc>
        <w:tc>
          <w:tcPr>
            <w:tcW w:w="0" w:type="auto"/>
            <w:shd w:val="clear" w:color="auto" w:fill="DBDBDB"/>
            <w:tcMar>
              <w:top w:w="40" w:type="dxa"/>
              <w:left w:w="0" w:type="dxa"/>
              <w:bottom w:w="40" w:type="dxa"/>
              <w:right w:w="20" w:type="dxa"/>
            </w:tcMar>
            <w:vAlign w:val="bottom"/>
          </w:tcPr>
          <w:p w14:paraId="18600BF2"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8600BF3" w14:textId="77777777" w:rsidR="00A91885" w:rsidRDefault="00A91885">
            <w:pPr>
              <w:rPr>
                <w:rFonts w:ascii="宋体"/>
              </w:rPr>
            </w:pPr>
          </w:p>
        </w:tc>
        <w:tc>
          <w:tcPr>
            <w:tcW w:w="0" w:type="auto"/>
            <w:shd w:val="clear" w:color="auto" w:fill="DBDBDB"/>
            <w:tcMar>
              <w:top w:w="40" w:type="dxa"/>
              <w:left w:w="20" w:type="dxa"/>
              <w:bottom w:w="40" w:type="dxa"/>
              <w:right w:w="0" w:type="dxa"/>
            </w:tcMar>
            <w:vAlign w:val="bottom"/>
          </w:tcPr>
          <w:p w14:paraId="18600BF4" w14:textId="77777777" w:rsidR="00A91885" w:rsidRDefault="009C4196">
            <w:pPr>
              <w:textAlignment w:val="bottom"/>
            </w:pPr>
            <w:r>
              <w:rPr>
                <w:rFonts w:ascii="Arial" w:eastAsia="宋体" w:hAnsi="Arial" w:cs="Arial"/>
                <w:color w:val="000000"/>
                <w:sz w:val="16"/>
                <w:szCs w:val="16"/>
              </w:rPr>
              <w:t>$</w:t>
            </w:r>
          </w:p>
        </w:tc>
        <w:tc>
          <w:tcPr>
            <w:tcW w:w="0" w:type="auto"/>
            <w:shd w:val="clear" w:color="auto" w:fill="DBDBDB"/>
            <w:tcMar>
              <w:top w:w="40" w:type="dxa"/>
              <w:left w:w="0" w:type="dxa"/>
              <w:bottom w:w="40" w:type="dxa"/>
              <w:right w:w="0" w:type="dxa"/>
            </w:tcMar>
            <w:vAlign w:val="bottom"/>
          </w:tcPr>
          <w:p w14:paraId="18600BF5" w14:textId="77777777" w:rsidR="00A91885" w:rsidRDefault="009C4196">
            <w:pPr>
              <w:jc w:val="right"/>
              <w:textAlignment w:val="bottom"/>
            </w:pPr>
            <w:r>
              <w:rPr>
                <w:rFonts w:ascii="Arial" w:eastAsia="宋体" w:hAnsi="Arial" w:cs="Arial"/>
                <w:color w:val="000000"/>
                <w:sz w:val="16"/>
                <w:szCs w:val="16"/>
              </w:rPr>
              <w:t>400 </w:t>
            </w:r>
          </w:p>
        </w:tc>
        <w:tc>
          <w:tcPr>
            <w:tcW w:w="0" w:type="auto"/>
            <w:shd w:val="clear" w:color="auto" w:fill="DBDBDB"/>
            <w:tcMar>
              <w:top w:w="40" w:type="dxa"/>
              <w:left w:w="0" w:type="dxa"/>
              <w:bottom w:w="40" w:type="dxa"/>
              <w:right w:w="20" w:type="dxa"/>
            </w:tcMar>
            <w:vAlign w:val="bottom"/>
          </w:tcPr>
          <w:p w14:paraId="18600BF6"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BF7"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BF8" w14:textId="77777777" w:rsidR="00A91885" w:rsidRDefault="009C4196">
            <w:pPr>
              <w:jc w:val="right"/>
              <w:textAlignment w:val="bottom"/>
            </w:pPr>
            <w:r>
              <w:rPr>
                <w:rFonts w:ascii="Arial" w:eastAsia="宋体" w:hAnsi="Arial" w:cs="Arial"/>
                <w:color w:val="000000"/>
                <w:sz w:val="16"/>
                <w:szCs w:val="16"/>
              </w:rPr>
              <w:t>1.100 </w:t>
            </w:r>
          </w:p>
        </w:tc>
        <w:tc>
          <w:tcPr>
            <w:tcW w:w="0" w:type="auto"/>
            <w:shd w:val="clear" w:color="auto" w:fill="DBDBDB"/>
            <w:tcMar>
              <w:top w:w="40" w:type="dxa"/>
              <w:left w:w="0" w:type="dxa"/>
              <w:bottom w:w="40" w:type="dxa"/>
              <w:right w:w="20" w:type="dxa"/>
            </w:tcMar>
            <w:vAlign w:val="bottom"/>
          </w:tcPr>
          <w:p w14:paraId="18600BF9" w14:textId="77777777" w:rsidR="00A91885" w:rsidRDefault="009C4196">
            <w:pPr>
              <w:jc w:val="right"/>
              <w:textAlignment w:val="bottom"/>
            </w:pPr>
            <w:r>
              <w:rPr>
                <w:rFonts w:ascii="Arial" w:eastAsia="宋体" w:hAnsi="Arial" w:cs="Arial"/>
                <w:color w:val="000000"/>
                <w:sz w:val="16"/>
                <w:szCs w:val="16"/>
              </w:rPr>
              <w:t>%</w:t>
            </w:r>
          </w:p>
        </w:tc>
      </w:tr>
      <w:tr w:rsidR="00A91885" w14:paraId="18600C06" w14:textId="77777777">
        <w:trPr>
          <w:trHeight w:val="240"/>
        </w:trPr>
        <w:tc>
          <w:tcPr>
            <w:tcW w:w="0" w:type="auto"/>
            <w:gridSpan w:val="3"/>
            <w:shd w:val="clear" w:color="auto" w:fill="FFFFFF"/>
            <w:tcMar>
              <w:top w:w="0" w:type="dxa"/>
              <w:left w:w="20" w:type="dxa"/>
              <w:bottom w:w="0" w:type="dxa"/>
              <w:right w:w="20" w:type="dxa"/>
            </w:tcMar>
            <w:vAlign w:val="bottom"/>
          </w:tcPr>
          <w:p w14:paraId="18600BF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FC"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F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F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BF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C00"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C0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C02"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C03"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C04"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C05" w14:textId="77777777" w:rsidR="00A91885" w:rsidRDefault="00A91885">
            <w:pPr>
              <w:rPr>
                <w:rFonts w:ascii="宋体"/>
              </w:rPr>
            </w:pPr>
          </w:p>
        </w:tc>
      </w:tr>
      <w:tr w:rsidR="00A91885" w14:paraId="18600C12" w14:textId="77777777">
        <w:tc>
          <w:tcPr>
            <w:tcW w:w="0" w:type="auto"/>
            <w:gridSpan w:val="3"/>
            <w:shd w:val="clear" w:color="auto" w:fill="DBDBDB"/>
            <w:tcMar>
              <w:top w:w="40" w:type="dxa"/>
              <w:left w:w="20" w:type="dxa"/>
              <w:bottom w:w="40" w:type="dxa"/>
              <w:right w:w="20" w:type="dxa"/>
            </w:tcMar>
            <w:vAlign w:val="bottom"/>
          </w:tcPr>
          <w:p w14:paraId="18600C07" w14:textId="77777777" w:rsidR="00A91885" w:rsidRDefault="009C4196">
            <w:pPr>
              <w:textAlignment w:val="bottom"/>
            </w:pPr>
            <w:r>
              <w:rPr>
                <w:rFonts w:ascii="Arial" w:eastAsia="宋体" w:hAnsi="Arial" w:cs="Arial"/>
                <w:color w:val="000000"/>
                <w:sz w:val="16"/>
                <w:szCs w:val="16"/>
              </w:rPr>
              <w:t>Fixed Rate Notes:</w:t>
            </w:r>
          </w:p>
        </w:tc>
        <w:tc>
          <w:tcPr>
            <w:tcW w:w="0" w:type="auto"/>
            <w:gridSpan w:val="3"/>
            <w:shd w:val="clear" w:color="auto" w:fill="DBDBDB"/>
            <w:tcMar>
              <w:top w:w="0" w:type="dxa"/>
              <w:left w:w="20" w:type="dxa"/>
              <w:bottom w:w="0" w:type="dxa"/>
              <w:right w:w="20" w:type="dxa"/>
            </w:tcMar>
            <w:vAlign w:val="bottom"/>
          </w:tcPr>
          <w:p w14:paraId="18600C08"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C09"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C0A"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C0B"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C0C"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C0D"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C0E"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C0F"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C10"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C11" w14:textId="77777777" w:rsidR="00A91885" w:rsidRDefault="00A91885">
            <w:pPr>
              <w:rPr>
                <w:rFonts w:ascii="宋体"/>
              </w:rPr>
            </w:pPr>
          </w:p>
        </w:tc>
      </w:tr>
      <w:tr w:rsidR="00A91885" w14:paraId="18600C1E" w14:textId="77777777">
        <w:trPr>
          <w:hidden/>
        </w:trPr>
        <w:tc>
          <w:tcPr>
            <w:tcW w:w="0" w:type="auto"/>
            <w:gridSpan w:val="3"/>
            <w:shd w:val="clear" w:color="auto" w:fill="auto"/>
            <w:vAlign w:val="bottom"/>
          </w:tcPr>
          <w:p w14:paraId="18600C13" w14:textId="77777777" w:rsidR="00A91885" w:rsidRDefault="00A91885">
            <w:pPr>
              <w:rPr>
                <w:rFonts w:ascii="宋体"/>
                <w:vanish/>
              </w:rPr>
            </w:pPr>
          </w:p>
        </w:tc>
        <w:tc>
          <w:tcPr>
            <w:tcW w:w="0" w:type="auto"/>
            <w:gridSpan w:val="3"/>
            <w:shd w:val="clear" w:color="auto" w:fill="auto"/>
            <w:vAlign w:val="bottom"/>
          </w:tcPr>
          <w:p w14:paraId="18600C14" w14:textId="77777777" w:rsidR="00A91885" w:rsidRDefault="00A91885">
            <w:pPr>
              <w:rPr>
                <w:rFonts w:ascii="宋体"/>
                <w:vanish/>
              </w:rPr>
            </w:pPr>
          </w:p>
        </w:tc>
        <w:tc>
          <w:tcPr>
            <w:tcW w:w="0" w:type="auto"/>
            <w:gridSpan w:val="3"/>
            <w:shd w:val="clear" w:color="auto" w:fill="auto"/>
            <w:vAlign w:val="bottom"/>
          </w:tcPr>
          <w:p w14:paraId="18600C15" w14:textId="77777777" w:rsidR="00A91885" w:rsidRDefault="00A91885">
            <w:pPr>
              <w:rPr>
                <w:rFonts w:ascii="宋体"/>
                <w:vanish/>
              </w:rPr>
            </w:pPr>
          </w:p>
        </w:tc>
        <w:tc>
          <w:tcPr>
            <w:tcW w:w="0" w:type="auto"/>
            <w:gridSpan w:val="3"/>
            <w:shd w:val="clear" w:color="auto" w:fill="auto"/>
            <w:vAlign w:val="bottom"/>
          </w:tcPr>
          <w:p w14:paraId="18600C16" w14:textId="77777777" w:rsidR="00A91885" w:rsidRDefault="00A91885">
            <w:pPr>
              <w:rPr>
                <w:rFonts w:ascii="宋体"/>
                <w:vanish/>
              </w:rPr>
            </w:pPr>
          </w:p>
        </w:tc>
        <w:tc>
          <w:tcPr>
            <w:tcW w:w="0" w:type="auto"/>
            <w:gridSpan w:val="3"/>
            <w:shd w:val="clear" w:color="auto" w:fill="auto"/>
            <w:vAlign w:val="bottom"/>
          </w:tcPr>
          <w:p w14:paraId="18600C17" w14:textId="77777777" w:rsidR="00A91885" w:rsidRDefault="00A91885">
            <w:pPr>
              <w:rPr>
                <w:rFonts w:ascii="宋体"/>
                <w:vanish/>
              </w:rPr>
            </w:pPr>
          </w:p>
        </w:tc>
        <w:tc>
          <w:tcPr>
            <w:tcW w:w="0" w:type="auto"/>
            <w:gridSpan w:val="3"/>
            <w:shd w:val="clear" w:color="auto" w:fill="auto"/>
            <w:vAlign w:val="bottom"/>
          </w:tcPr>
          <w:p w14:paraId="18600C18" w14:textId="77777777" w:rsidR="00A91885" w:rsidRDefault="00A91885">
            <w:pPr>
              <w:rPr>
                <w:rFonts w:ascii="宋体"/>
                <w:vanish/>
              </w:rPr>
            </w:pPr>
          </w:p>
        </w:tc>
        <w:tc>
          <w:tcPr>
            <w:tcW w:w="0" w:type="auto"/>
            <w:gridSpan w:val="3"/>
            <w:shd w:val="clear" w:color="auto" w:fill="auto"/>
            <w:vAlign w:val="bottom"/>
          </w:tcPr>
          <w:p w14:paraId="18600C19" w14:textId="77777777" w:rsidR="00A91885" w:rsidRDefault="00A91885">
            <w:pPr>
              <w:rPr>
                <w:rFonts w:ascii="宋体"/>
                <w:vanish/>
              </w:rPr>
            </w:pPr>
          </w:p>
        </w:tc>
        <w:tc>
          <w:tcPr>
            <w:tcW w:w="0" w:type="auto"/>
            <w:gridSpan w:val="3"/>
            <w:shd w:val="clear" w:color="auto" w:fill="auto"/>
            <w:vAlign w:val="bottom"/>
          </w:tcPr>
          <w:p w14:paraId="18600C1A" w14:textId="77777777" w:rsidR="00A91885" w:rsidRDefault="00A91885">
            <w:pPr>
              <w:rPr>
                <w:rFonts w:ascii="宋体"/>
                <w:vanish/>
              </w:rPr>
            </w:pPr>
          </w:p>
        </w:tc>
        <w:tc>
          <w:tcPr>
            <w:tcW w:w="0" w:type="auto"/>
            <w:gridSpan w:val="3"/>
            <w:shd w:val="clear" w:color="auto" w:fill="auto"/>
            <w:vAlign w:val="bottom"/>
          </w:tcPr>
          <w:p w14:paraId="18600C1B" w14:textId="77777777" w:rsidR="00A91885" w:rsidRDefault="00A91885">
            <w:pPr>
              <w:rPr>
                <w:rFonts w:ascii="宋体"/>
                <w:vanish/>
              </w:rPr>
            </w:pPr>
          </w:p>
        </w:tc>
        <w:tc>
          <w:tcPr>
            <w:tcW w:w="0" w:type="auto"/>
            <w:gridSpan w:val="3"/>
            <w:shd w:val="clear" w:color="auto" w:fill="auto"/>
            <w:vAlign w:val="bottom"/>
          </w:tcPr>
          <w:p w14:paraId="18600C1C" w14:textId="77777777" w:rsidR="00A91885" w:rsidRDefault="00A91885">
            <w:pPr>
              <w:rPr>
                <w:rFonts w:ascii="宋体"/>
                <w:vanish/>
              </w:rPr>
            </w:pPr>
          </w:p>
        </w:tc>
        <w:tc>
          <w:tcPr>
            <w:tcW w:w="0" w:type="auto"/>
            <w:gridSpan w:val="3"/>
            <w:shd w:val="clear" w:color="auto" w:fill="auto"/>
            <w:vAlign w:val="bottom"/>
          </w:tcPr>
          <w:p w14:paraId="18600C1D" w14:textId="77777777" w:rsidR="00A91885" w:rsidRDefault="00A91885">
            <w:pPr>
              <w:rPr>
                <w:rFonts w:ascii="宋体"/>
                <w:vanish/>
              </w:rPr>
            </w:pPr>
          </w:p>
        </w:tc>
      </w:tr>
      <w:tr w:rsidR="00A91885" w14:paraId="18600C2A" w14:textId="77777777">
        <w:trPr>
          <w:hidden/>
        </w:trPr>
        <w:tc>
          <w:tcPr>
            <w:tcW w:w="0" w:type="auto"/>
            <w:gridSpan w:val="3"/>
            <w:shd w:val="clear" w:color="auto" w:fill="auto"/>
            <w:vAlign w:val="bottom"/>
          </w:tcPr>
          <w:p w14:paraId="18600C1F" w14:textId="77777777" w:rsidR="00A91885" w:rsidRDefault="00A91885">
            <w:pPr>
              <w:rPr>
                <w:rFonts w:ascii="宋体"/>
                <w:vanish/>
              </w:rPr>
            </w:pPr>
          </w:p>
        </w:tc>
        <w:tc>
          <w:tcPr>
            <w:tcW w:w="0" w:type="auto"/>
            <w:gridSpan w:val="3"/>
            <w:shd w:val="clear" w:color="auto" w:fill="auto"/>
            <w:vAlign w:val="bottom"/>
          </w:tcPr>
          <w:p w14:paraId="18600C20" w14:textId="77777777" w:rsidR="00A91885" w:rsidRDefault="00A91885">
            <w:pPr>
              <w:rPr>
                <w:rFonts w:ascii="宋体"/>
                <w:vanish/>
              </w:rPr>
            </w:pPr>
          </w:p>
        </w:tc>
        <w:tc>
          <w:tcPr>
            <w:tcW w:w="0" w:type="auto"/>
            <w:gridSpan w:val="3"/>
            <w:shd w:val="clear" w:color="auto" w:fill="auto"/>
            <w:vAlign w:val="bottom"/>
          </w:tcPr>
          <w:p w14:paraId="18600C21" w14:textId="77777777" w:rsidR="00A91885" w:rsidRDefault="00A91885">
            <w:pPr>
              <w:rPr>
                <w:rFonts w:ascii="宋体"/>
                <w:vanish/>
              </w:rPr>
            </w:pPr>
          </w:p>
        </w:tc>
        <w:tc>
          <w:tcPr>
            <w:tcW w:w="0" w:type="auto"/>
            <w:gridSpan w:val="3"/>
            <w:shd w:val="clear" w:color="auto" w:fill="auto"/>
            <w:vAlign w:val="bottom"/>
          </w:tcPr>
          <w:p w14:paraId="18600C22" w14:textId="77777777" w:rsidR="00A91885" w:rsidRDefault="00A91885">
            <w:pPr>
              <w:rPr>
                <w:rFonts w:ascii="宋体"/>
                <w:vanish/>
              </w:rPr>
            </w:pPr>
          </w:p>
        </w:tc>
        <w:tc>
          <w:tcPr>
            <w:tcW w:w="0" w:type="auto"/>
            <w:gridSpan w:val="3"/>
            <w:shd w:val="clear" w:color="auto" w:fill="auto"/>
            <w:vAlign w:val="bottom"/>
          </w:tcPr>
          <w:p w14:paraId="18600C23" w14:textId="77777777" w:rsidR="00A91885" w:rsidRDefault="00A91885">
            <w:pPr>
              <w:rPr>
                <w:rFonts w:ascii="宋体"/>
                <w:vanish/>
              </w:rPr>
            </w:pPr>
          </w:p>
        </w:tc>
        <w:tc>
          <w:tcPr>
            <w:tcW w:w="0" w:type="auto"/>
            <w:gridSpan w:val="3"/>
            <w:shd w:val="clear" w:color="auto" w:fill="auto"/>
            <w:vAlign w:val="bottom"/>
          </w:tcPr>
          <w:p w14:paraId="18600C24" w14:textId="77777777" w:rsidR="00A91885" w:rsidRDefault="00A91885">
            <w:pPr>
              <w:rPr>
                <w:rFonts w:ascii="宋体"/>
                <w:vanish/>
              </w:rPr>
            </w:pPr>
          </w:p>
        </w:tc>
        <w:tc>
          <w:tcPr>
            <w:tcW w:w="0" w:type="auto"/>
            <w:gridSpan w:val="3"/>
            <w:shd w:val="clear" w:color="auto" w:fill="auto"/>
            <w:vAlign w:val="bottom"/>
          </w:tcPr>
          <w:p w14:paraId="18600C25" w14:textId="77777777" w:rsidR="00A91885" w:rsidRDefault="00A91885">
            <w:pPr>
              <w:rPr>
                <w:rFonts w:ascii="宋体"/>
                <w:vanish/>
              </w:rPr>
            </w:pPr>
          </w:p>
        </w:tc>
        <w:tc>
          <w:tcPr>
            <w:tcW w:w="0" w:type="auto"/>
            <w:gridSpan w:val="3"/>
            <w:shd w:val="clear" w:color="auto" w:fill="auto"/>
            <w:vAlign w:val="bottom"/>
          </w:tcPr>
          <w:p w14:paraId="18600C26" w14:textId="77777777" w:rsidR="00A91885" w:rsidRDefault="00A91885">
            <w:pPr>
              <w:rPr>
                <w:rFonts w:ascii="宋体"/>
                <w:vanish/>
              </w:rPr>
            </w:pPr>
          </w:p>
        </w:tc>
        <w:tc>
          <w:tcPr>
            <w:tcW w:w="0" w:type="auto"/>
            <w:gridSpan w:val="3"/>
            <w:shd w:val="clear" w:color="auto" w:fill="auto"/>
            <w:vAlign w:val="bottom"/>
          </w:tcPr>
          <w:p w14:paraId="18600C27" w14:textId="77777777" w:rsidR="00A91885" w:rsidRDefault="00A91885">
            <w:pPr>
              <w:rPr>
                <w:rFonts w:ascii="宋体"/>
                <w:vanish/>
              </w:rPr>
            </w:pPr>
          </w:p>
        </w:tc>
        <w:tc>
          <w:tcPr>
            <w:tcW w:w="0" w:type="auto"/>
            <w:gridSpan w:val="3"/>
            <w:shd w:val="clear" w:color="auto" w:fill="auto"/>
            <w:vAlign w:val="bottom"/>
          </w:tcPr>
          <w:p w14:paraId="18600C28" w14:textId="77777777" w:rsidR="00A91885" w:rsidRDefault="00A91885">
            <w:pPr>
              <w:rPr>
                <w:rFonts w:ascii="宋体"/>
                <w:vanish/>
              </w:rPr>
            </w:pPr>
          </w:p>
        </w:tc>
        <w:tc>
          <w:tcPr>
            <w:tcW w:w="0" w:type="auto"/>
            <w:gridSpan w:val="3"/>
            <w:shd w:val="clear" w:color="auto" w:fill="auto"/>
            <w:vAlign w:val="bottom"/>
          </w:tcPr>
          <w:p w14:paraId="18600C29" w14:textId="77777777" w:rsidR="00A91885" w:rsidRDefault="00A91885">
            <w:pPr>
              <w:rPr>
                <w:rFonts w:ascii="宋体"/>
                <w:vanish/>
              </w:rPr>
            </w:pPr>
          </w:p>
        </w:tc>
      </w:tr>
      <w:tr w:rsidR="00A91885" w14:paraId="18600C36" w14:textId="77777777">
        <w:trPr>
          <w:hidden/>
        </w:trPr>
        <w:tc>
          <w:tcPr>
            <w:tcW w:w="0" w:type="auto"/>
            <w:gridSpan w:val="3"/>
            <w:shd w:val="clear" w:color="auto" w:fill="auto"/>
            <w:vAlign w:val="bottom"/>
          </w:tcPr>
          <w:p w14:paraId="18600C2B" w14:textId="77777777" w:rsidR="00A91885" w:rsidRDefault="00A91885">
            <w:pPr>
              <w:rPr>
                <w:rFonts w:ascii="宋体"/>
                <w:vanish/>
              </w:rPr>
            </w:pPr>
          </w:p>
        </w:tc>
        <w:tc>
          <w:tcPr>
            <w:tcW w:w="0" w:type="auto"/>
            <w:gridSpan w:val="3"/>
            <w:shd w:val="clear" w:color="auto" w:fill="auto"/>
            <w:vAlign w:val="bottom"/>
          </w:tcPr>
          <w:p w14:paraId="18600C2C" w14:textId="77777777" w:rsidR="00A91885" w:rsidRDefault="00A91885">
            <w:pPr>
              <w:rPr>
                <w:rFonts w:ascii="宋体"/>
                <w:vanish/>
              </w:rPr>
            </w:pPr>
          </w:p>
        </w:tc>
        <w:tc>
          <w:tcPr>
            <w:tcW w:w="0" w:type="auto"/>
            <w:gridSpan w:val="3"/>
            <w:shd w:val="clear" w:color="auto" w:fill="auto"/>
            <w:vAlign w:val="bottom"/>
          </w:tcPr>
          <w:p w14:paraId="18600C2D" w14:textId="77777777" w:rsidR="00A91885" w:rsidRDefault="00A91885">
            <w:pPr>
              <w:rPr>
                <w:rFonts w:ascii="宋体"/>
                <w:vanish/>
              </w:rPr>
            </w:pPr>
          </w:p>
        </w:tc>
        <w:tc>
          <w:tcPr>
            <w:tcW w:w="0" w:type="auto"/>
            <w:gridSpan w:val="3"/>
            <w:shd w:val="clear" w:color="auto" w:fill="auto"/>
            <w:vAlign w:val="bottom"/>
          </w:tcPr>
          <w:p w14:paraId="18600C2E" w14:textId="77777777" w:rsidR="00A91885" w:rsidRDefault="00A91885">
            <w:pPr>
              <w:rPr>
                <w:rFonts w:ascii="宋体"/>
                <w:vanish/>
              </w:rPr>
            </w:pPr>
          </w:p>
        </w:tc>
        <w:tc>
          <w:tcPr>
            <w:tcW w:w="0" w:type="auto"/>
            <w:gridSpan w:val="3"/>
            <w:shd w:val="clear" w:color="auto" w:fill="auto"/>
            <w:vAlign w:val="bottom"/>
          </w:tcPr>
          <w:p w14:paraId="18600C2F" w14:textId="77777777" w:rsidR="00A91885" w:rsidRDefault="00A91885">
            <w:pPr>
              <w:rPr>
                <w:rFonts w:ascii="宋体"/>
                <w:vanish/>
              </w:rPr>
            </w:pPr>
          </w:p>
        </w:tc>
        <w:tc>
          <w:tcPr>
            <w:tcW w:w="0" w:type="auto"/>
            <w:gridSpan w:val="3"/>
            <w:shd w:val="clear" w:color="auto" w:fill="auto"/>
            <w:vAlign w:val="bottom"/>
          </w:tcPr>
          <w:p w14:paraId="18600C30" w14:textId="77777777" w:rsidR="00A91885" w:rsidRDefault="00A91885">
            <w:pPr>
              <w:rPr>
                <w:rFonts w:ascii="宋体"/>
                <w:vanish/>
              </w:rPr>
            </w:pPr>
          </w:p>
        </w:tc>
        <w:tc>
          <w:tcPr>
            <w:tcW w:w="0" w:type="auto"/>
            <w:gridSpan w:val="3"/>
            <w:shd w:val="clear" w:color="auto" w:fill="auto"/>
            <w:vAlign w:val="bottom"/>
          </w:tcPr>
          <w:p w14:paraId="18600C31" w14:textId="77777777" w:rsidR="00A91885" w:rsidRDefault="00A91885">
            <w:pPr>
              <w:rPr>
                <w:rFonts w:ascii="宋体"/>
                <w:vanish/>
              </w:rPr>
            </w:pPr>
          </w:p>
        </w:tc>
        <w:tc>
          <w:tcPr>
            <w:tcW w:w="0" w:type="auto"/>
            <w:gridSpan w:val="3"/>
            <w:shd w:val="clear" w:color="auto" w:fill="auto"/>
            <w:vAlign w:val="bottom"/>
          </w:tcPr>
          <w:p w14:paraId="18600C32" w14:textId="77777777" w:rsidR="00A91885" w:rsidRDefault="00A91885">
            <w:pPr>
              <w:rPr>
                <w:rFonts w:ascii="宋体"/>
                <w:vanish/>
              </w:rPr>
            </w:pPr>
          </w:p>
        </w:tc>
        <w:tc>
          <w:tcPr>
            <w:tcW w:w="0" w:type="auto"/>
            <w:gridSpan w:val="3"/>
            <w:shd w:val="clear" w:color="auto" w:fill="auto"/>
            <w:vAlign w:val="bottom"/>
          </w:tcPr>
          <w:p w14:paraId="18600C33" w14:textId="77777777" w:rsidR="00A91885" w:rsidRDefault="00A91885">
            <w:pPr>
              <w:rPr>
                <w:rFonts w:ascii="宋体"/>
                <w:vanish/>
              </w:rPr>
            </w:pPr>
          </w:p>
        </w:tc>
        <w:tc>
          <w:tcPr>
            <w:tcW w:w="0" w:type="auto"/>
            <w:gridSpan w:val="3"/>
            <w:shd w:val="clear" w:color="auto" w:fill="auto"/>
            <w:vAlign w:val="bottom"/>
          </w:tcPr>
          <w:p w14:paraId="18600C34" w14:textId="77777777" w:rsidR="00A91885" w:rsidRDefault="00A91885">
            <w:pPr>
              <w:rPr>
                <w:rFonts w:ascii="宋体"/>
                <w:vanish/>
              </w:rPr>
            </w:pPr>
          </w:p>
        </w:tc>
        <w:tc>
          <w:tcPr>
            <w:tcW w:w="0" w:type="auto"/>
            <w:gridSpan w:val="3"/>
            <w:shd w:val="clear" w:color="auto" w:fill="auto"/>
            <w:vAlign w:val="bottom"/>
          </w:tcPr>
          <w:p w14:paraId="18600C35" w14:textId="77777777" w:rsidR="00A91885" w:rsidRDefault="00A91885">
            <w:pPr>
              <w:rPr>
                <w:rFonts w:ascii="宋体"/>
                <w:vanish/>
              </w:rPr>
            </w:pPr>
          </w:p>
        </w:tc>
      </w:tr>
      <w:tr w:rsidR="00A91885" w14:paraId="18600C42" w14:textId="77777777">
        <w:trPr>
          <w:hidden/>
        </w:trPr>
        <w:tc>
          <w:tcPr>
            <w:tcW w:w="0" w:type="auto"/>
            <w:gridSpan w:val="3"/>
            <w:shd w:val="clear" w:color="auto" w:fill="auto"/>
            <w:vAlign w:val="bottom"/>
          </w:tcPr>
          <w:p w14:paraId="18600C37" w14:textId="77777777" w:rsidR="00A91885" w:rsidRDefault="00A91885">
            <w:pPr>
              <w:rPr>
                <w:rFonts w:ascii="宋体"/>
                <w:vanish/>
              </w:rPr>
            </w:pPr>
          </w:p>
        </w:tc>
        <w:tc>
          <w:tcPr>
            <w:tcW w:w="0" w:type="auto"/>
            <w:gridSpan w:val="3"/>
            <w:shd w:val="clear" w:color="auto" w:fill="auto"/>
            <w:vAlign w:val="bottom"/>
          </w:tcPr>
          <w:p w14:paraId="18600C38" w14:textId="77777777" w:rsidR="00A91885" w:rsidRDefault="00A91885">
            <w:pPr>
              <w:rPr>
                <w:rFonts w:ascii="宋体"/>
                <w:vanish/>
              </w:rPr>
            </w:pPr>
          </w:p>
        </w:tc>
        <w:tc>
          <w:tcPr>
            <w:tcW w:w="0" w:type="auto"/>
            <w:gridSpan w:val="3"/>
            <w:shd w:val="clear" w:color="auto" w:fill="auto"/>
            <w:vAlign w:val="bottom"/>
          </w:tcPr>
          <w:p w14:paraId="18600C39" w14:textId="77777777" w:rsidR="00A91885" w:rsidRDefault="00A91885">
            <w:pPr>
              <w:rPr>
                <w:rFonts w:ascii="宋体"/>
                <w:vanish/>
              </w:rPr>
            </w:pPr>
          </w:p>
        </w:tc>
        <w:tc>
          <w:tcPr>
            <w:tcW w:w="0" w:type="auto"/>
            <w:gridSpan w:val="3"/>
            <w:shd w:val="clear" w:color="auto" w:fill="auto"/>
            <w:vAlign w:val="bottom"/>
          </w:tcPr>
          <w:p w14:paraId="18600C3A" w14:textId="77777777" w:rsidR="00A91885" w:rsidRDefault="00A91885">
            <w:pPr>
              <w:rPr>
                <w:rFonts w:ascii="宋体"/>
                <w:vanish/>
              </w:rPr>
            </w:pPr>
          </w:p>
        </w:tc>
        <w:tc>
          <w:tcPr>
            <w:tcW w:w="0" w:type="auto"/>
            <w:gridSpan w:val="3"/>
            <w:shd w:val="clear" w:color="auto" w:fill="auto"/>
            <w:vAlign w:val="bottom"/>
          </w:tcPr>
          <w:p w14:paraId="18600C3B" w14:textId="77777777" w:rsidR="00A91885" w:rsidRDefault="00A91885">
            <w:pPr>
              <w:rPr>
                <w:rFonts w:ascii="宋体"/>
                <w:vanish/>
              </w:rPr>
            </w:pPr>
          </w:p>
        </w:tc>
        <w:tc>
          <w:tcPr>
            <w:tcW w:w="0" w:type="auto"/>
            <w:gridSpan w:val="3"/>
            <w:shd w:val="clear" w:color="auto" w:fill="auto"/>
            <w:vAlign w:val="bottom"/>
          </w:tcPr>
          <w:p w14:paraId="18600C3C" w14:textId="77777777" w:rsidR="00A91885" w:rsidRDefault="00A91885">
            <w:pPr>
              <w:rPr>
                <w:rFonts w:ascii="宋体"/>
                <w:vanish/>
              </w:rPr>
            </w:pPr>
          </w:p>
        </w:tc>
        <w:tc>
          <w:tcPr>
            <w:tcW w:w="0" w:type="auto"/>
            <w:gridSpan w:val="3"/>
            <w:shd w:val="clear" w:color="auto" w:fill="auto"/>
            <w:vAlign w:val="bottom"/>
          </w:tcPr>
          <w:p w14:paraId="18600C3D" w14:textId="77777777" w:rsidR="00A91885" w:rsidRDefault="00A91885">
            <w:pPr>
              <w:rPr>
                <w:rFonts w:ascii="宋体"/>
                <w:vanish/>
              </w:rPr>
            </w:pPr>
          </w:p>
        </w:tc>
        <w:tc>
          <w:tcPr>
            <w:tcW w:w="0" w:type="auto"/>
            <w:gridSpan w:val="3"/>
            <w:shd w:val="clear" w:color="auto" w:fill="auto"/>
            <w:vAlign w:val="bottom"/>
          </w:tcPr>
          <w:p w14:paraId="18600C3E" w14:textId="77777777" w:rsidR="00A91885" w:rsidRDefault="00A91885">
            <w:pPr>
              <w:rPr>
                <w:rFonts w:ascii="宋体"/>
                <w:vanish/>
              </w:rPr>
            </w:pPr>
          </w:p>
        </w:tc>
        <w:tc>
          <w:tcPr>
            <w:tcW w:w="0" w:type="auto"/>
            <w:gridSpan w:val="3"/>
            <w:shd w:val="clear" w:color="auto" w:fill="auto"/>
            <w:vAlign w:val="bottom"/>
          </w:tcPr>
          <w:p w14:paraId="18600C3F" w14:textId="77777777" w:rsidR="00A91885" w:rsidRDefault="00A91885">
            <w:pPr>
              <w:rPr>
                <w:rFonts w:ascii="宋体"/>
                <w:vanish/>
              </w:rPr>
            </w:pPr>
          </w:p>
        </w:tc>
        <w:tc>
          <w:tcPr>
            <w:tcW w:w="0" w:type="auto"/>
            <w:gridSpan w:val="3"/>
            <w:shd w:val="clear" w:color="auto" w:fill="auto"/>
            <w:vAlign w:val="bottom"/>
          </w:tcPr>
          <w:p w14:paraId="18600C40" w14:textId="77777777" w:rsidR="00A91885" w:rsidRDefault="00A91885">
            <w:pPr>
              <w:rPr>
                <w:rFonts w:ascii="宋体"/>
                <w:vanish/>
              </w:rPr>
            </w:pPr>
          </w:p>
        </w:tc>
        <w:tc>
          <w:tcPr>
            <w:tcW w:w="0" w:type="auto"/>
            <w:gridSpan w:val="3"/>
            <w:shd w:val="clear" w:color="auto" w:fill="auto"/>
            <w:vAlign w:val="bottom"/>
          </w:tcPr>
          <w:p w14:paraId="18600C41" w14:textId="77777777" w:rsidR="00A91885" w:rsidRDefault="00A91885">
            <w:pPr>
              <w:rPr>
                <w:rFonts w:ascii="宋体"/>
                <w:vanish/>
              </w:rPr>
            </w:pPr>
          </w:p>
        </w:tc>
      </w:tr>
      <w:tr w:rsidR="00A91885" w14:paraId="18600C53" w14:textId="77777777">
        <w:tc>
          <w:tcPr>
            <w:tcW w:w="0" w:type="auto"/>
            <w:gridSpan w:val="3"/>
            <w:shd w:val="clear" w:color="auto" w:fill="FFFFFF"/>
            <w:tcMar>
              <w:top w:w="40" w:type="dxa"/>
              <w:left w:w="155" w:type="dxa"/>
              <w:bottom w:w="40" w:type="dxa"/>
              <w:right w:w="20" w:type="dxa"/>
            </w:tcMar>
            <w:vAlign w:val="bottom"/>
          </w:tcPr>
          <w:p w14:paraId="18600C43" w14:textId="77777777" w:rsidR="00A91885" w:rsidRDefault="009C4196">
            <w:pPr>
              <w:textAlignment w:val="bottom"/>
            </w:pPr>
            <w:r>
              <w:rPr>
                <w:rFonts w:ascii="Arial" w:eastAsia="宋体" w:hAnsi="Arial" w:cs="Arial"/>
                <w:color w:val="000000"/>
                <w:sz w:val="16"/>
                <w:szCs w:val="16"/>
              </w:rPr>
              <w:t>Senior notes due 2022</w:t>
            </w:r>
          </w:p>
        </w:tc>
        <w:tc>
          <w:tcPr>
            <w:tcW w:w="0" w:type="auto"/>
            <w:gridSpan w:val="3"/>
            <w:shd w:val="clear" w:color="auto" w:fill="FFFFFF"/>
            <w:tcMar>
              <w:top w:w="0" w:type="dxa"/>
              <w:left w:w="20" w:type="dxa"/>
              <w:bottom w:w="0" w:type="dxa"/>
              <w:right w:w="20" w:type="dxa"/>
            </w:tcMar>
            <w:vAlign w:val="bottom"/>
          </w:tcPr>
          <w:p w14:paraId="18600C4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45" w14:textId="77777777" w:rsidR="00A91885" w:rsidRDefault="009C4196">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18600C46"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8600C4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48" w14:textId="77777777" w:rsidR="00A91885" w:rsidRDefault="009C4196">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18600C4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C4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4B" w14:textId="77777777" w:rsidR="00A91885" w:rsidRDefault="009C4196">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18600C4C"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8600C4D"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4E" w14:textId="77777777" w:rsidR="00A91885" w:rsidRDefault="009C4196">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18600C4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C50"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51" w14:textId="77777777" w:rsidR="00A91885" w:rsidRDefault="009C4196">
            <w:pPr>
              <w:jc w:val="right"/>
              <w:textAlignment w:val="bottom"/>
            </w:pPr>
            <w:r>
              <w:rPr>
                <w:rFonts w:ascii="Arial" w:eastAsia="宋体" w:hAnsi="Arial" w:cs="Arial"/>
                <w:color w:val="000000"/>
                <w:sz w:val="16"/>
                <w:szCs w:val="16"/>
              </w:rPr>
              <w:t>3.989 </w:t>
            </w:r>
          </w:p>
        </w:tc>
        <w:tc>
          <w:tcPr>
            <w:tcW w:w="0" w:type="auto"/>
            <w:shd w:val="clear" w:color="auto" w:fill="FFFFFF"/>
            <w:tcMar>
              <w:top w:w="40" w:type="dxa"/>
              <w:left w:w="0" w:type="dxa"/>
              <w:bottom w:w="40" w:type="dxa"/>
              <w:right w:w="20" w:type="dxa"/>
            </w:tcMar>
            <w:vAlign w:val="bottom"/>
          </w:tcPr>
          <w:p w14:paraId="18600C52" w14:textId="77777777" w:rsidR="00A91885" w:rsidRDefault="009C4196">
            <w:pPr>
              <w:jc w:val="right"/>
              <w:textAlignment w:val="bottom"/>
            </w:pPr>
            <w:r>
              <w:rPr>
                <w:rFonts w:ascii="Arial" w:eastAsia="宋体" w:hAnsi="Arial" w:cs="Arial"/>
                <w:color w:val="000000"/>
                <w:sz w:val="16"/>
                <w:szCs w:val="16"/>
              </w:rPr>
              <w:t>%</w:t>
            </w:r>
          </w:p>
        </w:tc>
      </w:tr>
      <w:tr w:rsidR="00A91885" w14:paraId="18600C64" w14:textId="77777777">
        <w:tc>
          <w:tcPr>
            <w:tcW w:w="0" w:type="auto"/>
            <w:gridSpan w:val="3"/>
            <w:shd w:val="clear" w:color="auto" w:fill="DBDBDB"/>
            <w:tcMar>
              <w:top w:w="40" w:type="dxa"/>
              <w:left w:w="155" w:type="dxa"/>
              <w:bottom w:w="40" w:type="dxa"/>
              <w:right w:w="20" w:type="dxa"/>
            </w:tcMar>
            <w:vAlign w:val="bottom"/>
          </w:tcPr>
          <w:p w14:paraId="18600C54" w14:textId="77777777" w:rsidR="00A91885" w:rsidRDefault="009C4196">
            <w:pPr>
              <w:textAlignment w:val="bottom"/>
            </w:pPr>
            <w:r>
              <w:rPr>
                <w:rFonts w:ascii="Arial" w:eastAsia="宋体" w:hAnsi="Arial" w:cs="Arial"/>
                <w:color w:val="000000"/>
                <w:sz w:val="16"/>
                <w:szCs w:val="16"/>
              </w:rPr>
              <w:t>Senior notes due 2022</w:t>
            </w:r>
          </w:p>
        </w:tc>
        <w:tc>
          <w:tcPr>
            <w:tcW w:w="0" w:type="auto"/>
            <w:gridSpan w:val="3"/>
            <w:shd w:val="clear" w:color="auto" w:fill="DBDBDB"/>
            <w:tcMar>
              <w:top w:w="0" w:type="dxa"/>
              <w:left w:w="20" w:type="dxa"/>
              <w:bottom w:w="0" w:type="dxa"/>
              <w:right w:w="20" w:type="dxa"/>
            </w:tcMar>
            <w:vAlign w:val="bottom"/>
          </w:tcPr>
          <w:p w14:paraId="18600C55"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56" w14:textId="77777777" w:rsidR="00A91885" w:rsidRDefault="009C4196">
            <w:pPr>
              <w:jc w:val="right"/>
              <w:textAlignment w:val="bottom"/>
            </w:pPr>
            <w:r>
              <w:rPr>
                <w:rFonts w:ascii="Arial" w:eastAsia="宋体" w:hAnsi="Arial" w:cs="Arial"/>
                <w:color w:val="000000"/>
                <w:sz w:val="16"/>
                <w:szCs w:val="16"/>
              </w:rPr>
              <w:t>— </w:t>
            </w:r>
          </w:p>
        </w:tc>
        <w:tc>
          <w:tcPr>
            <w:tcW w:w="0" w:type="auto"/>
            <w:shd w:val="clear" w:color="auto" w:fill="DBDBDB"/>
            <w:tcMar>
              <w:top w:w="40" w:type="dxa"/>
              <w:left w:w="0" w:type="dxa"/>
              <w:bottom w:w="40" w:type="dxa"/>
              <w:right w:w="20" w:type="dxa"/>
            </w:tcMar>
            <w:vAlign w:val="bottom"/>
          </w:tcPr>
          <w:p w14:paraId="18600C57"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8600C58"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59" w14:textId="77777777" w:rsidR="00A91885" w:rsidRDefault="009C4196">
            <w:pPr>
              <w:jc w:val="right"/>
              <w:textAlignment w:val="bottom"/>
            </w:pPr>
            <w:r>
              <w:rPr>
                <w:rFonts w:ascii="Arial" w:eastAsia="宋体" w:hAnsi="Arial" w:cs="Arial"/>
                <w:color w:val="000000"/>
                <w:sz w:val="16"/>
                <w:szCs w:val="16"/>
              </w:rPr>
              <w:t>— </w:t>
            </w:r>
          </w:p>
        </w:tc>
        <w:tc>
          <w:tcPr>
            <w:tcW w:w="0" w:type="auto"/>
            <w:shd w:val="clear" w:color="auto" w:fill="DBDBDB"/>
            <w:tcMar>
              <w:top w:w="40" w:type="dxa"/>
              <w:left w:w="0" w:type="dxa"/>
              <w:bottom w:w="40" w:type="dxa"/>
              <w:right w:w="20" w:type="dxa"/>
            </w:tcMar>
            <w:vAlign w:val="bottom"/>
          </w:tcPr>
          <w:p w14:paraId="18600C5A"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C5B"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5C" w14:textId="77777777" w:rsidR="00A91885" w:rsidRDefault="009C4196">
            <w:pPr>
              <w:jc w:val="right"/>
              <w:textAlignment w:val="bottom"/>
            </w:pPr>
            <w:r>
              <w:rPr>
                <w:rFonts w:ascii="Arial" w:eastAsia="宋体" w:hAnsi="Arial" w:cs="Arial"/>
                <w:color w:val="000000"/>
                <w:sz w:val="16"/>
                <w:szCs w:val="16"/>
              </w:rPr>
              <w:t>— </w:t>
            </w:r>
          </w:p>
        </w:tc>
        <w:tc>
          <w:tcPr>
            <w:tcW w:w="0" w:type="auto"/>
            <w:shd w:val="clear" w:color="auto" w:fill="DBDBDB"/>
            <w:tcMar>
              <w:top w:w="40" w:type="dxa"/>
              <w:left w:w="0" w:type="dxa"/>
              <w:bottom w:w="40" w:type="dxa"/>
              <w:right w:w="20" w:type="dxa"/>
            </w:tcMar>
            <w:vAlign w:val="bottom"/>
          </w:tcPr>
          <w:p w14:paraId="18600C5D"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8600C5E"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5F" w14:textId="77777777" w:rsidR="00A91885" w:rsidRDefault="009C4196">
            <w:pPr>
              <w:jc w:val="right"/>
              <w:textAlignment w:val="bottom"/>
            </w:pPr>
            <w:r>
              <w:rPr>
                <w:rFonts w:ascii="Arial" w:eastAsia="宋体" w:hAnsi="Arial" w:cs="Arial"/>
                <w:color w:val="000000"/>
                <w:sz w:val="16"/>
                <w:szCs w:val="16"/>
              </w:rPr>
              <w:t>605 </w:t>
            </w:r>
          </w:p>
        </w:tc>
        <w:tc>
          <w:tcPr>
            <w:tcW w:w="0" w:type="auto"/>
            <w:shd w:val="clear" w:color="auto" w:fill="DBDBDB"/>
            <w:tcMar>
              <w:top w:w="40" w:type="dxa"/>
              <w:left w:w="0" w:type="dxa"/>
              <w:bottom w:w="40" w:type="dxa"/>
              <w:right w:w="20" w:type="dxa"/>
            </w:tcMar>
            <w:vAlign w:val="bottom"/>
          </w:tcPr>
          <w:p w14:paraId="18600C60"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C61"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62" w14:textId="77777777" w:rsidR="00A91885" w:rsidRDefault="009C4196">
            <w:pPr>
              <w:jc w:val="right"/>
              <w:textAlignment w:val="bottom"/>
            </w:pPr>
            <w:r>
              <w:rPr>
                <w:rFonts w:ascii="Arial" w:eastAsia="宋体" w:hAnsi="Arial" w:cs="Arial"/>
                <w:color w:val="000000"/>
                <w:sz w:val="16"/>
                <w:szCs w:val="16"/>
              </w:rPr>
              <w:t>2.678 </w:t>
            </w:r>
          </w:p>
        </w:tc>
        <w:tc>
          <w:tcPr>
            <w:tcW w:w="0" w:type="auto"/>
            <w:shd w:val="clear" w:color="auto" w:fill="DBDBDB"/>
            <w:tcMar>
              <w:top w:w="40" w:type="dxa"/>
              <w:left w:w="0" w:type="dxa"/>
              <w:bottom w:w="40" w:type="dxa"/>
              <w:right w:w="20" w:type="dxa"/>
            </w:tcMar>
            <w:vAlign w:val="bottom"/>
          </w:tcPr>
          <w:p w14:paraId="18600C63" w14:textId="77777777" w:rsidR="00A91885" w:rsidRDefault="009C4196">
            <w:pPr>
              <w:jc w:val="right"/>
              <w:textAlignment w:val="bottom"/>
            </w:pPr>
            <w:r>
              <w:rPr>
                <w:rFonts w:ascii="Arial" w:eastAsia="宋体" w:hAnsi="Arial" w:cs="Arial"/>
                <w:color w:val="000000"/>
                <w:sz w:val="16"/>
                <w:szCs w:val="16"/>
              </w:rPr>
              <w:t>%</w:t>
            </w:r>
          </w:p>
        </w:tc>
      </w:tr>
      <w:tr w:rsidR="00A91885" w14:paraId="18600C75" w14:textId="77777777">
        <w:tc>
          <w:tcPr>
            <w:tcW w:w="0" w:type="auto"/>
            <w:gridSpan w:val="3"/>
            <w:shd w:val="clear" w:color="auto" w:fill="FFFFFF"/>
            <w:tcMar>
              <w:top w:w="40" w:type="dxa"/>
              <w:left w:w="155" w:type="dxa"/>
              <w:bottom w:w="40" w:type="dxa"/>
              <w:right w:w="20" w:type="dxa"/>
            </w:tcMar>
            <w:vAlign w:val="bottom"/>
          </w:tcPr>
          <w:p w14:paraId="18600C65" w14:textId="77777777" w:rsidR="00A91885" w:rsidRDefault="009C4196">
            <w:pPr>
              <w:textAlignment w:val="bottom"/>
            </w:pPr>
            <w:r>
              <w:rPr>
                <w:rFonts w:ascii="Arial" w:eastAsia="宋体" w:hAnsi="Arial" w:cs="Arial"/>
                <w:color w:val="000000"/>
                <w:sz w:val="16"/>
                <w:szCs w:val="16"/>
              </w:rPr>
              <w:t>Senior notes due 2023</w:t>
            </w:r>
          </w:p>
        </w:tc>
        <w:tc>
          <w:tcPr>
            <w:tcW w:w="0" w:type="auto"/>
            <w:gridSpan w:val="3"/>
            <w:shd w:val="clear" w:color="auto" w:fill="FFFFFF"/>
            <w:tcMar>
              <w:top w:w="0" w:type="dxa"/>
              <w:left w:w="20" w:type="dxa"/>
              <w:bottom w:w="0" w:type="dxa"/>
              <w:right w:w="20" w:type="dxa"/>
            </w:tcMar>
            <w:vAlign w:val="bottom"/>
          </w:tcPr>
          <w:p w14:paraId="18600C66"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67" w14:textId="77777777" w:rsidR="00A91885" w:rsidRDefault="009C4196">
            <w:pPr>
              <w:jc w:val="right"/>
              <w:textAlignment w:val="bottom"/>
            </w:pPr>
            <w:r>
              <w:rPr>
                <w:rFonts w:ascii="Arial" w:eastAsia="宋体" w:hAnsi="Arial" w:cs="Arial"/>
                <w:color w:val="000000"/>
                <w:sz w:val="16"/>
                <w:szCs w:val="16"/>
              </w:rPr>
              <w:t>2.750 </w:t>
            </w:r>
          </w:p>
        </w:tc>
        <w:tc>
          <w:tcPr>
            <w:tcW w:w="0" w:type="auto"/>
            <w:shd w:val="clear" w:color="auto" w:fill="FFFFFF"/>
            <w:tcMar>
              <w:top w:w="40" w:type="dxa"/>
              <w:left w:w="0" w:type="dxa"/>
              <w:bottom w:w="40" w:type="dxa"/>
              <w:right w:w="20" w:type="dxa"/>
            </w:tcMar>
            <w:vAlign w:val="bottom"/>
          </w:tcPr>
          <w:p w14:paraId="18600C68"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8600C6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6A" w14:textId="77777777" w:rsidR="00A91885" w:rsidRDefault="009C4196">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18600C6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C6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6D" w14:textId="77777777" w:rsidR="00A91885" w:rsidRDefault="009C4196">
            <w:pPr>
              <w:jc w:val="right"/>
              <w:textAlignment w:val="bottom"/>
            </w:pPr>
            <w:r>
              <w:rPr>
                <w:rFonts w:ascii="Arial" w:eastAsia="宋体" w:hAnsi="Arial" w:cs="Arial"/>
                <w:color w:val="000000"/>
                <w:sz w:val="16"/>
                <w:szCs w:val="16"/>
              </w:rPr>
              <w:t>2.866 </w:t>
            </w:r>
          </w:p>
        </w:tc>
        <w:tc>
          <w:tcPr>
            <w:tcW w:w="0" w:type="auto"/>
            <w:shd w:val="clear" w:color="auto" w:fill="FFFFFF"/>
            <w:tcMar>
              <w:top w:w="40" w:type="dxa"/>
              <w:left w:w="0" w:type="dxa"/>
              <w:bottom w:w="40" w:type="dxa"/>
              <w:right w:w="20" w:type="dxa"/>
            </w:tcMar>
            <w:vAlign w:val="bottom"/>
          </w:tcPr>
          <w:p w14:paraId="18600C6E"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8600C6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70" w14:textId="77777777" w:rsidR="00A91885" w:rsidRDefault="009C4196">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18600C7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C7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73" w14:textId="77777777" w:rsidR="00A91885" w:rsidRDefault="009C4196">
            <w:pPr>
              <w:jc w:val="right"/>
              <w:textAlignment w:val="bottom"/>
            </w:pPr>
            <w:r>
              <w:rPr>
                <w:rFonts w:ascii="Arial" w:eastAsia="宋体" w:hAnsi="Arial" w:cs="Arial"/>
                <w:color w:val="000000"/>
                <w:sz w:val="16"/>
                <w:szCs w:val="16"/>
              </w:rPr>
              <w:t>2.866 </w:t>
            </w:r>
          </w:p>
        </w:tc>
        <w:tc>
          <w:tcPr>
            <w:tcW w:w="0" w:type="auto"/>
            <w:shd w:val="clear" w:color="auto" w:fill="FFFFFF"/>
            <w:tcMar>
              <w:top w:w="40" w:type="dxa"/>
              <w:left w:w="0" w:type="dxa"/>
              <w:bottom w:w="40" w:type="dxa"/>
              <w:right w:w="20" w:type="dxa"/>
            </w:tcMar>
            <w:vAlign w:val="bottom"/>
          </w:tcPr>
          <w:p w14:paraId="18600C74" w14:textId="77777777" w:rsidR="00A91885" w:rsidRDefault="009C4196">
            <w:pPr>
              <w:jc w:val="right"/>
              <w:textAlignment w:val="bottom"/>
            </w:pPr>
            <w:r>
              <w:rPr>
                <w:rFonts w:ascii="Arial" w:eastAsia="宋体" w:hAnsi="Arial" w:cs="Arial"/>
                <w:color w:val="000000"/>
                <w:sz w:val="16"/>
                <w:szCs w:val="16"/>
              </w:rPr>
              <w:t>%</w:t>
            </w:r>
          </w:p>
        </w:tc>
      </w:tr>
      <w:tr w:rsidR="00A91885" w14:paraId="18600C86" w14:textId="77777777">
        <w:tc>
          <w:tcPr>
            <w:tcW w:w="0" w:type="auto"/>
            <w:gridSpan w:val="3"/>
            <w:shd w:val="clear" w:color="auto" w:fill="DBDBDB"/>
            <w:tcMar>
              <w:top w:w="40" w:type="dxa"/>
              <w:left w:w="155" w:type="dxa"/>
              <w:bottom w:w="40" w:type="dxa"/>
              <w:right w:w="20" w:type="dxa"/>
            </w:tcMar>
            <w:vAlign w:val="bottom"/>
          </w:tcPr>
          <w:p w14:paraId="18600C76" w14:textId="77777777" w:rsidR="00A91885" w:rsidRDefault="009C4196">
            <w:pPr>
              <w:textAlignment w:val="bottom"/>
            </w:pPr>
            <w:r>
              <w:rPr>
                <w:rFonts w:ascii="Arial" w:eastAsia="宋体" w:hAnsi="Arial" w:cs="Arial"/>
                <w:color w:val="000000"/>
                <w:sz w:val="16"/>
                <w:szCs w:val="16"/>
              </w:rPr>
              <w:t>Senior notes due 2024</w:t>
            </w:r>
          </w:p>
        </w:tc>
        <w:tc>
          <w:tcPr>
            <w:tcW w:w="0" w:type="auto"/>
            <w:gridSpan w:val="3"/>
            <w:shd w:val="clear" w:color="auto" w:fill="DBDBDB"/>
            <w:tcMar>
              <w:top w:w="0" w:type="dxa"/>
              <w:left w:w="20" w:type="dxa"/>
              <w:bottom w:w="0" w:type="dxa"/>
              <w:right w:w="20" w:type="dxa"/>
            </w:tcMar>
            <w:vAlign w:val="bottom"/>
          </w:tcPr>
          <w:p w14:paraId="18600C77"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78" w14:textId="77777777" w:rsidR="00A91885" w:rsidRDefault="009C4196">
            <w:pPr>
              <w:jc w:val="right"/>
              <w:textAlignment w:val="bottom"/>
            </w:pPr>
            <w:r>
              <w:rPr>
                <w:rFonts w:ascii="Arial" w:eastAsia="宋体" w:hAnsi="Arial" w:cs="Arial"/>
                <w:color w:val="000000"/>
                <w:sz w:val="16"/>
                <w:szCs w:val="16"/>
              </w:rPr>
              <w:t>3.450 </w:t>
            </w:r>
          </w:p>
        </w:tc>
        <w:tc>
          <w:tcPr>
            <w:tcW w:w="0" w:type="auto"/>
            <w:shd w:val="clear" w:color="auto" w:fill="DBDBDB"/>
            <w:tcMar>
              <w:top w:w="40" w:type="dxa"/>
              <w:left w:w="0" w:type="dxa"/>
              <w:bottom w:w="40" w:type="dxa"/>
              <w:right w:w="20" w:type="dxa"/>
            </w:tcMar>
            <w:vAlign w:val="bottom"/>
          </w:tcPr>
          <w:p w14:paraId="18600C79"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8600C7A"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7B" w14:textId="77777777" w:rsidR="00A91885" w:rsidRDefault="009C4196">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18600C7C"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C7D"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7E" w14:textId="77777777" w:rsidR="00A91885" w:rsidRDefault="009C4196">
            <w:pPr>
              <w:jc w:val="right"/>
              <w:textAlignment w:val="bottom"/>
            </w:pPr>
            <w:r>
              <w:rPr>
                <w:rFonts w:ascii="Arial" w:eastAsia="宋体" w:hAnsi="Arial" w:cs="Arial"/>
                <w:color w:val="000000"/>
                <w:sz w:val="16"/>
                <w:szCs w:val="16"/>
              </w:rPr>
              <w:t>3.531 </w:t>
            </w:r>
          </w:p>
        </w:tc>
        <w:tc>
          <w:tcPr>
            <w:tcW w:w="0" w:type="auto"/>
            <w:shd w:val="clear" w:color="auto" w:fill="DBDBDB"/>
            <w:tcMar>
              <w:top w:w="40" w:type="dxa"/>
              <w:left w:w="0" w:type="dxa"/>
              <w:bottom w:w="40" w:type="dxa"/>
              <w:right w:w="20" w:type="dxa"/>
            </w:tcMar>
            <w:vAlign w:val="bottom"/>
          </w:tcPr>
          <w:p w14:paraId="18600C7F"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8600C80"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81" w14:textId="77777777" w:rsidR="00A91885" w:rsidRDefault="009C4196">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18600C82"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C83"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84" w14:textId="77777777" w:rsidR="00A91885" w:rsidRDefault="009C4196">
            <w:pPr>
              <w:jc w:val="right"/>
              <w:textAlignment w:val="bottom"/>
            </w:pPr>
            <w:r>
              <w:rPr>
                <w:rFonts w:ascii="Arial" w:eastAsia="宋体" w:hAnsi="Arial" w:cs="Arial"/>
                <w:color w:val="000000"/>
                <w:sz w:val="16"/>
                <w:szCs w:val="16"/>
              </w:rPr>
              <w:t>3.531 </w:t>
            </w:r>
          </w:p>
        </w:tc>
        <w:tc>
          <w:tcPr>
            <w:tcW w:w="0" w:type="auto"/>
            <w:shd w:val="clear" w:color="auto" w:fill="DBDBDB"/>
            <w:tcMar>
              <w:top w:w="40" w:type="dxa"/>
              <w:left w:w="0" w:type="dxa"/>
              <w:bottom w:w="40" w:type="dxa"/>
              <w:right w:w="20" w:type="dxa"/>
            </w:tcMar>
            <w:vAlign w:val="bottom"/>
          </w:tcPr>
          <w:p w14:paraId="18600C85" w14:textId="77777777" w:rsidR="00A91885" w:rsidRDefault="009C4196">
            <w:pPr>
              <w:jc w:val="right"/>
              <w:textAlignment w:val="bottom"/>
            </w:pPr>
            <w:r>
              <w:rPr>
                <w:rFonts w:ascii="Arial" w:eastAsia="宋体" w:hAnsi="Arial" w:cs="Arial"/>
                <w:color w:val="000000"/>
                <w:sz w:val="16"/>
                <w:szCs w:val="16"/>
              </w:rPr>
              <w:t>%</w:t>
            </w:r>
          </w:p>
        </w:tc>
      </w:tr>
      <w:tr w:rsidR="00A91885" w14:paraId="18600C97" w14:textId="77777777">
        <w:tc>
          <w:tcPr>
            <w:tcW w:w="0" w:type="auto"/>
            <w:gridSpan w:val="3"/>
            <w:shd w:val="clear" w:color="auto" w:fill="FFFFFF"/>
            <w:tcMar>
              <w:top w:w="40" w:type="dxa"/>
              <w:left w:w="155" w:type="dxa"/>
              <w:bottom w:w="40" w:type="dxa"/>
              <w:right w:w="20" w:type="dxa"/>
            </w:tcMar>
            <w:vAlign w:val="bottom"/>
          </w:tcPr>
          <w:p w14:paraId="18600C87" w14:textId="77777777" w:rsidR="00A91885" w:rsidRDefault="009C4196">
            <w:pPr>
              <w:textAlignment w:val="bottom"/>
            </w:pPr>
            <w:r>
              <w:rPr>
                <w:rFonts w:ascii="Arial" w:eastAsia="宋体" w:hAnsi="Arial" w:cs="Arial"/>
                <w:color w:val="000000"/>
                <w:sz w:val="16"/>
                <w:szCs w:val="16"/>
              </w:rPr>
              <w:t>Senior notes due 2025</w:t>
            </w:r>
          </w:p>
        </w:tc>
        <w:tc>
          <w:tcPr>
            <w:tcW w:w="0" w:type="auto"/>
            <w:gridSpan w:val="3"/>
            <w:shd w:val="clear" w:color="auto" w:fill="FFFFFF"/>
            <w:tcMar>
              <w:top w:w="0" w:type="dxa"/>
              <w:left w:w="20" w:type="dxa"/>
              <w:bottom w:w="0" w:type="dxa"/>
              <w:right w:w="20" w:type="dxa"/>
            </w:tcMar>
            <w:vAlign w:val="bottom"/>
          </w:tcPr>
          <w:p w14:paraId="18600C8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89" w14:textId="77777777" w:rsidR="00A91885" w:rsidRDefault="009C4196">
            <w:pPr>
              <w:jc w:val="right"/>
              <w:textAlignment w:val="bottom"/>
            </w:pPr>
            <w:r>
              <w:rPr>
                <w:rFonts w:ascii="Arial" w:eastAsia="宋体" w:hAnsi="Arial" w:cs="Arial"/>
                <w:color w:val="000000"/>
                <w:sz w:val="16"/>
                <w:szCs w:val="16"/>
              </w:rPr>
              <w:t>1.900 </w:t>
            </w:r>
          </w:p>
        </w:tc>
        <w:tc>
          <w:tcPr>
            <w:tcW w:w="0" w:type="auto"/>
            <w:shd w:val="clear" w:color="auto" w:fill="FFFFFF"/>
            <w:tcMar>
              <w:top w:w="40" w:type="dxa"/>
              <w:left w:w="0" w:type="dxa"/>
              <w:bottom w:w="40" w:type="dxa"/>
              <w:right w:w="20" w:type="dxa"/>
            </w:tcMar>
            <w:vAlign w:val="bottom"/>
          </w:tcPr>
          <w:p w14:paraId="18600C8A"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8600C8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8C" w14:textId="77777777" w:rsidR="00A91885" w:rsidRDefault="009C4196">
            <w:pPr>
              <w:jc w:val="right"/>
              <w:textAlignment w:val="bottom"/>
            </w:pPr>
            <w:r>
              <w:rPr>
                <w:rFonts w:ascii="Arial" w:eastAsia="宋体" w:hAnsi="Arial" w:cs="Arial"/>
                <w:color w:val="000000"/>
                <w:sz w:val="16"/>
                <w:szCs w:val="16"/>
              </w:rPr>
              <w:t>800 </w:t>
            </w:r>
          </w:p>
        </w:tc>
        <w:tc>
          <w:tcPr>
            <w:tcW w:w="0" w:type="auto"/>
            <w:shd w:val="clear" w:color="auto" w:fill="FFFFFF"/>
            <w:tcMar>
              <w:top w:w="40" w:type="dxa"/>
              <w:left w:w="0" w:type="dxa"/>
              <w:bottom w:w="40" w:type="dxa"/>
              <w:right w:w="20" w:type="dxa"/>
            </w:tcMar>
            <w:vAlign w:val="bottom"/>
          </w:tcPr>
          <w:p w14:paraId="18600C8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C8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8F" w14:textId="77777777" w:rsidR="00A91885" w:rsidRDefault="009C4196">
            <w:pPr>
              <w:jc w:val="right"/>
              <w:textAlignment w:val="bottom"/>
            </w:pPr>
            <w:r>
              <w:rPr>
                <w:rFonts w:ascii="Arial" w:eastAsia="宋体" w:hAnsi="Arial" w:cs="Arial"/>
                <w:color w:val="000000"/>
                <w:sz w:val="16"/>
                <w:szCs w:val="16"/>
              </w:rPr>
              <w:t>1.803 </w:t>
            </w:r>
          </w:p>
        </w:tc>
        <w:tc>
          <w:tcPr>
            <w:tcW w:w="0" w:type="auto"/>
            <w:shd w:val="clear" w:color="auto" w:fill="FFFFFF"/>
            <w:tcMar>
              <w:top w:w="40" w:type="dxa"/>
              <w:left w:w="0" w:type="dxa"/>
              <w:bottom w:w="40" w:type="dxa"/>
              <w:right w:w="20" w:type="dxa"/>
            </w:tcMar>
            <w:vAlign w:val="bottom"/>
          </w:tcPr>
          <w:p w14:paraId="18600C90"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8600C9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92" w14:textId="77777777" w:rsidR="00A91885" w:rsidRDefault="009C4196">
            <w:pPr>
              <w:jc w:val="right"/>
              <w:textAlignment w:val="bottom"/>
            </w:pPr>
            <w:r>
              <w:rPr>
                <w:rFonts w:ascii="Arial" w:eastAsia="宋体" w:hAnsi="Arial" w:cs="Arial"/>
                <w:color w:val="000000"/>
                <w:sz w:val="16"/>
                <w:szCs w:val="16"/>
              </w:rPr>
              <w:t>800 </w:t>
            </w:r>
          </w:p>
        </w:tc>
        <w:tc>
          <w:tcPr>
            <w:tcW w:w="0" w:type="auto"/>
            <w:shd w:val="clear" w:color="auto" w:fill="FFFFFF"/>
            <w:tcMar>
              <w:top w:w="40" w:type="dxa"/>
              <w:left w:w="0" w:type="dxa"/>
              <w:bottom w:w="40" w:type="dxa"/>
              <w:right w:w="20" w:type="dxa"/>
            </w:tcMar>
            <w:vAlign w:val="bottom"/>
          </w:tcPr>
          <w:p w14:paraId="18600C9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C9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95" w14:textId="77777777" w:rsidR="00A91885" w:rsidRDefault="009C4196">
            <w:pPr>
              <w:jc w:val="right"/>
              <w:textAlignment w:val="bottom"/>
            </w:pPr>
            <w:r>
              <w:rPr>
                <w:rFonts w:ascii="Arial" w:eastAsia="宋体" w:hAnsi="Arial" w:cs="Arial"/>
                <w:color w:val="000000"/>
                <w:sz w:val="16"/>
                <w:szCs w:val="16"/>
              </w:rPr>
              <w:t>1.803 </w:t>
            </w:r>
          </w:p>
        </w:tc>
        <w:tc>
          <w:tcPr>
            <w:tcW w:w="0" w:type="auto"/>
            <w:shd w:val="clear" w:color="auto" w:fill="FFFFFF"/>
            <w:tcMar>
              <w:top w:w="40" w:type="dxa"/>
              <w:left w:w="0" w:type="dxa"/>
              <w:bottom w:w="40" w:type="dxa"/>
              <w:right w:w="20" w:type="dxa"/>
            </w:tcMar>
            <w:vAlign w:val="bottom"/>
          </w:tcPr>
          <w:p w14:paraId="18600C96" w14:textId="77777777" w:rsidR="00A91885" w:rsidRDefault="009C4196">
            <w:pPr>
              <w:jc w:val="right"/>
              <w:textAlignment w:val="bottom"/>
            </w:pPr>
            <w:r>
              <w:rPr>
                <w:rFonts w:ascii="Arial" w:eastAsia="宋体" w:hAnsi="Arial" w:cs="Arial"/>
                <w:color w:val="000000"/>
                <w:sz w:val="16"/>
                <w:szCs w:val="16"/>
              </w:rPr>
              <w:t>%</w:t>
            </w:r>
          </w:p>
        </w:tc>
      </w:tr>
      <w:tr w:rsidR="00A91885" w14:paraId="18600CA8" w14:textId="77777777">
        <w:tc>
          <w:tcPr>
            <w:tcW w:w="0" w:type="auto"/>
            <w:gridSpan w:val="3"/>
            <w:shd w:val="clear" w:color="auto" w:fill="DBDBDB"/>
            <w:tcMar>
              <w:top w:w="40" w:type="dxa"/>
              <w:left w:w="155" w:type="dxa"/>
              <w:bottom w:w="40" w:type="dxa"/>
              <w:right w:w="20" w:type="dxa"/>
            </w:tcMar>
            <w:vAlign w:val="bottom"/>
          </w:tcPr>
          <w:p w14:paraId="18600C98" w14:textId="77777777" w:rsidR="00A91885" w:rsidRDefault="009C4196">
            <w:pPr>
              <w:textAlignment w:val="bottom"/>
            </w:pPr>
            <w:r>
              <w:rPr>
                <w:rFonts w:ascii="Arial" w:eastAsia="宋体" w:hAnsi="Arial" w:cs="Arial"/>
                <w:color w:val="000000"/>
                <w:sz w:val="16"/>
                <w:szCs w:val="16"/>
              </w:rPr>
              <w:t>Senior notes due 2026</w:t>
            </w:r>
          </w:p>
        </w:tc>
        <w:tc>
          <w:tcPr>
            <w:tcW w:w="0" w:type="auto"/>
            <w:gridSpan w:val="3"/>
            <w:shd w:val="clear" w:color="auto" w:fill="DBDBDB"/>
            <w:tcMar>
              <w:top w:w="0" w:type="dxa"/>
              <w:left w:w="20" w:type="dxa"/>
              <w:bottom w:w="0" w:type="dxa"/>
              <w:right w:w="20" w:type="dxa"/>
            </w:tcMar>
            <w:vAlign w:val="bottom"/>
          </w:tcPr>
          <w:p w14:paraId="18600C99"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9A" w14:textId="77777777" w:rsidR="00A91885" w:rsidRDefault="009C4196">
            <w:pPr>
              <w:jc w:val="right"/>
              <w:textAlignment w:val="bottom"/>
            </w:pPr>
            <w:r>
              <w:rPr>
                <w:rFonts w:ascii="Arial" w:eastAsia="宋体" w:hAnsi="Arial" w:cs="Arial"/>
                <w:color w:val="000000"/>
                <w:sz w:val="16"/>
                <w:szCs w:val="16"/>
              </w:rPr>
              <w:t>1.400 </w:t>
            </w:r>
          </w:p>
        </w:tc>
        <w:tc>
          <w:tcPr>
            <w:tcW w:w="0" w:type="auto"/>
            <w:shd w:val="clear" w:color="auto" w:fill="DBDBDB"/>
            <w:tcMar>
              <w:top w:w="40" w:type="dxa"/>
              <w:left w:w="0" w:type="dxa"/>
              <w:bottom w:w="40" w:type="dxa"/>
              <w:right w:w="20" w:type="dxa"/>
            </w:tcMar>
            <w:vAlign w:val="bottom"/>
          </w:tcPr>
          <w:p w14:paraId="18600C9B"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8600C9C"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9D" w14:textId="77777777" w:rsidR="00A91885" w:rsidRDefault="009C4196">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18600C9E"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C9F"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A0" w14:textId="77777777" w:rsidR="00A91885" w:rsidRDefault="009C4196">
            <w:pPr>
              <w:jc w:val="right"/>
              <w:textAlignment w:val="bottom"/>
            </w:pPr>
            <w:r>
              <w:rPr>
                <w:rFonts w:ascii="Arial" w:eastAsia="宋体" w:hAnsi="Arial" w:cs="Arial"/>
                <w:color w:val="000000"/>
                <w:sz w:val="16"/>
                <w:szCs w:val="16"/>
              </w:rPr>
              <w:t>1.252 </w:t>
            </w:r>
          </w:p>
        </w:tc>
        <w:tc>
          <w:tcPr>
            <w:tcW w:w="0" w:type="auto"/>
            <w:shd w:val="clear" w:color="auto" w:fill="DBDBDB"/>
            <w:tcMar>
              <w:top w:w="40" w:type="dxa"/>
              <w:left w:w="0" w:type="dxa"/>
              <w:bottom w:w="40" w:type="dxa"/>
              <w:right w:w="20" w:type="dxa"/>
            </w:tcMar>
            <w:vAlign w:val="bottom"/>
          </w:tcPr>
          <w:p w14:paraId="18600CA1"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8600CA2"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A3" w14:textId="77777777" w:rsidR="00A91885" w:rsidRDefault="009C4196">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18600CA4"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CA5"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A6" w14:textId="77777777" w:rsidR="00A91885" w:rsidRDefault="009C4196">
            <w:pPr>
              <w:jc w:val="right"/>
              <w:textAlignment w:val="bottom"/>
            </w:pPr>
            <w:r>
              <w:rPr>
                <w:rFonts w:ascii="Arial" w:eastAsia="宋体" w:hAnsi="Arial" w:cs="Arial"/>
                <w:color w:val="000000"/>
                <w:sz w:val="16"/>
                <w:szCs w:val="16"/>
              </w:rPr>
              <w:t>1.252 </w:t>
            </w:r>
          </w:p>
        </w:tc>
        <w:tc>
          <w:tcPr>
            <w:tcW w:w="0" w:type="auto"/>
            <w:shd w:val="clear" w:color="auto" w:fill="DBDBDB"/>
            <w:tcMar>
              <w:top w:w="40" w:type="dxa"/>
              <w:left w:w="0" w:type="dxa"/>
              <w:bottom w:w="40" w:type="dxa"/>
              <w:right w:w="20" w:type="dxa"/>
            </w:tcMar>
            <w:vAlign w:val="bottom"/>
          </w:tcPr>
          <w:p w14:paraId="18600CA7" w14:textId="77777777" w:rsidR="00A91885" w:rsidRDefault="009C4196">
            <w:pPr>
              <w:jc w:val="right"/>
              <w:textAlignment w:val="bottom"/>
            </w:pPr>
            <w:r>
              <w:rPr>
                <w:rFonts w:ascii="Arial" w:eastAsia="宋体" w:hAnsi="Arial" w:cs="Arial"/>
                <w:color w:val="000000"/>
                <w:sz w:val="16"/>
                <w:szCs w:val="16"/>
              </w:rPr>
              <w:t>%</w:t>
            </w:r>
          </w:p>
        </w:tc>
      </w:tr>
      <w:tr w:rsidR="00A91885" w14:paraId="18600CB9" w14:textId="77777777">
        <w:tc>
          <w:tcPr>
            <w:tcW w:w="0" w:type="auto"/>
            <w:gridSpan w:val="3"/>
            <w:shd w:val="clear" w:color="auto" w:fill="FFFFFF"/>
            <w:tcMar>
              <w:top w:w="40" w:type="dxa"/>
              <w:left w:w="155" w:type="dxa"/>
              <w:bottom w:w="40" w:type="dxa"/>
              <w:right w:w="20" w:type="dxa"/>
            </w:tcMar>
            <w:vAlign w:val="bottom"/>
          </w:tcPr>
          <w:p w14:paraId="18600CA9" w14:textId="77777777" w:rsidR="00A91885" w:rsidRDefault="009C4196">
            <w:pPr>
              <w:textAlignment w:val="bottom"/>
            </w:pPr>
            <w:r>
              <w:rPr>
                <w:rFonts w:ascii="Arial" w:eastAsia="宋体" w:hAnsi="Arial" w:cs="Arial"/>
                <w:color w:val="000000"/>
                <w:sz w:val="16"/>
                <w:szCs w:val="16"/>
              </w:rPr>
              <w:t>Senior notes due 2027</w:t>
            </w:r>
          </w:p>
        </w:tc>
        <w:tc>
          <w:tcPr>
            <w:tcW w:w="0" w:type="auto"/>
            <w:gridSpan w:val="3"/>
            <w:shd w:val="clear" w:color="auto" w:fill="FFFFFF"/>
            <w:tcMar>
              <w:top w:w="0" w:type="dxa"/>
              <w:left w:w="20" w:type="dxa"/>
              <w:bottom w:w="0" w:type="dxa"/>
              <w:right w:w="20" w:type="dxa"/>
            </w:tcMar>
            <w:vAlign w:val="bottom"/>
          </w:tcPr>
          <w:p w14:paraId="18600CA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AB" w14:textId="77777777" w:rsidR="00A91885" w:rsidRDefault="009C4196">
            <w:pPr>
              <w:jc w:val="right"/>
              <w:textAlignment w:val="bottom"/>
            </w:pPr>
            <w:r>
              <w:rPr>
                <w:rFonts w:ascii="Arial" w:eastAsia="宋体" w:hAnsi="Arial" w:cs="Arial"/>
                <w:color w:val="000000"/>
                <w:sz w:val="16"/>
                <w:szCs w:val="16"/>
              </w:rPr>
              <w:t>3.600 </w:t>
            </w:r>
          </w:p>
        </w:tc>
        <w:tc>
          <w:tcPr>
            <w:tcW w:w="0" w:type="auto"/>
            <w:shd w:val="clear" w:color="auto" w:fill="FFFFFF"/>
            <w:tcMar>
              <w:top w:w="40" w:type="dxa"/>
              <w:left w:w="0" w:type="dxa"/>
              <w:bottom w:w="40" w:type="dxa"/>
              <w:right w:w="20" w:type="dxa"/>
            </w:tcMar>
            <w:vAlign w:val="bottom"/>
          </w:tcPr>
          <w:p w14:paraId="18600CAC"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8600CAD"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AE" w14:textId="77777777" w:rsidR="00A91885" w:rsidRDefault="009C4196">
            <w:pPr>
              <w:jc w:val="right"/>
              <w:textAlignment w:val="bottom"/>
            </w:pPr>
            <w:r>
              <w:rPr>
                <w:rFonts w:ascii="Arial" w:eastAsia="宋体" w:hAnsi="Arial" w:cs="Arial"/>
                <w:color w:val="000000"/>
                <w:sz w:val="16"/>
                <w:szCs w:val="16"/>
              </w:rPr>
              <w:t>850 </w:t>
            </w:r>
          </w:p>
        </w:tc>
        <w:tc>
          <w:tcPr>
            <w:tcW w:w="0" w:type="auto"/>
            <w:shd w:val="clear" w:color="auto" w:fill="FFFFFF"/>
            <w:tcMar>
              <w:top w:w="40" w:type="dxa"/>
              <w:left w:w="0" w:type="dxa"/>
              <w:bottom w:w="40" w:type="dxa"/>
              <w:right w:w="20" w:type="dxa"/>
            </w:tcMar>
            <w:vAlign w:val="bottom"/>
          </w:tcPr>
          <w:p w14:paraId="18600CA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CB0"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B1" w14:textId="77777777" w:rsidR="00A91885" w:rsidRDefault="009C4196">
            <w:pPr>
              <w:jc w:val="right"/>
              <w:textAlignment w:val="bottom"/>
            </w:pPr>
            <w:r>
              <w:rPr>
                <w:rFonts w:ascii="Arial" w:eastAsia="宋体" w:hAnsi="Arial" w:cs="Arial"/>
                <w:color w:val="000000"/>
                <w:sz w:val="16"/>
                <w:szCs w:val="16"/>
              </w:rPr>
              <w:t>3.689 </w:t>
            </w:r>
          </w:p>
        </w:tc>
        <w:tc>
          <w:tcPr>
            <w:tcW w:w="0" w:type="auto"/>
            <w:shd w:val="clear" w:color="auto" w:fill="FFFFFF"/>
            <w:tcMar>
              <w:top w:w="40" w:type="dxa"/>
              <w:left w:w="0" w:type="dxa"/>
              <w:bottom w:w="40" w:type="dxa"/>
              <w:right w:w="20" w:type="dxa"/>
            </w:tcMar>
            <w:vAlign w:val="bottom"/>
          </w:tcPr>
          <w:p w14:paraId="18600CB2"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8600CB3"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B4" w14:textId="77777777" w:rsidR="00A91885" w:rsidRDefault="009C4196">
            <w:pPr>
              <w:jc w:val="right"/>
              <w:textAlignment w:val="bottom"/>
            </w:pPr>
            <w:r>
              <w:rPr>
                <w:rFonts w:ascii="Arial" w:eastAsia="宋体" w:hAnsi="Arial" w:cs="Arial"/>
                <w:color w:val="000000"/>
                <w:sz w:val="16"/>
                <w:szCs w:val="16"/>
              </w:rPr>
              <w:t>850 </w:t>
            </w:r>
          </w:p>
        </w:tc>
        <w:tc>
          <w:tcPr>
            <w:tcW w:w="0" w:type="auto"/>
            <w:shd w:val="clear" w:color="auto" w:fill="FFFFFF"/>
            <w:tcMar>
              <w:top w:w="40" w:type="dxa"/>
              <w:left w:w="0" w:type="dxa"/>
              <w:bottom w:w="40" w:type="dxa"/>
              <w:right w:w="20" w:type="dxa"/>
            </w:tcMar>
            <w:vAlign w:val="bottom"/>
          </w:tcPr>
          <w:p w14:paraId="18600CB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CB6"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B7" w14:textId="77777777" w:rsidR="00A91885" w:rsidRDefault="009C4196">
            <w:pPr>
              <w:jc w:val="right"/>
              <w:textAlignment w:val="bottom"/>
            </w:pPr>
            <w:r>
              <w:rPr>
                <w:rFonts w:ascii="Arial" w:eastAsia="宋体" w:hAnsi="Arial" w:cs="Arial"/>
                <w:color w:val="000000"/>
                <w:sz w:val="16"/>
                <w:szCs w:val="16"/>
              </w:rPr>
              <w:t>3.689 </w:t>
            </w:r>
          </w:p>
        </w:tc>
        <w:tc>
          <w:tcPr>
            <w:tcW w:w="0" w:type="auto"/>
            <w:shd w:val="clear" w:color="auto" w:fill="FFFFFF"/>
            <w:tcMar>
              <w:top w:w="40" w:type="dxa"/>
              <w:left w:w="0" w:type="dxa"/>
              <w:bottom w:w="40" w:type="dxa"/>
              <w:right w:w="20" w:type="dxa"/>
            </w:tcMar>
            <w:vAlign w:val="bottom"/>
          </w:tcPr>
          <w:p w14:paraId="18600CB8" w14:textId="77777777" w:rsidR="00A91885" w:rsidRDefault="009C4196">
            <w:pPr>
              <w:jc w:val="right"/>
              <w:textAlignment w:val="bottom"/>
            </w:pPr>
            <w:r>
              <w:rPr>
                <w:rFonts w:ascii="Arial" w:eastAsia="宋体" w:hAnsi="Arial" w:cs="Arial"/>
                <w:color w:val="000000"/>
                <w:sz w:val="16"/>
                <w:szCs w:val="16"/>
              </w:rPr>
              <w:t>%</w:t>
            </w:r>
          </w:p>
        </w:tc>
      </w:tr>
      <w:tr w:rsidR="00A91885" w14:paraId="18600CCA" w14:textId="77777777">
        <w:tc>
          <w:tcPr>
            <w:tcW w:w="0" w:type="auto"/>
            <w:gridSpan w:val="3"/>
            <w:shd w:val="clear" w:color="auto" w:fill="DBDBDB"/>
            <w:tcMar>
              <w:top w:w="40" w:type="dxa"/>
              <w:left w:w="155" w:type="dxa"/>
              <w:bottom w:w="40" w:type="dxa"/>
              <w:right w:w="20" w:type="dxa"/>
            </w:tcMar>
            <w:vAlign w:val="bottom"/>
          </w:tcPr>
          <w:p w14:paraId="18600CBA" w14:textId="77777777" w:rsidR="00A91885" w:rsidRDefault="009C4196">
            <w:pPr>
              <w:textAlignment w:val="bottom"/>
            </w:pPr>
            <w:r>
              <w:rPr>
                <w:rFonts w:ascii="Arial" w:eastAsia="宋体" w:hAnsi="Arial" w:cs="Arial"/>
                <w:color w:val="000000"/>
                <w:sz w:val="16"/>
                <w:szCs w:val="16"/>
              </w:rPr>
              <w:t>Senior notes due 2030</w:t>
            </w:r>
          </w:p>
        </w:tc>
        <w:tc>
          <w:tcPr>
            <w:tcW w:w="0" w:type="auto"/>
            <w:gridSpan w:val="3"/>
            <w:shd w:val="clear" w:color="auto" w:fill="DBDBDB"/>
            <w:tcMar>
              <w:top w:w="0" w:type="dxa"/>
              <w:left w:w="20" w:type="dxa"/>
              <w:bottom w:w="0" w:type="dxa"/>
              <w:right w:w="20" w:type="dxa"/>
            </w:tcMar>
            <w:vAlign w:val="bottom"/>
          </w:tcPr>
          <w:p w14:paraId="18600CBB"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BC" w14:textId="77777777" w:rsidR="00A91885" w:rsidRDefault="009C4196">
            <w:pPr>
              <w:jc w:val="right"/>
              <w:textAlignment w:val="bottom"/>
            </w:pPr>
            <w:r>
              <w:rPr>
                <w:rFonts w:ascii="Arial" w:eastAsia="宋体" w:hAnsi="Arial" w:cs="Arial"/>
                <w:color w:val="000000"/>
                <w:sz w:val="16"/>
                <w:szCs w:val="16"/>
              </w:rPr>
              <w:t>2.700 </w:t>
            </w:r>
          </w:p>
        </w:tc>
        <w:tc>
          <w:tcPr>
            <w:tcW w:w="0" w:type="auto"/>
            <w:shd w:val="clear" w:color="auto" w:fill="DBDBDB"/>
            <w:tcMar>
              <w:top w:w="40" w:type="dxa"/>
              <w:left w:w="0" w:type="dxa"/>
              <w:bottom w:w="40" w:type="dxa"/>
              <w:right w:w="20" w:type="dxa"/>
            </w:tcMar>
            <w:vAlign w:val="bottom"/>
          </w:tcPr>
          <w:p w14:paraId="18600CBD"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8600CBE"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BF" w14:textId="77777777" w:rsidR="00A91885" w:rsidRDefault="009C4196">
            <w:pPr>
              <w:jc w:val="right"/>
              <w:textAlignment w:val="bottom"/>
            </w:pPr>
            <w:r>
              <w:rPr>
                <w:rFonts w:ascii="Arial" w:eastAsia="宋体" w:hAnsi="Arial" w:cs="Arial"/>
                <w:color w:val="000000"/>
                <w:sz w:val="16"/>
                <w:szCs w:val="16"/>
              </w:rPr>
              <w:t>950 </w:t>
            </w:r>
          </w:p>
        </w:tc>
        <w:tc>
          <w:tcPr>
            <w:tcW w:w="0" w:type="auto"/>
            <w:shd w:val="clear" w:color="auto" w:fill="DBDBDB"/>
            <w:tcMar>
              <w:top w:w="40" w:type="dxa"/>
              <w:left w:w="0" w:type="dxa"/>
              <w:bottom w:w="40" w:type="dxa"/>
              <w:right w:w="20" w:type="dxa"/>
            </w:tcMar>
            <w:vAlign w:val="bottom"/>
          </w:tcPr>
          <w:p w14:paraId="18600CC0"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CC1"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C2" w14:textId="77777777" w:rsidR="00A91885" w:rsidRDefault="009C4196">
            <w:pPr>
              <w:jc w:val="right"/>
              <w:textAlignment w:val="bottom"/>
            </w:pPr>
            <w:r>
              <w:rPr>
                <w:rFonts w:ascii="Arial" w:eastAsia="宋体" w:hAnsi="Arial" w:cs="Arial"/>
                <w:color w:val="000000"/>
                <w:sz w:val="16"/>
                <w:szCs w:val="16"/>
              </w:rPr>
              <w:t>2.623 </w:t>
            </w:r>
          </w:p>
        </w:tc>
        <w:tc>
          <w:tcPr>
            <w:tcW w:w="0" w:type="auto"/>
            <w:shd w:val="clear" w:color="auto" w:fill="DBDBDB"/>
            <w:tcMar>
              <w:top w:w="40" w:type="dxa"/>
              <w:left w:w="0" w:type="dxa"/>
              <w:bottom w:w="40" w:type="dxa"/>
              <w:right w:w="20" w:type="dxa"/>
            </w:tcMar>
            <w:vAlign w:val="bottom"/>
          </w:tcPr>
          <w:p w14:paraId="18600CC3"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8600CC4"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C5" w14:textId="77777777" w:rsidR="00A91885" w:rsidRDefault="009C4196">
            <w:pPr>
              <w:jc w:val="right"/>
              <w:textAlignment w:val="bottom"/>
            </w:pPr>
            <w:r>
              <w:rPr>
                <w:rFonts w:ascii="Arial" w:eastAsia="宋体" w:hAnsi="Arial" w:cs="Arial"/>
                <w:color w:val="000000"/>
                <w:sz w:val="16"/>
                <w:szCs w:val="16"/>
              </w:rPr>
              <w:t>950 </w:t>
            </w:r>
          </w:p>
        </w:tc>
        <w:tc>
          <w:tcPr>
            <w:tcW w:w="0" w:type="auto"/>
            <w:shd w:val="clear" w:color="auto" w:fill="DBDBDB"/>
            <w:tcMar>
              <w:top w:w="40" w:type="dxa"/>
              <w:left w:w="0" w:type="dxa"/>
              <w:bottom w:w="40" w:type="dxa"/>
              <w:right w:w="20" w:type="dxa"/>
            </w:tcMar>
            <w:vAlign w:val="bottom"/>
          </w:tcPr>
          <w:p w14:paraId="18600CC6"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CC7"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C8" w14:textId="77777777" w:rsidR="00A91885" w:rsidRDefault="009C4196">
            <w:pPr>
              <w:jc w:val="right"/>
              <w:textAlignment w:val="bottom"/>
            </w:pPr>
            <w:r>
              <w:rPr>
                <w:rFonts w:ascii="Arial" w:eastAsia="宋体" w:hAnsi="Arial" w:cs="Arial"/>
                <w:color w:val="000000"/>
                <w:sz w:val="16"/>
                <w:szCs w:val="16"/>
              </w:rPr>
              <w:t>2.623 </w:t>
            </w:r>
          </w:p>
        </w:tc>
        <w:tc>
          <w:tcPr>
            <w:tcW w:w="0" w:type="auto"/>
            <w:shd w:val="clear" w:color="auto" w:fill="DBDBDB"/>
            <w:tcMar>
              <w:top w:w="40" w:type="dxa"/>
              <w:left w:w="0" w:type="dxa"/>
              <w:bottom w:w="40" w:type="dxa"/>
              <w:right w:w="20" w:type="dxa"/>
            </w:tcMar>
            <w:vAlign w:val="bottom"/>
          </w:tcPr>
          <w:p w14:paraId="18600CC9" w14:textId="77777777" w:rsidR="00A91885" w:rsidRDefault="009C4196">
            <w:pPr>
              <w:jc w:val="right"/>
              <w:textAlignment w:val="bottom"/>
            </w:pPr>
            <w:r>
              <w:rPr>
                <w:rFonts w:ascii="Arial" w:eastAsia="宋体" w:hAnsi="Arial" w:cs="Arial"/>
                <w:color w:val="000000"/>
                <w:sz w:val="16"/>
                <w:szCs w:val="16"/>
              </w:rPr>
              <w:t>%</w:t>
            </w:r>
          </w:p>
        </w:tc>
      </w:tr>
      <w:tr w:rsidR="00A91885" w14:paraId="18600CDB" w14:textId="77777777">
        <w:tc>
          <w:tcPr>
            <w:tcW w:w="0" w:type="auto"/>
            <w:gridSpan w:val="3"/>
            <w:shd w:val="clear" w:color="auto" w:fill="FFFFFF"/>
            <w:tcMar>
              <w:top w:w="40" w:type="dxa"/>
              <w:left w:w="155" w:type="dxa"/>
              <w:bottom w:w="40" w:type="dxa"/>
              <w:right w:w="20" w:type="dxa"/>
            </w:tcMar>
            <w:vAlign w:val="bottom"/>
          </w:tcPr>
          <w:p w14:paraId="18600CCB" w14:textId="77777777" w:rsidR="00A91885" w:rsidRDefault="009C4196">
            <w:pPr>
              <w:textAlignment w:val="bottom"/>
            </w:pPr>
            <w:r>
              <w:rPr>
                <w:rFonts w:ascii="Arial" w:eastAsia="宋体" w:hAnsi="Arial" w:cs="Arial"/>
                <w:color w:val="000000"/>
                <w:sz w:val="16"/>
                <w:szCs w:val="16"/>
              </w:rPr>
              <w:t>Senior notes due 2031</w:t>
            </w:r>
          </w:p>
        </w:tc>
        <w:tc>
          <w:tcPr>
            <w:tcW w:w="0" w:type="auto"/>
            <w:gridSpan w:val="3"/>
            <w:shd w:val="clear" w:color="auto" w:fill="FFFFFF"/>
            <w:tcMar>
              <w:top w:w="0" w:type="dxa"/>
              <w:left w:w="20" w:type="dxa"/>
              <w:bottom w:w="0" w:type="dxa"/>
              <w:right w:w="20" w:type="dxa"/>
            </w:tcMar>
            <w:vAlign w:val="bottom"/>
          </w:tcPr>
          <w:p w14:paraId="18600CC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CD" w14:textId="77777777" w:rsidR="00A91885" w:rsidRDefault="009C4196">
            <w:pPr>
              <w:jc w:val="right"/>
              <w:textAlignment w:val="bottom"/>
            </w:pPr>
            <w:r>
              <w:rPr>
                <w:rFonts w:ascii="Arial" w:eastAsia="宋体" w:hAnsi="Arial" w:cs="Arial"/>
                <w:color w:val="000000"/>
                <w:sz w:val="16"/>
                <w:szCs w:val="16"/>
              </w:rPr>
              <w:t>2.600 </w:t>
            </w:r>
          </w:p>
        </w:tc>
        <w:tc>
          <w:tcPr>
            <w:tcW w:w="0" w:type="auto"/>
            <w:shd w:val="clear" w:color="auto" w:fill="FFFFFF"/>
            <w:tcMar>
              <w:top w:w="40" w:type="dxa"/>
              <w:left w:w="0" w:type="dxa"/>
              <w:bottom w:w="40" w:type="dxa"/>
              <w:right w:w="20" w:type="dxa"/>
            </w:tcMar>
            <w:vAlign w:val="bottom"/>
          </w:tcPr>
          <w:p w14:paraId="18600CCE"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8600CC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D0" w14:textId="77777777" w:rsidR="00A91885" w:rsidRDefault="009C4196">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18600CD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CD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D3" w14:textId="77777777" w:rsidR="00A91885" w:rsidRDefault="009C4196">
            <w:pPr>
              <w:jc w:val="right"/>
              <w:textAlignment w:val="bottom"/>
            </w:pPr>
            <w:r>
              <w:rPr>
                <w:rFonts w:ascii="Arial" w:eastAsia="宋体" w:hAnsi="Arial" w:cs="Arial"/>
                <w:color w:val="000000"/>
                <w:sz w:val="16"/>
                <w:szCs w:val="16"/>
              </w:rPr>
              <w:t>2.186 </w:t>
            </w:r>
          </w:p>
        </w:tc>
        <w:tc>
          <w:tcPr>
            <w:tcW w:w="0" w:type="auto"/>
            <w:shd w:val="clear" w:color="auto" w:fill="FFFFFF"/>
            <w:tcMar>
              <w:top w:w="40" w:type="dxa"/>
              <w:left w:w="0" w:type="dxa"/>
              <w:bottom w:w="40" w:type="dxa"/>
              <w:right w:w="20" w:type="dxa"/>
            </w:tcMar>
            <w:vAlign w:val="bottom"/>
          </w:tcPr>
          <w:p w14:paraId="18600CD4"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8600CD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D6" w14:textId="77777777" w:rsidR="00A91885" w:rsidRDefault="009C4196">
            <w:pPr>
              <w:jc w:val="right"/>
              <w:textAlignment w:val="bottom"/>
            </w:pPr>
            <w:r>
              <w:rPr>
                <w:rFonts w:ascii="Arial" w:eastAsia="宋体" w:hAnsi="Arial" w:cs="Arial"/>
                <w:color w:val="000000"/>
                <w:sz w:val="16"/>
                <w:szCs w:val="16"/>
              </w:rPr>
              <w:t>750 </w:t>
            </w:r>
          </w:p>
        </w:tc>
        <w:tc>
          <w:tcPr>
            <w:tcW w:w="0" w:type="auto"/>
            <w:shd w:val="clear" w:color="auto" w:fill="FFFFFF"/>
            <w:tcMar>
              <w:top w:w="40" w:type="dxa"/>
              <w:left w:w="0" w:type="dxa"/>
              <w:bottom w:w="40" w:type="dxa"/>
              <w:right w:w="20" w:type="dxa"/>
            </w:tcMar>
            <w:vAlign w:val="bottom"/>
          </w:tcPr>
          <w:p w14:paraId="18600CD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CD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D9" w14:textId="77777777" w:rsidR="00A91885" w:rsidRDefault="009C4196">
            <w:pPr>
              <w:jc w:val="right"/>
              <w:textAlignment w:val="bottom"/>
            </w:pPr>
            <w:r>
              <w:rPr>
                <w:rFonts w:ascii="Arial" w:eastAsia="宋体" w:hAnsi="Arial" w:cs="Arial"/>
                <w:color w:val="000000"/>
                <w:sz w:val="16"/>
                <w:szCs w:val="16"/>
              </w:rPr>
              <w:t>2.186 </w:t>
            </w:r>
          </w:p>
        </w:tc>
        <w:tc>
          <w:tcPr>
            <w:tcW w:w="0" w:type="auto"/>
            <w:shd w:val="clear" w:color="auto" w:fill="FFFFFF"/>
            <w:tcMar>
              <w:top w:w="40" w:type="dxa"/>
              <w:left w:w="0" w:type="dxa"/>
              <w:bottom w:w="40" w:type="dxa"/>
              <w:right w:w="20" w:type="dxa"/>
            </w:tcMar>
            <w:vAlign w:val="bottom"/>
          </w:tcPr>
          <w:p w14:paraId="18600CDA" w14:textId="77777777" w:rsidR="00A91885" w:rsidRDefault="009C4196">
            <w:pPr>
              <w:jc w:val="right"/>
              <w:textAlignment w:val="bottom"/>
            </w:pPr>
            <w:r>
              <w:rPr>
                <w:rFonts w:ascii="Arial" w:eastAsia="宋体" w:hAnsi="Arial" w:cs="Arial"/>
                <w:color w:val="000000"/>
                <w:sz w:val="16"/>
                <w:szCs w:val="16"/>
              </w:rPr>
              <w:t>%</w:t>
            </w:r>
          </w:p>
        </w:tc>
      </w:tr>
      <w:tr w:rsidR="00A91885" w14:paraId="18600CEC" w14:textId="77777777">
        <w:tc>
          <w:tcPr>
            <w:tcW w:w="0" w:type="auto"/>
            <w:gridSpan w:val="3"/>
            <w:shd w:val="clear" w:color="auto" w:fill="DBDBDB"/>
            <w:tcMar>
              <w:top w:w="40" w:type="dxa"/>
              <w:left w:w="155" w:type="dxa"/>
              <w:bottom w:w="40" w:type="dxa"/>
              <w:right w:w="20" w:type="dxa"/>
            </w:tcMar>
            <w:vAlign w:val="bottom"/>
          </w:tcPr>
          <w:p w14:paraId="18600CDC" w14:textId="77777777" w:rsidR="00A91885" w:rsidRDefault="009C4196">
            <w:pPr>
              <w:textAlignment w:val="bottom"/>
            </w:pPr>
            <w:r>
              <w:rPr>
                <w:rFonts w:ascii="Arial" w:eastAsia="宋体" w:hAnsi="Arial" w:cs="Arial"/>
                <w:color w:val="000000"/>
                <w:sz w:val="16"/>
                <w:szCs w:val="16"/>
              </w:rPr>
              <w:t>Senior notes due 2042</w:t>
            </w:r>
          </w:p>
        </w:tc>
        <w:tc>
          <w:tcPr>
            <w:tcW w:w="0" w:type="auto"/>
            <w:gridSpan w:val="3"/>
            <w:shd w:val="clear" w:color="auto" w:fill="DBDBDB"/>
            <w:tcMar>
              <w:top w:w="0" w:type="dxa"/>
              <w:left w:w="20" w:type="dxa"/>
              <w:bottom w:w="0" w:type="dxa"/>
              <w:right w:w="20" w:type="dxa"/>
            </w:tcMar>
            <w:vAlign w:val="bottom"/>
          </w:tcPr>
          <w:p w14:paraId="18600CDD"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DE" w14:textId="77777777" w:rsidR="00A91885" w:rsidRDefault="009C4196">
            <w:pPr>
              <w:jc w:val="right"/>
              <w:textAlignment w:val="bottom"/>
            </w:pPr>
            <w:r>
              <w:rPr>
                <w:rFonts w:ascii="Arial" w:eastAsia="宋体" w:hAnsi="Arial" w:cs="Arial"/>
                <w:color w:val="000000"/>
                <w:sz w:val="16"/>
                <w:szCs w:val="16"/>
              </w:rPr>
              <w:t>4.000 </w:t>
            </w:r>
          </w:p>
        </w:tc>
        <w:tc>
          <w:tcPr>
            <w:tcW w:w="0" w:type="auto"/>
            <w:shd w:val="clear" w:color="auto" w:fill="DBDBDB"/>
            <w:tcMar>
              <w:top w:w="40" w:type="dxa"/>
              <w:left w:w="0" w:type="dxa"/>
              <w:bottom w:w="40" w:type="dxa"/>
              <w:right w:w="20" w:type="dxa"/>
            </w:tcMar>
            <w:vAlign w:val="bottom"/>
          </w:tcPr>
          <w:p w14:paraId="18600CDF"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8600CE0"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E1" w14:textId="77777777" w:rsidR="00A91885" w:rsidRDefault="009C4196">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18600CE2"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CE3"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E4" w14:textId="77777777" w:rsidR="00A91885" w:rsidRDefault="009C4196">
            <w:pPr>
              <w:jc w:val="right"/>
              <w:textAlignment w:val="bottom"/>
            </w:pPr>
            <w:r>
              <w:rPr>
                <w:rFonts w:ascii="Arial" w:eastAsia="宋体" w:hAnsi="Arial" w:cs="Arial"/>
                <w:color w:val="000000"/>
                <w:sz w:val="16"/>
                <w:szCs w:val="16"/>
              </w:rPr>
              <w:t>4.114 </w:t>
            </w:r>
          </w:p>
        </w:tc>
        <w:tc>
          <w:tcPr>
            <w:tcW w:w="0" w:type="auto"/>
            <w:shd w:val="clear" w:color="auto" w:fill="DBDBDB"/>
            <w:tcMar>
              <w:top w:w="40" w:type="dxa"/>
              <w:left w:w="0" w:type="dxa"/>
              <w:bottom w:w="40" w:type="dxa"/>
              <w:right w:w="20" w:type="dxa"/>
            </w:tcMar>
            <w:vAlign w:val="bottom"/>
          </w:tcPr>
          <w:p w14:paraId="18600CE5"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DBDBDB"/>
            <w:tcMar>
              <w:top w:w="0" w:type="dxa"/>
              <w:left w:w="20" w:type="dxa"/>
              <w:bottom w:w="0" w:type="dxa"/>
              <w:right w:w="20" w:type="dxa"/>
            </w:tcMar>
            <w:vAlign w:val="bottom"/>
          </w:tcPr>
          <w:p w14:paraId="18600CE6"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E7" w14:textId="77777777" w:rsidR="00A91885" w:rsidRDefault="009C4196">
            <w:pPr>
              <w:jc w:val="right"/>
              <w:textAlignment w:val="bottom"/>
            </w:pPr>
            <w:r>
              <w:rPr>
                <w:rFonts w:ascii="Arial" w:eastAsia="宋体" w:hAnsi="Arial" w:cs="Arial"/>
                <w:color w:val="000000"/>
                <w:sz w:val="16"/>
                <w:szCs w:val="16"/>
              </w:rPr>
              <w:t>750 </w:t>
            </w:r>
          </w:p>
        </w:tc>
        <w:tc>
          <w:tcPr>
            <w:tcW w:w="0" w:type="auto"/>
            <w:shd w:val="clear" w:color="auto" w:fill="DBDBDB"/>
            <w:tcMar>
              <w:top w:w="40" w:type="dxa"/>
              <w:left w:w="0" w:type="dxa"/>
              <w:bottom w:w="40" w:type="dxa"/>
              <w:right w:w="20" w:type="dxa"/>
            </w:tcMar>
            <w:vAlign w:val="bottom"/>
          </w:tcPr>
          <w:p w14:paraId="18600CE8"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CE9"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CEA" w14:textId="77777777" w:rsidR="00A91885" w:rsidRDefault="009C4196">
            <w:pPr>
              <w:jc w:val="right"/>
              <w:textAlignment w:val="bottom"/>
            </w:pPr>
            <w:r>
              <w:rPr>
                <w:rFonts w:ascii="Arial" w:eastAsia="宋体" w:hAnsi="Arial" w:cs="Arial"/>
                <w:color w:val="000000"/>
                <w:sz w:val="16"/>
                <w:szCs w:val="16"/>
              </w:rPr>
              <w:t>4.114 </w:t>
            </w:r>
          </w:p>
        </w:tc>
        <w:tc>
          <w:tcPr>
            <w:tcW w:w="0" w:type="auto"/>
            <w:shd w:val="clear" w:color="auto" w:fill="DBDBDB"/>
            <w:tcMar>
              <w:top w:w="40" w:type="dxa"/>
              <w:left w:w="0" w:type="dxa"/>
              <w:bottom w:w="40" w:type="dxa"/>
              <w:right w:w="20" w:type="dxa"/>
            </w:tcMar>
            <w:vAlign w:val="bottom"/>
          </w:tcPr>
          <w:p w14:paraId="18600CEB" w14:textId="77777777" w:rsidR="00A91885" w:rsidRDefault="009C4196">
            <w:pPr>
              <w:jc w:val="right"/>
              <w:textAlignment w:val="bottom"/>
            </w:pPr>
            <w:r>
              <w:rPr>
                <w:rFonts w:ascii="Arial" w:eastAsia="宋体" w:hAnsi="Arial" w:cs="Arial"/>
                <w:color w:val="000000"/>
                <w:sz w:val="16"/>
                <w:szCs w:val="16"/>
              </w:rPr>
              <w:t>%</w:t>
            </w:r>
          </w:p>
        </w:tc>
      </w:tr>
      <w:tr w:rsidR="00A91885" w14:paraId="18600CFD" w14:textId="77777777">
        <w:tc>
          <w:tcPr>
            <w:tcW w:w="0" w:type="auto"/>
            <w:gridSpan w:val="3"/>
            <w:shd w:val="clear" w:color="auto" w:fill="FFFFFF"/>
            <w:tcMar>
              <w:top w:w="40" w:type="dxa"/>
              <w:left w:w="155" w:type="dxa"/>
              <w:bottom w:w="40" w:type="dxa"/>
              <w:right w:w="20" w:type="dxa"/>
            </w:tcMar>
            <w:vAlign w:val="bottom"/>
          </w:tcPr>
          <w:p w14:paraId="18600CED" w14:textId="77777777" w:rsidR="00A91885" w:rsidRDefault="009C4196">
            <w:pPr>
              <w:textAlignment w:val="bottom"/>
            </w:pPr>
            <w:r>
              <w:rPr>
                <w:rFonts w:ascii="Arial" w:eastAsia="宋体" w:hAnsi="Arial" w:cs="Arial"/>
                <w:color w:val="000000"/>
                <w:sz w:val="16"/>
                <w:szCs w:val="16"/>
              </w:rPr>
              <w:t>Senior notes due 2051</w:t>
            </w:r>
          </w:p>
        </w:tc>
        <w:tc>
          <w:tcPr>
            <w:tcW w:w="0" w:type="auto"/>
            <w:gridSpan w:val="3"/>
            <w:shd w:val="clear" w:color="auto" w:fill="FFFFFF"/>
            <w:tcMar>
              <w:top w:w="0" w:type="dxa"/>
              <w:left w:w="20" w:type="dxa"/>
              <w:bottom w:w="0" w:type="dxa"/>
              <w:right w:w="20" w:type="dxa"/>
            </w:tcMar>
            <w:vAlign w:val="bottom"/>
          </w:tcPr>
          <w:p w14:paraId="18600CE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EF" w14:textId="77777777" w:rsidR="00A91885" w:rsidRDefault="009C4196">
            <w:pPr>
              <w:jc w:val="right"/>
              <w:textAlignment w:val="bottom"/>
            </w:pPr>
            <w:r>
              <w:rPr>
                <w:rFonts w:ascii="Arial" w:eastAsia="宋体" w:hAnsi="Arial" w:cs="Arial"/>
                <w:color w:val="000000"/>
                <w:sz w:val="16"/>
                <w:szCs w:val="16"/>
              </w:rPr>
              <w:t>3.650 </w:t>
            </w:r>
          </w:p>
        </w:tc>
        <w:tc>
          <w:tcPr>
            <w:tcW w:w="0" w:type="auto"/>
            <w:shd w:val="clear" w:color="auto" w:fill="FFFFFF"/>
            <w:tcMar>
              <w:top w:w="40" w:type="dxa"/>
              <w:left w:w="0" w:type="dxa"/>
              <w:bottom w:w="40" w:type="dxa"/>
              <w:right w:w="20" w:type="dxa"/>
            </w:tcMar>
            <w:vAlign w:val="bottom"/>
          </w:tcPr>
          <w:p w14:paraId="18600CF0"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8600CF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F2" w14:textId="77777777" w:rsidR="00A91885" w:rsidRDefault="009C4196">
            <w:pPr>
              <w:jc w:val="right"/>
              <w:textAlignment w:val="bottom"/>
            </w:pPr>
            <w:r>
              <w:rPr>
                <w:rFonts w:ascii="Arial" w:eastAsia="宋体" w:hAnsi="Arial" w:cs="Arial"/>
                <w:color w:val="000000"/>
                <w:sz w:val="16"/>
                <w:szCs w:val="16"/>
              </w:rPr>
              <w:t>1,000 </w:t>
            </w:r>
          </w:p>
        </w:tc>
        <w:tc>
          <w:tcPr>
            <w:tcW w:w="0" w:type="auto"/>
            <w:shd w:val="clear" w:color="auto" w:fill="FFFFFF"/>
            <w:tcMar>
              <w:top w:w="40" w:type="dxa"/>
              <w:left w:w="0" w:type="dxa"/>
              <w:bottom w:w="40" w:type="dxa"/>
              <w:right w:w="20" w:type="dxa"/>
            </w:tcMar>
            <w:vAlign w:val="bottom"/>
          </w:tcPr>
          <w:p w14:paraId="18600CF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CF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F5" w14:textId="77777777" w:rsidR="00A91885" w:rsidRDefault="009C4196">
            <w:pPr>
              <w:jc w:val="right"/>
              <w:textAlignment w:val="bottom"/>
            </w:pPr>
            <w:r>
              <w:rPr>
                <w:rFonts w:ascii="Arial" w:eastAsia="宋体" w:hAnsi="Arial" w:cs="Arial"/>
                <w:color w:val="000000"/>
                <w:sz w:val="16"/>
                <w:szCs w:val="16"/>
              </w:rPr>
              <w:t>2.517 </w:t>
            </w:r>
          </w:p>
        </w:tc>
        <w:tc>
          <w:tcPr>
            <w:tcW w:w="0" w:type="auto"/>
            <w:shd w:val="clear" w:color="auto" w:fill="FFFFFF"/>
            <w:tcMar>
              <w:top w:w="40" w:type="dxa"/>
              <w:left w:w="0" w:type="dxa"/>
              <w:bottom w:w="40" w:type="dxa"/>
              <w:right w:w="20" w:type="dxa"/>
            </w:tcMar>
            <w:vAlign w:val="bottom"/>
          </w:tcPr>
          <w:p w14:paraId="18600CF6" w14:textId="77777777" w:rsidR="00A91885" w:rsidRDefault="009C4196">
            <w:pPr>
              <w:jc w:val="right"/>
              <w:textAlignment w:val="bottom"/>
            </w:pPr>
            <w:r>
              <w:rPr>
                <w:rFonts w:ascii="Arial" w:eastAsia="宋体" w:hAnsi="Arial" w:cs="Arial"/>
                <w:color w:val="000000"/>
                <w:sz w:val="16"/>
                <w:szCs w:val="16"/>
              </w:rPr>
              <w:t>%</w:t>
            </w:r>
          </w:p>
        </w:tc>
        <w:tc>
          <w:tcPr>
            <w:tcW w:w="0" w:type="auto"/>
            <w:gridSpan w:val="3"/>
            <w:shd w:val="clear" w:color="auto" w:fill="FFFFFF"/>
            <w:tcMar>
              <w:top w:w="0" w:type="dxa"/>
              <w:left w:w="20" w:type="dxa"/>
              <w:bottom w:w="0" w:type="dxa"/>
              <w:right w:w="20" w:type="dxa"/>
            </w:tcMar>
            <w:vAlign w:val="bottom"/>
          </w:tcPr>
          <w:p w14:paraId="18600CF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F8" w14:textId="77777777" w:rsidR="00A91885" w:rsidRDefault="009C4196">
            <w:pPr>
              <w:jc w:val="right"/>
              <w:textAlignment w:val="bottom"/>
            </w:pPr>
            <w:r>
              <w:rPr>
                <w:rFonts w:ascii="Arial" w:eastAsia="宋体" w:hAnsi="Arial" w:cs="Arial"/>
                <w:color w:val="000000"/>
                <w:sz w:val="16"/>
                <w:szCs w:val="16"/>
              </w:rPr>
              <w:t>1,000 </w:t>
            </w:r>
          </w:p>
        </w:tc>
        <w:tc>
          <w:tcPr>
            <w:tcW w:w="0" w:type="auto"/>
            <w:shd w:val="clear" w:color="auto" w:fill="FFFFFF"/>
            <w:tcMar>
              <w:top w:w="40" w:type="dxa"/>
              <w:left w:w="0" w:type="dxa"/>
              <w:bottom w:w="40" w:type="dxa"/>
              <w:right w:w="20" w:type="dxa"/>
            </w:tcMar>
            <w:vAlign w:val="bottom"/>
          </w:tcPr>
          <w:p w14:paraId="18600CF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CF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CFB" w14:textId="77777777" w:rsidR="00A91885" w:rsidRDefault="009C4196">
            <w:pPr>
              <w:jc w:val="right"/>
              <w:textAlignment w:val="bottom"/>
            </w:pPr>
            <w:r>
              <w:rPr>
                <w:rFonts w:ascii="Arial" w:eastAsia="宋体" w:hAnsi="Arial" w:cs="Arial"/>
                <w:color w:val="000000"/>
                <w:sz w:val="16"/>
                <w:szCs w:val="16"/>
              </w:rPr>
              <w:t>2.517 </w:t>
            </w:r>
          </w:p>
        </w:tc>
        <w:tc>
          <w:tcPr>
            <w:tcW w:w="0" w:type="auto"/>
            <w:shd w:val="clear" w:color="auto" w:fill="FFFFFF"/>
            <w:tcMar>
              <w:top w:w="40" w:type="dxa"/>
              <w:left w:w="0" w:type="dxa"/>
              <w:bottom w:w="40" w:type="dxa"/>
              <w:right w:w="20" w:type="dxa"/>
            </w:tcMar>
            <w:vAlign w:val="bottom"/>
          </w:tcPr>
          <w:p w14:paraId="18600CFC" w14:textId="77777777" w:rsidR="00A91885" w:rsidRDefault="009C4196">
            <w:pPr>
              <w:jc w:val="right"/>
              <w:textAlignment w:val="bottom"/>
            </w:pPr>
            <w:r>
              <w:rPr>
                <w:rFonts w:ascii="Arial" w:eastAsia="宋体" w:hAnsi="Arial" w:cs="Arial"/>
                <w:color w:val="000000"/>
                <w:sz w:val="16"/>
                <w:szCs w:val="16"/>
              </w:rPr>
              <w:t>%</w:t>
            </w:r>
          </w:p>
        </w:tc>
      </w:tr>
      <w:tr w:rsidR="00A91885" w14:paraId="18600D09" w14:textId="77777777">
        <w:trPr>
          <w:hidden/>
        </w:trPr>
        <w:tc>
          <w:tcPr>
            <w:tcW w:w="0" w:type="auto"/>
            <w:gridSpan w:val="3"/>
            <w:shd w:val="clear" w:color="auto" w:fill="auto"/>
            <w:vAlign w:val="bottom"/>
          </w:tcPr>
          <w:p w14:paraId="18600CFE" w14:textId="77777777" w:rsidR="00A91885" w:rsidRDefault="00A91885">
            <w:pPr>
              <w:rPr>
                <w:rFonts w:ascii="宋体"/>
                <w:vanish/>
              </w:rPr>
            </w:pPr>
          </w:p>
        </w:tc>
        <w:tc>
          <w:tcPr>
            <w:tcW w:w="0" w:type="auto"/>
            <w:gridSpan w:val="3"/>
            <w:shd w:val="clear" w:color="auto" w:fill="auto"/>
            <w:vAlign w:val="bottom"/>
          </w:tcPr>
          <w:p w14:paraId="18600CFF" w14:textId="77777777" w:rsidR="00A91885" w:rsidRDefault="00A91885">
            <w:pPr>
              <w:rPr>
                <w:rFonts w:ascii="宋体"/>
                <w:vanish/>
              </w:rPr>
            </w:pPr>
          </w:p>
        </w:tc>
        <w:tc>
          <w:tcPr>
            <w:tcW w:w="0" w:type="auto"/>
            <w:gridSpan w:val="3"/>
            <w:shd w:val="clear" w:color="auto" w:fill="auto"/>
            <w:vAlign w:val="bottom"/>
          </w:tcPr>
          <w:p w14:paraId="18600D00" w14:textId="77777777" w:rsidR="00A91885" w:rsidRDefault="00A91885">
            <w:pPr>
              <w:rPr>
                <w:rFonts w:ascii="宋体"/>
                <w:vanish/>
              </w:rPr>
            </w:pPr>
          </w:p>
        </w:tc>
        <w:tc>
          <w:tcPr>
            <w:tcW w:w="0" w:type="auto"/>
            <w:gridSpan w:val="3"/>
            <w:shd w:val="clear" w:color="auto" w:fill="auto"/>
            <w:vAlign w:val="bottom"/>
          </w:tcPr>
          <w:p w14:paraId="18600D01" w14:textId="77777777" w:rsidR="00A91885" w:rsidRDefault="00A91885">
            <w:pPr>
              <w:rPr>
                <w:rFonts w:ascii="宋体"/>
                <w:vanish/>
              </w:rPr>
            </w:pPr>
          </w:p>
        </w:tc>
        <w:tc>
          <w:tcPr>
            <w:tcW w:w="0" w:type="auto"/>
            <w:gridSpan w:val="3"/>
            <w:shd w:val="clear" w:color="auto" w:fill="auto"/>
            <w:vAlign w:val="bottom"/>
          </w:tcPr>
          <w:p w14:paraId="18600D02" w14:textId="77777777" w:rsidR="00A91885" w:rsidRDefault="00A91885">
            <w:pPr>
              <w:rPr>
                <w:rFonts w:ascii="宋体"/>
                <w:vanish/>
              </w:rPr>
            </w:pPr>
          </w:p>
        </w:tc>
        <w:tc>
          <w:tcPr>
            <w:tcW w:w="0" w:type="auto"/>
            <w:gridSpan w:val="3"/>
            <w:shd w:val="clear" w:color="auto" w:fill="auto"/>
            <w:vAlign w:val="bottom"/>
          </w:tcPr>
          <w:p w14:paraId="18600D03" w14:textId="77777777" w:rsidR="00A91885" w:rsidRDefault="00A91885">
            <w:pPr>
              <w:rPr>
                <w:rFonts w:ascii="宋体"/>
                <w:vanish/>
              </w:rPr>
            </w:pPr>
          </w:p>
        </w:tc>
        <w:tc>
          <w:tcPr>
            <w:tcW w:w="0" w:type="auto"/>
            <w:gridSpan w:val="3"/>
            <w:shd w:val="clear" w:color="auto" w:fill="auto"/>
            <w:vAlign w:val="bottom"/>
          </w:tcPr>
          <w:p w14:paraId="18600D04" w14:textId="77777777" w:rsidR="00A91885" w:rsidRDefault="00A91885">
            <w:pPr>
              <w:rPr>
                <w:rFonts w:ascii="宋体"/>
                <w:vanish/>
              </w:rPr>
            </w:pPr>
          </w:p>
        </w:tc>
        <w:tc>
          <w:tcPr>
            <w:tcW w:w="0" w:type="auto"/>
            <w:gridSpan w:val="3"/>
            <w:shd w:val="clear" w:color="auto" w:fill="auto"/>
            <w:vAlign w:val="bottom"/>
          </w:tcPr>
          <w:p w14:paraId="18600D05" w14:textId="77777777" w:rsidR="00A91885" w:rsidRDefault="00A91885">
            <w:pPr>
              <w:rPr>
                <w:rFonts w:ascii="宋体"/>
                <w:vanish/>
              </w:rPr>
            </w:pPr>
          </w:p>
        </w:tc>
        <w:tc>
          <w:tcPr>
            <w:tcW w:w="0" w:type="auto"/>
            <w:gridSpan w:val="3"/>
            <w:shd w:val="clear" w:color="auto" w:fill="auto"/>
            <w:vAlign w:val="bottom"/>
          </w:tcPr>
          <w:p w14:paraId="18600D06" w14:textId="77777777" w:rsidR="00A91885" w:rsidRDefault="00A91885">
            <w:pPr>
              <w:rPr>
                <w:rFonts w:ascii="宋体"/>
                <w:vanish/>
              </w:rPr>
            </w:pPr>
          </w:p>
        </w:tc>
        <w:tc>
          <w:tcPr>
            <w:tcW w:w="0" w:type="auto"/>
            <w:gridSpan w:val="3"/>
            <w:shd w:val="clear" w:color="auto" w:fill="auto"/>
            <w:vAlign w:val="bottom"/>
          </w:tcPr>
          <w:p w14:paraId="18600D07" w14:textId="77777777" w:rsidR="00A91885" w:rsidRDefault="00A91885">
            <w:pPr>
              <w:rPr>
                <w:rFonts w:ascii="宋体"/>
                <w:vanish/>
              </w:rPr>
            </w:pPr>
          </w:p>
        </w:tc>
        <w:tc>
          <w:tcPr>
            <w:tcW w:w="0" w:type="auto"/>
            <w:gridSpan w:val="3"/>
            <w:shd w:val="clear" w:color="auto" w:fill="auto"/>
            <w:vAlign w:val="bottom"/>
          </w:tcPr>
          <w:p w14:paraId="18600D08" w14:textId="77777777" w:rsidR="00A91885" w:rsidRDefault="00A91885">
            <w:pPr>
              <w:rPr>
                <w:rFonts w:ascii="宋体"/>
                <w:vanish/>
              </w:rPr>
            </w:pPr>
          </w:p>
        </w:tc>
      </w:tr>
      <w:tr w:rsidR="00A91885" w14:paraId="18600D17" w14:textId="77777777">
        <w:tc>
          <w:tcPr>
            <w:tcW w:w="0" w:type="auto"/>
            <w:gridSpan w:val="3"/>
            <w:shd w:val="clear" w:color="auto" w:fill="DBDBDB"/>
            <w:tcMar>
              <w:top w:w="40" w:type="dxa"/>
              <w:left w:w="380" w:type="dxa"/>
              <w:bottom w:w="40" w:type="dxa"/>
              <w:right w:w="20" w:type="dxa"/>
            </w:tcMar>
            <w:vAlign w:val="bottom"/>
          </w:tcPr>
          <w:p w14:paraId="18600D0A" w14:textId="77777777" w:rsidR="00A91885" w:rsidRDefault="009C4196">
            <w:pPr>
              <w:textAlignment w:val="bottom"/>
            </w:pPr>
            <w:r>
              <w:rPr>
                <w:rFonts w:ascii="Arial" w:eastAsia="宋体" w:hAnsi="Arial" w:cs="Arial"/>
                <w:color w:val="000000"/>
                <w:sz w:val="16"/>
                <w:szCs w:val="16"/>
              </w:rPr>
              <w:t>Total senior notes</w:t>
            </w:r>
          </w:p>
        </w:tc>
        <w:tc>
          <w:tcPr>
            <w:tcW w:w="0" w:type="auto"/>
            <w:gridSpan w:val="3"/>
            <w:shd w:val="clear" w:color="auto" w:fill="DBDBDB"/>
            <w:tcMar>
              <w:top w:w="0" w:type="dxa"/>
              <w:left w:w="20" w:type="dxa"/>
              <w:bottom w:w="0" w:type="dxa"/>
              <w:right w:w="20" w:type="dxa"/>
            </w:tcMar>
            <w:vAlign w:val="bottom"/>
          </w:tcPr>
          <w:p w14:paraId="18600D0B"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0C"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0D" w14:textId="77777777" w:rsidR="00A91885" w:rsidRDefault="00A91885">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18600D0E" w14:textId="77777777" w:rsidR="00A91885" w:rsidRDefault="009C4196">
            <w:pPr>
              <w:jc w:val="right"/>
              <w:textAlignment w:val="bottom"/>
            </w:pPr>
            <w:r>
              <w:rPr>
                <w:rFonts w:ascii="Arial" w:eastAsia="宋体" w:hAnsi="Arial" w:cs="Arial"/>
                <w:color w:val="000000"/>
                <w:sz w:val="16"/>
                <w:szCs w:val="16"/>
              </w:rPr>
              <w:t>7,750 </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0D0F"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D10"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11"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12" w14:textId="77777777" w:rsidR="00A91885" w:rsidRDefault="00A91885">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18600D13" w14:textId="77777777" w:rsidR="00A91885" w:rsidRDefault="009C4196">
            <w:pPr>
              <w:jc w:val="right"/>
              <w:textAlignment w:val="bottom"/>
            </w:pPr>
            <w:r>
              <w:rPr>
                <w:rFonts w:ascii="Arial" w:eastAsia="宋体" w:hAnsi="Arial" w:cs="Arial"/>
                <w:color w:val="000000"/>
                <w:sz w:val="16"/>
                <w:szCs w:val="16"/>
              </w:rPr>
              <w:t>9,105 </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0D14"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D15"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16" w14:textId="77777777" w:rsidR="00A91885" w:rsidRDefault="00A91885">
            <w:pPr>
              <w:rPr>
                <w:rFonts w:ascii="宋体"/>
              </w:rPr>
            </w:pPr>
          </w:p>
        </w:tc>
      </w:tr>
      <w:tr w:rsidR="00A91885" w14:paraId="18600D25" w14:textId="77777777">
        <w:tc>
          <w:tcPr>
            <w:tcW w:w="0" w:type="auto"/>
            <w:gridSpan w:val="3"/>
            <w:shd w:val="clear" w:color="auto" w:fill="FFFFFF"/>
            <w:tcMar>
              <w:top w:w="40" w:type="dxa"/>
              <w:left w:w="20" w:type="dxa"/>
              <w:bottom w:w="40" w:type="dxa"/>
              <w:right w:w="20" w:type="dxa"/>
            </w:tcMar>
            <w:vAlign w:val="bottom"/>
          </w:tcPr>
          <w:p w14:paraId="18600D18" w14:textId="77777777" w:rsidR="00A91885" w:rsidRDefault="009C4196">
            <w:pPr>
              <w:textAlignment w:val="bottom"/>
            </w:pPr>
            <w:r>
              <w:rPr>
                <w:rFonts w:ascii="Arial" w:eastAsia="宋体" w:hAnsi="Arial" w:cs="Arial"/>
                <w:color w:val="000000"/>
                <w:sz w:val="16"/>
                <w:szCs w:val="16"/>
              </w:rPr>
              <w:t xml:space="preserve">Hedge </w:t>
            </w:r>
            <w:r>
              <w:rPr>
                <w:rFonts w:ascii="Arial" w:eastAsia="宋体" w:hAnsi="Arial" w:cs="Arial"/>
                <w:color w:val="000000"/>
                <w:sz w:val="16"/>
                <w:szCs w:val="16"/>
              </w:rPr>
              <w:t xml:space="preserve">accounting fair value adjustments </w:t>
            </w:r>
            <w:r>
              <w:rPr>
                <w:rFonts w:ascii="Arial" w:eastAsia="宋体" w:hAnsi="Arial" w:cs="Arial"/>
                <w:color w:val="000000"/>
                <w:sz w:val="10"/>
                <w:szCs w:val="10"/>
              </w:rPr>
              <w:t>(1)</w:t>
            </w:r>
          </w:p>
        </w:tc>
        <w:tc>
          <w:tcPr>
            <w:tcW w:w="0" w:type="auto"/>
            <w:gridSpan w:val="3"/>
            <w:shd w:val="clear" w:color="auto" w:fill="FFFFFF"/>
            <w:tcMar>
              <w:top w:w="0" w:type="dxa"/>
              <w:left w:w="20" w:type="dxa"/>
              <w:bottom w:w="0" w:type="dxa"/>
              <w:right w:w="20" w:type="dxa"/>
            </w:tcMar>
            <w:vAlign w:val="bottom"/>
          </w:tcPr>
          <w:p w14:paraId="18600D19"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1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1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D1C" w14:textId="77777777" w:rsidR="00A91885" w:rsidRDefault="009C4196">
            <w:pPr>
              <w:jc w:val="right"/>
              <w:textAlignment w:val="bottom"/>
            </w:pPr>
            <w:r>
              <w:rPr>
                <w:rFonts w:ascii="Arial" w:eastAsia="宋体" w:hAnsi="Arial" w:cs="Arial"/>
                <w:color w:val="000000"/>
                <w:sz w:val="16"/>
                <w:szCs w:val="16"/>
              </w:rPr>
              <w:t>6 </w:t>
            </w:r>
          </w:p>
        </w:tc>
        <w:tc>
          <w:tcPr>
            <w:tcW w:w="0" w:type="auto"/>
            <w:shd w:val="clear" w:color="auto" w:fill="FFFFFF"/>
            <w:tcMar>
              <w:top w:w="40" w:type="dxa"/>
              <w:left w:w="0" w:type="dxa"/>
              <w:bottom w:w="40" w:type="dxa"/>
              <w:right w:w="20" w:type="dxa"/>
            </w:tcMar>
            <w:vAlign w:val="bottom"/>
          </w:tcPr>
          <w:p w14:paraId="18600D1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D1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1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20"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D21" w14:textId="77777777" w:rsidR="00A91885" w:rsidRDefault="009C4196">
            <w:pPr>
              <w:jc w:val="right"/>
              <w:textAlignment w:val="bottom"/>
            </w:pPr>
            <w:r>
              <w:rPr>
                <w:rFonts w:ascii="Arial" w:eastAsia="宋体" w:hAnsi="Arial" w:cs="Arial"/>
                <w:color w:val="000000"/>
                <w:sz w:val="16"/>
                <w:szCs w:val="16"/>
              </w:rPr>
              <w:t>7 </w:t>
            </w:r>
          </w:p>
        </w:tc>
        <w:tc>
          <w:tcPr>
            <w:tcW w:w="0" w:type="auto"/>
            <w:shd w:val="clear" w:color="auto" w:fill="FFFFFF"/>
            <w:tcMar>
              <w:top w:w="40" w:type="dxa"/>
              <w:left w:w="0" w:type="dxa"/>
              <w:bottom w:w="40" w:type="dxa"/>
              <w:right w:w="20" w:type="dxa"/>
            </w:tcMar>
            <w:vAlign w:val="bottom"/>
          </w:tcPr>
          <w:p w14:paraId="18600D2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D23"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24" w14:textId="77777777" w:rsidR="00A91885" w:rsidRDefault="00A91885">
            <w:pPr>
              <w:rPr>
                <w:rFonts w:ascii="宋体"/>
              </w:rPr>
            </w:pPr>
          </w:p>
        </w:tc>
      </w:tr>
      <w:tr w:rsidR="00A91885" w14:paraId="18600D33" w14:textId="77777777">
        <w:tc>
          <w:tcPr>
            <w:tcW w:w="0" w:type="auto"/>
            <w:gridSpan w:val="3"/>
            <w:shd w:val="clear" w:color="auto" w:fill="DBDBDB"/>
            <w:tcMar>
              <w:top w:w="40" w:type="dxa"/>
              <w:left w:w="20" w:type="dxa"/>
              <w:bottom w:w="40" w:type="dxa"/>
              <w:right w:w="20" w:type="dxa"/>
            </w:tcMar>
            <w:vAlign w:val="bottom"/>
          </w:tcPr>
          <w:p w14:paraId="18600D26" w14:textId="77777777" w:rsidR="00A91885" w:rsidRDefault="009C4196">
            <w:pPr>
              <w:textAlignment w:val="bottom"/>
            </w:pPr>
            <w:r>
              <w:rPr>
                <w:rFonts w:ascii="Arial" w:eastAsia="宋体" w:hAnsi="Arial" w:cs="Arial"/>
                <w:color w:val="000000"/>
                <w:sz w:val="16"/>
                <w:szCs w:val="16"/>
              </w:rPr>
              <w:t>Unamortized premium/(discount) and debt issuance costs</w:t>
            </w:r>
          </w:p>
        </w:tc>
        <w:tc>
          <w:tcPr>
            <w:tcW w:w="0" w:type="auto"/>
            <w:gridSpan w:val="3"/>
            <w:shd w:val="clear" w:color="auto" w:fill="DBDBDB"/>
            <w:tcMar>
              <w:top w:w="0" w:type="dxa"/>
              <w:left w:w="20" w:type="dxa"/>
              <w:bottom w:w="0" w:type="dxa"/>
              <w:right w:w="20" w:type="dxa"/>
            </w:tcMar>
            <w:vAlign w:val="bottom"/>
          </w:tcPr>
          <w:p w14:paraId="18600D27"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28"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29"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D2A" w14:textId="77777777" w:rsidR="00A91885" w:rsidRDefault="009C4196">
            <w:pPr>
              <w:jc w:val="right"/>
              <w:textAlignment w:val="bottom"/>
            </w:pPr>
            <w:r>
              <w:rPr>
                <w:rFonts w:ascii="Arial" w:eastAsia="宋体" w:hAnsi="Arial" w:cs="Arial"/>
                <w:color w:val="000000"/>
                <w:sz w:val="16"/>
                <w:szCs w:val="16"/>
              </w:rPr>
              <w:t>(28)</w:t>
            </w:r>
          </w:p>
        </w:tc>
        <w:tc>
          <w:tcPr>
            <w:tcW w:w="0" w:type="auto"/>
            <w:shd w:val="clear" w:color="auto" w:fill="DBDBDB"/>
            <w:tcMar>
              <w:top w:w="40" w:type="dxa"/>
              <w:left w:w="0" w:type="dxa"/>
              <w:bottom w:w="40" w:type="dxa"/>
              <w:right w:w="20" w:type="dxa"/>
            </w:tcMar>
            <w:vAlign w:val="bottom"/>
          </w:tcPr>
          <w:p w14:paraId="18600D2B"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D2C"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2D"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2E"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D2F" w14:textId="77777777" w:rsidR="00A91885" w:rsidRDefault="009C4196">
            <w:pPr>
              <w:jc w:val="right"/>
              <w:textAlignment w:val="bottom"/>
            </w:pPr>
            <w:r>
              <w:rPr>
                <w:rFonts w:ascii="Arial" w:eastAsia="宋体" w:hAnsi="Arial" w:cs="Arial"/>
                <w:color w:val="000000"/>
                <w:sz w:val="16"/>
                <w:szCs w:val="16"/>
              </w:rPr>
              <w:t>(30)</w:t>
            </w:r>
          </w:p>
        </w:tc>
        <w:tc>
          <w:tcPr>
            <w:tcW w:w="0" w:type="auto"/>
            <w:shd w:val="clear" w:color="auto" w:fill="DBDBDB"/>
            <w:tcMar>
              <w:top w:w="40" w:type="dxa"/>
              <w:left w:w="0" w:type="dxa"/>
              <w:bottom w:w="40" w:type="dxa"/>
              <w:right w:w="20" w:type="dxa"/>
            </w:tcMar>
            <w:vAlign w:val="bottom"/>
          </w:tcPr>
          <w:p w14:paraId="18600D30"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D31"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32" w14:textId="77777777" w:rsidR="00A91885" w:rsidRDefault="00A91885">
            <w:pPr>
              <w:rPr>
                <w:rFonts w:ascii="宋体"/>
              </w:rPr>
            </w:pPr>
          </w:p>
        </w:tc>
      </w:tr>
      <w:tr w:rsidR="00A91885" w14:paraId="18600D3F" w14:textId="77777777">
        <w:trPr>
          <w:hidden/>
        </w:trPr>
        <w:tc>
          <w:tcPr>
            <w:tcW w:w="0" w:type="auto"/>
            <w:gridSpan w:val="3"/>
            <w:shd w:val="clear" w:color="auto" w:fill="auto"/>
            <w:vAlign w:val="bottom"/>
          </w:tcPr>
          <w:p w14:paraId="18600D34" w14:textId="77777777" w:rsidR="00A91885" w:rsidRDefault="00A91885">
            <w:pPr>
              <w:rPr>
                <w:rFonts w:ascii="宋体"/>
                <w:vanish/>
              </w:rPr>
            </w:pPr>
          </w:p>
        </w:tc>
        <w:tc>
          <w:tcPr>
            <w:tcW w:w="0" w:type="auto"/>
            <w:gridSpan w:val="3"/>
            <w:shd w:val="clear" w:color="auto" w:fill="auto"/>
            <w:vAlign w:val="bottom"/>
          </w:tcPr>
          <w:p w14:paraId="18600D35" w14:textId="77777777" w:rsidR="00A91885" w:rsidRDefault="00A91885">
            <w:pPr>
              <w:rPr>
                <w:rFonts w:ascii="宋体"/>
                <w:vanish/>
              </w:rPr>
            </w:pPr>
          </w:p>
        </w:tc>
        <w:tc>
          <w:tcPr>
            <w:tcW w:w="0" w:type="auto"/>
            <w:gridSpan w:val="3"/>
            <w:shd w:val="clear" w:color="auto" w:fill="auto"/>
            <w:vAlign w:val="bottom"/>
          </w:tcPr>
          <w:p w14:paraId="18600D36" w14:textId="77777777" w:rsidR="00A91885" w:rsidRDefault="00A91885">
            <w:pPr>
              <w:rPr>
                <w:rFonts w:ascii="宋体"/>
                <w:vanish/>
              </w:rPr>
            </w:pPr>
          </w:p>
        </w:tc>
        <w:tc>
          <w:tcPr>
            <w:tcW w:w="0" w:type="auto"/>
            <w:gridSpan w:val="3"/>
            <w:shd w:val="clear" w:color="auto" w:fill="auto"/>
            <w:vAlign w:val="bottom"/>
          </w:tcPr>
          <w:p w14:paraId="18600D37" w14:textId="77777777" w:rsidR="00A91885" w:rsidRDefault="00A91885">
            <w:pPr>
              <w:rPr>
                <w:rFonts w:ascii="宋体"/>
                <w:vanish/>
              </w:rPr>
            </w:pPr>
          </w:p>
        </w:tc>
        <w:tc>
          <w:tcPr>
            <w:tcW w:w="0" w:type="auto"/>
            <w:gridSpan w:val="3"/>
            <w:shd w:val="clear" w:color="auto" w:fill="auto"/>
            <w:vAlign w:val="bottom"/>
          </w:tcPr>
          <w:p w14:paraId="18600D38" w14:textId="77777777" w:rsidR="00A91885" w:rsidRDefault="00A91885">
            <w:pPr>
              <w:rPr>
                <w:rFonts w:ascii="宋体"/>
                <w:vanish/>
              </w:rPr>
            </w:pPr>
          </w:p>
        </w:tc>
        <w:tc>
          <w:tcPr>
            <w:tcW w:w="0" w:type="auto"/>
            <w:gridSpan w:val="3"/>
            <w:shd w:val="clear" w:color="auto" w:fill="auto"/>
            <w:vAlign w:val="bottom"/>
          </w:tcPr>
          <w:p w14:paraId="18600D39" w14:textId="77777777" w:rsidR="00A91885" w:rsidRDefault="00A91885">
            <w:pPr>
              <w:rPr>
                <w:rFonts w:ascii="宋体"/>
                <w:vanish/>
              </w:rPr>
            </w:pPr>
          </w:p>
        </w:tc>
        <w:tc>
          <w:tcPr>
            <w:tcW w:w="0" w:type="auto"/>
            <w:gridSpan w:val="3"/>
            <w:shd w:val="clear" w:color="auto" w:fill="auto"/>
            <w:vAlign w:val="bottom"/>
          </w:tcPr>
          <w:p w14:paraId="18600D3A" w14:textId="77777777" w:rsidR="00A91885" w:rsidRDefault="00A91885">
            <w:pPr>
              <w:rPr>
                <w:rFonts w:ascii="宋体"/>
                <w:vanish/>
              </w:rPr>
            </w:pPr>
          </w:p>
        </w:tc>
        <w:tc>
          <w:tcPr>
            <w:tcW w:w="0" w:type="auto"/>
            <w:gridSpan w:val="3"/>
            <w:shd w:val="clear" w:color="auto" w:fill="auto"/>
            <w:vAlign w:val="bottom"/>
          </w:tcPr>
          <w:p w14:paraId="18600D3B" w14:textId="77777777" w:rsidR="00A91885" w:rsidRDefault="00A91885">
            <w:pPr>
              <w:rPr>
                <w:rFonts w:ascii="宋体"/>
                <w:vanish/>
              </w:rPr>
            </w:pPr>
          </w:p>
        </w:tc>
        <w:tc>
          <w:tcPr>
            <w:tcW w:w="0" w:type="auto"/>
            <w:gridSpan w:val="3"/>
            <w:shd w:val="clear" w:color="auto" w:fill="auto"/>
            <w:vAlign w:val="bottom"/>
          </w:tcPr>
          <w:p w14:paraId="18600D3C" w14:textId="77777777" w:rsidR="00A91885" w:rsidRDefault="00A91885">
            <w:pPr>
              <w:rPr>
                <w:rFonts w:ascii="宋体"/>
                <w:vanish/>
              </w:rPr>
            </w:pPr>
          </w:p>
        </w:tc>
        <w:tc>
          <w:tcPr>
            <w:tcW w:w="0" w:type="auto"/>
            <w:gridSpan w:val="3"/>
            <w:shd w:val="clear" w:color="auto" w:fill="auto"/>
            <w:vAlign w:val="bottom"/>
          </w:tcPr>
          <w:p w14:paraId="18600D3D" w14:textId="77777777" w:rsidR="00A91885" w:rsidRDefault="00A91885">
            <w:pPr>
              <w:rPr>
                <w:rFonts w:ascii="宋体"/>
                <w:vanish/>
              </w:rPr>
            </w:pPr>
          </w:p>
        </w:tc>
        <w:tc>
          <w:tcPr>
            <w:tcW w:w="0" w:type="auto"/>
            <w:gridSpan w:val="3"/>
            <w:shd w:val="clear" w:color="auto" w:fill="auto"/>
            <w:vAlign w:val="bottom"/>
          </w:tcPr>
          <w:p w14:paraId="18600D3E" w14:textId="77777777" w:rsidR="00A91885" w:rsidRDefault="00A91885">
            <w:pPr>
              <w:rPr>
                <w:rFonts w:ascii="宋体"/>
                <w:vanish/>
              </w:rPr>
            </w:pPr>
          </w:p>
        </w:tc>
      </w:tr>
      <w:tr w:rsidR="00A91885" w14:paraId="18600D4D" w14:textId="77777777">
        <w:tc>
          <w:tcPr>
            <w:tcW w:w="0" w:type="auto"/>
            <w:gridSpan w:val="3"/>
            <w:shd w:val="clear" w:color="auto" w:fill="FFFFFF"/>
            <w:tcMar>
              <w:top w:w="40" w:type="dxa"/>
              <w:left w:w="20" w:type="dxa"/>
              <w:bottom w:w="40" w:type="dxa"/>
              <w:right w:w="20" w:type="dxa"/>
            </w:tcMar>
            <w:vAlign w:val="bottom"/>
          </w:tcPr>
          <w:p w14:paraId="18600D40" w14:textId="77777777" w:rsidR="00A91885" w:rsidRDefault="009C4196">
            <w:pPr>
              <w:textAlignment w:val="bottom"/>
            </w:pPr>
            <w:r>
              <w:rPr>
                <w:rFonts w:ascii="Arial" w:eastAsia="宋体" w:hAnsi="Arial" w:cs="Arial"/>
                <w:color w:val="000000"/>
                <w:sz w:val="16"/>
                <w:szCs w:val="16"/>
              </w:rPr>
              <w:t>Less: Current portion of long-term debt</w:t>
            </w:r>
          </w:p>
        </w:tc>
        <w:tc>
          <w:tcPr>
            <w:tcW w:w="0" w:type="auto"/>
            <w:gridSpan w:val="3"/>
            <w:shd w:val="clear" w:color="auto" w:fill="FFFFFF"/>
            <w:tcMar>
              <w:top w:w="0" w:type="dxa"/>
              <w:left w:w="20" w:type="dxa"/>
              <w:bottom w:w="0" w:type="dxa"/>
              <w:right w:w="20" w:type="dxa"/>
            </w:tcMar>
            <w:vAlign w:val="bottom"/>
          </w:tcPr>
          <w:p w14:paraId="18600D4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42"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43"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D44" w14:textId="77777777" w:rsidR="00A91885" w:rsidRDefault="009C4196">
            <w:pPr>
              <w:jc w:val="right"/>
              <w:textAlignment w:val="bottom"/>
            </w:pPr>
            <w:r>
              <w:rPr>
                <w:rFonts w:ascii="Arial" w:eastAsia="宋体" w:hAnsi="Arial" w:cs="Arial"/>
                <w:color w:val="000000"/>
                <w:sz w:val="16"/>
                <w:szCs w:val="16"/>
              </w:rPr>
              <w:t>(1,149)</w:t>
            </w:r>
          </w:p>
        </w:tc>
        <w:tc>
          <w:tcPr>
            <w:tcW w:w="0" w:type="auto"/>
            <w:shd w:val="clear" w:color="auto" w:fill="FFFFFF"/>
            <w:tcMar>
              <w:top w:w="40" w:type="dxa"/>
              <w:left w:w="0" w:type="dxa"/>
              <w:bottom w:w="40" w:type="dxa"/>
              <w:right w:w="20" w:type="dxa"/>
            </w:tcMar>
            <w:vAlign w:val="bottom"/>
          </w:tcPr>
          <w:p w14:paraId="18600D4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D46"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47"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4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D49" w14:textId="77777777" w:rsidR="00A91885" w:rsidRDefault="009C4196">
            <w:pPr>
              <w:jc w:val="right"/>
              <w:textAlignment w:val="bottom"/>
            </w:pPr>
            <w:r>
              <w:rPr>
                <w:rFonts w:ascii="Arial" w:eastAsia="宋体" w:hAnsi="Arial" w:cs="Arial"/>
                <w:color w:val="000000"/>
                <w:sz w:val="16"/>
                <w:szCs w:val="16"/>
              </w:rPr>
              <w:t>(1,355)</w:t>
            </w:r>
          </w:p>
        </w:tc>
        <w:tc>
          <w:tcPr>
            <w:tcW w:w="0" w:type="auto"/>
            <w:shd w:val="clear" w:color="auto" w:fill="FFFFFF"/>
            <w:tcMar>
              <w:top w:w="40" w:type="dxa"/>
              <w:left w:w="0" w:type="dxa"/>
              <w:bottom w:w="40" w:type="dxa"/>
              <w:right w:w="20" w:type="dxa"/>
            </w:tcMar>
            <w:vAlign w:val="bottom"/>
          </w:tcPr>
          <w:p w14:paraId="18600D4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D4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4C" w14:textId="77777777" w:rsidR="00A91885" w:rsidRDefault="00A91885">
            <w:pPr>
              <w:rPr>
                <w:rFonts w:ascii="宋体"/>
              </w:rPr>
            </w:pPr>
          </w:p>
        </w:tc>
      </w:tr>
      <w:tr w:rsidR="00A91885" w14:paraId="18600D5B" w14:textId="77777777">
        <w:tc>
          <w:tcPr>
            <w:tcW w:w="0" w:type="auto"/>
            <w:gridSpan w:val="3"/>
            <w:shd w:val="clear" w:color="auto" w:fill="DBDBDB"/>
            <w:tcMar>
              <w:top w:w="40" w:type="dxa"/>
              <w:left w:w="380" w:type="dxa"/>
              <w:bottom w:w="40" w:type="dxa"/>
              <w:right w:w="20" w:type="dxa"/>
            </w:tcMar>
            <w:vAlign w:val="bottom"/>
          </w:tcPr>
          <w:p w14:paraId="18600D4E" w14:textId="77777777" w:rsidR="00A91885" w:rsidRDefault="009C4196">
            <w:pPr>
              <w:textAlignment w:val="bottom"/>
            </w:pPr>
            <w:r>
              <w:rPr>
                <w:rFonts w:ascii="Arial" w:eastAsia="宋体" w:hAnsi="Arial" w:cs="Arial"/>
                <w:color w:val="000000"/>
                <w:sz w:val="16"/>
                <w:szCs w:val="16"/>
              </w:rPr>
              <w:t>Total long-term debt</w:t>
            </w:r>
          </w:p>
        </w:tc>
        <w:tc>
          <w:tcPr>
            <w:tcW w:w="0" w:type="auto"/>
            <w:gridSpan w:val="3"/>
            <w:shd w:val="clear" w:color="auto" w:fill="DBDBDB"/>
            <w:tcMar>
              <w:top w:w="0" w:type="dxa"/>
              <w:left w:w="20" w:type="dxa"/>
              <w:bottom w:w="0" w:type="dxa"/>
              <w:right w:w="20" w:type="dxa"/>
            </w:tcMar>
            <w:vAlign w:val="bottom"/>
          </w:tcPr>
          <w:p w14:paraId="18600D4F"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50"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51" w14:textId="77777777" w:rsidR="00A91885" w:rsidRDefault="00A91885">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18600D52" w14:textId="77777777" w:rsidR="00A91885" w:rsidRDefault="009C4196">
            <w:pPr>
              <w:jc w:val="right"/>
              <w:textAlignment w:val="bottom"/>
            </w:pPr>
            <w:r>
              <w:rPr>
                <w:rFonts w:ascii="Arial" w:eastAsia="宋体" w:hAnsi="Arial" w:cs="Arial"/>
                <w:color w:val="000000"/>
                <w:sz w:val="16"/>
                <w:szCs w:val="16"/>
              </w:rPr>
              <w:t>6,579 </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0D53"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D54"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55"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56" w14:textId="77777777" w:rsidR="00A91885" w:rsidRDefault="00A91885">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18600D57" w14:textId="77777777" w:rsidR="00A91885" w:rsidRDefault="009C4196">
            <w:pPr>
              <w:jc w:val="right"/>
              <w:textAlignment w:val="bottom"/>
            </w:pPr>
            <w:r>
              <w:rPr>
                <w:rFonts w:ascii="Arial" w:eastAsia="宋体" w:hAnsi="Arial" w:cs="Arial"/>
                <w:color w:val="000000"/>
                <w:sz w:val="16"/>
                <w:szCs w:val="16"/>
              </w:rPr>
              <w:t>7,727 </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0D58"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D59"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5A" w14:textId="77777777" w:rsidR="00A91885" w:rsidRDefault="00A91885">
            <w:pPr>
              <w:rPr>
                <w:rFonts w:ascii="宋体"/>
              </w:rPr>
            </w:pPr>
          </w:p>
        </w:tc>
      </w:tr>
      <w:tr w:rsidR="00A91885" w14:paraId="18600D67" w14:textId="77777777">
        <w:trPr>
          <w:trHeight w:val="240"/>
        </w:trPr>
        <w:tc>
          <w:tcPr>
            <w:tcW w:w="0" w:type="auto"/>
            <w:gridSpan w:val="3"/>
            <w:shd w:val="clear" w:color="auto" w:fill="FFFFFF"/>
            <w:tcMar>
              <w:top w:w="0" w:type="dxa"/>
              <w:left w:w="20" w:type="dxa"/>
              <w:bottom w:w="0" w:type="dxa"/>
              <w:right w:w="20" w:type="dxa"/>
            </w:tcMar>
            <w:vAlign w:val="bottom"/>
          </w:tcPr>
          <w:p w14:paraId="18600D5C"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5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5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5F"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600D60"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6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62"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63" w14:textId="77777777" w:rsidR="00A91885" w:rsidRDefault="00A91885">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18600D64"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65"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66" w14:textId="77777777" w:rsidR="00A91885" w:rsidRDefault="00A91885">
            <w:pPr>
              <w:rPr>
                <w:rFonts w:ascii="宋体"/>
              </w:rPr>
            </w:pPr>
          </w:p>
        </w:tc>
      </w:tr>
      <w:tr w:rsidR="00A91885" w14:paraId="18600D73" w14:textId="77777777">
        <w:tc>
          <w:tcPr>
            <w:tcW w:w="0" w:type="auto"/>
            <w:gridSpan w:val="3"/>
            <w:shd w:val="clear" w:color="auto" w:fill="DBDBDB"/>
            <w:tcMar>
              <w:top w:w="40" w:type="dxa"/>
              <w:left w:w="20" w:type="dxa"/>
              <w:bottom w:w="40" w:type="dxa"/>
              <w:right w:w="20" w:type="dxa"/>
            </w:tcMar>
            <w:vAlign w:val="bottom"/>
          </w:tcPr>
          <w:p w14:paraId="18600D68" w14:textId="77777777" w:rsidR="00A91885" w:rsidRDefault="009C4196">
            <w:pPr>
              <w:textAlignment w:val="bottom"/>
            </w:pPr>
            <w:r>
              <w:rPr>
                <w:rFonts w:ascii="Arial" w:eastAsia="宋体" w:hAnsi="Arial" w:cs="Arial"/>
                <w:b/>
                <w:bCs/>
                <w:color w:val="000000"/>
                <w:sz w:val="16"/>
                <w:szCs w:val="16"/>
              </w:rPr>
              <w:t>Short-Term Debt</w:t>
            </w:r>
          </w:p>
        </w:tc>
        <w:tc>
          <w:tcPr>
            <w:tcW w:w="0" w:type="auto"/>
            <w:gridSpan w:val="3"/>
            <w:shd w:val="clear" w:color="auto" w:fill="DBDBDB"/>
            <w:tcMar>
              <w:top w:w="0" w:type="dxa"/>
              <w:left w:w="20" w:type="dxa"/>
              <w:bottom w:w="0" w:type="dxa"/>
              <w:right w:w="20" w:type="dxa"/>
            </w:tcMar>
            <w:vAlign w:val="bottom"/>
          </w:tcPr>
          <w:p w14:paraId="18600D69"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6A"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6B"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6C"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6D"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6E"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6F"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70"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71"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72" w14:textId="77777777" w:rsidR="00A91885" w:rsidRDefault="00A91885">
            <w:pPr>
              <w:rPr>
                <w:rFonts w:ascii="宋体"/>
              </w:rPr>
            </w:pPr>
          </w:p>
        </w:tc>
      </w:tr>
      <w:tr w:rsidR="00A91885" w14:paraId="18600D81" w14:textId="77777777">
        <w:tc>
          <w:tcPr>
            <w:tcW w:w="0" w:type="auto"/>
            <w:gridSpan w:val="3"/>
            <w:shd w:val="clear" w:color="auto" w:fill="FFFFFF"/>
            <w:tcMar>
              <w:top w:w="40" w:type="dxa"/>
              <w:left w:w="155" w:type="dxa"/>
              <w:bottom w:w="40" w:type="dxa"/>
              <w:right w:w="20" w:type="dxa"/>
            </w:tcMar>
            <w:vAlign w:val="bottom"/>
          </w:tcPr>
          <w:p w14:paraId="18600D74" w14:textId="77777777" w:rsidR="00A91885" w:rsidRDefault="009C4196">
            <w:pPr>
              <w:textAlignment w:val="bottom"/>
            </w:pPr>
            <w:r>
              <w:rPr>
                <w:rFonts w:ascii="Arial" w:eastAsia="宋体" w:hAnsi="Arial" w:cs="Arial"/>
                <w:color w:val="000000"/>
                <w:sz w:val="16"/>
                <w:szCs w:val="16"/>
              </w:rPr>
              <w:t>Current portion of long-term debt</w:t>
            </w:r>
          </w:p>
        </w:tc>
        <w:tc>
          <w:tcPr>
            <w:tcW w:w="0" w:type="auto"/>
            <w:gridSpan w:val="3"/>
            <w:shd w:val="clear" w:color="auto" w:fill="FFFFFF"/>
            <w:tcMar>
              <w:top w:w="0" w:type="dxa"/>
              <w:left w:w="20" w:type="dxa"/>
              <w:bottom w:w="0" w:type="dxa"/>
              <w:right w:w="20" w:type="dxa"/>
            </w:tcMar>
            <w:vAlign w:val="bottom"/>
          </w:tcPr>
          <w:p w14:paraId="18600D75"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76"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7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D78" w14:textId="77777777" w:rsidR="00A91885" w:rsidRDefault="009C4196">
            <w:pPr>
              <w:jc w:val="right"/>
              <w:textAlignment w:val="bottom"/>
            </w:pPr>
            <w:r>
              <w:rPr>
                <w:rFonts w:ascii="Arial" w:eastAsia="宋体" w:hAnsi="Arial" w:cs="Arial"/>
                <w:color w:val="000000"/>
                <w:sz w:val="16"/>
                <w:szCs w:val="16"/>
              </w:rPr>
              <w:t>1,149 </w:t>
            </w:r>
          </w:p>
        </w:tc>
        <w:tc>
          <w:tcPr>
            <w:tcW w:w="0" w:type="auto"/>
            <w:shd w:val="clear" w:color="auto" w:fill="FFFFFF"/>
            <w:tcMar>
              <w:top w:w="40" w:type="dxa"/>
              <w:left w:w="0" w:type="dxa"/>
              <w:bottom w:w="40" w:type="dxa"/>
              <w:right w:w="20" w:type="dxa"/>
            </w:tcMar>
            <w:vAlign w:val="bottom"/>
          </w:tcPr>
          <w:p w14:paraId="18600D7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D7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7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7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D7D" w14:textId="77777777" w:rsidR="00A91885" w:rsidRDefault="009C4196">
            <w:pPr>
              <w:jc w:val="right"/>
              <w:textAlignment w:val="bottom"/>
            </w:pPr>
            <w:r>
              <w:rPr>
                <w:rFonts w:ascii="Arial" w:eastAsia="宋体" w:hAnsi="Arial" w:cs="Arial"/>
                <w:color w:val="000000"/>
                <w:sz w:val="16"/>
                <w:szCs w:val="16"/>
              </w:rPr>
              <w:t>1,355 </w:t>
            </w:r>
          </w:p>
        </w:tc>
        <w:tc>
          <w:tcPr>
            <w:tcW w:w="0" w:type="auto"/>
            <w:shd w:val="clear" w:color="auto" w:fill="FFFFFF"/>
            <w:tcMar>
              <w:top w:w="40" w:type="dxa"/>
              <w:left w:w="0" w:type="dxa"/>
              <w:bottom w:w="40" w:type="dxa"/>
              <w:right w:w="20" w:type="dxa"/>
            </w:tcMar>
            <w:vAlign w:val="bottom"/>
          </w:tcPr>
          <w:p w14:paraId="18600D7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D7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80" w14:textId="77777777" w:rsidR="00A91885" w:rsidRDefault="00A91885">
            <w:pPr>
              <w:rPr>
                <w:rFonts w:ascii="宋体"/>
              </w:rPr>
            </w:pPr>
          </w:p>
        </w:tc>
      </w:tr>
      <w:tr w:rsidR="00A91885" w14:paraId="18600D8D" w14:textId="77777777">
        <w:trPr>
          <w:hidden/>
        </w:trPr>
        <w:tc>
          <w:tcPr>
            <w:tcW w:w="0" w:type="auto"/>
            <w:gridSpan w:val="3"/>
            <w:shd w:val="clear" w:color="auto" w:fill="auto"/>
            <w:vAlign w:val="bottom"/>
          </w:tcPr>
          <w:p w14:paraId="18600D82" w14:textId="77777777" w:rsidR="00A91885" w:rsidRDefault="00A91885">
            <w:pPr>
              <w:rPr>
                <w:rFonts w:ascii="宋体"/>
                <w:vanish/>
              </w:rPr>
            </w:pPr>
          </w:p>
        </w:tc>
        <w:tc>
          <w:tcPr>
            <w:tcW w:w="0" w:type="auto"/>
            <w:gridSpan w:val="3"/>
            <w:shd w:val="clear" w:color="auto" w:fill="auto"/>
            <w:vAlign w:val="bottom"/>
          </w:tcPr>
          <w:p w14:paraId="18600D83" w14:textId="77777777" w:rsidR="00A91885" w:rsidRDefault="00A91885">
            <w:pPr>
              <w:rPr>
                <w:rFonts w:ascii="宋体"/>
                <w:vanish/>
              </w:rPr>
            </w:pPr>
          </w:p>
        </w:tc>
        <w:tc>
          <w:tcPr>
            <w:tcW w:w="0" w:type="auto"/>
            <w:gridSpan w:val="3"/>
            <w:shd w:val="clear" w:color="auto" w:fill="auto"/>
            <w:vAlign w:val="bottom"/>
          </w:tcPr>
          <w:p w14:paraId="18600D84" w14:textId="77777777" w:rsidR="00A91885" w:rsidRDefault="00A91885">
            <w:pPr>
              <w:rPr>
                <w:rFonts w:ascii="宋体"/>
                <w:vanish/>
              </w:rPr>
            </w:pPr>
          </w:p>
        </w:tc>
        <w:tc>
          <w:tcPr>
            <w:tcW w:w="0" w:type="auto"/>
            <w:gridSpan w:val="3"/>
            <w:shd w:val="clear" w:color="auto" w:fill="auto"/>
            <w:vAlign w:val="bottom"/>
          </w:tcPr>
          <w:p w14:paraId="18600D85" w14:textId="77777777" w:rsidR="00A91885" w:rsidRDefault="00A91885">
            <w:pPr>
              <w:rPr>
                <w:rFonts w:ascii="宋体"/>
                <w:vanish/>
              </w:rPr>
            </w:pPr>
          </w:p>
        </w:tc>
        <w:tc>
          <w:tcPr>
            <w:tcW w:w="0" w:type="auto"/>
            <w:gridSpan w:val="3"/>
            <w:shd w:val="clear" w:color="auto" w:fill="auto"/>
            <w:vAlign w:val="bottom"/>
          </w:tcPr>
          <w:p w14:paraId="18600D86" w14:textId="77777777" w:rsidR="00A91885" w:rsidRDefault="00A91885">
            <w:pPr>
              <w:rPr>
                <w:rFonts w:ascii="宋体"/>
                <w:vanish/>
              </w:rPr>
            </w:pPr>
          </w:p>
        </w:tc>
        <w:tc>
          <w:tcPr>
            <w:tcW w:w="0" w:type="auto"/>
            <w:gridSpan w:val="3"/>
            <w:shd w:val="clear" w:color="auto" w:fill="auto"/>
            <w:vAlign w:val="bottom"/>
          </w:tcPr>
          <w:p w14:paraId="18600D87" w14:textId="77777777" w:rsidR="00A91885" w:rsidRDefault="00A91885">
            <w:pPr>
              <w:rPr>
                <w:rFonts w:ascii="宋体"/>
                <w:vanish/>
              </w:rPr>
            </w:pPr>
          </w:p>
        </w:tc>
        <w:tc>
          <w:tcPr>
            <w:tcW w:w="0" w:type="auto"/>
            <w:gridSpan w:val="3"/>
            <w:shd w:val="clear" w:color="auto" w:fill="auto"/>
            <w:vAlign w:val="bottom"/>
          </w:tcPr>
          <w:p w14:paraId="18600D88" w14:textId="77777777" w:rsidR="00A91885" w:rsidRDefault="00A91885">
            <w:pPr>
              <w:rPr>
                <w:rFonts w:ascii="宋体"/>
                <w:vanish/>
              </w:rPr>
            </w:pPr>
          </w:p>
        </w:tc>
        <w:tc>
          <w:tcPr>
            <w:tcW w:w="0" w:type="auto"/>
            <w:gridSpan w:val="3"/>
            <w:shd w:val="clear" w:color="auto" w:fill="auto"/>
            <w:vAlign w:val="bottom"/>
          </w:tcPr>
          <w:p w14:paraId="18600D89" w14:textId="77777777" w:rsidR="00A91885" w:rsidRDefault="00A91885">
            <w:pPr>
              <w:rPr>
                <w:rFonts w:ascii="宋体"/>
                <w:vanish/>
              </w:rPr>
            </w:pPr>
          </w:p>
        </w:tc>
        <w:tc>
          <w:tcPr>
            <w:tcW w:w="0" w:type="auto"/>
            <w:gridSpan w:val="3"/>
            <w:shd w:val="clear" w:color="auto" w:fill="auto"/>
            <w:vAlign w:val="bottom"/>
          </w:tcPr>
          <w:p w14:paraId="18600D8A" w14:textId="77777777" w:rsidR="00A91885" w:rsidRDefault="00A91885">
            <w:pPr>
              <w:rPr>
                <w:rFonts w:ascii="宋体"/>
                <w:vanish/>
              </w:rPr>
            </w:pPr>
          </w:p>
        </w:tc>
        <w:tc>
          <w:tcPr>
            <w:tcW w:w="0" w:type="auto"/>
            <w:gridSpan w:val="3"/>
            <w:shd w:val="clear" w:color="auto" w:fill="auto"/>
            <w:vAlign w:val="bottom"/>
          </w:tcPr>
          <w:p w14:paraId="18600D8B" w14:textId="77777777" w:rsidR="00A91885" w:rsidRDefault="00A91885">
            <w:pPr>
              <w:rPr>
                <w:rFonts w:ascii="宋体"/>
                <w:vanish/>
              </w:rPr>
            </w:pPr>
          </w:p>
        </w:tc>
        <w:tc>
          <w:tcPr>
            <w:tcW w:w="0" w:type="auto"/>
            <w:gridSpan w:val="3"/>
            <w:shd w:val="clear" w:color="auto" w:fill="auto"/>
            <w:vAlign w:val="bottom"/>
          </w:tcPr>
          <w:p w14:paraId="18600D8C" w14:textId="77777777" w:rsidR="00A91885" w:rsidRDefault="00A91885">
            <w:pPr>
              <w:rPr>
                <w:rFonts w:ascii="宋体"/>
                <w:vanish/>
              </w:rPr>
            </w:pPr>
          </w:p>
        </w:tc>
      </w:tr>
      <w:tr w:rsidR="00A91885" w14:paraId="18600D99" w14:textId="77777777">
        <w:trPr>
          <w:hidden/>
        </w:trPr>
        <w:tc>
          <w:tcPr>
            <w:tcW w:w="0" w:type="auto"/>
            <w:gridSpan w:val="3"/>
            <w:shd w:val="clear" w:color="auto" w:fill="auto"/>
            <w:vAlign w:val="bottom"/>
          </w:tcPr>
          <w:p w14:paraId="18600D8E" w14:textId="77777777" w:rsidR="00A91885" w:rsidRDefault="00A91885">
            <w:pPr>
              <w:rPr>
                <w:rFonts w:ascii="宋体"/>
                <w:vanish/>
              </w:rPr>
            </w:pPr>
          </w:p>
        </w:tc>
        <w:tc>
          <w:tcPr>
            <w:tcW w:w="0" w:type="auto"/>
            <w:gridSpan w:val="3"/>
            <w:shd w:val="clear" w:color="auto" w:fill="auto"/>
            <w:vAlign w:val="bottom"/>
          </w:tcPr>
          <w:p w14:paraId="18600D8F" w14:textId="77777777" w:rsidR="00A91885" w:rsidRDefault="00A91885">
            <w:pPr>
              <w:rPr>
                <w:rFonts w:ascii="宋体"/>
                <w:vanish/>
              </w:rPr>
            </w:pPr>
          </w:p>
        </w:tc>
        <w:tc>
          <w:tcPr>
            <w:tcW w:w="0" w:type="auto"/>
            <w:gridSpan w:val="3"/>
            <w:shd w:val="clear" w:color="auto" w:fill="auto"/>
            <w:vAlign w:val="bottom"/>
          </w:tcPr>
          <w:p w14:paraId="18600D90" w14:textId="77777777" w:rsidR="00A91885" w:rsidRDefault="00A91885">
            <w:pPr>
              <w:rPr>
                <w:rFonts w:ascii="宋体"/>
                <w:vanish/>
              </w:rPr>
            </w:pPr>
          </w:p>
        </w:tc>
        <w:tc>
          <w:tcPr>
            <w:tcW w:w="0" w:type="auto"/>
            <w:gridSpan w:val="3"/>
            <w:shd w:val="clear" w:color="auto" w:fill="auto"/>
            <w:vAlign w:val="bottom"/>
          </w:tcPr>
          <w:p w14:paraId="18600D91" w14:textId="77777777" w:rsidR="00A91885" w:rsidRDefault="00A91885">
            <w:pPr>
              <w:rPr>
                <w:rFonts w:ascii="宋体"/>
                <w:vanish/>
              </w:rPr>
            </w:pPr>
          </w:p>
        </w:tc>
        <w:tc>
          <w:tcPr>
            <w:tcW w:w="0" w:type="auto"/>
            <w:gridSpan w:val="3"/>
            <w:shd w:val="clear" w:color="auto" w:fill="auto"/>
            <w:vAlign w:val="bottom"/>
          </w:tcPr>
          <w:p w14:paraId="18600D92" w14:textId="77777777" w:rsidR="00A91885" w:rsidRDefault="00A91885">
            <w:pPr>
              <w:rPr>
                <w:rFonts w:ascii="宋体"/>
                <w:vanish/>
              </w:rPr>
            </w:pPr>
          </w:p>
        </w:tc>
        <w:tc>
          <w:tcPr>
            <w:tcW w:w="0" w:type="auto"/>
            <w:gridSpan w:val="3"/>
            <w:shd w:val="clear" w:color="auto" w:fill="auto"/>
            <w:vAlign w:val="bottom"/>
          </w:tcPr>
          <w:p w14:paraId="18600D93" w14:textId="77777777" w:rsidR="00A91885" w:rsidRDefault="00A91885">
            <w:pPr>
              <w:rPr>
                <w:rFonts w:ascii="宋体"/>
                <w:vanish/>
              </w:rPr>
            </w:pPr>
          </w:p>
        </w:tc>
        <w:tc>
          <w:tcPr>
            <w:tcW w:w="0" w:type="auto"/>
            <w:gridSpan w:val="3"/>
            <w:shd w:val="clear" w:color="auto" w:fill="auto"/>
            <w:vAlign w:val="bottom"/>
          </w:tcPr>
          <w:p w14:paraId="18600D94" w14:textId="77777777" w:rsidR="00A91885" w:rsidRDefault="00A91885">
            <w:pPr>
              <w:rPr>
                <w:rFonts w:ascii="宋体"/>
                <w:vanish/>
              </w:rPr>
            </w:pPr>
          </w:p>
        </w:tc>
        <w:tc>
          <w:tcPr>
            <w:tcW w:w="0" w:type="auto"/>
            <w:gridSpan w:val="3"/>
            <w:shd w:val="clear" w:color="auto" w:fill="auto"/>
            <w:vAlign w:val="bottom"/>
          </w:tcPr>
          <w:p w14:paraId="18600D95" w14:textId="77777777" w:rsidR="00A91885" w:rsidRDefault="00A91885">
            <w:pPr>
              <w:rPr>
                <w:rFonts w:ascii="宋体"/>
                <w:vanish/>
              </w:rPr>
            </w:pPr>
          </w:p>
        </w:tc>
        <w:tc>
          <w:tcPr>
            <w:tcW w:w="0" w:type="auto"/>
            <w:gridSpan w:val="3"/>
            <w:shd w:val="clear" w:color="auto" w:fill="auto"/>
            <w:vAlign w:val="bottom"/>
          </w:tcPr>
          <w:p w14:paraId="18600D96" w14:textId="77777777" w:rsidR="00A91885" w:rsidRDefault="00A91885">
            <w:pPr>
              <w:rPr>
                <w:rFonts w:ascii="宋体"/>
                <w:vanish/>
              </w:rPr>
            </w:pPr>
          </w:p>
        </w:tc>
        <w:tc>
          <w:tcPr>
            <w:tcW w:w="0" w:type="auto"/>
            <w:gridSpan w:val="3"/>
            <w:shd w:val="clear" w:color="auto" w:fill="auto"/>
            <w:vAlign w:val="bottom"/>
          </w:tcPr>
          <w:p w14:paraId="18600D97" w14:textId="77777777" w:rsidR="00A91885" w:rsidRDefault="00A91885">
            <w:pPr>
              <w:rPr>
                <w:rFonts w:ascii="宋体"/>
                <w:vanish/>
              </w:rPr>
            </w:pPr>
          </w:p>
        </w:tc>
        <w:tc>
          <w:tcPr>
            <w:tcW w:w="0" w:type="auto"/>
            <w:gridSpan w:val="3"/>
            <w:shd w:val="clear" w:color="auto" w:fill="auto"/>
            <w:vAlign w:val="bottom"/>
          </w:tcPr>
          <w:p w14:paraId="18600D98" w14:textId="77777777" w:rsidR="00A91885" w:rsidRDefault="00A91885">
            <w:pPr>
              <w:rPr>
                <w:rFonts w:ascii="宋体"/>
                <w:vanish/>
              </w:rPr>
            </w:pPr>
          </w:p>
        </w:tc>
      </w:tr>
      <w:tr w:rsidR="00A91885" w14:paraId="18600DA5" w14:textId="77777777">
        <w:trPr>
          <w:hidden/>
        </w:trPr>
        <w:tc>
          <w:tcPr>
            <w:tcW w:w="0" w:type="auto"/>
            <w:gridSpan w:val="3"/>
            <w:shd w:val="clear" w:color="auto" w:fill="auto"/>
            <w:vAlign w:val="bottom"/>
          </w:tcPr>
          <w:p w14:paraId="18600D9A" w14:textId="77777777" w:rsidR="00A91885" w:rsidRDefault="00A91885">
            <w:pPr>
              <w:rPr>
                <w:rFonts w:ascii="宋体"/>
                <w:vanish/>
              </w:rPr>
            </w:pPr>
          </w:p>
        </w:tc>
        <w:tc>
          <w:tcPr>
            <w:tcW w:w="0" w:type="auto"/>
            <w:gridSpan w:val="3"/>
            <w:shd w:val="clear" w:color="auto" w:fill="auto"/>
            <w:vAlign w:val="bottom"/>
          </w:tcPr>
          <w:p w14:paraId="18600D9B" w14:textId="77777777" w:rsidR="00A91885" w:rsidRDefault="00A91885">
            <w:pPr>
              <w:rPr>
                <w:rFonts w:ascii="宋体"/>
                <w:vanish/>
              </w:rPr>
            </w:pPr>
          </w:p>
        </w:tc>
        <w:tc>
          <w:tcPr>
            <w:tcW w:w="0" w:type="auto"/>
            <w:gridSpan w:val="3"/>
            <w:shd w:val="clear" w:color="auto" w:fill="auto"/>
            <w:vAlign w:val="bottom"/>
          </w:tcPr>
          <w:p w14:paraId="18600D9C" w14:textId="77777777" w:rsidR="00A91885" w:rsidRDefault="00A91885">
            <w:pPr>
              <w:rPr>
                <w:rFonts w:ascii="宋体"/>
                <w:vanish/>
              </w:rPr>
            </w:pPr>
          </w:p>
        </w:tc>
        <w:tc>
          <w:tcPr>
            <w:tcW w:w="0" w:type="auto"/>
            <w:gridSpan w:val="3"/>
            <w:shd w:val="clear" w:color="auto" w:fill="auto"/>
            <w:vAlign w:val="bottom"/>
          </w:tcPr>
          <w:p w14:paraId="18600D9D" w14:textId="77777777" w:rsidR="00A91885" w:rsidRDefault="00A91885">
            <w:pPr>
              <w:rPr>
                <w:rFonts w:ascii="宋体"/>
                <w:vanish/>
              </w:rPr>
            </w:pPr>
          </w:p>
        </w:tc>
        <w:tc>
          <w:tcPr>
            <w:tcW w:w="0" w:type="auto"/>
            <w:gridSpan w:val="3"/>
            <w:shd w:val="clear" w:color="auto" w:fill="auto"/>
            <w:vAlign w:val="bottom"/>
          </w:tcPr>
          <w:p w14:paraId="18600D9E" w14:textId="77777777" w:rsidR="00A91885" w:rsidRDefault="00A91885">
            <w:pPr>
              <w:rPr>
                <w:rFonts w:ascii="宋体"/>
                <w:vanish/>
              </w:rPr>
            </w:pPr>
          </w:p>
        </w:tc>
        <w:tc>
          <w:tcPr>
            <w:tcW w:w="0" w:type="auto"/>
            <w:gridSpan w:val="3"/>
            <w:shd w:val="clear" w:color="auto" w:fill="auto"/>
            <w:vAlign w:val="bottom"/>
          </w:tcPr>
          <w:p w14:paraId="18600D9F" w14:textId="77777777" w:rsidR="00A91885" w:rsidRDefault="00A91885">
            <w:pPr>
              <w:rPr>
                <w:rFonts w:ascii="宋体"/>
                <w:vanish/>
              </w:rPr>
            </w:pPr>
          </w:p>
        </w:tc>
        <w:tc>
          <w:tcPr>
            <w:tcW w:w="0" w:type="auto"/>
            <w:gridSpan w:val="3"/>
            <w:shd w:val="clear" w:color="auto" w:fill="auto"/>
            <w:vAlign w:val="bottom"/>
          </w:tcPr>
          <w:p w14:paraId="18600DA0" w14:textId="77777777" w:rsidR="00A91885" w:rsidRDefault="00A91885">
            <w:pPr>
              <w:rPr>
                <w:rFonts w:ascii="宋体"/>
                <w:vanish/>
              </w:rPr>
            </w:pPr>
          </w:p>
        </w:tc>
        <w:tc>
          <w:tcPr>
            <w:tcW w:w="0" w:type="auto"/>
            <w:gridSpan w:val="3"/>
            <w:shd w:val="clear" w:color="auto" w:fill="auto"/>
            <w:vAlign w:val="bottom"/>
          </w:tcPr>
          <w:p w14:paraId="18600DA1" w14:textId="77777777" w:rsidR="00A91885" w:rsidRDefault="00A91885">
            <w:pPr>
              <w:rPr>
                <w:rFonts w:ascii="宋体"/>
                <w:vanish/>
              </w:rPr>
            </w:pPr>
          </w:p>
        </w:tc>
        <w:tc>
          <w:tcPr>
            <w:tcW w:w="0" w:type="auto"/>
            <w:gridSpan w:val="3"/>
            <w:shd w:val="clear" w:color="auto" w:fill="auto"/>
            <w:vAlign w:val="bottom"/>
          </w:tcPr>
          <w:p w14:paraId="18600DA2" w14:textId="77777777" w:rsidR="00A91885" w:rsidRDefault="00A91885">
            <w:pPr>
              <w:rPr>
                <w:rFonts w:ascii="宋体"/>
                <w:vanish/>
              </w:rPr>
            </w:pPr>
          </w:p>
        </w:tc>
        <w:tc>
          <w:tcPr>
            <w:tcW w:w="0" w:type="auto"/>
            <w:gridSpan w:val="3"/>
            <w:shd w:val="clear" w:color="auto" w:fill="auto"/>
            <w:vAlign w:val="bottom"/>
          </w:tcPr>
          <w:p w14:paraId="18600DA3" w14:textId="77777777" w:rsidR="00A91885" w:rsidRDefault="00A91885">
            <w:pPr>
              <w:rPr>
                <w:rFonts w:ascii="宋体"/>
                <w:vanish/>
              </w:rPr>
            </w:pPr>
          </w:p>
        </w:tc>
        <w:tc>
          <w:tcPr>
            <w:tcW w:w="0" w:type="auto"/>
            <w:gridSpan w:val="3"/>
            <w:shd w:val="clear" w:color="auto" w:fill="auto"/>
            <w:vAlign w:val="bottom"/>
          </w:tcPr>
          <w:p w14:paraId="18600DA4" w14:textId="77777777" w:rsidR="00A91885" w:rsidRDefault="00A91885">
            <w:pPr>
              <w:rPr>
                <w:rFonts w:ascii="宋体"/>
                <w:vanish/>
              </w:rPr>
            </w:pPr>
          </w:p>
        </w:tc>
      </w:tr>
      <w:tr w:rsidR="00A91885" w14:paraId="18600DB1" w14:textId="77777777">
        <w:trPr>
          <w:hidden/>
        </w:trPr>
        <w:tc>
          <w:tcPr>
            <w:tcW w:w="0" w:type="auto"/>
            <w:gridSpan w:val="3"/>
            <w:shd w:val="clear" w:color="auto" w:fill="auto"/>
            <w:vAlign w:val="bottom"/>
          </w:tcPr>
          <w:p w14:paraId="18600DA6" w14:textId="77777777" w:rsidR="00A91885" w:rsidRDefault="00A91885">
            <w:pPr>
              <w:rPr>
                <w:rFonts w:ascii="宋体"/>
                <w:vanish/>
              </w:rPr>
            </w:pPr>
          </w:p>
        </w:tc>
        <w:tc>
          <w:tcPr>
            <w:tcW w:w="0" w:type="auto"/>
            <w:gridSpan w:val="3"/>
            <w:shd w:val="clear" w:color="auto" w:fill="auto"/>
            <w:vAlign w:val="bottom"/>
          </w:tcPr>
          <w:p w14:paraId="18600DA7" w14:textId="77777777" w:rsidR="00A91885" w:rsidRDefault="00A91885">
            <w:pPr>
              <w:rPr>
                <w:rFonts w:ascii="宋体"/>
                <w:vanish/>
              </w:rPr>
            </w:pPr>
          </w:p>
        </w:tc>
        <w:tc>
          <w:tcPr>
            <w:tcW w:w="0" w:type="auto"/>
            <w:gridSpan w:val="3"/>
            <w:shd w:val="clear" w:color="auto" w:fill="auto"/>
            <w:vAlign w:val="bottom"/>
          </w:tcPr>
          <w:p w14:paraId="18600DA8" w14:textId="77777777" w:rsidR="00A91885" w:rsidRDefault="00A91885">
            <w:pPr>
              <w:rPr>
                <w:rFonts w:ascii="宋体"/>
                <w:vanish/>
              </w:rPr>
            </w:pPr>
          </w:p>
        </w:tc>
        <w:tc>
          <w:tcPr>
            <w:tcW w:w="0" w:type="auto"/>
            <w:gridSpan w:val="3"/>
            <w:shd w:val="clear" w:color="auto" w:fill="auto"/>
            <w:vAlign w:val="bottom"/>
          </w:tcPr>
          <w:p w14:paraId="18600DA9" w14:textId="77777777" w:rsidR="00A91885" w:rsidRDefault="00A91885">
            <w:pPr>
              <w:rPr>
                <w:rFonts w:ascii="宋体"/>
                <w:vanish/>
              </w:rPr>
            </w:pPr>
          </w:p>
        </w:tc>
        <w:tc>
          <w:tcPr>
            <w:tcW w:w="0" w:type="auto"/>
            <w:gridSpan w:val="3"/>
            <w:shd w:val="clear" w:color="auto" w:fill="auto"/>
            <w:vAlign w:val="bottom"/>
          </w:tcPr>
          <w:p w14:paraId="18600DAA" w14:textId="77777777" w:rsidR="00A91885" w:rsidRDefault="00A91885">
            <w:pPr>
              <w:rPr>
                <w:rFonts w:ascii="宋体"/>
                <w:vanish/>
              </w:rPr>
            </w:pPr>
          </w:p>
        </w:tc>
        <w:tc>
          <w:tcPr>
            <w:tcW w:w="0" w:type="auto"/>
            <w:gridSpan w:val="3"/>
            <w:shd w:val="clear" w:color="auto" w:fill="auto"/>
            <w:vAlign w:val="bottom"/>
          </w:tcPr>
          <w:p w14:paraId="18600DAB" w14:textId="77777777" w:rsidR="00A91885" w:rsidRDefault="00A91885">
            <w:pPr>
              <w:rPr>
                <w:rFonts w:ascii="宋体"/>
                <w:vanish/>
              </w:rPr>
            </w:pPr>
          </w:p>
        </w:tc>
        <w:tc>
          <w:tcPr>
            <w:tcW w:w="0" w:type="auto"/>
            <w:gridSpan w:val="3"/>
            <w:shd w:val="clear" w:color="auto" w:fill="auto"/>
            <w:vAlign w:val="bottom"/>
          </w:tcPr>
          <w:p w14:paraId="18600DAC" w14:textId="77777777" w:rsidR="00A91885" w:rsidRDefault="00A91885">
            <w:pPr>
              <w:rPr>
                <w:rFonts w:ascii="宋体"/>
                <w:vanish/>
              </w:rPr>
            </w:pPr>
          </w:p>
        </w:tc>
        <w:tc>
          <w:tcPr>
            <w:tcW w:w="0" w:type="auto"/>
            <w:gridSpan w:val="3"/>
            <w:shd w:val="clear" w:color="auto" w:fill="auto"/>
            <w:vAlign w:val="bottom"/>
          </w:tcPr>
          <w:p w14:paraId="18600DAD" w14:textId="77777777" w:rsidR="00A91885" w:rsidRDefault="00A91885">
            <w:pPr>
              <w:rPr>
                <w:rFonts w:ascii="宋体"/>
                <w:vanish/>
              </w:rPr>
            </w:pPr>
          </w:p>
        </w:tc>
        <w:tc>
          <w:tcPr>
            <w:tcW w:w="0" w:type="auto"/>
            <w:gridSpan w:val="3"/>
            <w:shd w:val="clear" w:color="auto" w:fill="auto"/>
            <w:vAlign w:val="bottom"/>
          </w:tcPr>
          <w:p w14:paraId="18600DAE" w14:textId="77777777" w:rsidR="00A91885" w:rsidRDefault="00A91885">
            <w:pPr>
              <w:rPr>
                <w:rFonts w:ascii="宋体"/>
                <w:vanish/>
              </w:rPr>
            </w:pPr>
          </w:p>
        </w:tc>
        <w:tc>
          <w:tcPr>
            <w:tcW w:w="0" w:type="auto"/>
            <w:gridSpan w:val="3"/>
            <w:shd w:val="clear" w:color="auto" w:fill="auto"/>
            <w:vAlign w:val="bottom"/>
          </w:tcPr>
          <w:p w14:paraId="18600DAF" w14:textId="77777777" w:rsidR="00A91885" w:rsidRDefault="00A91885">
            <w:pPr>
              <w:rPr>
                <w:rFonts w:ascii="宋体"/>
                <w:vanish/>
              </w:rPr>
            </w:pPr>
          </w:p>
        </w:tc>
        <w:tc>
          <w:tcPr>
            <w:tcW w:w="0" w:type="auto"/>
            <w:gridSpan w:val="3"/>
            <w:shd w:val="clear" w:color="auto" w:fill="auto"/>
            <w:vAlign w:val="bottom"/>
          </w:tcPr>
          <w:p w14:paraId="18600DB0" w14:textId="77777777" w:rsidR="00A91885" w:rsidRDefault="00A91885">
            <w:pPr>
              <w:rPr>
                <w:rFonts w:ascii="宋体"/>
                <w:vanish/>
              </w:rPr>
            </w:pPr>
          </w:p>
        </w:tc>
      </w:tr>
      <w:tr w:rsidR="00A91885" w14:paraId="18600DBF" w14:textId="77777777">
        <w:tc>
          <w:tcPr>
            <w:tcW w:w="0" w:type="auto"/>
            <w:gridSpan w:val="3"/>
            <w:shd w:val="clear" w:color="auto" w:fill="DBDBDB"/>
            <w:tcMar>
              <w:top w:w="40" w:type="dxa"/>
              <w:left w:w="380" w:type="dxa"/>
              <w:bottom w:w="40" w:type="dxa"/>
              <w:right w:w="20" w:type="dxa"/>
            </w:tcMar>
            <w:vAlign w:val="bottom"/>
          </w:tcPr>
          <w:p w14:paraId="18600DB2" w14:textId="77777777" w:rsidR="00A91885" w:rsidRDefault="009C4196">
            <w:pPr>
              <w:textAlignment w:val="bottom"/>
            </w:pPr>
            <w:r>
              <w:rPr>
                <w:rFonts w:ascii="Arial" w:eastAsia="宋体" w:hAnsi="Arial" w:cs="Arial"/>
                <w:color w:val="000000"/>
                <w:sz w:val="16"/>
                <w:szCs w:val="16"/>
              </w:rPr>
              <w:t>Total short-term debt</w:t>
            </w:r>
          </w:p>
        </w:tc>
        <w:tc>
          <w:tcPr>
            <w:tcW w:w="0" w:type="auto"/>
            <w:gridSpan w:val="3"/>
            <w:shd w:val="clear" w:color="auto" w:fill="DBDBDB"/>
            <w:tcMar>
              <w:top w:w="0" w:type="dxa"/>
              <w:left w:w="20" w:type="dxa"/>
              <w:bottom w:w="0" w:type="dxa"/>
              <w:right w:w="20" w:type="dxa"/>
            </w:tcMar>
            <w:vAlign w:val="bottom"/>
          </w:tcPr>
          <w:p w14:paraId="18600DB3"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B4"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B5" w14:textId="77777777" w:rsidR="00A91885" w:rsidRDefault="00A91885">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18600DB6" w14:textId="77777777" w:rsidR="00A91885" w:rsidRDefault="009C4196">
            <w:pPr>
              <w:jc w:val="right"/>
              <w:textAlignment w:val="bottom"/>
            </w:pPr>
            <w:r>
              <w:rPr>
                <w:rFonts w:ascii="Arial" w:eastAsia="宋体" w:hAnsi="Arial" w:cs="Arial"/>
                <w:color w:val="000000"/>
                <w:sz w:val="16"/>
                <w:szCs w:val="16"/>
              </w:rPr>
              <w:t>1,149 </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0DB7"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DB8"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B9"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BA" w14:textId="77777777" w:rsidR="00A91885" w:rsidRDefault="00A91885">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18600DBB" w14:textId="77777777" w:rsidR="00A91885" w:rsidRDefault="009C4196">
            <w:pPr>
              <w:jc w:val="right"/>
              <w:textAlignment w:val="bottom"/>
            </w:pPr>
            <w:r>
              <w:rPr>
                <w:rFonts w:ascii="Arial" w:eastAsia="宋体" w:hAnsi="Arial" w:cs="Arial"/>
                <w:color w:val="000000"/>
                <w:sz w:val="16"/>
                <w:szCs w:val="16"/>
              </w:rPr>
              <w:t>1,355 </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0DBC"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DBD" w14:textId="77777777" w:rsidR="00A91885" w:rsidRDefault="00A91885">
            <w:pPr>
              <w:rPr>
                <w:rFonts w:ascii="宋体"/>
              </w:rPr>
            </w:pPr>
          </w:p>
        </w:tc>
        <w:tc>
          <w:tcPr>
            <w:tcW w:w="0" w:type="auto"/>
            <w:gridSpan w:val="3"/>
            <w:shd w:val="clear" w:color="auto" w:fill="DBDBDB"/>
            <w:tcMar>
              <w:top w:w="0" w:type="dxa"/>
              <w:left w:w="20" w:type="dxa"/>
              <w:bottom w:w="0" w:type="dxa"/>
              <w:right w:w="20" w:type="dxa"/>
            </w:tcMar>
            <w:vAlign w:val="bottom"/>
          </w:tcPr>
          <w:p w14:paraId="18600DBE" w14:textId="77777777" w:rsidR="00A91885" w:rsidRDefault="00A91885">
            <w:pPr>
              <w:rPr>
                <w:rFonts w:ascii="宋体"/>
              </w:rPr>
            </w:pPr>
          </w:p>
        </w:tc>
      </w:tr>
      <w:tr w:rsidR="00A91885" w14:paraId="18600DCF" w14:textId="77777777">
        <w:tc>
          <w:tcPr>
            <w:tcW w:w="0" w:type="auto"/>
            <w:gridSpan w:val="3"/>
            <w:shd w:val="clear" w:color="auto" w:fill="FFFFFF"/>
            <w:tcMar>
              <w:top w:w="40" w:type="dxa"/>
              <w:left w:w="155" w:type="dxa"/>
              <w:bottom w:w="40" w:type="dxa"/>
              <w:right w:w="20" w:type="dxa"/>
            </w:tcMar>
            <w:vAlign w:val="bottom"/>
          </w:tcPr>
          <w:p w14:paraId="18600DC0" w14:textId="77777777" w:rsidR="00A91885" w:rsidRDefault="009C4196">
            <w:pPr>
              <w:textAlignment w:val="bottom"/>
            </w:pPr>
            <w:r>
              <w:rPr>
                <w:rFonts w:ascii="Arial" w:eastAsia="宋体" w:hAnsi="Arial" w:cs="Arial"/>
                <w:b/>
                <w:bCs/>
                <w:color w:val="000000"/>
                <w:sz w:val="16"/>
                <w:szCs w:val="16"/>
              </w:rPr>
              <w:t xml:space="preserve">Total </w:t>
            </w:r>
            <w:r>
              <w:rPr>
                <w:rFonts w:ascii="Arial" w:eastAsia="宋体" w:hAnsi="Arial" w:cs="Arial"/>
                <w:b/>
                <w:bCs/>
                <w:color w:val="000000"/>
                <w:sz w:val="16"/>
                <w:szCs w:val="16"/>
              </w:rPr>
              <w:t>Debt</w:t>
            </w:r>
          </w:p>
        </w:tc>
        <w:tc>
          <w:tcPr>
            <w:tcW w:w="0" w:type="auto"/>
            <w:gridSpan w:val="3"/>
            <w:shd w:val="clear" w:color="auto" w:fill="FFFFFF"/>
            <w:tcMar>
              <w:top w:w="0" w:type="dxa"/>
              <w:left w:w="20" w:type="dxa"/>
              <w:bottom w:w="0" w:type="dxa"/>
              <w:right w:w="20" w:type="dxa"/>
            </w:tcMar>
            <w:vAlign w:val="bottom"/>
          </w:tcPr>
          <w:p w14:paraId="18600DC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C2"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C3"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DC4" w14:textId="77777777" w:rsidR="00A91885" w:rsidRDefault="009C4196">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DC5" w14:textId="77777777" w:rsidR="00A91885" w:rsidRDefault="009C4196">
            <w:pPr>
              <w:jc w:val="right"/>
              <w:textAlignment w:val="bottom"/>
            </w:pPr>
            <w:r>
              <w:rPr>
                <w:rFonts w:ascii="Arial" w:eastAsia="宋体" w:hAnsi="Arial" w:cs="Arial"/>
                <w:color w:val="000000"/>
                <w:sz w:val="16"/>
                <w:szCs w:val="16"/>
              </w:rPr>
              <w:t>7,728 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DC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DC7"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C8"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C9"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DCA" w14:textId="77777777" w:rsidR="00A91885" w:rsidRDefault="009C4196">
            <w:pPr>
              <w:textAlignment w:val="bottom"/>
            </w:pPr>
            <w:r>
              <w:rPr>
                <w:rFonts w:ascii="Arial" w:eastAsia="宋体" w:hAnsi="Arial" w:cs="Arial"/>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DCB" w14:textId="77777777" w:rsidR="00A91885" w:rsidRDefault="009C4196">
            <w:pPr>
              <w:jc w:val="right"/>
              <w:textAlignment w:val="bottom"/>
            </w:pPr>
            <w:r>
              <w:rPr>
                <w:rFonts w:ascii="Arial" w:eastAsia="宋体" w:hAnsi="Arial" w:cs="Arial"/>
                <w:color w:val="000000"/>
                <w:sz w:val="16"/>
                <w:szCs w:val="16"/>
              </w:rPr>
              <w:t>9,082 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DC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DC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0DCE" w14:textId="77777777" w:rsidR="00A91885" w:rsidRDefault="00A91885">
            <w:pPr>
              <w:rPr>
                <w:rFonts w:ascii="宋体"/>
              </w:rPr>
            </w:pPr>
          </w:p>
        </w:tc>
      </w:tr>
    </w:tbl>
    <w:p w14:paraId="18600DD0" w14:textId="77777777" w:rsidR="00A91885" w:rsidRDefault="009C4196">
      <w:pPr>
        <w:ind w:hanging="180"/>
        <w:jc w:val="both"/>
      </w:pPr>
      <w:r>
        <w:rPr>
          <w:rFonts w:ascii="Arial" w:eastAsia="宋体" w:hAnsi="Arial" w:cs="Arial"/>
          <w:color w:val="000000"/>
          <w:sz w:val="13"/>
          <w:szCs w:val="13"/>
        </w:rPr>
        <w:t xml:space="preserve">(1) </w:t>
      </w:r>
      <w:r>
        <w:rPr>
          <w:rFonts w:ascii="Arial" w:eastAsia="宋体" w:hAnsi="Arial" w:cs="Arial"/>
          <w:color w:val="000000"/>
          <w:sz w:val="16"/>
          <w:szCs w:val="16"/>
        </w:rPr>
        <w:t>Includes the fair value adjustments to debt associated with terminated interest rate swaps which are being recorded as a reduction to interest expense over the remaining term of the related notes.</w:t>
      </w:r>
    </w:p>
    <w:p w14:paraId="18600DD1" w14:textId="77777777" w:rsidR="00A91885" w:rsidRDefault="00A91885">
      <w:pPr>
        <w:ind w:firstLine="270"/>
      </w:pPr>
    </w:p>
    <w:p w14:paraId="18600DD2" w14:textId="77777777" w:rsidR="00A91885" w:rsidRDefault="009C4196">
      <w:pPr>
        <w:ind w:firstLine="270"/>
      </w:pPr>
      <w:r>
        <w:rPr>
          <w:rFonts w:ascii="Arial" w:eastAsia="宋体" w:hAnsi="Arial" w:cs="Arial"/>
          <w:b/>
          <w:bCs/>
          <w:i/>
          <w:iCs/>
          <w:color w:val="000000"/>
          <w:sz w:val="20"/>
          <w:szCs w:val="20"/>
        </w:rPr>
        <w:t>Senior Notes</w:t>
      </w:r>
      <w:r>
        <w:rPr>
          <w:rFonts w:ascii="Arial" w:eastAsia="宋体" w:hAnsi="Arial" w:cs="Arial"/>
          <w:b/>
          <w:bCs/>
          <w:i/>
          <w:iCs/>
          <w:color w:val="000000"/>
          <w:sz w:val="20"/>
          <w:szCs w:val="20"/>
        </w:rPr>
        <w:t xml:space="preserve"> </w:t>
      </w:r>
    </w:p>
    <w:p w14:paraId="18600DD3" w14:textId="77777777" w:rsidR="00A91885" w:rsidRDefault="00A91885">
      <w:pPr>
        <w:jc w:val="both"/>
      </w:pPr>
    </w:p>
    <w:p w14:paraId="18600DD4" w14:textId="77777777" w:rsidR="00A91885" w:rsidRDefault="009C4196">
      <w:pPr>
        <w:ind w:firstLine="540"/>
        <w:jc w:val="both"/>
      </w:pPr>
      <w:r>
        <w:rPr>
          <w:rFonts w:ascii="Arial" w:eastAsia="宋体" w:hAnsi="Arial" w:cs="Arial"/>
          <w:color w:val="000000"/>
          <w:sz w:val="20"/>
          <w:szCs w:val="20"/>
        </w:rPr>
        <w:t>During the second quarter of 2022, the company redeemed the $605 million aggregate principal amount of the 2.600% senior notes due 2022. Total cash consideration paid was $605 million, as the redemption price was equal to 100% of the principal amount. I</w:t>
      </w:r>
      <w:r>
        <w:rPr>
          <w:rFonts w:ascii="Arial" w:eastAsia="宋体" w:hAnsi="Arial" w:cs="Arial"/>
          <w:color w:val="000000"/>
          <w:sz w:val="20"/>
          <w:szCs w:val="20"/>
        </w:rPr>
        <w:t>n addition, we paid accrued and unpaid interest on the principal amount.</w:t>
      </w:r>
    </w:p>
    <w:p w14:paraId="18600DD5" w14:textId="77777777" w:rsidR="00A91885" w:rsidRDefault="00A91885">
      <w:pPr>
        <w:ind w:firstLine="540"/>
        <w:jc w:val="both"/>
      </w:pPr>
    </w:p>
    <w:p w14:paraId="18600DD6" w14:textId="77777777" w:rsidR="00A91885" w:rsidRDefault="009C4196">
      <w:pPr>
        <w:ind w:firstLine="540"/>
        <w:jc w:val="both"/>
      </w:pPr>
      <w:r>
        <w:rPr>
          <w:rFonts w:ascii="Arial" w:eastAsia="宋体" w:hAnsi="Arial" w:cs="Arial"/>
          <w:color w:val="000000"/>
          <w:sz w:val="20"/>
          <w:szCs w:val="20"/>
        </w:rPr>
        <w:t>During the first quarter of 2022, the company redeemed the $750 million aggregate principal amount of the 3.800% senior notes due March 2022. Total cash consideration paid was $750 m</w:t>
      </w:r>
      <w:r>
        <w:rPr>
          <w:rFonts w:ascii="Arial" w:eastAsia="宋体" w:hAnsi="Arial" w:cs="Arial"/>
          <w:color w:val="000000"/>
          <w:sz w:val="20"/>
          <w:szCs w:val="20"/>
        </w:rPr>
        <w:t>illion, as the redemption price was equal to 100% of the principal amount. In addition, we paid accrued and unpaid interest on the principal amount.</w:t>
      </w:r>
    </w:p>
    <w:p w14:paraId="18600DD7" w14:textId="77777777" w:rsidR="00A91885" w:rsidRDefault="00A91885">
      <w:pPr>
        <w:ind w:firstLine="540"/>
        <w:jc w:val="both"/>
      </w:pPr>
    </w:p>
    <w:p w14:paraId="18600DD8" w14:textId="77777777" w:rsidR="00A91885" w:rsidRDefault="009C4196">
      <w:pPr>
        <w:ind w:firstLine="540"/>
        <w:jc w:val="both"/>
      </w:pPr>
      <w:r>
        <w:rPr>
          <w:rFonts w:ascii="Arial" w:eastAsia="宋体" w:hAnsi="Arial" w:cs="Arial"/>
          <w:color w:val="000000"/>
          <w:sz w:val="20"/>
          <w:szCs w:val="20"/>
        </w:rPr>
        <w:t>None of the floating rate notes are redeemable prior to maturity. We may redeem some or all of the other f</w:t>
      </w:r>
      <w:r>
        <w:rPr>
          <w:rFonts w:ascii="Arial" w:eastAsia="宋体" w:hAnsi="Arial" w:cs="Arial"/>
          <w:color w:val="000000"/>
          <w:sz w:val="20"/>
          <w:szCs w:val="20"/>
        </w:rPr>
        <w:t xml:space="preserve">ixed rate notes of each series at any time and from time to time prior to their maturity, generally at a make-whole redemption price, plus accrued and unpaid interest. </w:t>
      </w:r>
    </w:p>
    <w:p w14:paraId="18600DD9" w14:textId="77777777" w:rsidR="00A91885" w:rsidRDefault="00A91885">
      <w:pPr>
        <w:ind w:firstLine="540"/>
        <w:jc w:val="both"/>
      </w:pPr>
    </w:p>
    <w:p w14:paraId="18600DDA" w14:textId="77777777" w:rsidR="00A91885" w:rsidRDefault="00A91885">
      <w:pPr>
        <w:ind w:firstLine="540"/>
        <w:jc w:val="both"/>
      </w:pPr>
    </w:p>
    <w:p w14:paraId="18600DDB" w14:textId="77777777" w:rsidR="00A91885" w:rsidRDefault="00A91885">
      <w:pPr>
        <w:jc w:val="center"/>
      </w:pPr>
    </w:p>
    <w:p w14:paraId="18600DDC" w14:textId="77777777" w:rsidR="00A91885" w:rsidRDefault="009C4196">
      <w:pPr>
        <w:jc w:val="center"/>
      </w:pPr>
      <w:r>
        <w:rPr>
          <w:rFonts w:ascii="Arial" w:eastAsia="宋体" w:hAnsi="Arial" w:cs="Arial"/>
          <w:color w:val="000000"/>
          <w:sz w:val="20"/>
          <w:szCs w:val="20"/>
        </w:rPr>
        <w:t>32</w:t>
      </w:r>
    </w:p>
    <w:p w14:paraId="18600DDD" w14:textId="77777777" w:rsidR="00A91885" w:rsidRDefault="009C4196">
      <w:r>
        <w:pict w14:anchorId="186021A3">
          <v:rect id="_x0000_i1056" style="width:415.3pt;height:1.5pt" o:hralign="center" o:hrstd="t" o:hr="t" fillcolor="#a0a0a0" stroked="f"/>
        </w:pict>
      </w:r>
    </w:p>
    <w:p w14:paraId="18600DDE" w14:textId="77777777" w:rsidR="00A91885" w:rsidRDefault="009C4196">
      <w:hyperlink r:id="rId116" w:anchor="ieb971428a625452486c65ae24899afca_7" w:history="1">
        <w:r>
          <w:rPr>
            <w:rStyle w:val="a5"/>
            <w:rFonts w:ascii="Arial" w:eastAsia="宋体" w:hAnsi="Arial" w:cs="Arial"/>
            <w:sz w:val="18"/>
            <w:szCs w:val="18"/>
          </w:rPr>
          <w:t>Table of Contents</w:t>
        </w:r>
      </w:hyperlink>
    </w:p>
    <w:p w14:paraId="18600DDF" w14:textId="77777777" w:rsidR="00A91885" w:rsidRDefault="009C4196">
      <w:pPr>
        <w:jc w:val="center"/>
      </w:pPr>
      <w:r>
        <w:rPr>
          <w:rFonts w:ascii="Arial" w:eastAsia="宋体" w:hAnsi="Arial" w:cs="Arial"/>
          <w:b/>
          <w:bCs/>
          <w:color w:val="000000"/>
          <w:sz w:val="20"/>
          <w:szCs w:val="20"/>
        </w:rPr>
        <w:t>eBay Inc.</w:t>
      </w:r>
    </w:p>
    <w:p w14:paraId="18600DE0"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0DE1" w14:textId="77777777" w:rsidR="00A91885" w:rsidRDefault="009C4196">
      <w:pPr>
        <w:ind w:firstLine="540"/>
        <w:jc w:val="both"/>
      </w:pPr>
      <w:r>
        <w:rPr>
          <w:rFonts w:ascii="Arial" w:eastAsia="宋体" w:hAnsi="Arial" w:cs="Arial"/>
          <w:color w:val="000000"/>
          <w:sz w:val="20"/>
          <w:szCs w:val="20"/>
        </w:rPr>
        <w:t>If a change of control triggering event (as defined in the applicable senior notes) occurs with respect to the floating rate notes due 2023, the 2.750% fixed rate notes due 2023, the 1.900% fixed rate notes due 2025, the 1.400% fixed rate notes due 2026, t</w:t>
      </w:r>
      <w:r>
        <w:rPr>
          <w:rFonts w:ascii="Arial" w:eastAsia="宋体" w:hAnsi="Arial" w:cs="Arial"/>
          <w:color w:val="000000"/>
          <w:sz w:val="20"/>
          <w:szCs w:val="20"/>
        </w:rPr>
        <w:t>he 3.600% fixed rate notes due 2027, the 2.700% fixed rate notes due 2030, the 2.600% fixed rate notes due 2031 or the 3.650% fixed rate notes due 2051, we must, subject to certain exceptions, offer to repurchase all of the notes of the applicable series a</w:t>
      </w:r>
      <w:r>
        <w:rPr>
          <w:rFonts w:ascii="Arial" w:eastAsia="宋体" w:hAnsi="Arial" w:cs="Arial"/>
          <w:color w:val="000000"/>
          <w:sz w:val="20"/>
          <w:szCs w:val="20"/>
        </w:rPr>
        <w:t xml:space="preserve">t a price equal to 101% of the principal amount, plus accrued and unpaid interest. </w:t>
      </w:r>
    </w:p>
    <w:p w14:paraId="18600DE2" w14:textId="77777777" w:rsidR="00A91885" w:rsidRDefault="00A91885">
      <w:pPr>
        <w:ind w:firstLine="540"/>
        <w:jc w:val="both"/>
      </w:pPr>
    </w:p>
    <w:p w14:paraId="18600DE3" w14:textId="77777777" w:rsidR="00A91885" w:rsidRDefault="009C4196">
      <w:pPr>
        <w:ind w:firstLine="540"/>
        <w:jc w:val="both"/>
      </w:pPr>
      <w:r>
        <w:rPr>
          <w:rFonts w:ascii="Arial" w:eastAsia="宋体" w:hAnsi="Arial" w:cs="Arial"/>
          <w:color w:val="000000"/>
          <w:sz w:val="20"/>
          <w:szCs w:val="20"/>
        </w:rPr>
        <w:t>The indenture pursuant to which the senior notes were issued includes customary covenants that, among other things and subject to exceptions, limit our ability to incur, a</w:t>
      </w:r>
      <w:r>
        <w:rPr>
          <w:rFonts w:ascii="Arial" w:eastAsia="宋体" w:hAnsi="Arial" w:cs="Arial"/>
          <w:color w:val="000000"/>
          <w:sz w:val="20"/>
          <w:szCs w:val="20"/>
        </w:rPr>
        <w:t>ssume or guarantee debt secured by liens on specified assets or enter into sale and lease-back transactions with respect to specified properties, and also includes customary events of default with customary grace periods in certain circumstances, including</w:t>
      </w:r>
      <w:r>
        <w:rPr>
          <w:rFonts w:ascii="Arial" w:eastAsia="宋体" w:hAnsi="Arial" w:cs="Arial"/>
          <w:color w:val="000000"/>
          <w:sz w:val="20"/>
          <w:szCs w:val="20"/>
        </w:rPr>
        <w:t xml:space="preserve"> payment defaults and bankruptcy-related defaults. </w:t>
      </w:r>
    </w:p>
    <w:p w14:paraId="18600DE4" w14:textId="77777777" w:rsidR="00A91885" w:rsidRDefault="00A91885">
      <w:pPr>
        <w:ind w:firstLine="540"/>
        <w:jc w:val="both"/>
      </w:pPr>
    </w:p>
    <w:p w14:paraId="18600DE5" w14:textId="77777777" w:rsidR="00A91885" w:rsidRDefault="009C4196">
      <w:pPr>
        <w:ind w:firstLine="540"/>
        <w:jc w:val="both"/>
      </w:pPr>
      <w:r>
        <w:rPr>
          <w:rFonts w:ascii="Arial" w:eastAsia="宋体" w:hAnsi="Arial" w:cs="Arial"/>
          <w:color w:val="000000"/>
          <w:sz w:val="20"/>
          <w:szCs w:val="20"/>
        </w:rPr>
        <w:t>To help achieve our interest rate risk management objectives, during the second quarter of 2020, we entered into interest rate swap agreements that effectively converted $400 million of our LIBOR-based f</w:t>
      </w:r>
      <w:r>
        <w:rPr>
          <w:rFonts w:ascii="Arial" w:eastAsia="宋体" w:hAnsi="Arial" w:cs="Arial"/>
          <w:color w:val="000000"/>
          <w:sz w:val="20"/>
          <w:szCs w:val="20"/>
        </w:rPr>
        <w:t>loating-rate debt to a fixed-rate basis. These swaps were designated as cash flow hedges and have maturity dates in 2023. During the second quarter of 2022, we began to hedge the variability of forecasted interest payments on anticipated debt issuance usin</w:t>
      </w:r>
      <w:r>
        <w:rPr>
          <w:rFonts w:ascii="Arial" w:eastAsia="宋体" w:hAnsi="Arial" w:cs="Arial"/>
          <w:color w:val="000000"/>
          <w:sz w:val="20"/>
          <w:szCs w:val="20"/>
        </w:rPr>
        <w:t>g forward-starting interest rate swaps. The total notional amount of these forward-starting interest rate swaps was $150 million as of June 30, 2022 and will be terminated upon issuance of the debt.</w:t>
      </w:r>
    </w:p>
    <w:p w14:paraId="18600DE6" w14:textId="77777777" w:rsidR="00A91885" w:rsidRDefault="00A91885">
      <w:pPr>
        <w:ind w:firstLine="540"/>
        <w:jc w:val="both"/>
      </w:pPr>
    </w:p>
    <w:p w14:paraId="18600DE7" w14:textId="77777777" w:rsidR="00A91885" w:rsidRDefault="009C4196">
      <w:pPr>
        <w:ind w:firstLine="540"/>
        <w:jc w:val="both"/>
      </w:pPr>
      <w:r>
        <w:rPr>
          <w:rFonts w:ascii="Arial" w:eastAsia="宋体" w:hAnsi="Arial" w:cs="Arial"/>
          <w:color w:val="000000"/>
          <w:sz w:val="20"/>
          <w:szCs w:val="20"/>
        </w:rPr>
        <w:t>The effective interest rates for our senior notes includ</w:t>
      </w:r>
      <w:r>
        <w:rPr>
          <w:rFonts w:ascii="Arial" w:eastAsia="宋体" w:hAnsi="Arial" w:cs="Arial"/>
          <w:color w:val="000000"/>
          <w:sz w:val="20"/>
          <w:szCs w:val="20"/>
        </w:rPr>
        <w:t>e the interest payable, the amortization of debt issuance costs and the amortization of any original issue discount and premium on these senior notes. Interest on these senior notes is payable either quarterly or semiannually. Interest expense associated w</w:t>
      </w:r>
      <w:r>
        <w:rPr>
          <w:rFonts w:ascii="Arial" w:eastAsia="宋体" w:hAnsi="Arial" w:cs="Arial"/>
          <w:color w:val="000000"/>
          <w:sz w:val="20"/>
          <w:szCs w:val="20"/>
        </w:rPr>
        <w:t xml:space="preserve">ith these senior notes, including amortization of debt issuance costs, was approximately $55 million and $59 million during the three months ended June 30, 2022 and 2021, respectively, and $115 million and $125 million during the six months ended June 30, </w:t>
      </w:r>
      <w:r>
        <w:rPr>
          <w:rFonts w:ascii="Arial" w:eastAsia="宋体" w:hAnsi="Arial" w:cs="Arial"/>
          <w:color w:val="000000"/>
          <w:sz w:val="20"/>
          <w:szCs w:val="20"/>
        </w:rPr>
        <w:t>2022 and 2021, respectively. As of June 30, 2022 and December 31, 2021, the estimated fair value of these senior notes, using Level 2 inputs, was approximately $7.0 billion and $9.5 billion, respectively.</w:t>
      </w:r>
    </w:p>
    <w:p w14:paraId="18600DE8" w14:textId="77777777" w:rsidR="00A91885" w:rsidRDefault="00A91885">
      <w:pPr>
        <w:ind w:firstLine="360"/>
      </w:pPr>
    </w:p>
    <w:p w14:paraId="18600DE9" w14:textId="77777777" w:rsidR="00A91885" w:rsidRDefault="009C4196">
      <w:pPr>
        <w:ind w:firstLine="270"/>
      </w:pPr>
      <w:r>
        <w:rPr>
          <w:rFonts w:ascii="Arial" w:eastAsia="宋体" w:hAnsi="Arial" w:cs="Arial"/>
          <w:b/>
          <w:bCs/>
          <w:i/>
          <w:iCs/>
          <w:color w:val="000000"/>
          <w:sz w:val="20"/>
          <w:szCs w:val="20"/>
        </w:rPr>
        <w:t>Commercial Paper</w:t>
      </w:r>
    </w:p>
    <w:p w14:paraId="18600DEA" w14:textId="77777777" w:rsidR="00A91885" w:rsidRDefault="00A91885">
      <w:pPr>
        <w:ind w:firstLine="360"/>
      </w:pPr>
    </w:p>
    <w:p w14:paraId="18600DEB" w14:textId="77777777" w:rsidR="00A91885" w:rsidRDefault="009C4196">
      <w:pPr>
        <w:ind w:firstLine="540"/>
        <w:jc w:val="both"/>
      </w:pPr>
      <w:r>
        <w:rPr>
          <w:rFonts w:ascii="Arial" w:eastAsia="宋体" w:hAnsi="Arial" w:cs="Arial"/>
          <w:color w:val="000000"/>
          <w:sz w:val="20"/>
          <w:szCs w:val="20"/>
        </w:rPr>
        <w:t>We have a commercial paper progr</w:t>
      </w:r>
      <w:r>
        <w:rPr>
          <w:rFonts w:ascii="Arial" w:eastAsia="宋体" w:hAnsi="Arial" w:cs="Arial"/>
          <w:color w:val="000000"/>
          <w:sz w:val="20"/>
          <w:szCs w:val="20"/>
        </w:rPr>
        <w:t>am pursuant to which we may issue commercial paper notes in an aggregate principal amount at maturity of up to $1.5 billion outstanding at any time with maturities of up to 397 days from the date of issue. As of June 30, 2022, there were no commercial pape</w:t>
      </w:r>
      <w:r>
        <w:rPr>
          <w:rFonts w:ascii="Arial" w:eastAsia="宋体" w:hAnsi="Arial" w:cs="Arial"/>
          <w:color w:val="000000"/>
          <w:sz w:val="20"/>
          <w:szCs w:val="20"/>
        </w:rPr>
        <w:t xml:space="preserve">r notes outstanding. </w:t>
      </w:r>
    </w:p>
    <w:p w14:paraId="18600DEC" w14:textId="77777777" w:rsidR="00A91885" w:rsidRDefault="00A91885">
      <w:pPr>
        <w:ind w:firstLine="360"/>
      </w:pPr>
    </w:p>
    <w:p w14:paraId="18600DED" w14:textId="77777777" w:rsidR="00A91885" w:rsidRDefault="009C4196">
      <w:pPr>
        <w:ind w:firstLine="270"/>
      </w:pPr>
      <w:r>
        <w:rPr>
          <w:rFonts w:ascii="Arial" w:eastAsia="宋体" w:hAnsi="Arial" w:cs="Arial"/>
          <w:b/>
          <w:bCs/>
          <w:i/>
          <w:iCs/>
          <w:color w:val="000000"/>
          <w:sz w:val="20"/>
          <w:szCs w:val="20"/>
        </w:rPr>
        <w:t xml:space="preserve">Credit Agreement </w:t>
      </w:r>
    </w:p>
    <w:p w14:paraId="18600DEE" w14:textId="77777777" w:rsidR="00A91885" w:rsidRDefault="00A91885">
      <w:pPr>
        <w:ind w:firstLine="360"/>
      </w:pPr>
    </w:p>
    <w:p w14:paraId="18600DEF" w14:textId="77777777" w:rsidR="00A91885" w:rsidRDefault="009C4196">
      <w:pPr>
        <w:ind w:firstLine="540"/>
        <w:jc w:val="both"/>
      </w:pPr>
      <w:r>
        <w:rPr>
          <w:rFonts w:ascii="Arial" w:eastAsia="宋体" w:hAnsi="Arial" w:cs="Arial"/>
          <w:color w:val="000000"/>
          <w:sz w:val="20"/>
          <w:szCs w:val="20"/>
        </w:rPr>
        <w:t>In March 2020, we entered into a credit agreement that provides for an unsecured $2 billion five-year credit facility. We may also, subject to the agreement of the applicable lenders, increase commitments under the</w:t>
      </w:r>
      <w:r>
        <w:rPr>
          <w:rFonts w:ascii="Arial" w:eastAsia="宋体" w:hAnsi="Arial" w:cs="Arial"/>
          <w:color w:val="000000"/>
          <w:sz w:val="20"/>
          <w:szCs w:val="20"/>
        </w:rPr>
        <w:t xml:space="preserve"> revolving credit facility by up to $1 billion. Funds borrowed under the credit agreement may be used for working capital, capital expenditures, acquisitions and other general corporate purposes.</w:t>
      </w:r>
    </w:p>
    <w:p w14:paraId="18600DF0" w14:textId="77777777" w:rsidR="00A91885" w:rsidRDefault="00A91885">
      <w:pPr>
        <w:ind w:firstLine="540"/>
        <w:jc w:val="both"/>
      </w:pPr>
    </w:p>
    <w:p w14:paraId="18600DF1" w14:textId="77777777" w:rsidR="00A91885" w:rsidRDefault="009C4196">
      <w:pPr>
        <w:ind w:firstLine="540"/>
        <w:jc w:val="both"/>
      </w:pPr>
      <w:r>
        <w:rPr>
          <w:rFonts w:ascii="Arial" w:eastAsia="宋体" w:hAnsi="Arial" w:cs="Arial"/>
          <w:color w:val="000000"/>
          <w:sz w:val="20"/>
          <w:szCs w:val="20"/>
        </w:rPr>
        <w:t>As of June 30, 2022, no borrowings were outstanding under o</w:t>
      </w:r>
      <w:r>
        <w:rPr>
          <w:rFonts w:ascii="Arial" w:eastAsia="宋体" w:hAnsi="Arial" w:cs="Arial"/>
          <w:color w:val="000000"/>
          <w:sz w:val="20"/>
          <w:szCs w:val="20"/>
        </w:rPr>
        <w:t>ur $2 billion credit agreement. However, as described above, we have an up to $1.5 billion commercial paper program and are required to maintain available borrowing capacity under our credit agreement in order to repay commercial paper borrowings in the ev</w:t>
      </w:r>
      <w:r>
        <w:rPr>
          <w:rFonts w:ascii="Arial" w:eastAsia="宋体" w:hAnsi="Arial" w:cs="Arial"/>
          <w:color w:val="000000"/>
          <w:sz w:val="20"/>
          <w:szCs w:val="20"/>
        </w:rPr>
        <w:t>ent we are unable to repay those borrowings from other sources when they become due, in an aggregate amount of $1.5 billion. As of June 30, 2022, no borrowings were outstanding under our commercial paper program; therefore, $2 billion of borrowing capacity</w:t>
      </w:r>
      <w:r>
        <w:rPr>
          <w:rFonts w:ascii="Arial" w:eastAsia="宋体" w:hAnsi="Arial" w:cs="Arial"/>
          <w:color w:val="000000"/>
          <w:sz w:val="20"/>
          <w:szCs w:val="20"/>
        </w:rPr>
        <w:t xml:space="preserve"> was available for other purposes permitted by the credit agreement, subject to customary conditions to borrowing. The credit agreement includes a covenant limiting our consolidated leverage ratio to no more than 4.0:1.0, subject to, upon the occurrence of</w:t>
      </w:r>
      <w:r>
        <w:rPr>
          <w:rFonts w:ascii="Arial" w:eastAsia="宋体" w:hAnsi="Arial" w:cs="Arial"/>
          <w:color w:val="000000"/>
          <w:sz w:val="20"/>
          <w:szCs w:val="20"/>
        </w:rPr>
        <w:t xml:space="preserve"> a qualified material acquisition, if so elected by us, a step-up to 4.5:1.0 for the four fiscal quarters completed following such qualified material acquisition. The credit agreement includes customary events of default, with corresponding grace periods i</w:t>
      </w:r>
      <w:r>
        <w:rPr>
          <w:rFonts w:ascii="Arial" w:eastAsia="宋体" w:hAnsi="Arial" w:cs="Arial"/>
          <w:color w:val="000000"/>
          <w:sz w:val="20"/>
          <w:szCs w:val="20"/>
        </w:rPr>
        <w:t>n certain circumstances, including payment defaults, cross-defaults and bankruptcy-related defaults. In addition, the credit agreement contains customary affirmative and negative covenants, including restrictions regarding the incurrence of liens and subsi</w:t>
      </w:r>
      <w:r>
        <w:rPr>
          <w:rFonts w:ascii="Arial" w:eastAsia="宋体" w:hAnsi="Arial" w:cs="Arial"/>
          <w:color w:val="000000"/>
          <w:sz w:val="20"/>
          <w:szCs w:val="20"/>
        </w:rPr>
        <w:t xml:space="preserve">diary indebtedness, in each case, subject to customary exceptions. The credit agreement also contains customary representations and warranties. </w:t>
      </w:r>
    </w:p>
    <w:p w14:paraId="18600DF2" w14:textId="77777777" w:rsidR="00A91885" w:rsidRDefault="00A91885">
      <w:pPr>
        <w:ind w:firstLine="540"/>
        <w:jc w:val="both"/>
      </w:pPr>
    </w:p>
    <w:p w14:paraId="18600DF3" w14:textId="77777777" w:rsidR="00A91885" w:rsidRDefault="00A91885">
      <w:pPr>
        <w:jc w:val="center"/>
      </w:pPr>
    </w:p>
    <w:p w14:paraId="18600DF4" w14:textId="77777777" w:rsidR="00A91885" w:rsidRDefault="009C4196">
      <w:pPr>
        <w:jc w:val="center"/>
      </w:pPr>
      <w:r>
        <w:rPr>
          <w:rFonts w:ascii="Arial" w:eastAsia="宋体" w:hAnsi="Arial" w:cs="Arial"/>
          <w:color w:val="000000"/>
          <w:sz w:val="20"/>
          <w:szCs w:val="20"/>
        </w:rPr>
        <w:t>33</w:t>
      </w:r>
    </w:p>
    <w:p w14:paraId="18600DF5" w14:textId="77777777" w:rsidR="00A91885" w:rsidRDefault="009C4196">
      <w:r>
        <w:pict w14:anchorId="186021A4">
          <v:rect id="_x0000_i1057" style="width:415.3pt;height:1.5pt" o:hralign="center" o:hrstd="t" o:hr="t" fillcolor="#a0a0a0" stroked="f"/>
        </w:pict>
      </w:r>
    </w:p>
    <w:p w14:paraId="18600DF6" w14:textId="77777777" w:rsidR="00A91885" w:rsidRDefault="009C4196">
      <w:hyperlink r:id="rId117" w:anchor="ieb971428a625452486c65ae24899afca_7" w:history="1">
        <w:r>
          <w:rPr>
            <w:rStyle w:val="a5"/>
            <w:rFonts w:ascii="Arial" w:eastAsia="宋体" w:hAnsi="Arial" w:cs="Arial"/>
            <w:sz w:val="18"/>
            <w:szCs w:val="18"/>
          </w:rPr>
          <w:t>Table of Contents</w:t>
        </w:r>
      </w:hyperlink>
    </w:p>
    <w:p w14:paraId="18600DF7" w14:textId="77777777" w:rsidR="00A91885" w:rsidRDefault="009C4196">
      <w:pPr>
        <w:jc w:val="center"/>
      </w:pPr>
      <w:r>
        <w:rPr>
          <w:rFonts w:ascii="Arial" w:eastAsia="宋体" w:hAnsi="Arial" w:cs="Arial"/>
          <w:b/>
          <w:bCs/>
          <w:color w:val="000000"/>
          <w:sz w:val="20"/>
          <w:szCs w:val="20"/>
        </w:rPr>
        <w:t>eBay Inc.</w:t>
      </w:r>
    </w:p>
    <w:p w14:paraId="18600DF8"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0DF9" w14:textId="77777777" w:rsidR="00A91885" w:rsidRDefault="009C4196">
      <w:pPr>
        <w:ind w:firstLine="540"/>
        <w:jc w:val="both"/>
      </w:pPr>
      <w:r>
        <w:rPr>
          <w:rFonts w:ascii="Arial" w:eastAsia="宋体" w:hAnsi="Arial" w:cs="Arial"/>
          <w:color w:val="000000"/>
          <w:sz w:val="20"/>
          <w:szCs w:val="20"/>
        </w:rPr>
        <w:t xml:space="preserve">We were in compliance with all financial covenants in our outstanding debt instruments during the six months </w:t>
      </w:r>
      <w:r>
        <w:rPr>
          <w:rFonts w:ascii="Arial" w:eastAsia="宋体" w:hAnsi="Arial" w:cs="Arial"/>
          <w:color w:val="000000"/>
          <w:sz w:val="20"/>
          <w:szCs w:val="20"/>
        </w:rPr>
        <w:t>ended June 30, 2022.</w:t>
      </w:r>
    </w:p>
    <w:p w14:paraId="18600DFA" w14:textId="77777777" w:rsidR="00A91885" w:rsidRDefault="00A91885">
      <w:pPr>
        <w:ind w:firstLine="540"/>
        <w:jc w:val="both"/>
      </w:pPr>
    </w:p>
    <w:p w14:paraId="18600DFB" w14:textId="77777777" w:rsidR="00A91885" w:rsidRDefault="00A91885">
      <w:pPr>
        <w:jc w:val="center"/>
      </w:pPr>
    </w:p>
    <w:p w14:paraId="18600DFC" w14:textId="77777777" w:rsidR="00A91885" w:rsidRDefault="009C4196">
      <w:pPr>
        <w:jc w:val="center"/>
      </w:pPr>
      <w:r>
        <w:rPr>
          <w:rFonts w:ascii="Arial" w:eastAsia="宋体" w:hAnsi="Arial" w:cs="Arial"/>
          <w:color w:val="000000"/>
          <w:sz w:val="20"/>
          <w:szCs w:val="20"/>
        </w:rPr>
        <w:t>34</w:t>
      </w:r>
    </w:p>
    <w:p w14:paraId="18600DFD" w14:textId="77777777" w:rsidR="00A91885" w:rsidRDefault="009C4196">
      <w:r>
        <w:pict w14:anchorId="186021A5">
          <v:rect id="_x0000_i1058" style="width:415.3pt;height:1.5pt" o:hralign="center" o:hrstd="t" o:hr="t" fillcolor="#a0a0a0" stroked="f"/>
        </w:pict>
      </w:r>
    </w:p>
    <w:p w14:paraId="18600DFE" w14:textId="77777777" w:rsidR="00A91885" w:rsidRDefault="009C4196">
      <w:hyperlink r:id="rId118" w:anchor="ieb971428a625452486c65ae24899afca_7" w:history="1">
        <w:r>
          <w:rPr>
            <w:rStyle w:val="a5"/>
            <w:rFonts w:ascii="Arial" w:eastAsia="宋体" w:hAnsi="Arial" w:cs="Arial"/>
            <w:sz w:val="18"/>
            <w:szCs w:val="18"/>
          </w:rPr>
          <w:t>Table of Contents</w:t>
        </w:r>
      </w:hyperlink>
    </w:p>
    <w:p w14:paraId="18600DFF" w14:textId="77777777" w:rsidR="00A91885" w:rsidRDefault="009C4196">
      <w:pPr>
        <w:jc w:val="center"/>
      </w:pPr>
      <w:r>
        <w:rPr>
          <w:rFonts w:ascii="Arial" w:eastAsia="宋体" w:hAnsi="Arial" w:cs="Arial"/>
          <w:b/>
          <w:bCs/>
          <w:color w:val="000000"/>
          <w:sz w:val="20"/>
          <w:szCs w:val="20"/>
        </w:rPr>
        <w:t>eBay Inc.</w:t>
      </w:r>
    </w:p>
    <w:p w14:paraId="18600E00" w14:textId="77777777" w:rsidR="00A91885" w:rsidRDefault="009C4196">
      <w:pPr>
        <w:spacing w:before="80"/>
        <w:jc w:val="center"/>
      </w:pPr>
      <w:r>
        <w:rPr>
          <w:rFonts w:ascii="Arial" w:eastAsia="宋体" w:hAnsi="Arial" w:cs="Arial"/>
          <w:b/>
          <w:bCs/>
          <w:color w:val="000000"/>
          <w:sz w:val="20"/>
          <w:szCs w:val="20"/>
        </w:rPr>
        <w:t xml:space="preserve">NOTES TO CONDENSED CONSOLIDATED </w:t>
      </w:r>
      <w:r>
        <w:rPr>
          <w:rFonts w:ascii="Arial" w:eastAsia="宋体" w:hAnsi="Arial" w:cs="Arial"/>
          <w:b/>
          <w:bCs/>
          <w:color w:val="000000"/>
          <w:sz w:val="20"/>
          <w:szCs w:val="20"/>
        </w:rPr>
        <w:t>FINANCIAL STATEMENTS—(Continued)</w:t>
      </w:r>
    </w:p>
    <w:p w14:paraId="18600E01" w14:textId="77777777" w:rsidR="00A91885" w:rsidRDefault="009C4196">
      <w:pPr>
        <w:jc w:val="both"/>
      </w:pPr>
      <w:r>
        <w:rPr>
          <w:rFonts w:ascii="Arial" w:eastAsia="宋体" w:hAnsi="Arial" w:cs="Arial"/>
          <w:b/>
          <w:bCs/>
          <w:color w:val="000000"/>
          <w:sz w:val="20"/>
          <w:szCs w:val="20"/>
        </w:rPr>
        <w:t>Note 10 — Supplemental Consolidated Financial Information</w:t>
      </w:r>
    </w:p>
    <w:p w14:paraId="18600E02" w14:textId="77777777" w:rsidR="00A91885" w:rsidRDefault="00A91885"/>
    <w:p w14:paraId="18600E03" w14:textId="77777777" w:rsidR="00A91885" w:rsidRDefault="009C4196">
      <w:pPr>
        <w:ind w:firstLine="270"/>
        <w:jc w:val="both"/>
      </w:pPr>
      <w:r>
        <w:rPr>
          <w:rFonts w:ascii="Arial" w:eastAsia="宋体" w:hAnsi="Arial" w:cs="Arial"/>
          <w:b/>
          <w:bCs/>
          <w:i/>
          <w:iCs/>
          <w:color w:val="000000"/>
          <w:sz w:val="20"/>
          <w:szCs w:val="20"/>
        </w:rPr>
        <w:t>Contract Balances</w:t>
      </w:r>
    </w:p>
    <w:p w14:paraId="18600E04" w14:textId="77777777" w:rsidR="00A91885" w:rsidRDefault="00A91885">
      <w:pPr>
        <w:ind w:firstLine="720"/>
        <w:jc w:val="both"/>
      </w:pPr>
    </w:p>
    <w:p w14:paraId="18600E05" w14:textId="77777777" w:rsidR="00A91885" w:rsidRDefault="009C4196">
      <w:pPr>
        <w:ind w:firstLine="540"/>
        <w:jc w:val="both"/>
      </w:pPr>
      <w:r>
        <w:rPr>
          <w:rFonts w:ascii="Arial" w:eastAsia="宋体" w:hAnsi="Arial" w:cs="Arial"/>
          <w:color w:val="000000"/>
          <w:sz w:val="20"/>
          <w:szCs w:val="20"/>
        </w:rPr>
        <w:t>Timing of revenue recognition may differ from the timing of invoicing to customers. Accounts receivable represents amounts invoiced and revenue r</w:t>
      </w:r>
      <w:r>
        <w:rPr>
          <w:rFonts w:ascii="Arial" w:eastAsia="宋体" w:hAnsi="Arial" w:cs="Arial"/>
          <w:color w:val="000000"/>
          <w:sz w:val="20"/>
          <w:szCs w:val="20"/>
        </w:rPr>
        <w:t>ecognized prior to invoicing when we have satisfied our performance obligation and have the unconditional right to payment. The allowance for doubtful accounts and authorized credits is estimated based upon our assessment of various factors including histo</w:t>
      </w:r>
      <w:r>
        <w:rPr>
          <w:rFonts w:ascii="Arial" w:eastAsia="宋体" w:hAnsi="Arial" w:cs="Arial"/>
          <w:color w:val="000000"/>
          <w:sz w:val="20"/>
          <w:szCs w:val="20"/>
        </w:rPr>
        <w:t>rical experience, the age of the accounts receivable balances, current economic conditions</w:t>
      </w:r>
      <w:r>
        <w:rPr>
          <w:rFonts w:ascii="Arial" w:eastAsia="宋体" w:hAnsi="Arial" w:cs="Arial"/>
          <w:color w:val="222222"/>
          <w:sz w:val="20"/>
          <w:szCs w:val="20"/>
        </w:rPr>
        <w:t xml:space="preserve"> reasonable and supportable forecasts,</w:t>
      </w:r>
      <w:r>
        <w:rPr>
          <w:rFonts w:ascii="Arial" w:eastAsia="宋体" w:hAnsi="Arial" w:cs="Arial"/>
          <w:color w:val="000000"/>
          <w:sz w:val="20"/>
          <w:szCs w:val="20"/>
        </w:rPr>
        <w:t xml:space="preserve"> and other factors that may affect our customers’ ability to pay. The allowance for doubtful accounts and authorized credits was</w:t>
      </w:r>
      <w:r>
        <w:rPr>
          <w:rFonts w:ascii="Arial" w:eastAsia="宋体" w:hAnsi="Arial" w:cs="Arial"/>
          <w:color w:val="000000"/>
          <w:sz w:val="20"/>
          <w:szCs w:val="20"/>
        </w:rPr>
        <w:t xml:space="preserve"> $51 million and $74 million as of June 30, 2022 and December 31, 2021, respectively. As of June 30, 2022, we reported an allowance for doubtful accounts of $27 million reflecting a decrease of $15 million, net of write-offs of $35 million for the six mont</w:t>
      </w:r>
      <w:r>
        <w:rPr>
          <w:rFonts w:ascii="Arial" w:eastAsia="宋体" w:hAnsi="Arial" w:cs="Arial"/>
          <w:color w:val="000000"/>
          <w:sz w:val="20"/>
          <w:szCs w:val="20"/>
        </w:rPr>
        <w:t>hs ended June 30, 2022. As of December 31, 2021, we reported an allowance for doubtful accounts of $42 million.</w:t>
      </w:r>
    </w:p>
    <w:p w14:paraId="18600E06" w14:textId="77777777" w:rsidR="00A91885" w:rsidRDefault="00A91885">
      <w:pPr>
        <w:ind w:firstLine="540"/>
        <w:jc w:val="both"/>
      </w:pPr>
    </w:p>
    <w:p w14:paraId="18600E07" w14:textId="77777777" w:rsidR="00A91885" w:rsidRDefault="009C4196">
      <w:pPr>
        <w:ind w:firstLine="540"/>
        <w:jc w:val="both"/>
      </w:pPr>
      <w:r>
        <w:rPr>
          <w:rFonts w:ascii="Arial" w:eastAsia="宋体" w:hAnsi="Arial" w:cs="Arial"/>
          <w:color w:val="000000"/>
          <w:sz w:val="20"/>
          <w:szCs w:val="20"/>
        </w:rPr>
        <w:t>Deferred revenue consists of fees received related to unsatisfied performance obligations at the end of the period. Due to the generally short-</w:t>
      </w:r>
      <w:r>
        <w:rPr>
          <w:rFonts w:ascii="Arial" w:eastAsia="宋体" w:hAnsi="Arial" w:cs="Arial"/>
          <w:color w:val="000000"/>
          <w:sz w:val="20"/>
          <w:szCs w:val="20"/>
        </w:rPr>
        <w:t xml:space="preserve">term duration of contracts, the majority of the performance obligations are satisfied in the following reporting period. The amount of revenue recognized for the six month period ended June 30, 2022 that was included in the deferred revenue balance at the </w:t>
      </w:r>
      <w:r>
        <w:rPr>
          <w:rFonts w:ascii="Arial" w:eastAsia="宋体" w:hAnsi="Arial" w:cs="Arial"/>
          <w:color w:val="000000"/>
          <w:sz w:val="20"/>
          <w:szCs w:val="20"/>
        </w:rPr>
        <w:t>beginning of the period was $37 million. The amount of revenue recognized for the six month period ended June 30, 2021 that was included in the deferred revenue balance at the beginning of the period was $46 million.</w:t>
      </w:r>
    </w:p>
    <w:p w14:paraId="18600E08" w14:textId="77777777" w:rsidR="00A91885" w:rsidRDefault="00A91885"/>
    <w:p w14:paraId="18600E09" w14:textId="77777777" w:rsidR="00A91885" w:rsidRDefault="009C4196">
      <w:pPr>
        <w:ind w:firstLine="270"/>
        <w:jc w:val="both"/>
      </w:pPr>
      <w:r>
        <w:rPr>
          <w:rFonts w:ascii="Arial" w:eastAsia="宋体" w:hAnsi="Arial" w:cs="Arial"/>
          <w:b/>
          <w:bCs/>
          <w:i/>
          <w:iCs/>
          <w:color w:val="000000"/>
          <w:sz w:val="20"/>
          <w:szCs w:val="20"/>
        </w:rPr>
        <w:t xml:space="preserve">Cash, cash equivalents and restricted </w:t>
      </w:r>
      <w:r>
        <w:rPr>
          <w:rFonts w:ascii="Arial" w:eastAsia="宋体" w:hAnsi="Arial" w:cs="Arial"/>
          <w:b/>
          <w:bCs/>
          <w:i/>
          <w:iCs/>
          <w:color w:val="000000"/>
          <w:sz w:val="20"/>
          <w:szCs w:val="20"/>
        </w:rPr>
        <w:t>cash</w:t>
      </w:r>
    </w:p>
    <w:tbl>
      <w:tblPr>
        <w:tblW w:w="5000" w:type="pct"/>
        <w:tblCellMar>
          <w:top w:w="15" w:type="dxa"/>
          <w:left w:w="15" w:type="dxa"/>
          <w:bottom w:w="15" w:type="dxa"/>
          <w:right w:w="15" w:type="dxa"/>
        </w:tblCellMar>
        <w:tblLook w:val="04A0" w:firstRow="1" w:lastRow="0" w:firstColumn="1" w:lastColumn="0" w:noHBand="0" w:noVBand="1"/>
      </w:tblPr>
      <w:tblGrid>
        <w:gridCol w:w="38"/>
        <w:gridCol w:w="5694"/>
        <w:gridCol w:w="37"/>
        <w:gridCol w:w="121"/>
        <w:gridCol w:w="1071"/>
        <w:gridCol w:w="36"/>
        <w:gridCol w:w="36"/>
        <w:gridCol w:w="36"/>
        <w:gridCol w:w="36"/>
        <w:gridCol w:w="122"/>
        <w:gridCol w:w="1073"/>
        <w:gridCol w:w="36"/>
      </w:tblGrid>
      <w:tr w:rsidR="00A91885" w14:paraId="18600E16" w14:textId="77777777">
        <w:tc>
          <w:tcPr>
            <w:tcW w:w="50" w:type="pct"/>
            <w:shd w:val="clear" w:color="auto" w:fill="auto"/>
            <w:vAlign w:val="bottom"/>
          </w:tcPr>
          <w:p w14:paraId="18600E0A" w14:textId="77777777" w:rsidR="00A91885" w:rsidRDefault="00A91885">
            <w:pPr>
              <w:rPr>
                <w:rFonts w:ascii="宋体"/>
              </w:rPr>
            </w:pPr>
          </w:p>
        </w:tc>
        <w:tc>
          <w:tcPr>
            <w:tcW w:w="3453" w:type="pct"/>
            <w:shd w:val="clear" w:color="auto" w:fill="auto"/>
            <w:vAlign w:val="bottom"/>
          </w:tcPr>
          <w:p w14:paraId="18600E0B" w14:textId="77777777" w:rsidR="00A91885" w:rsidRDefault="00A91885">
            <w:pPr>
              <w:rPr>
                <w:rFonts w:ascii="宋体"/>
              </w:rPr>
            </w:pPr>
          </w:p>
        </w:tc>
        <w:tc>
          <w:tcPr>
            <w:tcW w:w="5" w:type="pct"/>
            <w:shd w:val="clear" w:color="auto" w:fill="auto"/>
            <w:vAlign w:val="bottom"/>
          </w:tcPr>
          <w:p w14:paraId="18600E0C" w14:textId="77777777" w:rsidR="00A91885" w:rsidRDefault="00A91885">
            <w:pPr>
              <w:rPr>
                <w:rFonts w:ascii="宋体"/>
              </w:rPr>
            </w:pPr>
          </w:p>
        </w:tc>
        <w:tc>
          <w:tcPr>
            <w:tcW w:w="50" w:type="pct"/>
            <w:shd w:val="clear" w:color="auto" w:fill="auto"/>
            <w:vAlign w:val="bottom"/>
          </w:tcPr>
          <w:p w14:paraId="18600E0D" w14:textId="77777777" w:rsidR="00A91885" w:rsidRDefault="00A91885">
            <w:pPr>
              <w:rPr>
                <w:rFonts w:ascii="宋体"/>
              </w:rPr>
            </w:pPr>
          </w:p>
        </w:tc>
        <w:tc>
          <w:tcPr>
            <w:tcW w:w="675" w:type="pct"/>
            <w:shd w:val="clear" w:color="auto" w:fill="auto"/>
            <w:vAlign w:val="bottom"/>
          </w:tcPr>
          <w:p w14:paraId="18600E0E" w14:textId="77777777" w:rsidR="00A91885" w:rsidRDefault="00A91885">
            <w:pPr>
              <w:rPr>
                <w:rFonts w:ascii="宋体"/>
              </w:rPr>
            </w:pPr>
          </w:p>
        </w:tc>
        <w:tc>
          <w:tcPr>
            <w:tcW w:w="5" w:type="pct"/>
            <w:shd w:val="clear" w:color="auto" w:fill="auto"/>
            <w:vAlign w:val="bottom"/>
          </w:tcPr>
          <w:p w14:paraId="18600E0F" w14:textId="77777777" w:rsidR="00A91885" w:rsidRDefault="00A91885">
            <w:pPr>
              <w:rPr>
                <w:rFonts w:ascii="宋体"/>
              </w:rPr>
            </w:pPr>
          </w:p>
        </w:tc>
        <w:tc>
          <w:tcPr>
            <w:tcW w:w="5" w:type="pct"/>
            <w:shd w:val="clear" w:color="auto" w:fill="auto"/>
            <w:vAlign w:val="bottom"/>
          </w:tcPr>
          <w:p w14:paraId="18600E10" w14:textId="77777777" w:rsidR="00A91885" w:rsidRDefault="00A91885">
            <w:pPr>
              <w:rPr>
                <w:rFonts w:ascii="宋体"/>
              </w:rPr>
            </w:pPr>
          </w:p>
        </w:tc>
        <w:tc>
          <w:tcPr>
            <w:tcW w:w="19" w:type="pct"/>
            <w:shd w:val="clear" w:color="auto" w:fill="auto"/>
            <w:vAlign w:val="bottom"/>
          </w:tcPr>
          <w:p w14:paraId="18600E11" w14:textId="77777777" w:rsidR="00A91885" w:rsidRDefault="00A91885">
            <w:pPr>
              <w:rPr>
                <w:rFonts w:ascii="宋体"/>
              </w:rPr>
            </w:pPr>
          </w:p>
        </w:tc>
        <w:tc>
          <w:tcPr>
            <w:tcW w:w="5" w:type="pct"/>
            <w:shd w:val="clear" w:color="auto" w:fill="auto"/>
            <w:vAlign w:val="bottom"/>
          </w:tcPr>
          <w:p w14:paraId="18600E12" w14:textId="77777777" w:rsidR="00A91885" w:rsidRDefault="00A91885">
            <w:pPr>
              <w:rPr>
                <w:rFonts w:ascii="宋体"/>
              </w:rPr>
            </w:pPr>
          </w:p>
        </w:tc>
        <w:tc>
          <w:tcPr>
            <w:tcW w:w="50" w:type="pct"/>
            <w:shd w:val="clear" w:color="auto" w:fill="auto"/>
            <w:vAlign w:val="bottom"/>
          </w:tcPr>
          <w:p w14:paraId="18600E13" w14:textId="77777777" w:rsidR="00A91885" w:rsidRDefault="00A91885">
            <w:pPr>
              <w:rPr>
                <w:rFonts w:ascii="宋体"/>
              </w:rPr>
            </w:pPr>
          </w:p>
        </w:tc>
        <w:tc>
          <w:tcPr>
            <w:tcW w:w="676" w:type="pct"/>
            <w:shd w:val="clear" w:color="auto" w:fill="auto"/>
            <w:vAlign w:val="bottom"/>
          </w:tcPr>
          <w:p w14:paraId="18600E14" w14:textId="77777777" w:rsidR="00A91885" w:rsidRDefault="00A91885">
            <w:pPr>
              <w:rPr>
                <w:rFonts w:ascii="宋体"/>
              </w:rPr>
            </w:pPr>
          </w:p>
        </w:tc>
        <w:tc>
          <w:tcPr>
            <w:tcW w:w="5" w:type="pct"/>
            <w:shd w:val="clear" w:color="auto" w:fill="auto"/>
            <w:vAlign w:val="bottom"/>
          </w:tcPr>
          <w:p w14:paraId="18600E15" w14:textId="77777777" w:rsidR="00A91885" w:rsidRDefault="00A91885">
            <w:pPr>
              <w:rPr>
                <w:rFonts w:ascii="宋体"/>
              </w:rPr>
            </w:pPr>
          </w:p>
        </w:tc>
      </w:tr>
      <w:tr w:rsidR="00A91885" w14:paraId="18600E1B" w14:textId="77777777">
        <w:tc>
          <w:tcPr>
            <w:tcW w:w="0" w:type="auto"/>
            <w:gridSpan w:val="3"/>
            <w:shd w:val="clear" w:color="auto" w:fill="auto"/>
            <w:tcMar>
              <w:top w:w="0" w:type="dxa"/>
              <w:left w:w="20" w:type="dxa"/>
              <w:bottom w:w="0" w:type="dxa"/>
              <w:right w:w="20" w:type="dxa"/>
            </w:tcMar>
            <w:vAlign w:val="bottom"/>
          </w:tcPr>
          <w:p w14:paraId="18600E17"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E18" w14:textId="77777777" w:rsidR="00A91885" w:rsidRDefault="009C4196">
            <w:pPr>
              <w:jc w:val="center"/>
              <w:textAlignment w:val="bottom"/>
            </w:pPr>
            <w:r>
              <w:rPr>
                <w:rFonts w:ascii="Arial" w:eastAsia="宋体" w:hAnsi="Arial" w:cs="Arial"/>
                <w:b/>
                <w:bCs/>
                <w:color w:val="000000"/>
                <w:sz w:val="17"/>
                <w:szCs w:val="17"/>
              </w:rPr>
              <w:t>June 30,</w:t>
            </w:r>
            <w:r>
              <w:rPr>
                <w:rFonts w:ascii="Arial" w:eastAsia="宋体" w:hAnsi="Arial" w:cs="Arial"/>
                <w:b/>
                <w:bCs/>
                <w:color w:val="000000"/>
                <w:sz w:val="17"/>
                <w:szCs w:val="17"/>
              </w:rPr>
              <w:br/>
              <w:t>2022</w:t>
            </w:r>
          </w:p>
        </w:tc>
        <w:tc>
          <w:tcPr>
            <w:tcW w:w="0" w:type="auto"/>
            <w:gridSpan w:val="3"/>
            <w:shd w:val="clear" w:color="auto" w:fill="auto"/>
            <w:tcMar>
              <w:top w:w="0" w:type="dxa"/>
              <w:left w:w="20" w:type="dxa"/>
              <w:bottom w:w="0" w:type="dxa"/>
              <w:right w:w="20" w:type="dxa"/>
            </w:tcMar>
            <w:vAlign w:val="bottom"/>
          </w:tcPr>
          <w:p w14:paraId="18600E19" w14:textId="77777777" w:rsidR="00A91885" w:rsidRDefault="00A9188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8600E1A" w14:textId="77777777" w:rsidR="00A91885" w:rsidRDefault="009C4196">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r>
      <w:tr w:rsidR="00A91885" w14:paraId="18600E1E" w14:textId="77777777">
        <w:tc>
          <w:tcPr>
            <w:tcW w:w="0" w:type="auto"/>
            <w:gridSpan w:val="3"/>
            <w:shd w:val="clear" w:color="auto" w:fill="auto"/>
            <w:tcMar>
              <w:top w:w="0" w:type="dxa"/>
              <w:left w:w="20" w:type="dxa"/>
              <w:bottom w:w="0" w:type="dxa"/>
              <w:right w:w="20" w:type="dxa"/>
            </w:tcMar>
            <w:vAlign w:val="bottom"/>
          </w:tcPr>
          <w:p w14:paraId="18600E1C" w14:textId="77777777" w:rsidR="00A91885" w:rsidRDefault="00A9188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600E1D" w14:textId="77777777" w:rsidR="00A91885" w:rsidRDefault="009C4196">
            <w:pPr>
              <w:jc w:val="center"/>
              <w:textAlignment w:val="bottom"/>
            </w:pPr>
            <w:r>
              <w:rPr>
                <w:rFonts w:ascii="Arial" w:eastAsia="宋体" w:hAnsi="Arial" w:cs="Arial"/>
                <w:b/>
                <w:bCs/>
                <w:color w:val="000000"/>
                <w:sz w:val="17"/>
                <w:szCs w:val="17"/>
              </w:rPr>
              <w:t>(In millions)</w:t>
            </w:r>
          </w:p>
        </w:tc>
      </w:tr>
      <w:tr w:rsidR="00A91885" w14:paraId="18600E27" w14:textId="77777777">
        <w:tc>
          <w:tcPr>
            <w:tcW w:w="0" w:type="auto"/>
            <w:gridSpan w:val="3"/>
            <w:shd w:val="clear" w:color="auto" w:fill="DBDBDB"/>
            <w:tcMar>
              <w:top w:w="40" w:type="dxa"/>
              <w:left w:w="20" w:type="dxa"/>
              <w:bottom w:w="40" w:type="dxa"/>
              <w:right w:w="20" w:type="dxa"/>
            </w:tcMar>
            <w:vAlign w:val="bottom"/>
          </w:tcPr>
          <w:p w14:paraId="18600E1F" w14:textId="77777777" w:rsidR="00A91885" w:rsidRDefault="009C4196">
            <w:pPr>
              <w:textAlignment w:val="bottom"/>
            </w:pPr>
            <w:r>
              <w:rPr>
                <w:rFonts w:ascii="Arial" w:eastAsia="宋体" w:hAnsi="Arial" w:cs="Arial"/>
                <w:color w:val="000000"/>
                <w:sz w:val="18"/>
                <w:szCs w:val="18"/>
              </w:rPr>
              <w:t>Cash and cash equivalents</w:t>
            </w:r>
          </w:p>
        </w:tc>
        <w:tc>
          <w:tcPr>
            <w:tcW w:w="0" w:type="auto"/>
            <w:shd w:val="clear" w:color="auto" w:fill="DBDBDB"/>
            <w:tcMar>
              <w:top w:w="40" w:type="dxa"/>
              <w:left w:w="20" w:type="dxa"/>
              <w:bottom w:w="40" w:type="dxa"/>
              <w:right w:w="0" w:type="dxa"/>
            </w:tcMar>
            <w:vAlign w:val="bottom"/>
          </w:tcPr>
          <w:p w14:paraId="18600E20"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8600E21" w14:textId="77777777" w:rsidR="00A91885" w:rsidRDefault="009C4196">
            <w:pPr>
              <w:jc w:val="right"/>
              <w:textAlignment w:val="bottom"/>
            </w:pPr>
            <w:r>
              <w:rPr>
                <w:rFonts w:ascii="Arial" w:eastAsia="宋体" w:hAnsi="Arial" w:cs="Arial"/>
                <w:color w:val="000000"/>
                <w:sz w:val="18"/>
                <w:szCs w:val="18"/>
              </w:rPr>
              <w:t>1,742 </w:t>
            </w:r>
          </w:p>
        </w:tc>
        <w:tc>
          <w:tcPr>
            <w:tcW w:w="0" w:type="auto"/>
            <w:shd w:val="clear" w:color="auto" w:fill="DBDBDB"/>
            <w:tcMar>
              <w:top w:w="40" w:type="dxa"/>
              <w:left w:w="0" w:type="dxa"/>
              <w:bottom w:w="40" w:type="dxa"/>
              <w:right w:w="20" w:type="dxa"/>
            </w:tcMar>
            <w:vAlign w:val="bottom"/>
          </w:tcPr>
          <w:p w14:paraId="18600E22"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E23" w14:textId="77777777" w:rsidR="00A91885" w:rsidRDefault="00A91885">
            <w:pPr>
              <w:rPr>
                <w:rFonts w:ascii="宋体"/>
              </w:rPr>
            </w:pPr>
          </w:p>
        </w:tc>
        <w:tc>
          <w:tcPr>
            <w:tcW w:w="0" w:type="auto"/>
            <w:shd w:val="clear" w:color="auto" w:fill="DBDBDB"/>
            <w:tcMar>
              <w:top w:w="40" w:type="dxa"/>
              <w:left w:w="20" w:type="dxa"/>
              <w:bottom w:w="40" w:type="dxa"/>
              <w:right w:w="0" w:type="dxa"/>
            </w:tcMar>
            <w:vAlign w:val="bottom"/>
          </w:tcPr>
          <w:p w14:paraId="18600E24"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8600E25" w14:textId="77777777" w:rsidR="00A91885" w:rsidRDefault="009C4196">
            <w:pPr>
              <w:jc w:val="right"/>
              <w:textAlignment w:val="bottom"/>
            </w:pPr>
            <w:r>
              <w:rPr>
                <w:rFonts w:ascii="Arial" w:eastAsia="宋体" w:hAnsi="Arial" w:cs="Arial"/>
                <w:color w:val="000000"/>
                <w:sz w:val="18"/>
                <w:szCs w:val="18"/>
              </w:rPr>
              <w:t>1,379 </w:t>
            </w:r>
          </w:p>
        </w:tc>
        <w:tc>
          <w:tcPr>
            <w:tcW w:w="0" w:type="auto"/>
            <w:shd w:val="clear" w:color="auto" w:fill="DBDBDB"/>
            <w:tcMar>
              <w:top w:w="40" w:type="dxa"/>
              <w:left w:w="0" w:type="dxa"/>
              <w:bottom w:w="40" w:type="dxa"/>
              <w:right w:w="20" w:type="dxa"/>
            </w:tcMar>
            <w:vAlign w:val="bottom"/>
          </w:tcPr>
          <w:p w14:paraId="18600E26" w14:textId="77777777" w:rsidR="00A91885" w:rsidRDefault="00A91885">
            <w:pPr>
              <w:jc w:val="right"/>
              <w:rPr>
                <w:rFonts w:ascii="宋体"/>
              </w:rPr>
            </w:pPr>
          </w:p>
        </w:tc>
      </w:tr>
      <w:tr w:rsidR="00A91885" w14:paraId="18600E2E" w14:textId="77777777">
        <w:tc>
          <w:tcPr>
            <w:tcW w:w="0" w:type="auto"/>
            <w:gridSpan w:val="3"/>
            <w:shd w:val="clear" w:color="auto" w:fill="FFFFFF"/>
            <w:tcMar>
              <w:top w:w="40" w:type="dxa"/>
              <w:left w:w="20" w:type="dxa"/>
              <w:bottom w:w="40" w:type="dxa"/>
              <w:right w:w="20" w:type="dxa"/>
            </w:tcMar>
            <w:vAlign w:val="bottom"/>
          </w:tcPr>
          <w:p w14:paraId="18600E28" w14:textId="77777777" w:rsidR="00A91885" w:rsidRDefault="009C4196">
            <w:pPr>
              <w:textAlignment w:val="bottom"/>
            </w:pPr>
            <w:r>
              <w:rPr>
                <w:rFonts w:ascii="Arial" w:eastAsia="宋体" w:hAnsi="Arial" w:cs="Arial"/>
                <w:color w:val="000000"/>
                <w:sz w:val="18"/>
                <w:szCs w:val="18"/>
              </w:rPr>
              <w:t>Customer accounts</w:t>
            </w:r>
          </w:p>
        </w:tc>
        <w:tc>
          <w:tcPr>
            <w:tcW w:w="0" w:type="auto"/>
            <w:gridSpan w:val="2"/>
            <w:shd w:val="clear" w:color="auto" w:fill="FFFFFF"/>
            <w:tcMar>
              <w:top w:w="40" w:type="dxa"/>
              <w:left w:w="20" w:type="dxa"/>
              <w:bottom w:w="40" w:type="dxa"/>
              <w:right w:w="0" w:type="dxa"/>
            </w:tcMar>
            <w:vAlign w:val="bottom"/>
          </w:tcPr>
          <w:p w14:paraId="18600E2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E2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E2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E2C" w14:textId="77777777" w:rsidR="00A91885" w:rsidRDefault="009C4196">
            <w:pPr>
              <w:jc w:val="right"/>
              <w:textAlignment w:val="bottom"/>
            </w:pPr>
            <w:r>
              <w:rPr>
                <w:rFonts w:ascii="Arial" w:eastAsia="宋体" w:hAnsi="Arial" w:cs="Arial"/>
                <w:color w:val="000000"/>
                <w:sz w:val="18"/>
                <w:szCs w:val="18"/>
              </w:rPr>
              <w:t>5 </w:t>
            </w:r>
          </w:p>
        </w:tc>
        <w:tc>
          <w:tcPr>
            <w:tcW w:w="0" w:type="auto"/>
            <w:shd w:val="clear" w:color="auto" w:fill="FFFFFF"/>
            <w:tcMar>
              <w:top w:w="40" w:type="dxa"/>
              <w:left w:w="0" w:type="dxa"/>
              <w:bottom w:w="40" w:type="dxa"/>
              <w:right w:w="20" w:type="dxa"/>
            </w:tcMar>
            <w:vAlign w:val="bottom"/>
          </w:tcPr>
          <w:p w14:paraId="18600E2D" w14:textId="77777777" w:rsidR="00A91885" w:rsidRDefault="00A91885">
            <w:pPr>
              <w:jc w:val="right"/>
              <w:rPr>
                <w:rFonts w:ascii="宋体"/>
              </w:rPr>
            </w:pPr>
          </w:p>
        </w:tc>
      </w:tr>
      <w:tr w:rsidR="00A91885" w14:paraId="18600E35" w14:textId="77777777">
        <w:tc>
          <w:tcPr>
            <w:tcW w:w="0" w:type="auto"/>
            <w:gridSpan w:val="3"/>
            <w:shd w:val="clear" w:color="auto" w:fill="DBDBDB"/>
            <w:tcMar>
              <w:top w:w="40" w:type="dxa"/>
              <w:left w:w="20" w:type="dxa"/>
              <w:bottom w:w="40" w:type="dxa"/>
              <w:right w:w="20" w:type="dxa"/>
            </w:tcMar>
            <w:vAlign w:val="bottom"/>
          </w:tcPr>
          <w:p w14:paraId="18600E2F" w14:textId="77777777" w:rsidR="00A91885" w:rsidRDefault="009C4196">
            <w:pPr>
              <w:textAlignment w:val="bottom"/>
            </w:pPr>
            <w:r>
              <w:rPr>
                <w:rFonts w:ascii="Arial" w:eastAsia="宋体" w:hAnsi="Arial" w:cs="Arial"/>
                <w:color w:val="000000"/>
                <w:sz w:val="18"/>
                <w:szCs w:val="18"/>
              </w:rPr>
              <w:t>Restricted cash included in short-term investments</w:t>
            </w:r>
          </w:p>
        </w:tc>
        <w:tc>
          <w:tcPr>
            <w:tcW w:w="0" w:type="auto"/>
            <w:gridSpan w:val="2"/>
            <w:shd w:val="clear" w:color="auto" w:fill="DBDBDB"/>
            <w:tcMar>
              <w:top w:w="40" w:type="dxa"/>
              <w:left w:w="20" w:type="dxa"/>
              <w:bottom w:w="40" w:type="dxa"/>
              <w:right w:w="0" w:type="dxa"/>
            </w:tcMar>
            <w:vAlign w:val="bottom"/>
          </w:tcPr>
          <w:p w14:paraId="18600E30" w14:textId="77777777" w:rsidR="00A91885" w:rsidRDefault="009C4196">
            <w:pPr>
              <w:jc w:val="right"/>
              <w:textAlignment w:val="bottom"/>
            </w:pPr>
            <w:r>
              <w:rPr>
                <w:rFonts w:ascii="Arial" w:eastAsia="宋体" w:hAnsi="Arial" w:cs="Arial"/>
                <w:color w:val="000000"/>
                <w:sz w:val="18"/>
                <w:szCs w:val="18"/>
              </w:rPr>
              <w:t>26 </w:t>
            </w:r>
          </w:p>
        </w:tc>
        <w:tc>
          <w:tcPr>
            <w:tcW w:w="0" w:type="auto"/>
            <w:shd w:val="clear" w:color="auto" w:fill="DBDBDB"/>
            <w:tcMar>
              <w:top w:w="40" w:type="dxa"/>
              <w:left w:w="0" w:type="dxa"/>
              <w:bottom w:w="40" w:type="dxa"/>
              <w:right w:w="20" w:type="dxa"/>
            </w:tcMar>
            <w:vAlign w:val="bottom"/>
          </w:tcPr>
          <w:p w14:paraId="18600E31"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E32"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E33" w14:textId="77777777" w:rsidR="00A91885" w:rsidRDefault="009C4196">
            <w:pPr>
              <w:jc w:val="right"/>
              <w:textAlignment w:val="bottom"/>
            </w:pPr>
            <w:r>
              <w:rPr>
                <w:rFonts w:ascii="Arial" w:eastAsia="宋体" w:hAnsi="Arial" w:cs="Arial"/>
                <w:color w:val="000000"/>
                <w:sz w:val="18"/>
                <w:szCs w:val="18"/>
              </w:rPr>
              <w:t>22 </w:t>
            </w:r>
          </w:p>
        </w:tc>
        <w:tc>
          <w:tcPr>
            <w:tcW w:w="0" w:type="auto"/>
            <w:shd w:val="clear" w:color="auto" w:fill="DBDBDB"/>
            <w:tcMar>
              <w:top w:w="40" w:type="dxa"/>
              <w:left w:w="0" w:type="dxa"/>
              <w:bottom w:w="40" w:type="dxa"/>
              <w:right w:w="20" w:type="dxa"/>
            </w:tcMar>
            <w:vAlign w:val="bottom"/>
          </w:tcPr>
          <w:p w14:paraId="18600E34" w14:textId="77777777" w:rsidR="00A91885" w:rsidRDefault="00A91885">
            <w:pPr>
              <w:jc w:val="right"/>
              <w:rPr>
                <w:rFonts w:ascii="宋体"/>
              </w:rPr>
            </w:pPr>
          </w:p>
        </w:tc>
      </w:tr>
      <w:tr w:rsidR="00A91885" w14:paraId="18600E3C" w14:textId="77777777">
        <w:tc>
          <w:tcPr>
            <w:tcW w:w="0" w:type="auto"/>
            <w:gridSpan w:val="3"/>
            <w:shd w:val="clear" w:color="auto" w:fill="FFFFFF"/>
            <w:tcMar>
              <w:top w:w="40" w:type="dxa"/>
              <w:left w:w="20" w:type="dxa"/>
              <w:bottom w:w="40" w:type="dxa"/>
              <w:right w:w="20" w:type="dxa"/>
            </w:tcMar>
            <w:vAlign w:val="bottom"/>
          </w:tcPr>
          <w:p w14:paraId="18600E36" w14:textId="77777777" w:rsidR="00A91885" w:rsidRDefault="009C4196">
            <w:pPr>
              <w:textAlignment w:val="bottom"/>
            </w:pPr>
            <w:r>
              <w:rPr>
                <w:rFonts w:ascii="Arial" w:eastAsia="宋体" w:hAnsi="Arial" w:cs="Arial"/>
                <w:color w:val="000000"/>
                <w:sz w:val="18"/>
                <w:szCs w:val="18"/>
              </w:rPr>
              <w:t xml:space="preserve">Restricted cash included in long-term </w:t>
            </w:r>
            <w:r>
              <w:rPr>
                <w:rFonts w:ascii="Arial" w:eastAsia="宋体" w:hAnsi="Arial" w:cs="Arial"/>
                <w:color w:val="000000"/>
                <w:sz w:val="18"/>
                <w:szCs w:val="18"/>
              </w:rPr>
              <w:t>investments</w:t>
            </w:r>
          </w:p>
        </w:tc>
        <w:tc>
          <w:tcPr>
            <w:tcW w:w="0" w:type="auto"/>
            <w:gridSpan w:val="2"/>
            <w:shd w:val="clear" w:color="auto" w:fill="FFFFFF"/>
            <w:tcMar>
              <w:top w:w="40" w:type="dxa"/>
              <w:left w:w="20" w:type="dxa"/>
              <w:bottom w:w="40" w:type="dxa"/>
              <w:right w:w="0" w:type="dxa"/>
            </w:tcMar>
            <w:vAlign w:val="bottom"/>
          </w:tcPr>
          <w:p w14:paraId="18600E37" w14:textId="77777777" w:rsidR="00A91885" w:rsidRDefault="009C4196">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18600E3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E3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E3A"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E3B" w14:textId="77777777" w:rsidR="00A91885" w:rsidRDefault="00A91885">
            <w:pPr>
              <w:jc w:val="right"/>
              <w:rPr>
                <w:rFonts w:ascii="宋体"/>
              </w:rPr>
            </w:pPr>
          </w:p>
        </w:tc>
      </w:tr>
      <w:tr w:rsidR="00A91885" w14:paraId="18600E45" w14:textId="77777777">
        <w:tc>
          <w:tcPr>
            <w:tcW w:w="0" w:type="auto"/>
            <w:gridSpan w:val="3"/>
            <w:shd w:val="clear" w:color="auto" w:fill="DBDBDB"/>
            <w:tcMar>
              <w:top w:w="40" w:type="dxa"/>
              <w:left w:w="245" w:type="dxa"/>
              <w:bottom w:w="40" w:type="dxa"/>
              <w:right w:w="20" w:type="dxa"/>
            </w:tcMar>
            <w:vAlign w:val="bottom"/>
          </w:tcPr>
          <w:p w14:paraId="18600E3D" w14:textId="77777777" w:rsidR="00A91885" w:rsidRDefault="009C4196">
            <w:pPr>
              <w:textAlignment w:val="bottom"/>
            </w:pPr>
            <w:r>
              <w:rPr>
                <w:rFonts w:ascii="Arial" w:eastAsia="宋体" w:hAnsi="Arial" w:cs="Arial"/>
                <w:color w:val="000000"/>
                <w:sz w:val="18"/>
                <w:szCs w:val="18"/>
              </w:rPr>
              <w:t>Cash, cash equivalents and restricted cash</w:t>
            </w: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8600E3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8600E3F" w14:textId="77777777" w:rsidR="00A91885" w:rsidRDefault="009C4196">
            <w:pPr>
              <w:jc w:val="right"/>
              <w:textAlignment w:val="bottom"/>
            </w:pPr>
            <w:r>
              <w:rPr>
                <w:rFonts w:ascii="Arial" w:eastAsia="宋体" w:hAnsi="Arial" w:cs="Arial"/>
                <w:color w:val="000000"/>
                <w:sz w:val="18"/>
                <w:szCs w:val="18"/>
              </w:rPr>
              <w:t>1,772 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8600E40"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E41" w14:textId="77777777" w:rsidR="00A91885" w:rsidRDefault="00A91885">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8600E4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8600E43" w14:textId="77777777" w:rsidR="00A91885" w:rsidRDefault="009C4196">
            <w:pPr>
              <w:jc w:val="right"/>
              <w:textAlignment w:val="bottom"/>
            </w:pPr>
            <w:r>
              <w:rPr>
                <w:rFonts w:ascii="Arial" w:eastAsia="宋体" w:hAnsi="Arial" w:cs="Arial"/>
                <w:color w:val="000000"/>
                <w:sz w:val="18"/>
                <w:szCs w:val="18"/>
              </w:rPr>
              <w:t>1,406 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8600E44" w14:textId="77777777" w:rsidR="00A91885" w:rsidRDefault="00A91885">
            <w:pPr>
              <w:jc w:val="right"/>
              <w:rPr>
                <w:rFonts w:ascii="宋体"/>
              </w:rPr>
            </w:pPr>
          </w:p>
        </w:tc>
      </w:tr>
      <w:tr w:rsidR="00A91885" w14:paraId="18600E4A" w14:textId="77777777">
        <w:trPr>
          <w:hidden/>
        </w:trPr>
        <w:tc>
          <w:tcPr>
            <w:tcW w:w="0" w:type="auto"/>
            <w:gridSpan w:val="3"/>
            <w:shd w:val="clear" w:color="auto" w:fill="auto"/>
            <w:vAlign w:val="bottom"/>
          </w:tcPr>
          <w:p w14:paraId="18600E46" w14:textId="77777777" w:rsidR="00A91885" w:rsidRDefault="00A91885">
            <w:pPr>
              <w:rPr>
                <w:rFonts w:ascii="宋体"/>
                <w:vanish/>
              </w:rPr>
            </w:pPr>
          </w:p>
        </w:tc>
        <w:tc>
          <w:tcPr>
            <w:tcW w:w="0" w:type="auto"/>
            <w:gridSpan w:val="3"/>
            <w:shd w:val="clear" w:color="auto" w:fill="auto"/>
            <w:vAlign w:val="bottom"/>
          </w:tcPr>
          <w:p w14:paraId="18600E47" w14:textId="77777777" w:rsidR="00A91885" w:rsidRDefault="00A91885">
            <w:pPr>
              <w:rPr>
                <w:rFonts w:ascii="宋体"/>
                <w:vanish/>
              </w:rPr>
            </w:pPr>
          </w:p>
        </w:tc>
        <w:tc>
          <w:tcPr>
            <w:tcW w:w="0" w:type="auto"/>
            <w:gridSpan w:val="3"/>
            <w:shd w:val="clear" w:color="auto" w:fill="auto"/>
            <w:vAlign w:val="bottom"/>
          </w:tcPr>
          <w:p w14:paraId="18600E48" w14:textId="77777777" w:rsidR="00A91885" w:rsidRDefault="00A91885">
            <w:pPr>
              <w:rPr>
                <w:rFonts w:ascii="宋体"/>
                <w:vanish/>
              </w:rPr>
            </w:pPr>
          </w:p>
        </w:tc>
        <w:tc>
          <w:tcPr>
            <w:tcW w:w="0" w:type="auto"/>
            <w:gridSpan w:val="3"/>
            <w:shd w:val="clear" w:color="auto" w:fill="auto"/>
            <w:vAlign w:val="bottom"/>
          </w:tcPr>
          <w:p w14:paraId="18600E49" w14:textId="77777777" w:rsidR="00A91885" w:rsidRDefault="00A91885">
            <w:pPr>
              <w:rPr>
                <w:rFonts w:ascii="宋体"/>
                <w:vanish/>
              </w:rPr>
            </w:pPr>
          </w:p>
        </w:tc>
      </w:tr>
    </w:tbl>
    <w:p w14:paraId="18600E4B" w14:textId="77777777" w:rsidR="00A91885" w:rsidRDefault="00A91885">
      <w:pPr>
        <w:jc w:val="both"/>
      </w:pPr>
    </w:p>
    <w:p w14:paraId="18600E4C" w14:textId="77777777" w:rsidR="00A91885" w:rsidRDefault="009C4196">
      <w:pPr>
        <w:ind w:firstLine="270"/>
        <w:jc w:val="both"/>
      </w:pPr>
      <w:r>
        <w:rPr>
          <w:rFonts w:ascii="Arial" w:eastAsia="宋体" w:hAnsi="Arial" w:cs="Arial"/>
          <w:b/>
          <w:bCs/>
          <w:i/>
          <w:iCs/>
          <w:color w:val="000000"/>
          <w:sz w:val="20"/>
          <w:szCs w:val="20"/>
        </w:rPr>
        <w:t>Customer accounts and funds receivable</w:t>
      </w:r>
    </w:p>
    <w:tbl>
      <w:tblPr>
        <w:tblW w:w="5000" w:type="pct"/>
        <w:tblCellMar>
          <w:top w:w="15" w:type="dxa"/>
          <w:left w:w="15" w:type="dxa"/>
          <w:bottom w:w="15" w:type="dxa"/>
          <w:right w:w="15" w:type="dxa"/>
        </w:tblCellMar>
        <w:tblLook w:val="04A0" w:firstRow="1" w:lastRow="0" w:firstColumn="1" w:lastColumn="0" w:noHBand="0" w:noVBand="1"/>
      </w:tblPr>
      <w:tblGrid>
        <w:gridCol w:w="38"/>
        <w:gridCol w:w="5694"/>
        <w:gridCol w:w="37"/>
        <w:gridCol w:w="121"/>
        <w:gridCol w:w="1071"/>
        <w:gridCol w:w="36"/>
        <w:gridCol w:w="36"/>
        <w:gridCol w:w="36"/>
        <w:gridCol w:w="36"/>
        <w:gridCol w:w="122"/>
        <w:gridCol w:w="1073"/>
        <w:gridCol w:w="36"/>
      </w:tblGrid>
      <w:tr w:rsidR="00A91885" w14:paraId="18600E59" w14:textId="77777777">
        <w:tc>
          <w:tcPr>
            <w:tcW w:w="50" w:type="pct"/>
            <w:shd w:val="clear" w:color="auto" w:fill="auto"/>
            <w:vAlign w:val="bottom"/>
          </w:tcPr>
          <w:p w14:paraId="18600E4D" w14:textId="77777777" w:rsidR="00A91885" w:rsidRDefault="00A91885">
            <w:pPr>
              <w:rPr>
                <w:rFonts w:ascii="宋体"/>
              </w:rPr>
            </w:pPr>
          </w:p>
        </w:tc>
        <w:tc>
          <w:tcPr>
            <w:tcW w:w="3453" w:type="pct"/>
            <w:shd w:val="clear" w:color="auto" w:fill="auto"/>
            <w:vAlign w:val="bottom"/>
          </w:tcPr>
          <w:p w14:paraId="18600E4E" w14:textId="77777777" w:rsidR="00A91885" w:rsidRDefault="00A91885">
            <w:pPr>
              <w:rPr>
                <w:rFonts w:ascii="宋体"/>
              </w:rPr>
            </w:pPr>
          </w:p>
        </w:tc>
        <w:tc>
          <w:tcPr>
            <w:tcW w:w="5" w:type="pct"/>
            <w:shd w:val="clear" w:color="auto" w:fill="auto"/>
            <w:vAlign w:val="bottom"/>
          </w:tcPr>
          <w:p w14:paraId="18600E4F" w14:textId="77777777" w:rsidR="00A91885" w:rsidRDefault="00A91885">
            <w:pPr>
              <w:rPr>
                <w:rFonts w:ascii="宋体"/>
              </w:rPr>
            </w:pPr>
          </w:p>
        </w:tc>
        <w:tc>
          <w:tcPr>
            <w:tcW w:w="50" w:type="pct"/>
            <w:shd w:val="clear" w:color="auto" w:fill="auto"/>
            <w:vAlign w:val="bottom"/>
          </w:tcPr>
          <w:p w14:paraId="18600E50" w14:textId="77777777" w:rsidR="00A91885" w:rsidRDefault="00A91885">
            <w:pPr>
              <w:rPr>
                <w:rFonts w:ascii="宋体"/>
              </w:rPr>
            </w:pPr>
          </w:p>
        </w:tc>
        <w:tc>
          <w:tcPr>
            <w:tcW w:w="675" w:type="pct"/>
            <w:shd w:val="clear" w:color="auto" w:fill="auto"/>
            <w:vAlign w:val="bottom"/>
          </w:tcPr>
          <w:p w14:paraId="18600E51" w14:textId="77777777" w:rsidR="00A91885" w:rsidRDefault="00A91885">
            <w:pPr>
              <w:rPr>
                <w:rFonts w:ascii="宋体"/>
              </w:rPr>
            </w:pPr>
          </w:p>
        </w:tc>
        <w:tc>
          <w:tcPr>
            <w:tcW w:w="5" w:type="pct"/>
            <w:shd w:val="clear" w:color="auto" w:fill="auto"/>
            <w:vAlign w:val="bottom"/>
          </w:tcPr>
          <w:p w14:paraId="18600E52" w14:textId="77777777" w:rsidR="00A91885" w:rsidRDefault="00A91885">
            <w:pPr>
              <w:rPr>
                <w:rFonts w:ascii="宋体"/>
              </w:rPr>
            </w:pPr>
          </w:p>
        </w:tc>
        <w:tc>
          <w:tcPr>
            <w:tcW w:w="5" w:type="pct"/>
            <w:shd w:val="clear" w:color="auto" w:fill="auto"/>
            <w:vAlign w:val="bottom"/>
          </w:tcPr>
          <w:p w14:paraId="18600E53" w14:textId="77777777" w:rsidR="00A91885" w:rsidRDefault="00A91885">
            <w:pPr>
              <w:rPr>
                <w:rFonts w:ascii="宋体"/>
              </w:rPr>
            </w:pPr>
          </w:p>
        </w:tc>
        <w:tc>
          <w:tcPr>
            <w:tcW w:w="19" w:type="pct"/>
            <w:shd w:val="clear" w:color="auto" w:fill="auto"/>
            <w:vAlign w:val="bottom"/>
          </w:tcPr>
          <w:p w14:paraId="18600E54" w14:textId="77777777" w:rsidR="00A91885" w:rsidRDefault="00A91885">
            <w:pPr>
              <w:rPr>
                <w:rFonts w:ascii="宋体"/>
              </w:rPr>
            </w:pPr>
          </w:p>
        </w:tc>
        <w:tc>
          <w:tcPr>
            <w:tcW w:w="5" w:type="pct"/>
            <w:shd w:val="clear" w:color="auto" w:fill="auto"/>
            <w:vAlign w:val="bottom"/>
          </w:tcPr>
          <w:p w14:paraId="18600E55" w14:textId="77777777" w:rsidR="00A91885" w:rsidRDefault="00A91885">
            <w:pPr>
              <w:rPr>
                <w:rFonts w:ascii="宋体"/>
              </w:rPr>
            </w:pPr>
          </w:p>
        </w:tc>
        <w:tc>
          <w:tcPr>
            <w:tcW w:w="50" w:type="pct"/>
            <w:shd w:val="clear" w:color="auto" w:fill="auto"/>
            <w:vAlign w:val="bottom"/>
          </w:tcPr>
          <w:p w14:paraId="18600E56" w14:textId="77777777" w:rsidR="00A91885" w:rsidRDefault="00A91885">
            <w:pPr>
              <w:rPr>
                <w:rFonts w:ascii="宋体"/>
              </w:rPr>
            </w:pPr>
          </w:p>
        </w:tc>
        <w:tc>
          <w:tcPr>
            <w:tcW w:w="676" w:type="pct"/>
            <w:shd w:val="clear" w:color="auto" w:fill="auto"/>
            <w:vAlign w:val="bottom"/>
          </w:tcPr>
          <w:p w14:paraId="18600E57" w14:textId="77777777" w:rsidR="00A91885" w:rsidRDefault="00A91885">
            <w:pPr>
              <w:rPr>
                <w:rFonts w:ascii="宋体"/>
              </w:rPr>
            </w:pPr>
          </w:p>
        </w:tc>
        <w:tc>
          <w:tcPr>
            <w:tcW w:w="5" w:type="pct"/>
            <w:shd w:val="clear" w:color="auto" w:fill="auto"/>
            <w:vAlign w:val="bottom"/>
          </w:tcPr>
          <w:p w14:paraId="18600E58" w14:textId="77777777" w:rsidR="00A91885" w:rsidRDefault="00A91885">
            <w:pPr>
              <w:rPr>
                <w:rFonts w:ascii="宋体"/>
              </w:rPr>
            </w:pPr>
          </w:p>
        </w:tc>
      </w:tr>
      <w:tr w:rsidR="00A91885" w14:paraId="18600E5E" w14:textId="77777777">
        <w:tc>
          <w:tcPr>
            <w:tcW w:w="0" w:type="auto"/>
            <w:gridSpan w:val="3"/>
            <w:shd w:val="clear" w:color="auto" w:fill="auto"/>
            <w:tcMar>
              <w:top w:w="0" w:type="dxa"/>
              <w:left w:w="20" w:type="dxa"/>
              <w:bottom w:w="0" w:type="dxa"/>
              <w:right w:w="20" w:type="dxa"/>
            </w:tcMar>
            <w:vAlign w:val="bottom"/>
          </w:tcPr>
          <w:p w14:paraId="18600E5A"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E5B" w14:textId="77777777" w:rsidR="00A91885" w:rsidRDefault="009C4196">
            <w:pPr>
              <w:jc w:val="center"/>
              <w:textAlignment w:val="bottom"/>
            </w:pPr>
            <w:r>
              <w:rPr>
                <w:rFonts w:ascii="Arial" w:eastAsia="宋体" w:hAnsi="Arial" w:cs="Arial"/>
                <w:b/>
                <w:bCs/>
                <w:color w:val="000000"/>
                <w:sz w:val="17"/>
                <w:szCs w:val="17"/>
              </w:rPr>
              <w:t>June 30,</w:t>
            </w:r>
            <w:r>
              <w:rPr>
                <w:rFonts w:ascii="Arial" w:eastAsia="宋体" w:hAnsi="Arial" w:cs="Arial"/>
                <w:b/>
                <w:bCs/>
                <w:color w:val="000000"/>
                <w:sz w:val="17"/>
                <w:szCs w:val="17"/>
              </w:rPr>
              <w:br/>
              <w:t>2022</w:t>
            </w:r>
          </w:p>
        </w:tc>
        <w:tc>
          <w:tcPr>
            <w:tcW w:w="0" w:type="auto"/>
            <w:gridSpan w:val="3"/>
            <w:shd w:val="clear" w:color="auto" w:fill="auto"/>
            <w:tcMar>
              <w:top w:w="0" w:type="dxa"/>
              <w:left w:w="20" w:type="dxa"/>
              <w:bottom w:w="0" w:type="dxa"/>
              <w:right w:w="20" w:type="dxa"/>
            </w:tcMar>
            <w:vAlign w:val="bottom"/>
          </w:tcPr>
          <w:p w14:paraId="18600E5C" w14:textId="77777777" w:rsidR="00A91885" w:rsidRDefault="00A9188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8600E5D" w14:textId="77777777" w:rsidR="00A91885" w:rsidRDefault="009C4196">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r>
      <w:tr w:rsidR="00A91885" w14:paraId="18600E61" w14:textId="77777777">
        <w:tc>
          <w:tcPr>
            <w:tcW w:w="0" w:type="auto"/>
            <w:gridSpan w:val="3"/>
            <w:shd w:val="clear" w:color="auto" w:fill="auto"/>
            <w:tcMar>
              <w:top w:w="0" w:type="dxa"/>
              <w:left w:w="20" w:type="dxa"/>
              <w:bottom w:w="0" w:type="dxa"/>
              <w:right w:w="20" w:type="dxa"/>
            </w:tcMar>
            <w:vAlign w:val="bottom"/>
          </w:tcPr>
          <w:p w14:paraId="18600E5F" w14:textId="77777777" w:rsidR="00A91885" w:rsidRDefault="00A9188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600E60" w14:textId="77777777" w:rsidR="00A91885" w:rsidRDefault="009C4196">
            <w:pPr>
              <w:jc w:val="center"/>
              <w:textAlignment w:val="bottom"/>
            </w:pPr>
            <w:r>
              <w:rPr>
                <w:rFonts w:ascii="Arial" w:eastAsia="宋体" w:hAnsi="Arial" w:cs="Arial"/>
                <w:b/>
                <w:bCs/>
                <w:color w:val="000000"/>
                <w:sz w:val="17"/>
                <w:szCs w:val="17"/>
              </w:rPr>
              <w:t>(In millions)</w:t>
            </w:r>
          </w:p>
        </w:tc>
      </w:tr>
      <w:tr w:rsidR="00A91885" w14:paraId="18600E6A" w14:textId="77777777">
        <w:tc>
          <w:tcPr>
            <w:tcW w:w="0" w:type="auto"/>
            <w:gridSpan w:val="3"/>
            <w:shd w:val="clear" w:color="auto" w:fill="DDDDDD"/>
            <w:tcMar>
              <w:top w:w="40" w:type="dxa"/>
              <w:left w:w="20" w:type="dxa"/>
              <w:bottom w:w="40" w:type="dxa"/>
              <w:right w:w="20" w:type="dxa"/>
            </w:tcMar>
            <w:vAlign w:val="bottom"/>
          </w:tcPr>
          <w:p w14:paraId="18600E62" w14:textId="77777777" w:rsidR="00A91885" w:rsidRDefault="009C4196">
            <w:pPr>
              <w:textAlignment w:val="bottom"/>
            </w:pPr>
            <w:r>
              <w:rPr>
                <w:rFonts w:ascii="Arial" w:eastAsia="宋体" w:hAnsi="Arial" w:cs="Arial"/>
                <w:color w:val="000000"/>
                <w:sz w:val="18"/>
                <w:szCs w:val="18"/>
              </w:rPr>
              <w:t>Cash and cash equivalents</w:t>
            </w:r>
          </w:p>
        </w:tc>
        <w:tc>
          <w:tcPr>
            <w:tcW w:w="0" w:type="auto"/>
            <w:shd w:val="clear" w:color="auto" w:fill="DDDDDD"/>
            <w:tcMar>
              <w:top w:w="40" w:type="dxa"/>
              <w:left w:w="20" w:type="dxa"/>
              <w:bottom w:w="40" w:type="dxa"/>
              <w:right w:w="0" w:type="dxa"/>
            </w:tcMar>
            <w:vAlign w:val="bottom"/>
          </w:tcPr>
          <w:p w14:paraId="18600E63"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DDDDD"/>
            <w:tcMar>
              <w:top w:w="40" w:type="dxa"/>
              <w:left w:w="0" w:type="dxa"/>
              <w:bottom w:w="40" w:type="dxa"/>
              <w:right w:w="0" w:type="dxa"/>
            </w:tcMar>
            <w:vAlign w:val="bottom"/>
          </w:tcPr>
          <w:p w14:paraId="18600E64"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DDDDDD"/>
            <w:tcMar>
              <w:top w:w="40" w:type="dxa"/>
              <w:left w:w="0" w:type="dxa"/>
              <w:bottom w:w="40" w:type="dxa"/>
              <w:right w:w="20" w:type="dxa"/>
            </w:tcMar>
            <w:vAlign w:val="bottom"/>
          </w:tcPr>
          <w:p w14:paraId="18600E65" w14:textId="77777777" w:rsidR="00A91885" w:rsidRDefault="00A91885">
            <w:pPr>
              <w:jc w:val="right"/>
              <w:rPr>
                <w:rFonts w:ascii="宋体"/>
              </w:rPr>
            </w:pPr>
          </w:p>
        </w:tc>
        <w:tc>
          <w:tcPr>
            <w:tcW w:w="0" w:type="auto"/>
            <w:gridSpan w:val="3"/>
            <w:shd w:val="clear" w:color="auto" w:fill="DDDDDD"/>
            <w:tcMar>
              <w:top w:w="0" w:type="dxa"/>
              <w:left w:w="20" w:type="dxa"/>
              <w:bottom w:w="0" w:type="dxa"/>
              <w:right w:w="20" w:type="dxa"/>
            </w:tcMar>
            <w:vAlign w:val="bottom"/>
          </w:tcPr>
          <w:p w14:paraId="18600E66" w14:textId="77777777" w:rsidR="00A91885" w:rsidRDefault="00A91885">
            <w:pPr>
              <w:rPr>
                <w:rFonts w:ascii="宋体"/>
              </w:rPr>
            </w:pPr>
          </w:p>
        </w:tc>
        <w:tc>
          <w:tcPr>
            <w:tcW w:w="0" w:type="auto"/>
            <w:shd w:val="clear" w:color="auto" w:fill="DDDDDD"/>
            <w:tcMar>
              <w:top w:w="40" w:type="dxa"/>
              <w:left w:w="20" w:type="dxa"/>
              <w:bottom w:w="40" w:type="dxa"/>
              <w:right w:w="0" w:type="dxa"/>
            </w:tcMar>
            <w:vAlign w:val="bottom"/>
          </w:tcPr>
          <w:p w14:paraId="18600E67"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DDDDD"/>
            <w:tcMar>
              <w:top w:w="40" w:type="dxa"/>
              <w:left w:w="0" w:type="dxa"/>
              <w:bottom w:w="40" w:type="dxa"/>
              <w:right w:w="0" w:type="dxa"/>
            </w:tcMar>
            <w:vAlign w:val="bottom"/>
          </w:tcPr>
          <w:p w14:paraId="18600E68" w14:textId="77777777" w:rsidR="00A91885" w:rsidRDefault="009C4196">
            <w:pPr>
              <w:jc w:val="right"/>
              <w:textAlignment w:val="bottom"/>
            </w:pPr>
            <w:r>
              <w:rPr>
                <w:rFonts w:ascii="Arial" w:eastAsia="宋体" w:hAnsi="Arial" w:cs="Arial"/>
                <w:color w:val="000000"/>
                <w:sz w:val="18"/>
                <w:szCs w:val="18"/>
              </w:rPr>
              <w:t>5 </w:t>
            </w:r>
          </w:p>
        </w:tc>
        <w:tc>
          <w:tcPr>
            <w:tcW w:w="0" w:type="auto"/>
            <w:shd w:val="clear" w:color="auto" w:fill="DDDDDD"/>
            <w:tcMar>
              <w:top w:w="40" w:type="dxa"/>
              <w:left w:w="0" w:type="dxa"/>
              <w:bottom w:w="40" w:type="dxa"/>
              <w:right w:w="20" w:type="dxa"/>
            </w:tcMar>
            <w:vAlign w:val="bottom"/>
          </w:tcPr>
          <w:p w14:paraId="18600E69" w14:textId="77777777" w:rsidR="00A91885" w:rsidRDefault="00A91885">
            <w:pPr>
              <w:jc w:val="right"/>
              <w:rPr>
                <w:rFonts w:ascii="宋体"/>
              </w:rPr>
            </w:pPr>
          </w:p>
        </w:tc>
      </w:tr>
      <w:tr w:rsidR="00A91885" w14:paraId="18600E71" w14:textId="77777777">
        <w:tc>
          <w:tcPr>
            <w:tcW w:w="0" w:type="auto"/>
            <w:gridSpan w:val="3"/>
            <w:shd w:val="clear" w:color="auto" w:fill="FFFFFF"/>
            <w:tcMar>
              <w:top w:w="40" w:type="dxa"/>
              <w:left w:w="20" w:type="dxa"/>
              <w:bottom w:w="40" w:type="dxa"/>
              <w:right w:w="20" w:type="dxa"/>
            </w:tcMar>
            <w:vAlign w:val="bottom"/>
          </w:tcPr>
          <w:p w14:paraId="18600E6B" w14:textId="77777777" w:rsidR="00A91885" w:rsidRDefault="009C4196">
            <w:pPr>
              <w:textAlignment w:val="bottom"/>
            </w:pPr>
            <w:r>
              <w:rPr>
                <w:rFonts w:ascii="Arial" w:eastAsia="宋体" w:hAnsi="Arial" w:cs="Arial"/>
                <w:color w:val="000000"/>
                <w:sz w:val="18"/>
                <w:szCs w:val="18"/>
              </w:rPr>
              <w:t xml:space="preserve">Funds </w:t>
            </w:r>
            <w:r>
              <w:rPr>
                <w:rFonts w:ascii="Arial" w:eastAsia="宋体" w:hAnsi="Arial" w:cs="Arial"/>
                <w:color w:val="000000"/>
                <w:sz w:val="18"/>
                <w:szCs w:val="18"/>
              </w:rPr>
              <w:t>receivable</w:t>
            </w:r>
          </w:p>
        </w:tc>
        <w:tc>
          <w:tcPr>
            <w:tcW w:w="0" w:type="auto"/>
            <w:gridSpan w:val="2"/>
            <w:shd w:val="clear" w:color="auto" w:fill="FFFFFF"/>
            <w:tcMar>
              <w:top w:w="40" w:type="dxa"/>
              <w:left w:w="20" w:type="dxa"/>
              <w:bottom w:w="40" w:type="dxa"/>
              <w:right w:w="0" w:type="dxa"/>
            </w:tcMar>
            <w:vAlign w:val="bottom"/>
          </w:tcPr>
          <w:p w14:paraId="18600E6C" w14:textId="77777777" w:rsidR="00A91885" w:rsidRDefault="009C4196">
            <w:pPr>
              <w:jc w:val="right"/>
              <w:textAlignment w:val="bottom"/>
            </w:pPr>
            <w:r>
              <w:rPr>
                <w:rFonts w:ascii="Arial" w:eastAsia="宋体" w:hAnsi="Arial" w:cs="Arial"/>
                <w:color w:val="000000"/>
                <w:sz w:val="18"/>
                <w:szCs w:val="18"/>
              </w:rPr>
              <w:t>605 </w:t>
            </w:r>
          </w:p>
        </w:tc>
        <w:tc>
          <w:tcPr>
            <w:tcW w:w="0" w:type="auto"/>
            <w:shd w:val="clear" w:color="auto" w:fill="FFFFFF"/>
            <w:tcMar>
              <w:top w:w="40" w:type="dxa"/>
              <w:left w:w="0" w:type="dxa"/>
              <w:bottom w:w="40" w:type="dxa"/>
              <w:right w:w="20" w:type="dxa"/>
            </w:tcMar>
            <w:vAlign w:val="bottom"/>
          </w:tcPr>
          <w:p w14:paraId="18600E6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E6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E6F" w14:textId="77777777" w:rsidR="00A91885" w:rsidRDefault="009C4196">
            <w:pPr>
              <w:jc w:val="right"/>
              <w:textAlignment w:val="bottom"/>
            </w:pPr>
            <w:r>
              <w:rPr>
                <w:rFonts w:ascii="Arial" w:eastAsia="宋体" w:hAnsi="Arial" w:cs="Arial"/>
                <w:color w:val="000000"/>
                <w:sz w:val="18"/>
                <w:szCs w:val="18"/>
              </w:rPr>
              <w:t>676 </w:t>
            </w:r>
          </w:p>
        </w:tc>
        <w:tc>
          <w:tcPr>
            <w:tcW w:w="0" w:type="auto"/>
            <w:shd w:val="clear" w:color="auto" w:fill="FFFFFF"/>
            <w:tcMar>
              <w:top w:w="40" w:type="dxa"/>
              <w:left w:w="0" w:type="dxa"/>
              <w:bottom w:w="40" w:type="dxa"/>
              <w:right w:w="20" w:type="dxa"/>
            </w:tcMar>
            <w:vAlign w:val="bottom"/>
          </w:tcPr>
          <w:p w14:paraId="18600E70" w14:textId="77777777" w:rsidR="00A91885" w:rsidRDefault="00A91885">
            <w:pPr>
              <w:jc w:val="right"/>
              <w:rPr>
                <w:rFonts w:ascii="宋体"/>
              </w:rPr>
            </w:pPr>
          </w:p>
        </w:tc>
      </w:tr>
      <w:tr w:rsidR="00A91885" w14:paraId="18600E7A" w14:textId="77777777">
        <w:tc>
          <w:tcPr>
            <w:tcW w:w="0" w:type="auto"/>
            <w:gridSpan w:val="3"/>
            <w:shd w:val="clear" w:color="auto" w:fill="DDDDDD"/>
            <w:tcMar>
              <w:top w:w="40" w:type="dxa"/>
              <w:left w:w="245" w:type="dxa"/>
              <w:bottom w:w="40" w:type="dxa"/>
              <w:right w:w="20" w:type="dxa"/>
            </w:tcMar>
            <w:vAlign w:val="bottom"/>
          </w:tcPr>
          <w:p w14:paraId="18600E72" w14:textId="77777777" w:rsidR="00A91885" w:rsidRDefault="009C4196">
            <w:pPr>
              <w:textAlignment w:val="bottom"/>
            </w:pPr>
            <w:r>
              <w:rPr>
                <w:rFonts w:ascii="Arial" w:eastAsia="宋体" w:hAnsi="Arial" w:cs="Arial"/>
                <w:color w:val="000000"/>
                <w:sz w:val="18"/>
                <w:szCs w:val="18"/>
              </w:rPr>
              <w:t>Customer accounts and funds receivable</w:t>
            </w:r>
          </w:p>
        </w:tc>
        <w:tc>
          <w:tcPr>
            <w:tcW w:w="0" w:type="auto"/>
            <w:tcBorders>
              <w:top w:val="single" w:sz="8" w:space="0" w:color="000000"/>
              <w:bottom w:val="double" w:sz="6" w:space="0" w:color="000000"/>
            </w:tcBorders>
            <w:shd w:val="clear" w:color="auto" w:fill="DDDDDD"/>
            <w:tcMar>
              <w:top w:w="40" w:type="dxa"/>
              <w:left w:w="20" w:type="dxa"/>
              <w:bottom w:w="40" w:type="dxa"/>
              <w:right w:w="0" w:type="dxa"/>
            </w:tcMar>
            <w:vAlign w:val="bottom"/>
          </w:tcPr>
          <w:p w14:paraId="18600E7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DDDDD"/>
            <w:tcMar>
              <w:top w:w="40" w:type="dxa"/>
              <w:left w:w="0" w:type="dxa"/>
              <w:bottom w:w="40" w:type="dxa"/>
              <w:right w:w="0" w:type="dxa"/>
            </w:tcMar>
            <w:vAlign w:val="bottom"/>
          </w:tcPr>
          <w:p w14:paraId="18600E74" w14:textId="77777777" w:rsidR="00A91885" w:rsidRDefault="009C4196">
            <w:pPr>
              <w:jc w:val="right"/>
              <w:textAlignment w:val="bottom"/>
            </w:pPr>
            <w:r>
              <w:rPr>
                <w:rFonts w:ascii="Arial" w:eastAsia="宋体" w:hAnsi="Arial" w:cs="Arial"/>
                <w:color w:val="000000"/>
                <w:sz w:val="18"/>
                <w:szCs w:val="18"/>
              </w:rPr>
              <w:t>605 </w:t>
            </w:r>
          </w:p>
        </w:tc>
        <w:tc>
          <w:tcPr>
            <w:tcW w:w="0" w:type="auto"/>
            <w:tcBorders>
              <w:top w:val="single" w:sz="8" w:space="0" w:color="000000"/>
              <w:bottom w:val="double" w:sz="6" w:space="0" w:color="000000"/>
            </w:tcBorders>
            <w:shd w:val="clear" w:color="auto" w:fill="DDDDDD"/>
            <w:tcMar>
              <w:top w:w="40" w:type="dxa"/>
              <w:left w:w="0" w:type="dxa"/>
              <w:bottom w:w="40" w:type="dxa"/>
              <w:right w:w="20" w:type="dxa"/>
            </w:tcMar>
            <w:vAlign w:val="bottom"/>
          </w:tcPr>
          <w:p w14:paraId="18600E75" w14:textId="77777777" w:rsidR="00A91885" w:rsidRDefault="00A91885">
            <w:pPr>
              <w:jc w:val="right"/>
              <w:rPr>
                <w:rFonts w:ascii="宋体"/>
              </w:rPr>
            </w:pPr>
          </w:p>
        </w:tc>
        <w:tc>
          <w:tcPr>
            <w:tcW w:w="0" w:type="auto"/>
            <w:gridSpan w:val="3"/>
            <w:shd w:val="clear" w:color="auto" w:fill="DDDDDD"/>
            <w:tcMar>
              <w:top w:w="0" w:type="dxa"/>
              <w:left w:w="20" w:type="dxa"/>
              <w:bottom w:w="0" w:type="dxa"/>
              <w:right w:w="20" w:type="dxa"/>
            </w:tcMar>
            <w:vAlign w:val="bottom"/>
          </w:tcPr>
          <w:p w14:paraId="18600E76" w14:textId="77777777" w:rsidR="00A91885" w:rsidRDefault="00A91885">
            <w:pPr>
              <w:rPr>
                <w:rFonts w:ascii="宋体"/>
              </w:rPr>
            </w:pPr>
          </w:p>
        </w:tc>
        <w:tc>
          <w:tcPr>
            <w:tcW w:w="0" w:type="auto"/>
            <w:tcBorders>
              <w:top w:val="single" w:sz="8" w:space="0" w:color="000000"/>
              <w:bottom w:val="double" w:sz="6" w:space="0" w:color="000000"/>
            </w:tcBorders>
            <w:shd w:val="clear" w:color="auto" w:fill="DDDDDD"/>
            <w:tcMar>
              <w:top w:w="40" w:type="dxa"/>
              <w:left w:w="20" w:type="dxa"/>
              <w:bottom w:w="40" w:type="dxa"/>
              <w:right w:w="0" w:type="dxa"/>
            </w:tcMar>
            <w:vAlign w:val="bottom"/>
          </w:tcPr>
          <w:p w14:paraId="18600E77"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DDDDD"/>
            <w:tcMar>
              <w:top w:w="40" w:type="dxa"/>
              <w:left w:w="0" w:type="dxa"/>
              <w:bottom w:w="40" w:type="dxa"/>
              <w:right w:w="0" w:type="dxa"/>
            </w:tcMar>
            <w:vAlign w:val="bottom"/>
          </w:tcPr>
          <w:p w14:paraId="18600E78" w14:textId="77777777" w:rsidR="00A91885" w:rsidRDefault="009C4196">
            <w:pPr>
              <w:jc w:val="right"/>
              <w:textAlignment w:val="bottom"/>
            </w:pPr>
            <w:r>
              <w:rPr>
                <w:rFonts w:ascii="Arial" w:eastAsia="宋体" w:hAnsi="Arial" w:cs="Arial"/>
                <w:color w:val="000000"/>
                <w:sz w:val="18"/>
                <w:szCs w:val="18"/>
              </w:rPr>
              <w:t>681 </w:t>
            </w:r>
          </w:p>
        </w:tc>
        <w:tc>
          <w:tcPr>
            <w:tcW w:w="0" w:type="auto"/>
            <w:tcBorders>
              <w:top w:val="single" w:sz="8" w:space="0" w:color="000000"/>
              <w:bottom w:val="double" w:sz="6" w:space="0" w:color="000000"/>
            </w:tcBorders>
            <w:shd w:val="clear" w:color="auto" w:fill="DDDDDD"/>
            <w:tcMar>
              <w:top w:w="40" w:type="dxa"/>
              <w:left w:w="0" w:type="dxa"/>
              <w:bottom w:w="40" w:type="dxa"/>
              <w:right w:w="20" w:type="dxa"/>
            </w:tcMar>
            <w:vAlign w:val="bottom"/>
          </w:tcPr>
          <w:p w14:paraId="18600E79" w14:textId="77777777" w:rsidR="00A91885" w:rsidRDefault="00A91885">
            <w:pPr>
              <w:jc w:val="right"/>
              <w:rPr>
                <w:rFonts w:ascii="宋体"/>
              </w:rPr>
            </w:pPr>
          </w:p>
        </w:tc>
      </w:tr>
    </w:tbl>
    <w:p w14:paraId="18600E7B" w14:textId="77777777" w:rsidR="00A91885" w:rsidRDefault="00A91885">
      <w:pPr>
        <w:ind w:firstLine="90"/>
      </w:pPr>
    </w:p>
    <w:p w14:paraId="18600E7C" w14:textId="77777777" w:rsidR="00A91885" w:rsidRDefault="009C4196">
      <w:pPr>
        <w:ind w:firstLine="90"/>
      </w:pPr>
      <w:r>
        <w:rPr>
          <w:rFonts w:ascii="Arial" w:eastAsia="宋体" w:hAnsi="Arial" w:cs="Arial"/>
          <w:b/>
          <w:bCs/>
          <w:i/>
          <w:iCs/>
          <w:color w:val="000000"/>
          <w:sz w:val="20"/>
          <w:szCs w:val="20"/>
        </w:rPr>
        <w:t>Other current assets</w:t>
      </w:r>
    </w:p>
    <w:tbl>
      <w:tblPr>
        <w:tblW w:w="5000" w:type="pct"/>
        <w:tblCellMar>
          <w:top w:w="15" w:type="dxa"/>
          <w:left w:w="15" w:type="dxa"/>
          <w:bottom w:w="15" w:type="dxa"/>
          <w:right w:w="15" w:type="dxa"/>
        </w:tblCellMar>
        <w:tblLook w:val="04A0" w:firstRow="1" w:lastRow="0" w:firstColumn="1" w:lastColumn="0" w:noHBand="0" w:noVBand="1"/>
      </w:tblPr>
      <w:tblGrid>
        <w:gridCol w:w="38"/>
        <w:gridCol w:w="5694"/>
        <w:gridCol w:w="37"/>
        <w:gridCol w:w="121"/>
        <w:gridCol w:w="1071"/>
        <w:gridCol w:w="36"/>
        <w:gridCol w:w="36"/>
        <w:gridCol w:w="36"/>
        <w:gridCol w:w="36"/>
        <w:gridCol w:w="122"/>
        <w:gridCol w:w="1073"/>
        <w:gridCol w:w="36"/>
      </w:tblGrid>
      <w:tr w:rsidR="00A91885" w14:paraId="18600E89" w14:textId="77777777">
        <w:tc>
          <w:tcPr>
            <w:tcW w:w="50" w:type="pct"/>
            <w:shd w:val="clear" w:color="auto" w:fill="auto"/>
            <w:vAlign w:val="bottom"/>
          </w:tcPr>
          <w:p w14:paraId="18600E7D" w14:textId="77777777" w:rsidR="00A91885" w:rsidRDefault="00A91885">
            <w:pPr>
              <w:rPr>
                <w:rFonts w:ascii="宋体"/>
              </w:rPr>
            </w:pPr>
          </w:p>
        </w:tc>
        <w:tc>
          <w:tcPr>
            <w:tcW w:w="3453" w:type="pct"/>
            <w:shd w:val="clear" w:color="auto" w:fill="auto"/>
            <w:vAlign w:val="bottom"/>
          </w:tcPr>
          <w:p w14:paraId="18600E7E" w14:textId="77777777" w:rsidR="00A91885" w:rsidRDefault="00A91885">
            <w:pPr>
              <w:rPr>
                <w:rFonts w:ascii="宋体"/>
              </w:rPr>
            </w:pPr>
          </w:p>
        </w:tc>
        <w:tc>
          <w:tcPr>
            <w:tcW w:w="5" w:type="pct"/>
            <w:shd w:val="clear" w:color="auto" w:fill="auto"/>
            <w:vAlign w:val="bottom"/>
          </w:tcPr>
          <w:p w14:paraId="18600E7F" w14:textId="77777777" w:rsidR="00A91885" w:rsidRDefault="00A91885">
            <w:pPr>
              <w:rPr>
                <w:rFonts w:ascii="宋体"/>
              </w:rPr>
            </w:pPr>
          </w:p>
        </w:tc>
        <w:tc>
          <w:tcPr>
            <w:tcW w:w="50" w:type="pct"/>
            <w:shd w:val="clear" w:color="auto" w:fill="auto"/>
            <w:vAlign w:val="bottom"/>
          </w:tcPr>
          <w:p w14:paraId="18600E80" w14:textId="77777777" w:rsidR="00A91885" w:rsidRDefault="00A91885">
            <w:pPr>
              <w:rPr>
                <w:rFonts w:ascii="宋体"/>
              </w:rPr>
            </w:pPr>
          </w:p>
        </w:tc>
        <w:tc>
          <w:tcPr>
            <w:tcW w:w="675" w:type="pct"/>
            <w:shd w:val="clear" w:color="auto" w:fill="auto"/>
            <w:vAlign w:val="bottom"/>
          </w:tcPr>
          <w:p w14:paraId="18600E81" w14:textId="77777777" w:rsidR="00A91885" w:rsidRDefault="00A91885">
            <w:pPr>
              <w:rPr>
                <w:rFonts w:ascii="宋体"/>
              </w:rPr>
            </w:pPr>
          </w:p>
        </w:tc>
        <w:tc>
          <w:tcPr>
            <w:tcW w:w="5" w:type="pct"/>
            <w:shd w:val="clear" w:color="auto" w:fill="auto"/>
            <w:vAlign w:val="bottom"/>
          </w:tcPr>
          <w:p w14:paraId="18600E82" w14:textId="77777777" w:rsidR="00A91885" w:rsidRDefault="00A91885">
            <w:pPr>
              <w:rPr>
                <w:rFonts w:ascii="宋体"/>
              </w:rPr>
            </w:pPr>
          </w:p>
        </w:tc>
        <w:tc>
          <w:tcPr>
            <w:tcW w:w="5" w:type="pct"/>
            <w:shd w:val="clear" w:color="auto" w:fill="auto"/>
            <w:vAlign w:val="bottom"/>
          </w:tcPr>
          <w:p w14:paraId="18600E83" w14:textId="77777777" w:rsidR="00A91885" w:rsidRDefault="00A91885">
            <w:pPr>
              <w:rPr>
                <w:rFonts w:ascii="宋体"/>
              </w:rPr>
            </w:pPr>
          </w:p>
        </w:tc>
        <w:tc>
          <w:tcPr>
            <w:tcW w:w="19" w:type="pct"/>
            <w:shd w:val="clear" w:color="auto" w:fill="auto"/>
            <w:vAlign w:val="bottom"/>
          </w:tcPr>
          <w:p w14:paraId="18600E84" w14:textId="77777777" w:rsidR="00A91885" w:rsidRDefault="00A91885">
            <w:pPr>
              <w:rPr>
                <w:rFonts w:ascii="宋体"/>
              </w:rPr>
            </w:pPr>
          </w:p>
        </w:tc>
        <w:tc>
          <w:tcPr>
            <w:tcW w:w="5" w:type="pct"/>
            <w:shd w:val="clear" w:color="auto" w:fill="auto"/>
            <w:vAlign w:val="bottom"/>
          </w:tcPr>
          <w:p w14:paraId="18600E85" w14:textId="77777777" w:rsidR="00A91885" w:rsidRDefault="00A91885">
            <w:pPr>
              <w:rPr>
                <w:rFonts w:ascii="宋体"/>
              </w:rPr>
            </w:pPr>
          </w:p>
        </w:tc>
        <w:tc>
          <w:tcPr>
            <w:tcW w:w="50" w:type="pct"/>
            <w:shd w:val="clear" w:color="auto" w:fill="auto"/>
            <w:vAlign w:val="bottom"/>
          </w:tcPr>
          <w:p w14:paraId="18600E86" w14:textId="77777777" w:rsidR="00A91885" w:rsidRDefault="00A91885">
            <w:pPr>
              <w:rPr>
                <w:rFonts w:ascii="宋体"/>
              </w:rPr>
            </w:pPr>
          </w:p>
        </w:tc>
        <w:tc>
          <w:tcPr>
            <w:tcW w:w="676" w:type="pct"/>
            <w:shd w:val="clear" w:color="auto" w:fill="auto"/>
            <w:vAlign w:val="bottom"/>
          </w:tcPr>
          <w:p w14:paraId="18600E87" w14:textId="77777777" w:rsidR="00A91885" w:rsidRDefault="00A91885">
            <w:pPr>
              <w:rPr>
                <w:rFonts w:ascii="宋体"/>
              </w:rPr>
            </w:pPr>
          </w:p>
        </w:tc>
        <w:tc>
          <w:tcPr>
            <w:tcW w:w="5" w:type="pct"/>
            <w:shd w:val="clear" w:color="auto" w:fill="auto"/>
            <w:vAlign w:val="bottom"/>
          </w:tcPr>
          <w:p w14:paraId="18600E88" w14:textId="77777777" w:rsidR="00A91885" w:rsidRDefault="00A91885">
            <w:pPr>
              <w:rPr>
                <w:rFonts w:ascii="宋体"/>
              </w:rPr>
            </w:pPr>
          </w:p>
        </w:tc>
      </w:tr>
      <w:tr w:rsidR="00A91885" w14:paraId="18600E8E" w14:textId="77777777">
        <w:trPr>
          <w:trHeight w:val="420"/>
        </w:trPr>
        <w:tc>
          <w:tcPr>
            <w:tcW w:w="0" w:type="auto"/>
            <w:gridSpan w:val="3"/>
            <w:vMerge w:val="restart"/>
            <w:shd w:val="clear" w:color="auto" w:fill="auto"/>
            <w:tcMar>
              <w:top w:w="0" w:type="dxa"/>
              <w:left w:w="20" w:type="dxa"/>
              <w:bottom w:w="0" w:type="dxa"/>
              <w:right w:w="20" w:type="dxa"/>
            </w:tcMar>
            <w:vAlign w:val="bottom"/>
          </w:tcPr>
          <w:p w14:paraId="18600E8A"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E8B" w14:textId="77777777" w:rsidR="00A91885" w:rsidRDefault="009C4196">
            <w:pPr>
              <w:jc w:val="center"/>
              <w:textAlignment w:val="bottom"/>
            </w:pPr>
            <w:r>
              <w:rPr>
                <w:rFonts w:ascii="Arial" w:eastAsia="宋体" w:hAnsi="Arial" w:cs="Arial"/>
                <w:b/>
                <w:bCs/>
                <w:color w:val="000000"/>
                <w:sz w:val="17"/>
                <w:szCs w:val="17"/>
              </w:rPr>
              <w:t>June 30,</w:t>
            </w:r>
            <w:r>
              <w:rPr>
                <w:rFonts w:ascii="Arial" w:eastAsia="宋体" w:hAnsi="Arial" w:cs="Arial"/>
                <w:b/>
                <w:bCs/>
                <w:color w:val="000000"/>
                <w:sz w:val="17"/>
                <w:szCs w:val="17"/>
              </w:rPr>
              <w:br/>
              <w:t>2022</w:t>
            </w:r>
          </w:p>
        </w:tc>
        <w:tc>
          <w:tcPr>
            <w:tcW w:w="0" w:type="auto"/>
            <w:gridSpan w:val="3"/>
            <w:shd w:val="clear" w:color="auto" w:fill="auto"/>
            <w:tcMar>
              <w:top w:w="0" w:type="dxa"/>
              <w:left w:w="20" w:type="dxa"/>
              <w:bottom w:w="0" w:type="dxa"/>
              <w:right w:w="20" w:type="dxa"/>
            </w:tcMar>
            <w:vAlign w:val="bottom"/>
          </w:tcPr>
          <w:p w14:paraId="18600E8C" w14:textId="77777777" w:rsidR="00A91885" w:rsidRDefault="00A9188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8600E8D" w14:textId="77777777" w:rsidR="00A91885" w:rsidRDefault="009C4196">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r>
      <w:tr w:rsidR="00A91885" w14:paraId="18600E91" w14:textId="77777777">
        <w:trPr>
          <w:trHeight w:val="240"/>
        </w:trPr>
        <w:tc>
          <w:tcPr>
            <w:tcW w:w="0" w:type="auto"/>
            <w:gridSpan w:val="3"/>
            <w:vMerge/>
            <w:shd w:val="clear" w:color="auto" w:fill="auto"/>
            <w:tcMar>
              <w:top w:w="0" w:type="dxa"/>
              <w:left w:w="20" w:type="dxa"/>
              <w:bottom w:w="0" w:type="dxa"/>
              <w:right w:w="20" w:type="dxa"/>
            </w:tcMar>
            <w:vAlign w:val="bottom"/>
          </w:tcPr>
          <w:p w14:paraId="18600E8F" w14:textId="77777777" w:rsidR="00A91885" w:rsidRDefault="00A9188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600E90" w14:textId="77777777" w:rsidR="00A91885" w:rsidRDefault="009C4196">
            <w:pPr>
              <w:jc w:val="center"/>
              <w:textAlignment w:val="bottom"/>
            </w:pPr>
            <w:r>
              <w:rPr>
                <w:rFonts w:ascii="Arial" w:eastAsia="宋体" w:hAnsi="Arial" w:cs="Arial"/>
                <w:b/>
                <w:bCs/>
                <w:color w:val="000000"/>
                <w:sz w:val="17"/>
                <w:szCs w:val="17"/>
              </w:rPr>
              <w:t>(In millions)</w:t>
            </w:r>
          </w:p>
        </w:tc>
      </w:tr>
      <w:tr w:rsidR="00A91885" w14:paraId="18600E9A" w14:textId="77777777">
        <w:tc>
          <w:tcPr>
            <w:tcW w:w="0" w:type="auto"/>
            <w:gridSpan w:val="3"/>
            <w:shd w:val="clear" w:color="auto" w:fill="E2E2E2"/>
            <w:tcMar>
              <w:top w:w="40" w:type="dxa"/>
              <w:left w:w="20" w:type="dxa"/>
              <w:bottom w:w="40" w:type="dxa"/>
              <w:right w:w="20" w:type="dxa"/>
            </w:tcMar>
            <w:vAlign w:val="bottom"/>
          </w:tcPr>
          <w:p w14:paraId="18600E92" w14:textId="77777777" w:rsidR="00A91885" w:rsidRDefault="009C4196">
            <w:pPr>
              <w:textAlignment w:val="bottom"/>
            </w:pPr>
            <w:r>
              <w:rPr>
                <w:rFonts w:ascii="Arial" w:eastAsia="宋体" w:hAnsi="Arial" w:cs="Arial"/>
                <w:color w:val="000000"/>
                <w:sz w:val="18"/>
                <w:szCs w:val="18"/>
              </w:rPr>
              <w:t>Payment processor advances</w:t>
            </w:r>
          </w:p>
        </w:tc>
        <w:tc>
          <w:tcPr>
            <w:tcW w:w="0" w:type="auto"/>
            <w:shd w:val="clear" w:color="auto" w:fill="E2E2E2"/>
            <w:tcMar>
              <w:top w:w="40" w:type="dxa"/>
              <w:left w:w="20" w:type="dxa"/>
              <w:bottom w:w="40" w:type="dxa"/>
              <w:right w:w="0" w:type="dxa"/>
            </w:tcMar>
            <w:vAlign w:val="bottom"/>
          </w:tcPr>
          <w:p w14:paraId="18600E93"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0E94" w14:textId="77777777" w:rsidR="00A91885" w:rsidRDefault="009C4196">
            <w:pPr>
              <w:jc w:val="right"/>
              <w:textAlignment w:val="bottom"/>
            </w:pPr>
            <w:r>
              <w:rPr>
                <w:rFonts w:ascii="Arial" w:eastAsia="宋体" w:hAnsi="Arial" w:cs="Arial"/>
                <w:color w:val="000000"/>
                <w:sz w:val="18"/>
                <w:szCs w:val="18"/>
              </w:rPr>
              <w:t>405 </w:t>
            </w:r>
          </w:p>
        </w:tc>
        <w:tc>
          <w:tcPr>
            <w:tcW w:w="0" w:type="auto"/>
            <w:shd w:val="clear" w:color="auto" w:fill="E2E2E2"/>
            <w:tcMar>
              <w:top w:w="40" w:type="dxa"/>
              <w:left w:w="0" w:type="dxa"/>
              <w:bottom w:w="40" w:type="dxa"/>
              <w:right w:w="20" w:type="dxa"/>
            </w:tcMar>
            <w:vAlign w:val="bottom"/>
          </w:tcPr>
          <w:p w14:paraId="18600E9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E96"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0E97"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0E98" w14:textId="77777777" w:rsidR="00A91885" w:rsidRDefault="009C4196">
            <w:pPr>
              <w:jc w:val="right"/>
              <w:textAlignment w:val="bottom"/>
            </w:pPr>
            <w:r>
              <w:rPr>
                <w:rFonts w:ascii="Arial" w:eastAsia="宋体" w:hAnsi="Arial" w:cs="Arial"/>
                <w:color w:val="000000"/>
                <w:sz w:val="18"/>
                <w:szCs w:val="18"/>
              </w:rPr>
              <w:t>453 </w:t>
            </w:r>
          </w:p>
        </w:tc>
        <w:tc>
          <w:tcPr>
            <w:tcW w:w="0" w:type="auto"/>
            <w:shd w:val="clear" w:color="auto" w:fill="E2E2E2"/>
            <w:tcMar>
              <w:top w:w="40" w:type="dxa"/>
              <w:left w:w="0" w:type="dxa"/>
              <w:bottom w:w="40" w:type="dxa"/>
              <w:right w:w="20" w:type="dxa"/>
            </w:tcMar>
            <w:vAlign w:val="bottom"/>
          </w:tcPr>
          <w:p w14:paraId="18600E99" w14:textId="77777777" w:rsidR="00A91885" w:rsidRDefault="00A91885">
            <w:pPr>
              <w:jc w:val="right"/>
              <w:rPr>
                <w:rFonts w:ascii="宋体"/>
              </w:rPr>
            </w:pPr>
          </w:p>
        </w:tc>
      </w:tr>
      <w:tr w:rsidR="00A91885" w14:paraId="18600EA1" w14:textId="77777777">
        <w:tc>
          <w:tcPr>
            <w:tcW w:w="0" w:type="auto"/>
            <w:gridSpan w:val="3"/>
            <w:shd w:val="clear" w:color="auto" w:fill="FFFFFF"/>
            <w:tcMar>
              <w:top w:w="40" w:type="dxa"/>
              <w:left w:w="20" w:type="dxa"/>
              <w:bottom w:w="40" w:type="dxa"/>
              <w:right w:w="20" w:type="dxa"/>
            </w:tcMar>
            <w:vAlign w:val="bottom"/>
          </w:tcPr>
          <w:p w14:paraId="18600E9B" w14:textId="77777777" w:rsidR="00A91885" w:rsidRDefault="009C4196">
            <w:pPr>
              <w:textAlignment w:val="bottom"/>
            </w:pPr>
            <w:r>
              <w:rPr>
                <w:rFonts w:ascii="Arial" w:eastAsia="宋体" w:hAnsi="Arial" w:cs="Arial"/>
                <w:color w:val="000000"/>
                <w:sz w:val="18"/>
                <w:szCs w:val="18"/>
              </w:rPr>
              <w:t>Short-term derivative assets</w:t>
            </w:r>
          </w:p>
        </w:tc>
        <w:tc>
          <w:tcPr>
            <w:tcW w:w="0" w:type="auto"/>
            <w:gridSpan w:val="2"/>
            <w:shd w:val="clear" w:color="auto" w:fill="FFFFFF"/>
            <w:tcMar>
              <w:top w:w="40" w:type="dxa"/>
              <w:left w:w="20" w:type="dxa"/>
              <w:bottom w:w="40" w:type="dxa"/>
              <w:right w:w="0" w:type="dxa"/>
            </w:tcMar>
            <w:vAlign w:val="bottom"/>
          </w:tcPr>
          <w:p w14:paraId="18600E9C" w14:textId="77777777" w:rsidR="00A91885" w:rsidRDefault="009C4196">
            <w:pPr>
              <w:jc w:val="right"/>
              <w:textAlignment w:val="bottom"/>
            </w:pPr>
            <w:r>
              <w:rPr>
                <w:rFonts w:ascii="Arial" w:eastAsia="宋体" w:hAnsi="Arial" w:cs="Arial"/>
                <w:color w:val="000000"/>
                <w:sz w:val="18"/>
                <w:szCs w:val="18"/>
              </w:rPr>
              <w:t>204 </w:t>
            </w:r>
          </w:p>
        </w:tc>
        <w:tc>
          <w:tcPr>
            <w:tcW w:w="0" w:type="auto"/>
            <w:shd w:val="clear" w:color="auto" w:fill="FFFFFF"/>
            <w:tcMar>
              <w:top w:w="40" w:type="dxa"/>
              <w:left w:w="0" w:type="dxa"/>
              <w:bottom w:w="40" w:type="dxa"/>
              <w:right w:w="20" w:type="dxa"/>
            </w:tcMar>
            <w:vAlign w:val="bottom"/>
          </w:tcPr>
          <w:p w14:paraId="18600E9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E9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E9F" w14:textId="77777777" w:rsidR="00A91885" w:rsidRDefault="009C4196">
            <w:pPr>
              <w:jc w:val="right"/>
              <w:textAlignment w:val="bottom"/>
            </w:pPr>
            <w:r>
              <w:rPr>
                <w:rFonts w:ascii="Arial" w:eastAsia="宋体" w:hAnsi="Arial" w:cs="Arial"/>
                <w:color w:val="000000"/>
                <w:sz w:val="18"/>
                <w:szCs w:val="18"/>
              </w:rPr>
              <w:t>86 </w:t>
            </w:r>
          </w:p>
        </w:tc>
        <w:tc>
          <w:tcPr>
            <w:tcW w:w="0" w:type="auto"/>
            <w:shd w:val="clear" w:color="auto" w:fill="FFFFFF"/>
            <w:tcMar>
              <w:top w:w="40" w:type="dxa"/>
              <w:left w:w="0" w:type="dxa"/>
              <w:bottom w:w="40" w:type="dxa"/>
              <w:right w:w="20" w:type="dxa"/>
            </w:tcMar>
            <w:vAlign w:val="bottom"/>
          </w:tcPr>
          <w:p w14:paraId="18600EA0" w14:textId="77777777" w:rsidR="00A91885" w:rsidRDefault="00A91885">
            <w:pPr>
              <w:jc w:val="right"/>
              <w:rPr>
                <w:rFonts w:ascii="宋体"/>
              </w:rPr>
            </w:pPr>
          </w:p>
        </w:tc>
      </w:tr>
      <w:tr w:rsidR="00A91885" w14:paraId="18600EA8" w14:textId="77777777">
        <w:tc>
          <w:tcPr>
            <w:tcW w:w="0" w:type="auto"/>
            <w:gridSpan w:val="3"/>
            <w:shd w:val="clear" w:color="auto" w:fill="E2E2E2"/>
            <w:tcMar>
              <w:top w:w="40" w:type="dxa"/>
              <w:left w:w="20" w:type="dxa"/>
              <w:bottom w:w="40" w:type="dxa"/>
              <w:right w:w="20" w:type="dxa"/>
            </w:tcMar>
            <w:vAlign w:val="bottom"/>
          </w:tcPr>
          <w:p w14:paraId="18600EA2" w14:textId="77777777" w:rsidR="00A91885" w:rsidRDefault="009C4196">
            <w:pPr>
              <w:textAlignment w:val="bottom"/>
            </w:pPr>
            <w:r>
              <w:rPr>
                <w:rFonts w:ascii="Arial" w:eastAsia="宋体" w:hAnsi="Arial" w:cs="Arial"/>
                <w:color w:val="000000"/>
                <w:sz w:val="18"/>
                <w:szCs w:val="18"/>
              </w:rPr>
              <w:t>Prepaid expenses</w:t>
            </w:r>
          </w:p>
        </w:tc>
        <w:tc>
          <w:tcPr>
            <w:tcW w:w="0" w:type="auto"/>
            <w:gridSpan w:val="2"/>
            <w:shd w:val="clear" w:color="auto" w:fill="E2E2E2"/>
            <w:tcMar>
              <w:top w:w="40" w:type="dxa"/>
              <w:left w:w="20" w:type="dxa"/>
              <w:bottom w:w="40" w:type="dxa"/>
              <w:right w:w="0" w:type="dxa"/>
            </w:tcMar>
            <w:vAlign w:val="bottom"/>
          </w:tcPr>
          <w:p w14:paraId="18600EA3" w14:textId="77777777" w:rsidR="00A91885" w:rsidRDefault="009C4196">
            <w:pPr>
              <w:jc w:val="right"/>
              <w:textAlignment w:val="bottom"/>
            </w:pPr>
            <w:r>
              <w:rPr>
                <w:rFonts w:ascii="Arial" w:eastAsia="宋体" w:hAnsi="Arial" w:cs="Arial"/>
                <w:color w:val="000000"/>
                <w:sz w:val="18"/>
                <w:szCs w:val="18"/>
              </w:rPr>
              <w:t>117 </w:t>
            </w:r>
          </w:p>
        </w:tc>
        <w:tc>
          <w:tcPr>
            <w:tcW w:w="0" w:type="auto"/>
            <w:shd w:val="clear" w:color="auto" w:fill="E2E2E2"/>
            <w:tcMar>
              <w:top w:w="40" w:type="dxa"/>
              <w:left w:w="0" w:type="dxa"/>
              <w:bottom w:w="40" w:type="dxa"/>
              <w:right w:w="20" w:type="dxa"/>
            </w:tcMar>
            <w:vAlign w:val="bottom"/>
          </w:tcPr>
          <w:p w14:paraId="18600EA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EA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EA6" w14:textId="77777777" w:rsidR="00A91885" w:rsidRDefault="009C4196">
            <w:pPr>
              <w:jc w:val="right"/>
              <w:textAlignment w:val="bottom"/>
            </w:pPr>
            <w:r>
              <w:rPr>
                <w:rFonts w:ascii="Arial" w:eastAsia="宋体" w:hAnsi="Arial" w:cs="Arial"/>
                <w:color w:val="000000"/>
                <w:sz w:val="18"/>
                <w:szCs w:val="18"/>
              </w:rPr>
              <w:t>114 </w:t>
            </w:r>
          </w:p>
        </w:tc>
        <w:tc>
          <w:tcPr>
            <w:tcW w:w="0" w:type="auto"/>
            <w:shd w:val="clear" w:color="auto" w:fill="E2E2E2"/>
            <w:tcMar>
              <w:top w:w="40" w:type="dxa"/>
              <w:left w:w="0" w:type="dxa"/>
              <w:bottom w:w="40" w:type="dxa"/>
              <w:right w:w="20" w:type="dxa"/>
            </w:tcMar>
            <w:vAlign w:val="bottom"/>
          </w:tcPr>
          <w:p w14:paraId="18600EA7" w14:textId="77777777" w:rsidR="00A91885" w:rsidRDefault="00A91885">
            <w:pPr>
              <w:jc w:val="right"/>
              <w:rPr>
                <w:rFonts w:ascii="宋体"/>
              </w:rPr>
            </w:pPr>
          </w:p>
        </w:tc>
      </w:tr>
      <w:tr w:rsidR="00A91885" w14:paraId="18600EAF" w14:textId="77777777">
        <w:tc>
          <w:tcPr>
            <w:tcW w:w="0" w:type="auto"/>
            <w:gridSpan w:val="3"/>
            <w:shd w:val="clear" w:color="auto" w:fill="FFFFFF"/>
            <w:tcMar>
              <w:top w:w="40" w:type="dxa"/>
              <w:left w:w="20" w:type="dxa"/>
              <w:bottom w:w="40" w:type="dxa"/>
              <w:right w:w="20" w:type="dxa"/>
            </w:tcMar>
            <w:vAlign w:val="bottom"/>
          </w:tcPr>
          <w:p w14:paraId="18600EA9" w14:textId="77777777" w:rsidR="00A91885" w:rsidRDefault="009C4196">
            <w:pPr>
              <w:textAlignment w:val="bottom"/>
            </w:pPr>
            <w:r>
              <w:rPr>
                <w:rFonts w:ascii="Arial" w:eastAsia="宋体" w:hAnsi="Arial" w:cs="Arial"/>
                <w:color w:val="000000"/>
                <w:sz w:val="18"/>
                <w:szCs w:val="18"/>
              </w:rPr>
              <w:t>Income and other tax receivable</w:t>
            </w:r>
          </w:p>
        </w:tc>
        <w:tc>
          <w:tcPr>
            <w:tcW w:w="0" w:type="auto"/>
            <w:gridSpan w:val="2"/>
            <w:shd w:val="clear" w:color="auto" w:fill="FFFFFF"/>
            <w:tcMar>
              <w:top w:w="40" w:type="dxa"/>
              <w:left w:w="20" w:type="dxa"/>
              <w:bottom w:w="40" w:type="dxa"/>
              <w:right w:w="0" w:type="dxa"/>
            </w:tcMar>
            <w:vAlign w:val="bottom"/>
          </w:tcPr>
          <w:p w14:paraId="18600EAA" w14:textId="77777777" w:rsidR="00A91885" w:rsidRDefault="009C4196">
            <w:pPr>
              <w:jc w:val="right"/>
              <w:textAlignment w:val="bottom"/>
            </w:pPr>
            <w:r>
              <w:rPr>
                <w:rFonts w:ascii="Arial" w:eastAsia="宋体" w:hAnsi="Arial" w:cs="Arial"/>
                <w:color w:val="000000"/>
                <w:sz w:val="18"/>
                <w:szCs w:val="18"/>
              </w:rPr>
              <w:t>140 </w:t>
            </w:r>
          </w:p>
        </w:tc>
        <w:tc>
          <w:tcPr>
            <w:tcW w:w="0" w:type="auto"/>
            <w:shd w:val="clear" w:color="auto" w:fill="FFFFFF"/>
            <w:tcMar>
              <w:top w:w="40" w:type="dxa"/>
              <w:left w:w="0" w:type="dxa"/>
              <w:bottom w:w="40" w:type="dxa"/>
              <w:right w:w="20" w:type="dxa"/>
            </w:tcMar>
            <w:vAlign w:val="bottom"/>
          </w:tcPr>
          <w:p w14:paraId="18600EA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EA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EAD" w14:textId="77777777" w:rsidR="00A91885" w:rsidRDefault="009C4196">
            <w:pPr>
              <w:jc w:val="right"/>
              <w:textAlignment w:val="bottom"/>
            </w:pPr>
            <w:r>
              <w:rPr>
                <w:rFonts w:ascii="Arial" w:eastAsia="宋体" w:hAnsi="Arial" w:cs="Arial"/>
                <w:color w:val="000000"/>
                <w:sz w:val="18"/>
                <w:szCs w:val="18"/>
              </w:rPr>
              <w:t>108 </w:t>
            </w:r>
          </w:p>
        </w:tc>
        <w:tc>
          <w:tcPr>
            <w:tcW w:w="0" w:type="auto"/>
            <w:shd w:val="clear" w:color="auto" w:fill="FFFFFF"/>
            <w:tcMar>
              <w:top w:w="40" w:type="dxa"/>
              <w:left w:w="0" w:type="dxa"/>
              <w:bottom w:w="40" w:type="dxa"/>
              <w:right w:w="20" w:type="dxa"/>
            </w:tcMar>
            <w:vAlign w:val="bottom"/>
          </w:tcPr>
          <w:p w14:paraId="18600EAE" w14:textId="77777777" w:rsidR="00A91885" w:rsidRDefault="00A91885">
            <w:pPr>
              <w:jc w:val="right"/>
              <w:rPr>
                <w:rFonts w:ascii="宋体"/>
              </w:rPr>
            </w:pPr>
          </w:p>
        </w:tc>
      </w:tr>
      <w:tr w:rsidR="00A91885" w14:paraId="18600EB6" w14:textId="77777777">
        <w:tc>
          <w:tcPr>
            <w:tcW w:w="0" w:type="auto"/>
            <w:gridSpan w:val="3"/>
            <w:shd w:val="clear" w:color="auto" w:fill="E2E2E2"/>
            <w:tcMar>
              <w:top w:w="40" w:type="dxa"/>
              <w:left w:w="20" w:type="dxa"/>
              <w:bottom w:w="40" w:type="dxa"/>
              <w:right w:w="20" w:type="dxa"/>
            </w:tcMar>
            <w:vAlign w:val="bottom"/>
          </w:tcPr>
          <w:p w14:paraId="18600EB0" w14:textId="77777777" w:rsidR="00A91885" w:rsidRDefault="009C4196">
            <w:pPr>
              <w:textAlignment w:val="bottom"/>
            </w:pPr>
            <w:r>
              <w:rPr>
                <w:rFonts w:ascii="Arial" w:eastAsia="宋体" w:hAnsi="Arial" w:cs="Arial"/>
                <w:color w:val="000000"/>
                <w:sz w:val="18"/>
                <w:szCs w:val="18"/>
              </w:rPr>
              <w:t>Accounts receivable, net</w:t>
            </w:r>
          </w:p>
        </w:tc>
        <w:tc>
          <w:tcPr>
            <w:tcW w:w="0" w:type="auto"/>
            <w:gridSpan w:val="2"/>
            <w:shd w:val="clear" w:color="auto" w:fill="E2E2E2"/>
            <w:tcMar>
              <w:top w:w="40" w:type="dxa"/>
              <w:left w:w="20" w:type="dxa"/>
              <w:bottom w:w="40" w:type="dxa"/>
              <w:right w:w="0" w:type="dxa"/>
            </w:tcMar>
            <w:vAlign w:val="bottom"/>
          </w:tcPr>
          <w:p w14:paraId="18600EB1" w14:textId="77777777" w:rsidR="00A91885" w:rsidRDefault="009C4196">
            <w:pPr>
              <w:jc w:val="right"/>
              <w:textAlignment w:val="bottom"/>
            </w:pPr>
            <w:r>
              <w:rPr>
                <w:rFonts w:ascii="Arial" w:eastAsia="宋体" w:hAnsi="Arial" w:cs="Arial"/>
                <w:color w:val="000000"/>
                <w:sz w:val="18"/>
                <w:szCs w:val="18"/>
              </w:rPr>
              <w:t>82 </w:t>
            </w:r>
          </w:p>
        </w:tc>
        <w:tc>
          <w:tcPr>
            <w:tcW w:w="0" w:type="auto"/>
            <w:shd w:val="clear" w:color="auto" w:fill="E2E2E2"/>
            <w:tcMar>
              <w:top w:w="40" w:type="dxa"/>
              <w:left w:w="0" w:type="dxa"/>
              <w:bottom w:w="40" w:type="dxa"/>
              <w:right w:w="20" w:type="dxa"/>
            </w:tcMar>
            <w:vAlign w:val="bottom"/>
          </w:tcPr>
          <w:p w14:paraId="18600EB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EB3"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EB4" w14:textId="77777777" w:rsidR="00A91885" w:rsidRDefault="009C4196">
            <w:pPr>
              <w:jc w:val="right"/>
              <w:textAlignment w:val="bottom"/>
            </w:pPr>
            <w:r>
              <w:rPr>
                <w:rFonts w:ascii="Arial" w:eastAsia="宋体" w:hAnsi="Arial" w:cs="Arial"/>
                <w:color w:val="000000"/>
                <w:sz w:val="18"/>
                <w:szCs w:val="18"/>
              </w:rPr>
              <w:t>98 </w:t>
            </w:r>
          </w:p>
        </w:tc>
        <w:tc>
          <w:tcPr>
            <w:tcW w:w="0" w:type="auto"/>
            <w:shd w:val="clear" w:color="auto" w:fill="E2E2E2"/>
            <w:tcMar>
              <w:top w:w="40" w:type="dxa"/>
              <w:left w:w="0" w:type="dxa"/>
              <w:bottom w:w="40" w:type="dxa"/>
              <w:right w:w="20" w:type="dxa"/>
            </w:tcMar>
            <w:vAlign w:val="bottom"/>
          </w:tcPr>
          <w:p w14:paraId="18600EB5" w14:textId="77777777" w:rsidR="00A91885" w:rsidRDefault="00A91885">
            <w:pPr>
              <w:jc w:val="right"/>
              <w:rPr>
                <w:rFonts w:ascii="宋体"/>
              </w:rPr>
            </w:pPr>
          </w:p>
        </w:tc>
      </w:tr>
      <w:tr w:rsidR="00A91885" w14:paraId="18600EBD" w14:textId="77777777">
        <w:tc>
          <w:tcPr>
            <w:tcW w:w="0" w:type="auto"/>
            <w:gridSpan w:val="3"/>
            <w:shd w:val="clear" w:color="auto" w:fill="FFFFFF"/>
            <w:tcMar>
              <w:top w:w="40" w:type="dxa"/>
              <w:left w:w="20" w:type="dxa"/>
              <w:bottom w:w="40" w:type="dxa"/>
              <w:right w:w="20" w:type="dxa"/>
            </w:tcMar>
            <w:vAlign w:val="bottom"/>
          </w:tcPr>
          <w:p w14:paraId="18600EB7" w14:textId="77777777" w:rsidR="00A91885" w:rsidRDefault="009C4196">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18600EB8" w14:textId="77777777" w:rsidR="00A91885" w:rsidRDefault="009C4196">
            <w:pPr>
              <w:jc w:val="right"/>
              <w:textAlignment w:val="bottom"/>
            </w:pPr>
            <w:r>
              <w:rPr>
                <w:rFonts w:ascii="Arial" w:eastAsia="宋体" w:hAnsi="Arial" w:cs="Arial"/>
                <w:color w:val="000000"/>
                <w:sz w:val="18"/>
                <w:szCs w:val="18"/>
              </w:rPr>
              <w:t>289 </w:t>
            </w:r>
          </w:p>
        </w:tc>
        <w:tc>
          <w:tcPr>
            <w:tcW w:w="0" w:type="auto"/>
            <w:shd w:val="clear" w:color="auto" w:fill="FFFFFF"/>
            <w:tcMar>
              <w:top w:w="40" w:type="dxa"/>
              <w:left w:w="0" w:type="dxa"/>
              <w:bottom w:w="40" w:type="dxa"/>
              <w:right w:w="20" w:type="dxa"/>
            </w:tcMar>
            <w:vAlign w:val="bottom"/>
          </w:tcPr>
          <w:p w14:paraId="18600EB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EB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EBB" w14:textId="77777777" w:rsidR="00A91885" w:rsidRDefault="009C4196">
            <w:pPr>
              <w:jc w:val="right"/>
              <w:textAlignment w:val="bottom"/>
            </w:pPr>
            <w:r>
              <w:rPr>
                <w:rFonts w:ascii="Arial" w:eastAsia="宋体" w:hAnsi="Arial" w:cs="Arial"/>
                <w:color w:val="000000"/>
                <w:sz w:val="18"/>
                <w:szCs w:val="18"/>
              </w:rPr>
              <w:t>248 </w:t>
            </w:r>
          </w:p>
        </w:tc>
        <w:tc>
          <w:tcPr>
            <w:tcW w:w="0" w:type="auto"/>
            <w:shd w:val="clear" w:color="auto" w:fill="FFFFFF"/>
            <w:tcMar>
              <w:top w:w="40" w:type="dxa"/>
              <w:left w:w="0" w:type="dxa"/>
              <w:bottom w:w="40" w:type="dxa"/>
              <w:right w:w="20" w:type="dxa"/>
            </w:tcMar>
            <w:vAlign w:val="bottom"/>
          </w:tcPr>
          <w:p w14:paraId="18600EBC" w14:textId="77777777" w:rsidR="00A91885" w:rsidRDefault="00A91885">
            <w:pPr>
              <w:jc w:val="right"/>
              <w:rPr>
                <w:rFonts w:ascii="宋体"/>
              </w:rPr>
            </w:pPr>
          </w:p>
        </w:tc>
      </w:tr>
      <w:tr w:rsidR="00A91885" w14:paraId="18600EC6" w14:textId="77777777">
        <w:tc>
          <w:tcPr>
            <w:tcW w:w="0" w:type="auto"/>
            <w:gridSpan w:val="3"/>
            <w:shd w:val="clear" w:color="auto" w:fill="E2E2E2"/>
            <w:tcMar>
              <w:top w:w="40" w:type="dxa"/>
              <w:left w:w="245" w:type="dxa"/>
              <w:bottom w:w="40" w:type="dxa"/>
              <w:right w:w="20" w:type="dxa"/>
            </w:tcMar>
            <w:vAlign w:val="bottom"/>
          </w:tcPr>
          <w:p w14:paraId="18600EBE" w14:textId="77777777" w:rsidR="00A91885" w:rsidRDefault="009C4196">
            <w:pPr>
              <w:textAlignment w:val="bottom"/>
            </w:pPr>
            <w:r>
              <w:rPr>
                <w:rFonts w:ascii="Arial" w:eastAsia="宋体" w:hAnsi="Arial" w:cs="Arial"/>
                <w:color w:val="000000"/>
                <w:sz w:val="18"/>
                <w:szCs w:val="18"/>
              </w:rPr>
              <w:t>Other current assets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EB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EC0" w14:textId="77777777" w:rsidR="00A91885" w:rsidRDefault="009C4196">
            <w:pPr>
              <w:jc w:val="right"/>
              <w:textAlignment w:val="bottom"/>
            </w:pPr>
            <w:r>
              <w:rPr>
                <w:rFonts w:ascii="Arial" w:eastAsia="宋体" w:hAnsi="Arial" w:cs="Arial"/>
                <w:color w:val="000000"/>
                <w:sz w:val="18"/>
                <w:szCs w:val="18"/>
              </w:rPr>
              <w:t>1,237 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EC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EC2"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0EC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0EC4" w14:textId="77777777" w:rsidR="00A91885" w:rsidRDefault="009C4196">
            <w:pPr>
              <w:jc w:val="right"/>
              <w:textAlignment w:val="bottom"/>
            </w:pPr>
            <w:r>
              <w:rPr>
                <w:rFonts w:ascii="Arial" w:eastAsia="宋体" w:hAnsi="Arial" w:cs="Arial"/>
                <w:color w:val="000000"/>
                <w:sz w:val="18"/>
                <w:szCs w:val="18"/>
              </w:rPr>
              <w:t>1,107 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0EC5" w14:textId="77777777" w:rsidR="00A91885" w:rsidRDefault="00A91885">
            <w:pPr>
              <w:jc w:val="right"/>
              <w:rPr>
                <w:rFonts w:ascii="宋体"/>
              </w:rPr>
            </w:pPr>
          </w:p>
        </w:tc>
      </w:tr>
    </w:tbl>
    <w:p w14:paraId="18600EC7" w14:textId="77777777" w:rsidR="00A91885" w:rsidRDefault="00A91885">
      <w:pPr>
        <w:jc w:val="center"/>
      </w:pPr>
    </w:p>
    <w:p w14:paraId="18600EC8" w14:textId="77777777" w:rsidR="00A91885" w:rsidRDefault="009C4196">
      <w:pPr>
        <w:jc w:val="center"/>
      </w:pPr>
      <w:r>
        <w:rPr>
          <w:rFonts w:ascii="Arial" w:eastAsia="宋体" w:hAnsi="Arial" w:cs="Arial"/>
          <w:color w:val="000000"/>
          <w:sz w:val="20"/>
          <w:szCs w:val="20"/>
        </w:rPr>
        <w:t>35</w:t>
      </w:r>
    </w:p>
    <w:p w14:paraId="18600EC9" w14:textId="77777777" w:rsidR="00A91885" w:rsidRDefault="009C4196">
      <w:r>
        <w:pict w14:anchorId="186021A6">
          <v:rect id="_x0000_i1059" style="width:415.3pt;height:1.5pt" o:hralign="center" o:hrstd="t" o:hr="t" fillcolor="#a0a0a0" stroked="f"/>
        </w:pict>
      </w:r>
    </w:p>
    <w:p w14:paraId="18600ECA" w14:textId="77777777" w:rsidR="00A91885" w:rsidRDefault="009C4196">
      <w:hyperlink r:id="rId119" w:anchor="ieb971428a625452486c65ae24899afca_7" w:history="1">
        <w:r>
          <w:rPr>
            <w:rStyle w:val="a5"/>
            <w:rFonts w:ascii="Arial" w:eastAsia="宋体" w:hAnsi="Arial" w:cs="Arial"/>
            <w:sz w:val="18"/>
            <w:szCs w:val="18"/>
          </w:rPr>
          <w:t>Table of Contents</w:t>
        </w:r>
      </w:hyperlink>
    </w:p>
    <w:p w14:paraId="18600ECB" w14:textId="77777777" w:rsidR="00A91885" w:rsidRDefault="009C4196">
      <w:pPr>
        <w:jc w:val="center"/>
      </w:pPr>
      <w:r>
        <w:rPr>
          <w:rFonts w:ascii="Arial" w:eastAsia="宋体" w:hAnsi="Arial" w:cs="Arial"/>
          <w:b/>
          <w:bCs/>
          <w:color w:val="000000"/>
          <w:sz w:val="20"/>
          <w:szCs w:val="20"/>
        </w:rPr>
        <w:t>eBay Inc.</w:t>
      </w:r>
    </w:p>
    <w:p w14:paraId="18600ECC"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0ECD" w14:textId="77777777" w:rsidR="00A91885" w:rsidRDefault="009C4196">
      <w:pPr>
        <w:ind w:firstLine="270"/>
      </w:pPr>
      <w:r>
        <w:rPr>
          <w:rFonts w:ascii="Arial" w:eastAsia="宋体" w:hAnsi="Arial" w:cs="Arial"/>
          <w:b/>
          <w:bCs/>
          <w:i/>
          <w:iCs/>
          <w:color w:val="000000"/>
          <w:sz w:val="20"/>
          <w:szCs w:val="20"/>
        </w:rPr>
        <w:t>Accrued ex</w:t>
      </w:r>
      <w:r>
        <w:rPr>
          <w:rFonts w:ascii="Arial" w:eastAsia="宋体" w:hAnsi="Arial" w:cs="Arial"/>
          <w:b/>
          <w:bCs/>
          <w:i/>
          <w:iCs/>
          <w:color w:val="000000"/>
          <w:sz w:val="20"/>
          <w:szCs w:val="20"/>
        </w:rPr>
        <w:t>penses and other current liabilities</w:t>
      </w:r>
    </w:p>
    <w:tbl>
      <w:tblPr>
        <w:tblW w:w="5000" w:type="pct"/>
        <w:tblCellMar>
          <w:top w:w="15" w:type="dxa"/>
          <w:left w:w="15" w:type="dxa"/>
          <w:bottom w:w="15" w:type="dxa"/>
          <w:right w:w="15" w:type="dxa"/>
        </w:tblCellMar>
        <w:tblLook w:val="04A0" w:firstRow="1" w:lastRow="0" w:firstColumn="1" w:lastColumn="0" w:noHBand="0" w:noVBand="1"/>
      </w:tblPr>
      <w:tblGrid>
        <w:gridCol w:w="37"/>
        <w:gridCol w:w="5696"/>
        <w:gridCol w:w="36"/>
        <w:gridCol w:w="121"/>
        <w:gridCol w:w="1071"/>
        <w:gridCol w:w="36"/>
        <w:gridCol w:w="36"/>
        <w:gridCol w:w="36"/>
        <w:gridCol w:w="36"/>
        <w:gridCol w:w="122"/>
        <w:gridCol w:w="1073"/>
        <w:gridCol w:w="36"/>
      </w:tblGrid>
      <w:tr w:rsidR="00A91885" w14:paraId="18600EDA" w14:textId="77777777">
        <w:tc>
          <w:tcPr>
            <w:tcW w:w="50" w:type="pct"/>
            <w:shd w:val="clear" w:color="auto" w:fill="auto"/>
            <w:vAlign w:val="bottom"/>
          </w:tcPr>
          <w:p w14:paraId="18600ECE" w14:textId="77777777" w:rsidR="00A91885" w:rsidRDefault="00A91885">
            <w:pPr>
              <w:rPr>
                <w:rFonts w:ascii="宋体"/>
              </w:rPr>
            </w:pPr>
          </w:p>
        </w:tc>
        <w:tc>
          <w:tcPr>
            <w:tcW w:w="3453" w:type="pct"/>
            <w:shd w:val="clear" w:color="auto" w:fill="auto"/>
            <w:vAlign w:val="bottom"/>
          </w:tcPr>
          <w:p w14:paraId="18600ECF" w14:textId="77777777" w:rsidR="00A91885" w:rsidRDefault="00A91885">
            <w:pPr>
              <w:rPr>
                <w:rFonts w:ascii="宋体"/>
              </w:rPr>
            </w:pPr>
          </w:p>
        </w:tc>
        <w:tc>
          <w:tcPr>
            <w:tcW w:w="5" w:type="pct"/>
            <w:shd w:val="clear" w:color="auto" w:fill="auto"/>
            <w:vAlign w:val="bottom"/>
          </w:tcPr>
          <w:p w14:paraId="18600ED0" w14:textId="77777777" w:rsidR="00A91885" w:rsidRDefault="00A91885">
            <w:pPr>
              <w:rPr>
                <w:rFonts w:ascii="宋体"/>
              </w:rPr>
            </w:pPr>
          </w:p>
        </w:tc>
        <w:tc>
          <w:tcPr>
            <w:tcW w:w="50" w:type="pct"/>
            <w:shd w:val="clear" w:color="auto" w:fill="auto"/>
            <w:vAlign w:val="bottom"/>
          </w:tcPr>
          <w:p w14:paraId="18600ED1" w14:textId="77777777" w:rsidR="00A91885" w:rsidRDefault="00A91885">
            <w:pPr>
              <w:rPr>
                <w:rFonts w:ascii="宋体"/>
              </w:rPr>
            </w:pPr>
          </w:p>
        </w:tc>
        <w:tc>
          <w:tcPr>
            <w:tcW w:w="675" w:type="pct"/>
            <w:shd w:val="clear" w:color="auto" w:fill="auto"/>
            <w:vAlign w:val="bottom"/>
          </w:tcPr>
          <w:p w14:paraId="18600ED2" w14:textId="77777777" w:rsidR="00A91885" w:rsidRDefault="00A91885">
            <w:pPr>
              <w:rPr>
                <w:rFonts w:ascii="宋体"/>
              </w:rPr>
            </w:pPr>
          </w:p>
        </w:tc>
        <w:tc>
          <w:tcPr>
            <w:tcW w:w="5" w:type="pct"/>
            <w:shd w:val="clear" w:color="auto" w:fill="auto"/>
            <w:vAlign w:val="bottom"/>
          </w:tcPr>
          <w:p w14:paraId="18600ED3" w14:textId="77777777" w:rsidR="00A91885" w:rsidRDefault="00A91885">
            <w:pPr>
              <w:rPr>
                <w:rFonts w:ascii="宋体"/>
              </w:rPr>
            </w:pPr>
          </w:p>
        </w:tc>
        <w:tc>
          <w:tcPr>
            <w:tcW w:w="5" w:type="pct"/>
            <w:shd w:val="clear" w:color="auto" w:fill="auto"/>
            <w:vAlign w:val="bottom"/>
          </w:tcPr>
          <w:p w14:paraId="18600ED4" w14:textId="77777777" w:rsidR="00A91885" w:rsidRDefault="00A91885">
            <w:pPr>
              <w:rPr>
                <w:rFonts w:ascii="宋体"/>
              </w:rPr>
            </w:pPr>
          </w:p>
        </w:tc>
        <w:tc>
          <w:tcPr>
            <w:tcW w:w="19" w:type="pct"/>
            <w:shd w:val="clear" w:color="auto" w:fill="auto"/>
            <w:vAlign w:val="bottom"/>
          </w:tcPr>
          <w:p w14:paraId="18600ED5" w14:textId="77777777" w:rsidR="00A91885" w:rsidRDefault="00A91885">
            <w:pPr>
              <w:rPr>
                <w:rFonts w:ascii="宋体"/>
              </w:rPr>
            </w:pPr>
          </w:p>
        </w:tc>
        <w:tc>
          <w:tcPr>
            <w:tcW w:w="5" w:type="pct"/>
            <w:shd w:val="clear" w:color="auto" w:fill="auto"/>
            <w:vAlign w:val="bottom"/>
          </w:tcPr>
          <w:p w14:paraId="18600ED6" w14:textId="77777777" w:rsidR="00A91885" w:rsidRDefault="00A91885">
            <w:pPr>
              <w:rPr>
                <w:rFonts w:ascii="宋体"/>
              </w:rPr>
            </w:pPr>
          </w:p>
        </w:tc>
        <w:tc>
          <w:tcPr>
            <w:tcW w:w="50" w:type="pct"/>
            <w:shd w:val="clear" w:color="auto" w:fill="auto"/>
            <w:vAlign w:val="bottom"/>
          </w:tcPr>
          <w:p w14:paraId="18600ED7" w14:textId="77777777" w:rsidR="00A91885" w:rsidRDefault="00A91885">
            <w:pPr>
              <w:rPr>
                <w:rFonts w:ascii="宋体"/>
              </w:rPr>
            </w:pPr>
          </w:p>
        </w:tc>
        <w:tc>
          <w:tcPr>
            <w:tcW w:w="676" w:type="pct"/>
            <w:shd w:val="clear" w:color="auto" w:fill="auto"/>
            <w:vAlign w:val="bottom"/>
          </w:tcPr>
          <w:p w14:paraId="18600ED8" w14:textId="77777777" w:rsidR="00A91885" w:rsidRDefault="00A91885">
            <w:pPr>
              <w:rPr>
                <w:rFonts w:ascii="宋体"/>
              </w:rPr>
            </w:pPr>
          </w:p>
        </w:tc>
        <w:tc>
          <w:tcPr>
            <w:tcW w:w="5" w:type="pct"/>
            <w:shd w:val="clear" w:color="auto" w:fill="auto"/>
            <w:vAlign w:val="bottom"/>
          </w:tcPr>
          <w:p w14:paraId="18600ED9" w14:textId="77777777" w:rsidR="00A91885" w:rsidRDefault="00A91885">
            <w:pPr>
              <w:rPr>
                <w:rFonts w:ascii="宋体"/>
              </w:rPr>
            </w:pPr>
          </w:p>
        </w:tc>
      </w:tr>
      <w:tr w:rsidR="00A91885" w14:paraId="18600EDF" w14:textId="77777777">
        <w:trPr>
          <w:trHeight w:val="420"/>
        </w:trPr>
        <w:tc>
          <w:tcPr>
            <w:tcW w:w="0" w:type="auto"/>
            <w:gridSpan w:val="3"/>
            <w:vMerge w:val="restart"/>
            <w:shd w:val="clear" w:color="auto" w:fill="auto"/>
            <w:tcMar>
              <w:top w:w="0" w:type="dxa"/>
              <w:left w:w="20" w:type="dxa"/>
              <w:bottom w:w="0" w:type="dxa"/>
              <w:right w:w="20" w:type="dxa"/>
            </w:tcMar>
            <w:vAlign w:val="bottom"/>
          </w:tcPr>
          <w:p w14:paraId="18600EDB"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0EDC" w14:textId="77777777" w:rsidR="00A91885" w:rsidRDefault="009C4196">
            <w:pPr>
              <w:jc w:val="center"/>
              <w:textAlignment w:val="bottom"/>
            </w:pPr>
            <w:r>
              <w:rPr>
                <w:rFonts w:ascii="Arial" w:eastAsia="宋体" w:hAnsi="Arial" w:cs="Arial"/>
                <w:b/>
                <w:bCs/>
                <w:color w:val="000000"/>
                <w:sz w:val="17"/>
                <w:szCs w:val="17"/>
              </w:rPr>
              <w:t>June 30,</w:t>
            </w:r>
            <w:r>
              <w:rPr>
                <w:rFonts w:ascii="Arial" w:eastAsia="宋体" w:hAnsi="Arial" w:cs="Arial"/>
                <w:b/>
                <w:bCs/>
                <w:color w:val="000000"/>
                <w:sz w:val="17"/>
                <w:szCs w:val="17"/>
              </w:rPr>
              <w:br/>
              <w:t>2022</w:t>
            </w:r>
          </w:p>
        </w:tc>
        <w:tc>
          <w:tcPr>
            <w:tcW w:w="0" w:type="auto"/>
            <w:gridSpan w:val="3"/>
            <w:shd w:val="clear" w:color="auto" w:fill="auto"/>
            <w:tcMar>
              <w:top w:w="0" w:type="dxa"/>
              <w:left w:w="20" w:type="dxa"/>
              <w:bottom w:w="0" w:type="dxa"/>
              <w:right w:w="20" w:type="dxa"/>
            </w:tcMar>
            <w:vAlign w:val="bottom"/>
          </w:tcPr>
          <w:p w14:paraId="18600EDD" w14:textId="77777777" w:rsidR="00A91885" w:rsidRDefault="00A9188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8600EDE" w14:textId="77777777" w:rsidR="00A91885" w:rsidRDefault="009C4196">
            <w:pPr>
              <w:jc w:val="center"/>
              <w:textAlignment w:val="bottom"/>
            </w:pPr>
            <w:r>
              <w:rPr>
                <w:rFonts w:ascii="Arial" w:eastAsia="宋体" w:hAnsi="Arial" w:cs="Arial"/>
                <w:b/>
                <w:bCs/>
                <w:color w:val="000000"/>
                <w:sz w:val="17"/>
                <w:szCs w:val="17"/>
              </w:rPr>
              <w:t>December 31,</w:t>
            </w:r>
            <w:r>
              <w:rPr>
                <w:rFonts w:ascii="Arial" w:eastAsia="宋体" w:hAnsi="Arial" w:cs="Arial"/>
                <w:b/>
                <w:bCs/>
                <w:color w:val="000000"/>
                <w:sz w:val="17"/>
                <w:szCs w:val="17"/>
              </w:rPr>
              <w:br/>
              <w:t>2021</w:t>
            </w:r>
          </w:p>
        </w:tc>
      </w:tr>
      <w:tr w:rsidR="00A91885" w14:paraId="18600EE2" w14:textId="77777777">
        <w:trPr>
          <w:trHeight w:val="240"/>
        </w:trPr>
        <w:tc>
          <w:tcPr>
            <w:tcW w:w="0" w:type="auto"/>
            <w:gridSpan w:val="3"/>
            <w:vMerge/>
            <w:shd w:val="clear" w:color="auto" w:fill="auto"/>
            <w:tcMar>
              <w:top w:w="0" w:type="dxa"/>
              <w:left w:w="20" w:type="dxa"/>
              <w:bottom w:w="0" w:type="dxa"/>
              <w:right w:w="20" w:type="dxa"/>
            </w:tcMar>
            <w:vAlign w:val="bottom"/>
          </w:tcPr>
          <w:p w14:paraId="18600EE0" w14:textId="77777777" w:rsidR="00A91885" w:rsidRDefault="00A9188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600EE1" w14:textId="77777777" w:rsidR="00A91885" w:rsidRDefault="009C4196">
            <w:pPr>
              <w:jc w:val="center"/>
              <w:textAlignment w:val="bottom"/>
            </w:pPr>
            <w:r>
              <w:rPr>
                <w:rFonts w:ascii="Arial" w:eastAsia="宋体" w:hAnsi="Arial" w:cs="Arial"/>
                <w:b/>
                <w:bCs/>
                <w:color w:val="000000"/>
                <w:sz w:val="17"/>
                <w:szCs w:val="17"/>
              </w:rPr>
              <w:t>(In millions)</w:t>
            </w:r>
          </w:p>
        </w:tc>
      </w:tr>
      <w:tr w:rsidR="00A91885" w14:paraId="18600EEB" w14:textId="77777777">
        <w:tc>
          <w:tcPr>
            <w:tcW w:w="0" w:type="auto"/>
            <w:gridSpan w:val="3"/>
            <w:shd w:val="clear" w:color="auto" w:fill="E2E2E2"/>
            <w:tcMar>
              <w:top w:w="40" w:type="dxa"/>
              <w:left w:w="20" w:type="dxa"/>
              <w:bottom w:w="40" w:type="dxa"/>
              <w:right w:w="20" w:type="dxa"/>
            </w:tcMar>
            <w:vAlign w:val="bottom"/>
          </w:tcPr>
          <w:p w14:paraId="18600EE3" w14:textId="77777777" w:rsidR="00A91885" w:rsidRDefault="009C4196">
            <w:pPr>
              <w:textAlignment w:val="bottom"/>
            </w:pPr>
            <w:r>
              <w:rPr>
                <w:rFonts w:ascii="Arial" w:eastAsia="宋体" w:hAnsi="Arial" w:cs="Arial"/>
                <w:color w:val="000000"/>
                <w:sz w:val="18"/>
                <w:szCs w:val="18"/>
              </w:rPr>
              <w:t>Compensation and related benefits</w:t>
            </w:r>
          </w:p>
        </w:tc>
        <w:tc>
          <w:tcPr>
            <w:tcW w:w="0" w:type="auto"/>
            <w:shd w:val="clear" w:color="auto" w:fill="E2E2E2"/>
            <w:tcMar>
              <w:top w:w="40" w:type="dxa"/>
              <w:left w:w="20" w:type="dxa"/>
              <w:bottom w:w="40" w:type="dxa"/>
              <w:right w:w="0" w:type="dxa"/>
            </w:tcMar>
            <w:vAlign w:val="bottom"/>
          </w:tcPr>
          <w:p w14:paraId="18600EE4"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0EE5" w14:textId="77777777" w:rsidR="00A91885" w:rsidRDefault="009C4196">
            <w:pPr>
              <w:jc w:val="right"/>
              <w:textAlignment w:val="bottom"/>
            </w:pPr>
            <w:r>
              <w:rPr>
                <w:rFonts w:ascii="Arial" w:eastAsia="宋体" w:hAnsi="Arial" w:cs="Arial"/>
                <w:color w:val="000000"/>
                <w:sz w:val="18"/>
                <w:szCs w:val="18"/>
              </w:rPr>
              <w:t>363 </w:t>
            </w:r>
          </w:p>
        </w:tc>
        <w:tc>
          <w:tcPr>
            <w:tcW w:w="0" w:type="auto"/>
            <w:shd w:val="clear" w:color="auto" w:fill="E2E2E2"/>
            <w:tcMar>
              <w:top w:w="40" w:type="dxa"/>
              <w:left w:w="0" w:type="dxa"/>
              <w:bottom w:w="40" w:type="dxa"/>
              <w:right w:w="20" w:type="dxa"/>
            </w:tcMar>
            <w:vAlign w:val="bottom"/>
          </w:tcPr>
          <w:p w14:paraId="18600EE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EE7"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0EE8"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0EE9" w14:textId="77777777" w:rsidR="00A91885" w:rsidRDefault="009C4196">
            <w:pPr>
              <w:jc w:val="right"/>
              <w:textAlignment w:val="bottom"/>
            </w:pPr>
            <w:r>
              <w:rPr>
                <w:rFonts w:ascii="Arial" w:eastAsia="宋体" w:hAnsi="Arial" w:cs="Arial"/>
                <w:color w:val="000000"/>
                <w:sz w:val="18"/>
                <w:szCs w:val="18"/>
              </w:rPr>
              <w:t>517 </w:t>
            </w:r>
          </w:p>
        </w:tc>
        <w:tc>
          <w:tcPr>
            <w:tcW w:w="0" w:type="auto"/>
            <w:shd w:val="clear" w:color="auto" w:fill="E2E2E2"/>
            <w:tcMar>
              <w:top w:w="40" w:type="dxa"/>
              <w:left w:w="0" w:type="dxa"/>
              <w:bottom w:w="40" w:type="dxa"/>
              <w:right w:w="20" w:type="dxa"/>
            </w:tcMar>
            <w:vAlign w:val="bottom"/>
          </w:tcPr>
          <w:p w14:paraId="18600EEA" w14:textId="77777777" w:rsidR="00A91885" w:rsidRDefault="00A91885">
            <w:pPr>
              <w:jc w:val="right"/>
              <w:rPr>
                <w:rFonts w:ascii="宋体"/>
              </w:rPr>
            </w:pPr>
          </w:p>
        </w:tc>
      </w:tr>
      <w:tr w:rsidR="00A91885" w14:paraId="18600EF2" w14:textId="77777777">
        <w:tc>
          <w:tcPr>
            <w:tcW w:w="0" w:type="auto"/>
            <w:gridSpan w:val="3"/>
            <w:shd w:val="clear" w:color="auto" w:fill="FFFFFF"/>
            <w:tcMar>
              <w:top w:w="40" w:type="dxa"/>
              <w:left w:w="20" w:type="dxa"/>
              <w:bottom w:w="40" w:type="dxa"/>
              <w:right w:w="20" w:type="dxa"/>
            </w:tcMar>
            <w:vAlign w:val="bottom"/>
          </w:tcPr>
          <w:p w14:paraId="18600EEC" w14:textId="77777777" w:rsidR="00A91885" w:rsidRDefault="009C4196">
            <w:pPr>
              <w:textAlignment w:val="bottom"/>
            </w:pPr>
            <w:r>
              <w:rPr>
                <w:rFonts w:ascii="Arial" w:eastAsia="宋体" w:hAnsi="Arial" w:cs="Arial"/>
                <w:color w:val="000000"/>
                <w:sz w:val="18"/>
                <w:szCs w:val="18"/>
              </w:rPr>
              <w:t>Sales and use tax and VAT accruals</w:t>
            </w:r>
          </w:p>
        </w:tc>
        <w:tc>
          <w:tcPr>
            <w:tcW w:w="0" w:type="auto"/>
            <w:gridSpan w:val="2"/>
            <w:shd w:val="clear" w:color="auto" w:fill="FFFFFF"/>
            <w:tcMar>
              <w:top w:w="40" w:type="dxa"/>
              <w:left w:w="20" w:type="dxa"/>
              <w:bottom w:w="40" w:type="dxa"/>
              <w:right w:w="0" w:type="dxa"/>
            </w:tcMar>
            <w:vAlign w:val="bottom"/>
          </w:tcPr>
          <w:p w14:paraId="18600EED" w14:textId="77777777" w:rsidR="00A91885" w:rsidRDefault="009C4196">
            <w:pPr>
              <w:jc w:val="right"/>
              <w:textAlignment w:val="bottom"/>
            </w:pPr>
            <w:r>
              <w:rPr>
                <w:rFonts w:ascii="Arial" w:eastAsia="宋体" w:hAnsi="Arial" w:cs="Arial"/>
                <w:color w:val="000000"/>
                <w:sz w:val="18"/>
                <w:szCs w:val="18"/>
              </w:rPr>
              <w:t>316 </w:t>
            </w:r>
          </w:p>
        </w:tc>
        <w:tc>
          <w:tcPr>
            <w:tcW w:w="0" w:type="auto"/>
            <w:shd w:val="clear" w:color="auto" w:fill="FFFFFF"/>
            <w:tcMar>
              <w:top w:w="40" w:type="dxa"/>
              <w:left w:w="0" w:type="dxa"/>
              <w:bottom w:w="40" w:type="dxa"/>
              <w:right w:w="20" w:type="dxa"/>
            </w:tcMar>
            <w:vAlign w:val="bottom"/>
          </w:tcPr>
          <w:p w14:paraId="18600EE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EE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EF0" w14:textId="77777777" w:rsidR="00A91885" w:rsidRDefault="009C4196">
            <w:pPr>
              <w:jc w:val="right"/>
              <w:textAlignment w:val="bottom"/>
            </w:pPr>
            <w:r>
              <w:rPr>
                <w:rFonts w:ascii="Arial" w:eastAsia="宋体" w:hAnsi="Arial" w:cs="Arial"/>
                <w:color w:val="000000"/>
                <w:sz w:val="18"/>
                <w:szCs w:val="18"/>
              </w:rPr>
              <w:t>396 </w:t>
            </w:r>
          </w:p>
        </w:tc>
        <w:tc>
          <w:tcPr>
            <w:tcW w:w="0" w:type="auto"/>
            <w:shd w:val="clear" w:color="auto" w:fill="FFFFFF"/>
            <w:tcMar>
              <w:top w:w="40" w:type="dxa"/>
              <w:left w:w="0" w:type="dxa"/>
              <w:bottom w:w="40" w:type="dxa"/>
              <w:right w:w="20" w:type="dxa"/>
            </w:tcMar>
            <w:vAlign w:val="bottom"/>
          </w:tcPr>
          <w:p w14:paraId="18600EF1" w14:textId="77777777" w:rsidR="00A91885" w:rsidRDefault="00A91885">
            <w:pPr>
              <w:jc w:val="right"/>
              <w:rPr>
                <w:rFonts w:ascii="宋体"/>
              </w:rPr>
            </w:pPr>
          </w:p>
        </w:tc>
      </w:tr>
      <w:tr w:rsidR="00A91885" w14:paraId="18600EF9" w14:textId="77777777">
        <w:tc>
          <w:tcPr>
            <w:tcW w:w="0" w:type="auto"/>
            <w:gridSpan w:val="3"/>
            <w:shd w:val="clear" w:color="auto" w:fill="E2E2E2"/>
            <w:tcMar>
              <w:top w:w="40" w:type="dxa"/>
              <w:left w:w="20" w:type="dxa"/>
              <w:bottom w:w="40" w:type="dxa"/>
              <w:right w:w="20" w:type="dxa"/>
            </w:tcMar>
            <w:vAlign w:val="bottom"/>
          </w:tcPr>
          <w:p w14:paraId="18600EF3" w14:textId="77777777" w:rsidR="00A91885" w:rsidRDefault="009C4196">
            <w:pPr>
              <w:textAlignment w:val="bottom"/>
            </w:pPr>
            <w:r>
              <w:rPr>
                <w:rFonts w:ascii="Arial" w:eastAsia="宋体" w:hAnsi="Arial" w:cs="Arial"/>
                <w:color w:val="000000"/>
                <w:sz w:val="18"/>
                <w:szCs w:val="18"/>
              </w:rPr>
              <w:t>Advertising accruals</w:t>
            </w:r>
          </w:p>
        </w:tc>
        <w:tc>
          <w:tcPr>
            <w:tcW w:w="0" w:type="auto"/>
            <w:gridSpan w:val="2"/>
            <w:shd w:val="clear" w:color="auto" w:fill="E2E2E2"/>
            <w:tcMar>
              <w:top w:w="40" w:type="dxa"/>
              <w:left w:w="20" w:type="dxa"/>
              <w:bottom w:w="40" w:type="dxa"/>
              <w:right w:w="0" w:type="dxa"/>
            </w:tcMar>
            <w:vAlign w:val="bottom"/>
          </w:tcPr>
          <w:p w14:paraId="18600EF4" w14:textId="77777777" w:rsidR="00A91885" w:rsidRDefault="009C4196">
            <w:pPr>
              <w:jc w:val="right"/>
              <w:textAlignment w:val="bottom"/>
            </w:pPr>
            <w:r>
              <w:rPr>
                <w:rFonts w:ascii="Arial" w:eastAsia="宋体" w:hAnsi="Arial" w:cs="Arial"/>
                <w:color w:val="000000"/>
                <w:sz w:val="18"/>
                <w:szCs w:val="18"/>
              </w:rPr>
              <w:t>236 </w:t>
            </w:r>
          </w:p>
        </w:tc>
        <w:tc>
          <w:tcPr>
            <w:tcW w:w="0" w:type="auto"/>
            <w:shd w:val="clear" w:color="auto" w:fill="E2E2E2"/>
            <w:tcMar>
              <w:top w:w="40" w:type="dxa"/>
              <w:left w:w="0" w:type="dxa"/>
              <w:bottom w:w="40" w:type="dxa"/>
              <w:right w:w="20" w:type="dxa"/>
            </w:tcMar>
            <w:vAlign w:val="bottom"/>
          </w:tcPr>
          <w:p w14:paraId="18600EF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EF6"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EF7" w14:textId="77777777" w:rsidR="00A91885" w:rsidRDefault="009C4196">
            <w:pPr>
              <w:jc w:val="right"/>
              <w:textAlignment w:val="bottom"/>
            </w:pPr>
            <w:r>
              <w:rPr>
                <w:rFonts w:ascii="Arial" w:eastAsia="宋体" w:hAnsi="Arial" w:cs="Arial"/>
                <w:color w:val="000000"/>
                <w:sz w:val="18"/>
                <w:szCs w:val="18"/>
              </w:rPr>
              <w:t>172 </w:t>
            </w:r>
          </w:p>
        </w:tc>
        <w:tc>
          <w:tcPr>
            <w:tcW w:w="0" w:type="auto"/>
            <w:shd w:val="clear" w:color="auto" w:fill="E2E2E2"/>
            <w:tcMar>
              <w:top w:w="40" w:type="dxa"/>
              <w:left w:w="0" w:type="dxa"/>
              <w:bottom w:w="40" w:type="dxa"/>
              <w:right w:w="20" w:type="dxa"/>
            </w:tcMar>
            <w:vAlign w:val="bottom"/>
          </w:tcPr>
          <w:p w14:paraId="18600EF8" w14:textId="77777777" w:rsidR="00A91885" w:rsidRDefault="00A91885">
            <w:pPr>
              <w:jc w:val="right"/>
              <w:rPr>
                <w:rFonts w:ascii="宋体"/>
              </w:rPr>
            </w:pPr>
          </w:p>
        </w:tc>
      </w:tr>
      <w:tr w:rsidR="00A91885" w14:paraId="18600F00" w14:textId="77777777">
        <w:tc>
          <w:tcPr>
            <w:tcW w:w="0" w:type="auto"/>
            <w:gridSpan w:val="3"/>
            <w:shd w:val="clear" w:color="auto" w:fill="FFFFFF"/>
            <w:tcMar>
              <w:top w:w="40" w:type="dxa"/>
              <w:left w:w="20" w:type="dxa"/>
              <w:bottom w:w="40" w:type="dxa"/>
              <w:right w:w="20" w:type="dxa"/>
            </w:tcMar>
            <w:vAlign w:val="bottom"/>
          </w:tcPr>
          <w:p w14:paraId="18600EFA" w14:textId="77777777" w:rsidR="00A91885" w:rsidRDefault="009C4196">
            <w:pPr>
              <w:textAlignment w:val="bottom"/>
            </w:pPr>
            <w:r>
              <w:rPr>
                <w:rFonts w:ascii="Arial" w:eastAsia="宋体" w:hAnsi="Arial" w:cs="Arial"/>
                <w:color w:val="000000"/>
                <w:sz w:val="18"/>
                <w:szCs w:val="18"/>
              </w:rPr>
              <w:t xml:space="preserve">Operating </w:t>
            </w:r>
            <w:r>
              <w:rPr>
                <w:rFonts w:ascii="Arial" w:eastAsia="宋体" w:hAnsi="Arial" w:cs="Arial"/>
                <w:color w:val="000000"/>
                <w:sz w:val="18"/>
                <w:szCs w:val="18"/>
              </w:rPr>
              <w:t>lease liabilities</w:t>
            </w:r>
          </w:p>
        </w:tc>
        <w:tc>
          <w:tcPr>
            <w:tcW w:w="0" w:type="auto"/>
            <w:gridSpan w:val="2"/>
            <w:shd w:val="clear" w:color="auto" w:fill="FFFFFF"/>
            <w:tcMar>
              <w:top w:w="40" w:type="dxa"/>
              <w:left w:w="20" w:type="dxa"/>
              <w:bottom w:w="40" w:type="dxa"/>
              <w:right w:w="0" w:type="dxa"/>
            </w:tcMar>
            <w:vAlign w:val="bottom"/>
          </w:tcPr>
          <w:p w14:paraId="18600EFB" w14:textId="77777777" w:rsidR="00A91885" w:rsidRDefault="009C4196">
            <w:pPr>
              <w:jc w:val="right"/>
              <w:textAlignment w:val="bottom"/>
            </w:pPr>
            <w:r>
              <w:rPr>
                <w:rFonts w:ascii="Arial" w:eastAsia="宋体" w:hAnsi="Arial" w:cs="Arial"/>
                <w:color w:val="000000"/>
                <w:sz w:val="18"/>
                <w:szCs w:val="18"/>
              </w:rPr>
              <w:t>144 </w:t>
            </w:r>
          </w:p>
        </w:tc>
        <w:tc>
          <w:tcPr>
            <w:tcW w:w="0" w:type="auto"/>
            <w:shd w:val="clear" w:color="auto" w:fill="FFFFFF"/>
            <w:tcMar>
              <w:top w:w="40" w:type="dxa"/>
              <w:left w:w="0" w:type="dxa"/>
              <w:bottom w:w="40" w:type="dxa"/>
              <w:right w:w="20" w:type="dxa"/>
            </w:tcMar>
            <w:vAlign w:val="bottom"/>
          </w:tcPr>
          <w:p w14:paraId="18600EF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EFD"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EFE" w14:textId="77777777" w:rsidR="00A91885" w:rsidRDefault="009C4196">
            <w:pPr>
              <w:jc w:val="right"/>
              <w:textAlignment w:val="bottom"/>
            </w:pPr>
            <w:r>
              <w:rPr>
                <w:rFonts w:ascii="Arial" w:eastAsia="宋体" w:hAnsi="Arial" w:cs="Arial"/>
                <w:color w:val="000000"/>
                <w:sz w:val="18"/>
                <w:szCs w:val="18"/>
              </w:rPr>
              <w:t>150 </w:t>
            </w:r>
          </w:p>
        </w:tc>
        <w:tc>
          <w:tcPr>
            <w:tcW w:w="0" w:type="auto"/>
            <w:shd w:val="clear" w:color="auto" w:fill="FFFFFF"/>
            <w:tcMar>
              <w:top w:w="40" w:type="dxa"/>
              <w:left w:w="0" w:type="dxa"/>
              <w:bottom w:w="40" w:type="dxa"/>
              <w:right w:w="20" w:type="dxa"/>
            </w:tcMar>
            <w:vAlign w:val="bottom"/>
          </w:tcPr>
          <w:p w14:paraId="18600EFF" w14:textId="77777777" w:rsidR="00A91885" w:rsidRDefault="00A91885">
            <w:pPr>
              <w:jc w:val="right"/>
              <w:rPr>
                <w:rFonts w:ascii="宋体"/>
              </w:rPr>
            </w:pPr>
          </w:p>
        </w:tc>
      </w:tr>
      <w:tr w:rsidR="00A91885" w14:paraId="18600F07" w14:textId="77777777">
        <w:tc>
          <w:tcPr>
            <w:tcW w:w="0" w:type="auto"/>
            <w:gridSpan w:val="3"/>
            <w:shd w:val="clear" w:color="auto" w:fill="E2E2E2"/>
            <w:tcMar>
              <w:top w:w="40" w:type="dxa"/>
              <w:left w:w="20" w:type="dxa"/>
              <w:bottom w:w="40" w:type="dxa"/>
              <w:right w:w="20" w:type="dxa"/>
            </w:tcMar>
            <w:vAlign w:val="bottom"/>
          </w:tcPr>
          <w:p w14:paraId="18600F01" w14:textId="77777777" w:rsidR="00A91885" w:rsidRDefault="009C4196">
            <w:pPr>
              <w:textAlignment w:val="bottom"/>
            </w:pPr>
            <w:r>
              <w:rPr>
                <w:rFonts w:ascii="Arial" w:eastAsia="宋体" w:hAnsi="Arial" w:cs="Arial"/>
                <w:color w:val="000000"/>
                <w:sz w:val="18"/>
                <w:szCs w:val="18"/>
              </w:rPr>
              <w:t>Transaction loss reserve</w:t>
            </w:r>
          </w:p>
        </w:tc>
        <w:tc>
          <w:tcPr>
            <w:tcW w:w="0" w:type="auto"/>
            <w:gridSpan w:val="2"/>
            <w:shd w:val="clear" w:color="auto" w:fill="E2E2E2"/>
            <w:tcMar>
              <w:top w:w="40" w:type="dxa"/>
              <w:left w:w="20" w:type="dxa"/>
              <w:bottom w:w="40" w:type="dxa"/>
              <w:right w:w="0" w:type="dxa"/>
            </w:tcMar>
            <w:vAlign w:val="bottom"/>
          </w:tcPr>
          <w:p w14:paraId="18600F02" w14:textId="77777777" w:rsidR="00A91885" w:rsidRDefault="009C4196">
            <w:pPr>
              <w:jc w:val="right"/>
              <w:textAlignment w:val="bottom"/>
            </w:pPr>
            <w:r>
              <w:rPr>
                <w:rFonts w:ascii="Arial" w:eastAsia="宋体" w:hAnsi="Arial" w:cs="Arial"/>
                <w:color w:val="000000"/>
                <w:sz w:val="18"/>
                <w:szCs w:val="18"/>
              </w:rPr>
              <w:t>117 </w:t>
            </w:r>
          </w:p>
        </w:tc>
        <w:tc>
          <w:tcPr>
            <w:tcW w:w="0" w:type="auto"/>
            <w:shd w:val="clear" w:color="auto" w:fill="E2E2E2"/>
            <w:tcMar>
              <w:top w:w="40" w:type="dxa"/>
              <w:left w:w="0" w:type="dxa"/>
              <w:bottom w:w="40" w:type="dxa"/>
              <w:right w:w="20" w:type="dxa"/>
            </w:tcMar>
            <w:vAlign w:val="bottom"/>
          </w:tcPr>
          <w:p w14:paraId="18600F0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F04"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F05" w14:textId="77777777" w:rsidR="00A91885" w:rsidRDefault="009C4196">
            <w:pPr>
              <w:jc w:val="right"/>
              <w:textAlignment w:val="bottom"/>
            </w:pPr>
            <w:r>
              <w:rPr>
                <w:rFonts w:ascii="Arial" w:eastAsia="宋体" w:hAnsi="Arial" w:cs="Arial"/>
                <w:color w:val="000000"/>
                <w:sz w:val="18"/>
                <w:szCs w:val="18"/>
              </w:rPr>
              <w:t>116 </w:t>
            </w:r>
          </w:p>
        </w:tc>
        <w:tc>
          <w:tcPr>
            <w:tcW w:w="0" w:type="auto"/>
            <w:shd w:val="clear" w:color="auto" w:fill="E2E2E2"/>
            <w:tcMar>
              <w:top w:w="40" w:type="dxa"/>
              <w:left w:w="0" w:type="dxa"/>
              <w:bottom w:w="40" w:type="dxa"/>
              <w:right w:w="20" w:type="dxa"/>
            </w:tcMar>
            <w:vAlign w:val="bottom"/>
          </w:tcPr>
          <w:p w14:paraId="18600F06" w14:textId="77777777" w:rsidR="00A91885" w:rsidRDefault="00A91885">
            <w:pPr>
              <w:jc w:val="right"/>
              <w:rPr>
                <w:rFonts w:ascii="宋体"/>
              </w:rPr>
            </w:pPr>
          </w:p>
        </w:tc>
      </w:tr>
      <w:tr w:rsidR="00A91885" w14:paraId="18600F0E" w14:textId="77777777">
        <w:tc>
          <w:tcPr>
            <w:tcW w:w="0" w:type="auto"/>
            <w:gridSpan w:val="3"/>
            <w:shd w:val="clear" w:color="auto" w:fill="FFFFFF"/>
            <w:tcMar>
              <w:top w:w="40" w:type="dxa"/>
              <w:left w:w="20" w:type="dxa"/>
              <w:bottom w:w="40" w:type="dxa"/>
              <w:right w:w="20" w:type="dxa"/>
            </w:tcMar>
            <w:vAlign w:val="bottom"/>
          </w:tcPr>
          <w:p w14:paraId="18600F08" w14:textId="77777777" w:rsidR="00A91885" w:rsidRDefault="009C4196">
            <w:pPr>
              <w:textAlignment w:val="bottom"/>
            </w:pPr>
            <w:r>
              <w:rPr>
                <w:rFonts w:ascii="Arial" w:eastAsia="宋体" w:hAnsi="Arial" w:cs="Arial"/>
                <w:color w:val="000000"/>
                <w:sz w:val="18"/>
                <w:szCs w:val="18"/>
              </w:rPr>
              <w:t>Uninvoiced general and administrative expenses</w:t>
            </w:r>
          </w:p>
        </w:tc>
        <w:tc>
          <w:tcPr>
            <w:tcW w:w="0" w:type="auto"/>
            <w:gridSpan w:val="2"/>
            <w:shd w:val="clear" w:color="auto" w:fill="FFFFFF"/>
            <w:tcMar>
              <w:top w:w="40" w:type="dxa"/>
              <w:left w:w="20" w:type="dxa"/>
              <w:bottom w:w="40" w:type="dxa"/>
              <w:right w:w="0" w:type="dxa"/>
            </w:tcMar>
            <w:vAlign w:val="bottom"/>
          </w:tcPr>
          <w:p w14:paraId="18600F09" w14:textId="77777777" w:rsidR="00A91885" w:rsidRDefault="009C4196">
            <w:pPr>
              <w:jc w:val="right"/>
              <w:textAlignment w:val="bottom"/>
            </w:pPr>
            <w:r>
              <w:rPr>
                <w:rFonts w:ascii="Arial" w:eastAsia="宋体" w:hAnsi="Arial" w:cs="Arial"/>
                <w:color w:val="000000"/>
                <w:sz w:val="18"/>
                <w:szCs w:val="18"/>
              </w:rPr>
              <w:t>104 </w:t>
            </w:r>
          </w:p>
        </w:tc>
        <w:tc>
          <w:tcPr>
            <w:tcW w:w="0" w:type="auto"/>
            <w:shd w:val="clear" w:color="auto" w:fill="FFFFFF"/>
            <w:tcMar>
              <w:top w:w="40" w:type="dxa"/>
              <w:left w:w="0" w:type="dxa"/>
              <w:bottom w:w="40" w:type="dxa"/>
              <w:right w:w="20" w:type="dxa"/>
            </w:tcMar>
            <w:vAlign w:val="bottom"/>
          </w:tcPr>
          <w:p w14:paraId="18600F0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F0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F0C" w14:textId="77777777" w:rsidR="00A91885" w:rsidRDefault="009C4196">
            <w:pPr>
              <w:jc w:val="right"/>
              <w:textAlignment w:val="bottom"/>
            </w:pPr>
            <w:r>
              <w:rPr>
                <w:rFonts w:ascii="Arial" w:eastAsia="宋体" w:hAnsi="Arial" w:cs="Arial"/>
                <w:color w:val="000000"/>
                <w:sz w:val="18"/>
                <w:szCs w:val="18"/>
              </w:rPr>
              <w:t>95 </w:t>
            </w:r>
          </w:p>
        </w:tc>
        <w:tc>
          <w:tcPr>
            <w:tcW w:w="0" w:type="auto"/>
            <w:shd w:val="clear" w:color="auto" w:fill="FFFFFF"/>
            <w:tcMar>
              <w:top w:w="40" w:type="dxa"/>
              <w:left w:w="0" w:type="dxa"/>
              <w:bottom w:w="40" w:type="dxa"/>
              <w:right w:w="20" w:type="dxa"/>
            </w:tcMar>
            <w:vAlign w:val="bottom"/>
          </w:tcPr>
          <w:p w14:paraId="18600F0D" w14:textId="77777777" w:rsidR="00A91885" w:rsidRDefault="00A91885">
            <w:pPr>
              <w:jc w:val="right"/>
              <w:rPr>
                <w:rFonts w:ascii="宋体"/>
              </w:rPr>
            </w:pPr>
          </w:p>
        </w:tc>
      </w:tr>
      <w:tr w:rsidR="00A91885" w14:paraId="18600F15" w14:textId="77777777">
        <w:tc>
          <w:tcPr>
            <w:tcW w:w="0" w:type="auto"/>
            <w:gridSpan w:val="3"/>
            <w:shd w:val="clear" w:color="auto" w:fill="E2E2E2"/>
            <w:tcMar>
              <w:top w:w="40" w:type="dxa"/>
              <w:left w:w="20" w:type="dxa"/>
              <w:bottom w:w="40" w:type="dxa"/>
              <w:right w:w="20" w:type="dxa"/>
            </w:tcMar>
            <w:vAlign w:val="bottom"/>
          </w:tcPr>
          <w:p w14:paraId="18600F0F" w14:textId="77777777" w:rsidR="00A91885" w:rsidRDefault="009C4196">
            <w:pPr>
              <w:textAlignment w:val="bottom"/>
            </w:pPr>
            <w:r>
              <w:rPr>
                <w:rFonts w:ascii="Arial" w:eastAsia="宋体" w:hAnsi="Arial" w:cs="Arial"/>
                <w:color w:val="000000"/>
                <w:sz w:val="18"/>
                <w:szCs w:val="18"/>
              </w:rPr>
              <w:t>Accrued interest expense</w:t>
            </w:r>
          </w:p>
        </w:tc>
        <w:tc>
          <w:tcPr>
            <w:tcW w:w="0" w:type="auto"/>
            <w:gridSpan w:val="2"/>
            <w:shd w:val="clear" w:color="auto" w:fill="E2E2E2"/>
            <w:tcMar>
              <w:top w:w="40" w:type="dxa"/>
              <w:left w:w="20" w:type="dxa"/>
              <w:bottom w:w="40" w:type="dxa"/>
              <w:right w:w="0" w:type="dxa"/>
            </w:tcMar>
            <w:vAlign w:val="bottom"/>
          </w:tcPr>
          <w:p w14:paraId="18600F10" w14:textId="77777777" w:rsidR="00A91885" w:rsidRDefault="009C4196">
            <w:pPr>
              <w:jc w:val="right"/>
              <w:textAlignment w:val="bottom"/>
            </w:pPr>
            <w:r>
              <w:rPr>
                <w:rFonts w:ascii="Arial" w:eastAsia="宋体" w:hAnsi="Arial" w:cs="Arial"/>
                <w:color w:val="000000"/>
                <w:sz w:val="18"/>
                <w:szCs w:val="18"/>
              </w:rPr>
              <w:t>59 </w:t>
            </w:r>
          </w:p>
        </w:tc>
        <w:tc>
          <w:tcPr>
            <w:tcW w:w="0" w:type="auto"/>
            <w:shd w:val="clear" w:color="auto" w:fill="E2E2E2"/>
            <w:tcMar>
              <w:top w:w="40" w:type="dxa"/>
              <w:left w:w="0" w:type="dxa"/>
              <w:bottom w:w="40" w:type="dxa"/>
              <w:right w:w="20" w:type="dxa"/>
            </w:tcMar>
            <w:vAlign w:val="bottom"/>
          </w:tcPr>
          <w:p w14:paraId="18600F1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F12"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F13" w14:textId="77777777" w:rsidR="00A91885" w:rsidRDefault="009C4196">
            <w:pPr>
              <w:jc w:val="right"/>
              <w:textAlignment w:val="bottom"/>
            </w:pPr>
            <w:r>
              <w:rPr>
                <w:rFonts w:ascii="Arial" w:eastAsia="宋体" w:hAnsi="Arial" w:cs="Arial"/>
                <w:color w:val="000000"/>
                <w:sz w:val="18"/>
                <w:szCs w:val="18"/>
              </w:rPr>
              <w:t>74 </w:t>
            </w:r>
          </w:p>
        </w:tc>
        <w:tc>
          <w:tcPr>
            <w:tcW w:w="0" w:type="auto"/>
            <w:shd w:val="clear" w:color="auto" w:fill="E2E2E2"/>
            <w:tcMar>
              <w:top w:w="40" w:type="dxa"/>
              <w:left w:w="0" w:type="dxa"/>
              <w:bottom w:w="40" w:type="dxa"/>
              <w:right w:w="20" w:type="dxa"/>
            </w:tcMar>
            <w:vAlign w:val="bottom"/>
          </w:tcPr>
          <w:p w14:paraId="18600F14" w14:textId="77777777" w:rsidR="00A91885" w:rsidRDefault="00A91885">
            <w:pPr>
              <w:jc w:val="right"/>
              <w:rPr>
                <w:rFonts w:ascii="宋体"/>
              </w:rPr>
            </w:pPr>
          </w:p>
        </w:tc>
      </w:tr>
      <w:tr w:rsidR="00A91885" w14:paraId="18600F1C" w14:textId="77777777">
        <w:tc>
          <w:tcPr>
            <w:tcW w:w="0" w:type="auto"/>
            <w:gridSpan w:val="3"/>
            <w:shd w:val="clear" w:color="auto" w:fill="FFFFFF"/>
            <w:tcMar>
              <w:top w:w="40" w:type="dxa"/>
              <w:left w:w="20" w:type="dxa"/>
              <w:bottom w:w="40" w:type="dxa"/>
              <w:right w:w="20" w:type="dxa"/>
            </w:tcMar>
            <w:vAlign w:val="bottom"/>
          </w:tcPr>
          <w:p w14:paraId="18600F16" w14:textId="77777777" w:rsidR="00A91885" w:rsidRDefault="009C4196">
            <w:pPr>
              <w:textAlignment w:val="bottom"/>
            </w:pPr>
            <w:r>
              <w:rPr>
                <w:rFonts w:ascii="Arial" w:eastAsia="宋体" w:hAnsi="Arial" w:cs="Arial"/>
                <w:color w:val="000000"/>
                <w:sz w:val="18"/>
                <w:szCs w:val="18"/>
              </w:rPr>
              <w:t>Deferred revenue</w:t>
            </w:r>
          </w:p>
        </w:tc>
        <w:tc>
          <w:tcPr>
            <w:tcW w:w="0" w:type="auto"/>
            <w:gridSpan w:val="2"/>
            <w:shd w:val="clear" w:color="auto" w:fill="FFFFFF"/>
            <w:tcMar>
              <w:top w:w="40" w:type="dxa"/>
              <w:left w:w="20" w:type="dxa"/>
              <w:bottom w:w="40" w:type="dxa"/>
              <w:right w:w="0" w:type="dxa"/>
            </w:tcMar>
            <w:vAlign w:val="bottom"/>
          </w:tcPr>
          <w:p w14:paraId="18600F17" w14:textId="77777777" w:rsidR="00A91885" w:rsidRDefault="009C4196">
            <w:pPr>
              <w:jc w:val="right"/>
              <w:textAlignment w:val="bottom"/>
            </w:pPr>
            <w:r>
              <w:rPr>
                <w:rFonts w:ascii="Arial" w:eastAsia="宋体" w:hAnsi="Arial" w:cs="Arial"/>
                <w:color w:val="000000"/>
                <w:sz w:val="18"/>
                <w:szCs w:val="18"/>
              </w:rPr>
              <w:t>33 </w:t>
            </w:r>
          </w:p>
        </w:tc>
        <w:tc>
          <w:tcPr>
            <w:tcW w:w="0" w:type="auto"/>
            <w:shd w:val="clear" w:color="auto" w:fill="FFFFFF"/>
            <w:tcMar>
              <w:top w:w="40" w:type="dxa"/>
              <w:left w:w="0" w:type="dxa"/>
              <w:bottom w:w="40" w:type="dxa"/>
              <w:right w:w="20" w:type="dxa"/>
            </w:tcMar>
            <w:vAlign w:val="bottom"/>
          </w:tcPr>
          <w:p w14:paraId="18600F1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F1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F1A" w14:textId="77777777" w:rsidR="00A91885" w:rsidRDefault="009C4196">
            <w:pPr>
              <w:jc w:val="right"/>
              <w:textAlignment w:val="bottom"/>
            </w:pPr>
            <w:r>
              <w:rPr>
                <w:rFonts w:ascii="Arial" w:eastAsia="宋体" w:hAnsi="Arial" w:cs="Arial"/>
                <w:color w:val="000000"/>
                <w:sz w:val="18"/>
                <w:szCs w:val="18"/>
              </w:rPr>
              <w:t>79 </w:t>
            </w:r>
          </w:p>
        </w:tc>
        <w:tc>
          <w:tcPr>
            <w:tcW w:w="0" w:type="auto"/>
            <w:shd w:val="clear" w:color="auto" w:fill="FFFFFF"/>
            <w:tcMar>
              <w:top w:w="40" w:type="dxa"/>
              <w:left w:w="0" w:type="dxa"/>
              <w:bottom w:w="40" w:type="dxa"/>
              <w:right w:w="20" w:type="dxa"/>
            </w:tcMar>
            <w:vAlign w:val="bottom"/>
          </w:tcPr>
          <w:p w14:paraId="18600F1B" w14:textId="77777777" w:rsidR="00A91885" w:rsidRDefault="00A91885">
            <w:pPr>
              <w:jc w:val="right"/>
              <w:rPr>
                <w:rFonts w:ascii="宋体"/>
              </w:rPr>
            </w:pPr>
          </w:p>
        </w:tc>
      </w:tr>
      <w:tr w:rsidR="00A91885" w14:paraId="18600F23" w14:textId="77777777">
        <w:tc>
          <w:tcPr>
            <w:tcW w:w="0" w:type="auto"/>
            <w:gridSpan w:val="3"/>
            <w:shd w:val="clear" w:color="auto" w:fill="E2E2E2"/>
            <w:tcMar>
              <w:top w:w="40" w:type="dxa"/>
              <w:left w:w="20" w:type="dxa"/>
              <w:bottom w:w="40" w:type="dxa"/>
              <w:right w:w="20" w:type="dxa"/>
            </w:tcMar>
            <w:vAlign w:val="bottom"/>
          </w:tcPr>
          <w:p w14:paraId="18600F1D" w14:textId="77777777" w:rsidR="00A91885" w:rsidRDefault="009C4196">
            <w:pPr>
              <w:textAlignment w:val="bottom"/>
            </w:pPr>
            <w:r>
              <w:rPr>
                <w:rFonts w:ascii="Arial" w:eastAsia="宋体" w:hAnsi="Arial" w:cs="Arial"/>
                <w:color w:val="000000"/>
                <w:sz w:val="18"/>
                <w:szCs w:val="18"/>
              </w:rPr>
              <w:t>Other</w:t>
            </w:r>
          </w:p>
        </w:tc>
        <w:tc>
          <w:tcPr>
            <w:tcW w:w="0" w:type="auto"/>
            <w:gridSpan w:val="2"/>
            <w:shd w:val="clear" w:color="auto" w:fill="E2E2E2"/>
            <w:tcMar>
              <w:top w:w="40" w:type="dxa"/>
              <w:left w:w="20" w:type="dxa"/>
              <w:bottom w:w="40" w:type="dxa"/>
              <w:right w:w="0" w:type="dxa"/>
            </w:tcMar>
            <w:vAlign w:val="bottom"/>
          </w:tcPr>
          <w:p w14:paraId="18600F1E" w14:textId="77777777" w:rsidR="00A91885" w:rsidRDefault="009C4196">
            <w:pPr>
              <w:jc w:val="right"/>
              <w:textAlignment w:val="bottom"/>
            </w:pPr>
            <w:r>
              <w:rPr>
                <w:rFonts w:ascii="Arial" w:eastAsia="宋体" w:hAnsi="Arial" w:cs="Arial"/>
                <w:color w:val="000000"/>
                <w:sz w:val="18"/>
                <w:szCs w:val="18"/>
              </w:rPr>
              <w:t>363 </w:t>
            </w:r>
          </w:p>
        </w:tc>
        <w:tc>
          <w:tcPr>
            <w:tcW w:w="0" w:type="auto"/>
            <w:shd w:val="clear" w:color="auto" w:fill="E2E2E2"/>
            <w:tcMar>
              <w:top w:w="40" w:type="dxa"/>
              <w:left w:w="0" w:type="dxa"/>
              <w:bottom w:w="40" w:type="dxa"/>
              <w:right w:w="20" w:type="dxa"/>
            </w:tcMar>
            <w:vAlign w:val="bottom"/>
          </w:tcPr>
          <w:p w14:paraId="18600F1F"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0F20"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0F21" w14:textId="77777777" w:rsidR="00A91885" w:rsidRDefault="009C4196">
            <w:pPr>
              <w:jc w:val="right"/>
              <w:textAlignment w:val="bottom"/>
            </w:pPr>
            <w:r>
              <w:rPr>
                <w:rFonts w:ascii="Arial" w:eastAsia="宋体" w:hAnsi="Arial" w:cs="Arial"/>
                <w:color w:val="000000"/>
                <w:sz w:val="18"/>
                <w:szCs w:val="18"/>
              </w:rPr>
              <w:t>328 </w:t>
            </w:r>
          </w:p>
        </w:tc>
        <w:tc>
          <w:tcPr>
            <w:tcW w:w="0" w:type="auto"/>
            <w:shd w:val="clear" w:color="auto" w:fill="E2E2E2"/>
            <w:tcMar>
              <w:top w:w="40" w:type="dxa"/>
              <w:left w:w="0" w:type="dxa"/>
              <w:bottom w:w="40" w:type="dxa"/>
              <w:right w:w="20" w:type="dxa"/>
            </w:tcMar>
            <w:vAlign w:val="bottom"/>
          </w:tcPr>
          <w:p w14:paraId="18600F22" w14:textId="77777777" w:rsidR="00A91885" w:rsidRDefault="00A91885">
            <w:pPr>
              <w:jc w:val="right"/>
              <w:rPr>
                <w:rFonts w:ascii="宋体"/>
              </w:rPr>
            </w:pPr>
          </w:p>
        </w:tc>
      </w:tr>
      <w:tr w:rsidR="00A91885" w14:paraId="18600F2C" w14:textId="77777777">
        <w:tc>
          <w:tcPr>
            <w:tcW w:w="0" w:type="auto"/>
            <w:gridSpan w:val="3"/>
            <w:shd w:val="clear" w:color="auto" w:fill="FFFFFF"/>
            <w:tcMar>
              <w:top w:w="40" w:type="dxa"/>
              <w:left w:w="245" w:type="dxa"/>
              <w:bottom w:w="40" w:type="dxa"/>
              <w:right w:w="20" w:type="dxa"/>
            </w:tcMar>
            <w:vAlign w:val="bottom"/>
          </w:tcPr>
          <w:p w14:paraId="18600F24" w14:textId="77777777" w:rsidR="00A91885" w:rsidRDefault="009C4196">
            <w:pPr>
              <w:textAlignment w:val="bottom"/>
            </w:pPr>
            <w:r>
              <w:rPr>
                <w:rFonts w:ascii="Arial" w:eastAsia="宋体" w:hAnsi="Arial" w:cs="Arial"/>
                <w:color w:val="000000"/>
                <w:sz w:val="18"/>
                <w:szCs w:val="18"/>
              </w:rPr>
              <w:t xml:space="preserve">Accrued expenses and other </w:t>
            </w:r>
            <w:r>
              <w:rPr>
                <w:rFonts w:ascii="Arial" w:eastAsia="宋体" w:hAnsi="Arial" w:cs="Arial"/>
                <w:color w:val="000000"/>
                <w:sz w:val="18"/>
                <w:szCs w:val="18"/>
              </w:rPr>
              <w:t>current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F2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F26" w14:textId="77777777" w:rsidR="00A91885" w:rsidRDefault="009C4196">
            <w:pPr>
              <w:jc w:val="right"/>
              <w:textAlignment w:val="bottom"/>
            </w:pPr>
            <w:r>
              <w:rPr>
                <w:rFonts w:ascii="Arial" w:eastAsia="宋体" w:hAnsi="Arial" w:cs="Arial"/>
                <w:color w:val="000000"/>
                <w:sz w:val="18"/>
                <w:szCs w:val="18"/>
              </w:rPr>
              <w:t>1,735 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F2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F28"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0F2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0F2A" w14:textId="77777777" w:rsidR="00A91885" w:rsidRDefault="009C4196">
            <w:pPr>
              <w:jc w:val="right"/>
              <w:textAlignment w:val="bottom"/>
            </w:pPr>
            <w:r>
              <w:rPr>
                <w:rFonts w:ascii="Arial" w:eastAsia="宋体" w:hAnsi="Arial" w:cs="Arial"/>
                <w:color w:val="000000"/>
                <w:sz w:val="18"/>
                <w:szCs w:val="18"/>
              </w:rPr>
              <w:t>1,927 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0F2B" w14:textId="77777777" w:rsidR="00A91885" w:rsidRDefault="00A91885">
            <w:pPr>
              <w:jc w:val="right"/>
              <w:rPr>
                <w:rFonts w:ascii="宋体"/>
              </w:rPr>
            </w:pPr>
          </w:p>
        </w:tc>
      </w:tr>
    </w:tbl>
    <w:p w14:paraId="18600F2D" w14:textId="77777777" w:rsidR="00A91885" w:rsidRDefault="00A91885">
      <w:pPr>
        <w:ind w:firstLine="270"/>
      </w:pPr>
    </w:p>
    <w:p w14:paraId="18600F2E" w14:textId="77777777" w:rsidR="00A91885" w:rsidRDefault="009C4196">
      <w:pPr>
        <w:ind w:firstLine="270"/>
      </w:pPr>
      <w:r>
        <w:rPr>
          <w:rFonts w:ascii="Arial" w:eastAsia="宋体" w:hAnsi="Arial" w:cs="Arial"/>
          <w:b/>
          <w:bCs/>
          <w:i/>
          <w:iCs/>
          <w:color w:val="000000"/>
          <w:sz w:val="20"/>
          <w:szCs w:val="20"/>
        </w:rPr>
        <w:t>Gain (loss) on equity investments and warrant, net</w:t>
      </w:r>
    </w:p>
    <w:tbl>
      <w:tblPr>
        <w:tblW w:w="5000" w:type="pct"/>
        <w:tblCellMar>
          <w:top w:w="15" w:type="dxa"/>
          <w:left w:w="15" w:type="dxa"/>
          <w:bottom w:w="15" w:type="dxa"/>
          <w:right w:w="15" w:type="dxa"/>
        </w:tblCellMar>
        <w:tblLook w:val="04A0" w:firstRow="1" w:lastRow="0" w:firstColumn="1" w:lastColumn="0" w:noHBand="0" w:noVBand="1"/>
      </w:tblPr>
      <w:tblGrid>
        <w:gridCol w:w="39"/>
        <w:gridCol w:w="4429"/>
        <w:gridCol w:w="38"/>
        <w:gridCol w:w="121"/>
        <w:gridCol w:w="719"/>
        <w:gridCol w:w="36"/>
        <w:gridCol w:w="36"/>
        <w:gridCol w:w="36"/>
        <w:gridCol w:w="36"/>
        <w:gridCol w:w="121"/>
        <w:gridCol w:w="719"/>
        <w:gridCol w:w="36"/>
        <w:gridCol w:w="36"/>
        <w:gridCol w:w="36"/>
        <w:gridCol w:w="36"/>
        <w:gridCol w:w="121"/>
        <w:gridCol w:w="720"/>
        <w:gridCol w:w="36"/>
        <w:gridCol w:w="36"/>
        <w:gridCol w:w="36"/>
        <w:gridCol w:w="36"/>
        <w:gridCol w:w="121"/>
        <w:gridCol w:w="720"/>
        <w:gridCol w:w="36"/>
      </w:tblGrid>
      <w:tr w:rsidR="00A91885" w14:paraId="18600F47" w14:textId="77777777">
        <w:tc>
          <w:tcPr>
            <w:tcW w:w="50" w:type="pct"/>
            <w:shd w:val="clear" w:color="auto" w:fill="auto"/>
            <w:vAlign w:val="bottom"/>
          </w:tcPr>
          <w:p w14:paraId="18600F2F" w14:textId="77777777" w:rsidR="00A91885" w:rsidRDefault="00A91885">
            <w:pPr>
              <w:rPr>
                <w:rFonts w:ascii="宋体"/>
              </w:rPr>
            </w:pPr>
          </w:p>
        </w:tc>
        <w:tc>
          <w:tcPr>
            <w:tcW w:w="2722" w:type="pct"/>
            <w:shd w:val="clear" w:color="auto" w:fill="auto"/>
            <w:vAlign w:val="bottom"/>
          </w:tcPr>
          <w:p w14:paraId="18600F30" w14:textId="77777777" w:rsidR="00A91885" w:rsidRDefault="00A91885">
            <w:pPr>
              <w:rPr>
                <w:rFonts w:ascii="宋体"/>
              </w:rPr>
            </w:pPr>
          </w:p>
        </w:tc>
        <w:tc>
          <w:tcPr>
            <w:tcW w:w="5" w:type="pct"/>
            <w:shd w:val="clear" w:color="auto" w:fill="auto"/>
            <w:vAlign w:val="bottom"/>
          </w:tcPr>
          <w:p w14:paraId="18600F31" w14:textId="77777777" w:rsidR="00A91885" w:rsidRDefault="00A91885">
            <w:pPr>
              <w:rPr>
                <w:rFonts w:ascii="宋体"/>
              </w:rPr>
            </w:pPr>
          </w:p>
        </w:tc>
        <w:tc>
          <w:tcPr>
            <w:tcW w:w="50" w:type="pct"/>
            <w:shd w:val="clear" w:color="auto" w:fill="auto"/>
            <w:vAlign w:val="bottom"/>
          </w:tcPr>
          <w:p w14:paraId="18600F32" w14:textId="77777777" w:rsidR="00A91885" w:rsidRDefault="00A91885">
            <w:pPr>
              <w:rPr>
                <w:rFonts w:ascii="宋体"/>
              </w:rPr>
            </w:pPr>
          </w:p>
        </w:tc>
        <w:tc>
          <w:tcPr>
            <w:tcW w:w="478" w:type="pct"/>
            <w:shd w:val="clear" w:color="auto" w:fill="auto"/>
            <w:vAlign w:val="bottom"/>
          </w:tcPr>
          <w:p w14:paraId="18600F33" w14:textId="77777777" w:rsidR="00A91885" w:rsidRDefault="00A91885">
            <w:pPr>
              <w:rPr>
                <w:rFonts w:ascii="宋体"/>
              </w:rPr>
            </w:pPr>
          </w:p>
        </w:tc>
        <w:tc>
          <w:tcPr>
            <w:tcW w:w="5" w:type="pct"/>
            <w:shd w:val="clear" w:color="auto" w:fill="auto"/>
            <w:vAlign w:val="bottom"/>
          </w:tcPr>
          <w:p w14:paraId="18600F34" w14:textId="77777777" w:rsidR="00A91885" w:rsidRDefault="00A91885">
            <w:pPr>
              <w:rPr>
                <w:rFonts w:ascii="宋体"/>
              </w:rPr>
            </w:pPr>
          </w:p>
        </w:tc>
        <w:tc>
          <w:tcPr>
            <w:tcW w:w="5" w:type="pct"/>
            <w:shd w:val="clear" w:color="auto" w:fill="auto"/>
            <w:vAlign w:val="bottom"/>
          </w:tcPr>
          <w:p w14:paraId="18600F35" w14:textId="77777777" w:rsidR="00A91885" w:rsidRDefault="00A91885">
            <w:pPr>
              <w:rPr>
                <w:rFonts w:ascii="宋体"/>
              </w:rPr>
            </w:pPr>
          </w:p>
        </w:tc>
        <w:tc>
          <w:tcPr>
            <w:tcW w:w="19" w:type="pct"/>
            <w:shd w:val="clear" w:color="auto" w:fill="auto"/>
            <w:vAlign w:val="bottom"/>
          </w:tcPr>
          <w:p w14:paraId="18600F36" w14:textId="77777777" w:rsidR="00A91885" w:rsidRDefault="00A91885">
            <w:pPr>
              <w:rPr>
                <w:rFonts w:ascii="宋体"/>
              </w:rPr>
            </w:pPr>
          </w:p>
        </w:tc>
        <w:tc>
          <w:tcPr>
            <w:tcW w:w="5" w:type="pct"/>
            <w:shd w:val="clear" w:color="auto" w:fill="auto"/>
            <w:vAlign w:val="bottom"/>
          </w:tcPr>
          <w:p w14:paraId="18600F37" w14:textId="77777777" w:rsidR="00A91885" w:rsidRDefault="00A91885">
            <w:pPr>
              <w:rPr>
                <w:rFonts w:ascii="宋体"/>
              </w:rPr>
            </w:pPr>
          </w:p>
        </w:tc>
        <w:tc>
          <w:tcPr>
            <w:tcW w:w="50" w:type="pct"/>
            <w:shd w:val="clear" w:color="auto" w:fill="auto"/>
            <w:vAlign w:val="bottom"/>
          </w:tcPr>
          <w:p w14:paraId="18600F38" w14:textId="77777777" w:rsidR="00A91885" w:rsidRDefault="00A91885">
            <w:pPr>
              <w:rPr>
                <w:rFonts w:ascii="宋体"/>
              </w:rPr>
            </w:pPr>
          </w:p>
        </w:tc>
        <w:tc>
          <w:tcPr>
            <w:tcW w:w="478" w:type="pct"/>
            <w:shd w:val="clear" w:color="auto" w:fill="auto"/>
            <w:vAlign w:val="bottom"/>
          </w:tcPr>
          <w:p w14:paraId="18600F39" w14:textId="77777777" w:rsidR="00A91885" w:rsidRDefault="00A91885">
            <w:pPr>
              <w:rPr>
                <w:rFonts w:ascii="宋体"/>
              </w:rPr>
            </w:pPr>
          </w:p>
        </w:tc>
        <w:tc>
          <w:tcPr>
            <w:tcW w:w="5" w:type="pct"/>
            <w:shd w:val="clear" w:color="auto" w:fill="auto"/>
            <w:vAlign w:val="bottom"/>
          </w:tcPr>
          <w:p w14:paraId="18600F3A" w14:textId="77777777" w:rsidR="00A91885" w:rsidRDefault="00A91885">
            <w:pPr>
              <w:rPr>
                <w:rFonts w:ascii="宋体"/>
              </w:rPr>
            </w:pPr>
          </w:p>
        </w:tc>
        <w:tc>
          <w:tcPr>
            <w:tcW w:w="5" w:type="pct"/>
            <w:shd w:val="clear" w:color="auto" w:fill="auto"/>
            <w:vAlign w:val="bottom"/>
          </w:tcPr>
          <w:p w14:paraId="18600F3B" w14:textId="77777777" w:rsidR="00A91885" w:rsidRDefault="00A91885">
            <w:pPr>
              <w:rPr>
                <w:rFonts w:ascii="宋体"/>
              </w:rPr>
            </w:pPr>
          </w:p>
        </w:tc>
        <w:tc>
          <w:tcPr>
            <w:tcW w:w="19" w:type="pct"/>
            <w:shd w:val="clear" w:color="auto" w:fill="auto"/>
            <w:vAlign w:val="bottom"/>
          </w:tcPr>
          <w:p w14:paraId="18600F3C" w14:textId="77777777" w:rsidR="00A91885" w:rsidRDefault="00A91885">
            <w:pPr>
              <w:rPr>
                <w:rFonts w:ascii="宋体"/>
              </w:rPr>
            </w:pPr>
          </w:p>
        </w:tc>
        <w:tc>
          <w:tcPr>
            <w:tcW w:w="5" w:type="pct"/>
            <w:shd w:val="clear" w:color="auto" w:fill="auto"/>
            <w:vAlign w:val="bottom"/>
          </w:tcPr>
          <w:p w14:paraId="18600F3D" w14:textId="77777777" w:rsidR="00A91885" w:rsidRDefault="00A91885">
            <w:pPr>
              <w:rPr>
                <w:rFonts w:ascii="宋体"/>
              </w:rPr>
            </w:pPr>
          </w:p>
        </w:tc>
        <w:tc>
          <w:tcPr>
            <w:tcW w:w="50" w:type="pct"/>
            <w:shd w:val="clear" w:color="auto" w:fill="auto"/>
            <w:vAlign w:val="bottom"/>
          </w:tcPr>
          <w:p w14:paraId="18600F3E" w14:textId="77777777" w:rsidR="00A91885" w:rsidRDefault="00A91885">
            <w:pPr>
              <w:rPr>
                <w:rFonts w:ascii="宋体"/>
              </w:rPr>
            </w:pPr>
          </w:p>
        </w:tc>
        <w:tc>
          <w:tcPr>
            <w:tcW w:w="478" w:type="pct"/>
            <w:shd w:val="clear" w:color="auto" w:fill="auto"/>
            <w:vAlign w:val="bottom"/>
          </w:tcPr>
          <w:p w14:paraId="18600F3F" w14:textId="77777777" w:rsidR="00A91885" w:rsidRDefault="00A91885">
            <w:pPr>
              <w:rPr>
                <w:rFonts w:ascii="宋体"/>
              </w:rPr>
            </w:pPr>
          </w:p>
        </w:tc>
        <w:tc>
          <w:tcPr>
            <w:tcW w:w="5" w:type="pct"/>
            <w:shd w:val="clear" w:color="auto" w:fill="auto"/>
            <w:vAlign w:val="bottom"/>
          </w:tcPr>
          <w:p w14:paraId="18600F40" w14:textId="77777777" w:rsidR="00A91885" w:rsidRDefault="00A91885">
            <w:pPr>
              <w:rPr>
                <w:rFonts w:ascii="宋体"/>
              </w:rPr>
            </w:pPr>
          </w:p>
        </w:tc>
        <w:tc>
          <w:tcPr>
            <w:tcW w:w="5" w:type="pct"/>
            <w:shd w:val="clear" w:color="auto" w:fill="auto"/>
            <w:vAlign w:val="bottom"/>
          </w:tcPr>
          <w:p w14:paraId="18600F41" w14:textId="77777777" w:rsidR="00A91885" w:rsidRDefault="00A91885">
            <w:pPr>
              <w:rPr>
                <w:rFonts w:ascii="宋体"/>
              </w:rPr>
            </w:pPr>
          </w:p>
        </w:tc>
        <w:tc>
          <w:tcPr>
            <w:tcW w:w="19" w:type="pct"/>
            <w:shd w:val="clear" w:color="auto" w:fill="auto"/>
            <w:vAlign w:val="bottom"/>
          </w:tcPr>
          <w:p w14:paraId="18600F42" w14:textId="77777777" w:rsidR="00A91885" w:rsidRDefault="00A91885">
            <w:pPr>
              <w:rPr>
                <w:rFonts w:ascii="宋体"/>
              </w:rPr>
            </w:pPr>
          </w:p>
        </w:tc>
        <w:tc>
          <w:tcPr>
            <w:tcW w:w="5" w:type="pct"/>
            <w:shd w:val="clear" w:color="auto" w:fill="auto"/>
            <w:vAlign w:val="bottom"/>
          </w:tcPr>
          <w:p w14:paraId="18600F43" w14:textId="77777777" w:rsidR="00A91885" w:rsidRDefault="00A91885">
            <w:pPr>
              <w:rPr>
                <w:rFonts w:ascii="宋体"/>
              </w:rPr>
            </w:pPr>
          </w:p>
        </w:tc>
        <w:tc>
          <w:tcPr>
            <w:tcW w:w="50" w:type="pct"/>
            <w:shd w:val="clear" w:color="auto" w:fill="auto"/>
            <w:vAlign w:val="bottom"/>
          </w:tcPr>
          <w:p w14:paraId="18600F44" w14:textId="77777777" w:rsidR="00A91885" w:rsidRDefault="00A91885">
            <w:pPr>
              <w:rPr>
                <w:rFonts w:ascii="宋体"/>
              </w:rPr>
            </w:pPr>
          </w:p>
        </w:tc>
        <w:tc>
          <w:tcPr>
            <w:tcW w:w="478" w:type="pct"/>
            <w:shd w:val="clear" w:color="auto" w:fill="auto"/>
            <w:vAlign w:val="bottom"/>
          </w:tcPr>
          <w:p w14:paraId="18600F45" w14:textId="77777777" w:rsidR="00A91885" w:rsidRDefault="00A91885">
            <w:pPr>
              <w:rPr>
                <w:rFonts w:ascii="宋体"/>
              </w:rPr>
            </w:pPr>
          </w:p>
        </w:tc>
        <w:tc>
          <w:tcPr>
            <w:tcW w:w="5" w:type="pct"/>
            <w:shd w:val="clear" w:color="auto" w:fill="auto"/>
            <w:vAlign w:val="bottom"/>
          </w:tcPr>
          <w:p w14:paraId="18600F46" w14:textId="77777777" w:rsidR="00A91885" w:rsidRDefault="00A91885">
            <w:pPr>
              <w:rPr>
                <w:rFonts w:ascii="宋体"/>
              </w:rPr>
            </w:pPr>
          </w:p>
        </w:tc>
      </w:tr>
      <w:tr w:rsidR="00A91885" w14:paraId="18600F4C" w14:textId="77777777">
        <w:tc>
          <w:tcPr>
            <w:tcW w:w="0" w:type="auto"/>
            <w:gridSpan w:val="3"/>
            <w:shd w:val="clear" w:color="auto" w:fill="auto"/>
            <w:tcMar>
              <w:top w:w="0" w:type="dxa"/>
              <w:left w:w="20" w:type="dxa"/>
              <w:bottom w:w="0" w:type="dxa"/>
              <w:right w:w="20" w:type="dxa"/>
            </w:tcMar>
            <w:vAlign w:val="bottom"/>
          </w:tcPr>
          <w:p w14:paraId="18600F48"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0F49"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0F4A"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0F4B"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600F55" w14:textId="77777777">
        <w:tc>
          <w:tcPr>
            <w:tcW w:w="0" w:type="auto"/>
            <w:gridSpan w:val="3"/>
            <w:shd w:val="clear" w:color="auto" w:fill="auto"/>
            <w:tcMar>
              <w:top w:w="0" w:type="dxa"/>
              <w:left w:w="20" w:type="dxa"/>
              <w:bottom w:w="0" w:type="dxa"/>
              <w:right w:w="20" w:type="dxa"/>
            </w:tcMar>
            <w:vAlign w:val="bottom"/>
          </w:tcPr>
          <w:p w14:paraId="18600F4D"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F4E"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F4F"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600F50"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0F51"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F52"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F53"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0F54"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600F5C" w14:textId="77777777">
        <w:tc>
          <w:tcPr>
            <w:tcW w:w="0" w:type="auto"/>
            <w:gridSpan w:val="3"/>
            <w:shd w:val="clear" w:color="auto" w:fill="auto"/>
            <w:tcMar>
              <w:top w:w="0" w:type="dxa"/>
              <w:left w:w="20" w:type="dxa"/>
              <w:bottom w:w="0" w:type="dxa"/>
              <w:right w:w="20" w:type="dxa"/>
            </w:tcMar>
            <w:vAlign w:val="bottom"/>
          </w:tcPr>
          <w:p w14:paraId="18600F56" w14:textId="77777777" w:rsidR="00A91885" w:rsidRDefault="00A9188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600F57" w14:textId="77777777" w:rsidR="00A91885" w:rsidRDefault="009C4196">
            <w:pPr>
              <w:jc w:val="center"/>
              <w:textAlignment w:val="bottom"/>
            </w:pPr>
            <w:r>
              <w:rPr>
                <w:rFonts w:ascii="Arial" w:eastAsia="宋体" w:hAnsi="Arial" w:cs="Arial"/>
                <w:b/>
                <w:bCs/>
                <w:color w:val="000000"/>
                <w:sz w:val="17"/>
                <w:szCs w:val="17"/>
              </w:rPr>
              <w:t>(In millions)</w:t>
            </w:r>
          </w:p>
        </w:tc>
        <w:tc>
          <w:tcPr>
            <w:tcW w:w="0" w:type="auto"/>
            <w:gridSpan w:val="3"/>
            <w:shd w:val="clear" w:color="auto" w:fill="auto"/>
            <w:tcMar>
              <w:top w:w="0" w:type="dxa"/>
              <w:left w:w="20" w:type="dxa"/>
              <w:bottom w:w="0" w:type="dxa"/>
              <w:right w:w="20" w:type="dxa"/>
            </w:tcMar>
            <w:vAlign w:val="bottom"/>
          </w:tcPr>
          <w:p w14:paraId="18600F58" w14:textId="77777777" w:rsidR="00A91885" w:rsidRDefault="00A9188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F59"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0F5A" w14:textId="77777777" w:rsidR="00A91885" w:rsidRDefault="00A9188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0F5B" w14:textId="77777777" w:rsidR="00A91885" w:rsidRDefault="00A91885">
            <w:pPr>
              <w:rPr>
                <w:rFonts w:ascii="宋体"/>
              </w:rPr>
            </w:pPr>
          </w:p>
        </w:tc>
      </w:tr>
      <w:tr w:rsidR="00A91885" w14:paraId="18600F6D" w14:textId="77777777">
        <w:tc>
          <w:tcPr>
            <w:tcW w:w="0" w:type="auto"/>
            <w:gridSpan w:val="3"/>
            <w:shd w:val="clear" w:color="auto" w:fill="DBDBDB"/>
            <w:tcMar>
              <w:top w:w="40" w:type="dxa"/>
              <w:left w:w="20" w:type="dxa"/>
              <w:bottom w:w="40" w:type="dxa"/>
              <w:right w:w="20" w:type="dxa"/>
            </w:tcMar>
            <w:vAlign w:val="bottom"/>
          </w:tcPr>
          <w:p w14:paraId="18600F5D" w14:textId="77777777" w:rsidR="00A91885" w:rsidRDefault="009C4196">
            <w:pPr>
              <w:textAlignment w:val="bottom"/>
            </w:pPr>
            <w:r>
              <w:rPr>
                <w:rFonts w:ascii="Arial" w:eastAsia="宋体" w:hAnsi="Arial" w:cs="Arial"/>
                <w:color w:val="000000"/>
                <w:sz w:val="18"/>
                <w:szCs w:val="18"/>
              </w:rPr>
              <w:t>Change in fair value of equity investment in Adevinta</w:t>
            </w:r>
          </w:p>
        </w:tc>
        <w:tc>
          <w:tcPr>
            <w:tcW w:w="0" w:type="auto"/>
            <w:shd w:val="clear" w:color="auto" w:fill="DBDBDB"/>
            <w:tcMar>
              <w:top w:w="40" w:type="dxa"/>
              <w:left w:w="20" w:type="dxa"/>
              <w:bottom w:w="40" w:type="dxa"/>
              <w:right w:w="0" w:type="dxa"/>
            </w:tcMar>
            <w:vAlign w:val="bottom"/>
          </w:tcPr>
          <w:p w14:paraId="18600F5E"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8600F5F" w14:textId="77777777" w:rsidR="00A91885" w:rsidRDefault="009C4196">
            <w:pPr>
              <w:jc w:val="right"/>
              <w:textAlignment w:val="bottom"/>
            </w:pPr>
            <w:r>
              <w:rPr>
                <w:rFonts w:ascii="Arial" w:eastAsia="宋体" w:hAnsi="Arial" w:cs="Arial"/>
                <w:color w:val="000000"/>
                <w:sz w:val="18"/>
                <w:szCs w:val="18"/>
              </w:rPr>
              <w:t>(829)</w:t>
            </w:r>
          </w:p>
        </w:tc>
        <w:tc>
          <w:tcPr>
            <w:tcW w:w="0" w:type="auto"/>
            <w:shd w:val="clear" w:color="auto" w:fill="DBDBDB"/>
            <w:tcMar>
              <w:top w:w="40" w:type="dxa"/>
              <w:left w:w="0" w:type="dxa"/>
              <w:bottom w:w="40" w:type="dxa"/>
              <w:right w:w="20" w:type="dxa"/>
            </w:tcMar>
            <w:vAlign w:val="bottom"/>
          </w:tcPr>
          <w:p w14:paraId="18600F60"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F61" w14:textId="77777777" w:rsidR="00A91885" w:rsidRDefault="00A91885">
            <w:pPr>
              <w:rPr>
                <w:rFonts w:ascii="宋体"/>
              </w:rPr>
            </w:pPr>
          </w:p>
        </w:tc>
        <w:tc>
          <w:tcPr>
            <w:tcW w:w="0" w:type="auto"/>
            <w:shd w:val="clear" w:color="auto" w:fill="DBDBDB"/>
            <w:tcMar>
              <w:top w:w="40" w:type="dxa"/>
              <w:left w:w="20" w:type="dxa"/>
              <w:bottom w:w="40" w:type="dxa"/>
              <w:right w:w="0" w:type="dxa"/>
            </w:tcMar>
            <w:vAlign w:val="bottom"/>
          </w:tcPr>
          <w:p w14:paraId="18600F62"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8600F63" w14:textId="77777777" w:rsidR="00A91885" w:rsidRDefault="009C4196">
            <w:pPr>
              <w:jc w:val="right"/>
              <w:textAlignment w:val="bottom"/>
            </w:pPr>
            <w:r>
              <w:rPr>
                <w:rFonts w:ascii="Arial" w:eastAsia="宋体" w:hAnsi="Arial" w:cs="Arial"/>
                <w:color w:val="000000"/>
                <w:sz w:val="18"/>
                <w:szCs w:val="18"/>
              </w:rPr>
              <w:t>(422)</w:t>
            </w:r>
          </w:p>
        </w:tc>
        <w:tc>
          <w:tcPr>
            <w:tcW w:w="0" w:type="auto"/>
            <w:shd w:val="clear" w:color="auto" w:fill="DBDBDB"/>
            <w:tcMar>
              <w:top w:w="40" w:type="dxa"/>
              <w:left w:w="0" w:type="dxa"/>
              <w:bottom w:w="40" w:type="dxa"/>
              <w:right w:w="20" w:type="dxa"/>
            </w:tcMar>
            <w:vAlign w:val="bottom"/>
          </w:tcPr>
          <w:p w14:paraId="18600F64"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F65" w14:textId="77777777" w:rsidR="00A91885" w:rsidRDefault="00A91885">
            <w:pPr>
              <w:rPr>
                <w:rFonts w:ascii="宋体"/>
              </w:rPr>
            </w:pPr>
          </w:p>
        </w:tc>
        <w:tc>
          <w:tcPr>
            <w:tcW w:w="0" w:type="auto"/>
            <w:shd w:val="clear" w:color="auto" w:fill="DBDBDB"/>
            <w:tcMar>
              <w:top w:w="40" w:type="dxa"/>
              <w:left w:w="20" w:type="dxa"/>
              <w:bottom w:w="40" w:type="dxa"/>
              <w:right w:w="0" w:type="dxa"/>
            </w:tcMar>
            <w:vAlign w:val="bottom"/>
          </w:tcPr>
          <w:p w14:paraId="18600F66"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8600F67" w14:textId="77777777" w:rsidR="00A91885" w:rsidRDefault="009C4196">
            <w:pPr>
              <w:jc w:val="right"/>
              <w:textAlignment w:val="bottom"/>
            </w:pPr>
            <w:r>
              <w:rPr>
                <w:rFonts w:ascii="Arial" w:eastAsia="宋体" w:hAnsi="Arial" w:cs="Arial"/>
                <w:color w:val="000000"/>
                <w:sz w:val="18"/>
                <w:szCs w:val="18"/>
              </w:rPr>
              <w:t>(2,472)</w:t>
            </w:r>
          </w:p>
        </w:tc>
        <w:tc>
          <w:tcPr>
            <w:tcW w:w="0" w:type="auto"/>
            <w:shd w:val="clear" w:color="auto" w:fill="DBDBDB"/>
            <w:tcMar>
              <w:top w:w="40" w:type="dxa"/>
              <w:left w:w="0" w:type="dxa"/>
              <w:bottom w:w="40" w:type="dxa"/>
              <w:right w:w="20" w:type="dxa"/>
            </w:tcMar>
            <w:vAlign w:val="bottom"/>
          </w:tcPr>
          <w:p w14:paraId="18600F68"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F69" w14:textId="77777777" w:rsidR="00A91885" w:rsidRDefault="00A91885">
            <w:pPr>
              <w:rPr>
                <w:rFonts w:ascii="宋体"/>
              </w:rPr>
            </w:pPr>
          </w:p>
        </w:tc>
        <w:tc>
          <w:tcPr>
            <w:tcW w:w="0" w:type="auto"/>
            <w:shd w:val="clear" w:color="auto" w:fill="DBDBDB"/>
            <w:tcMar>
              <w:top w:w="40" w:type="dxa"/>
              <w:left w:w="20" w:type="dxa"/>
              <w:bottom w:w="40" w:type="dxa"/>
              <w:right w:w="0" w:type="dxa"/>
            </w:tcMar>
            <w:vAlign w:val="bottom"/>
          </w:tcPr>
          <w:p w14:paraId="18600F6A" w14:textId="77777777" w:rsidR="00A91885" w:rsidRDefault="009C4196">
            <w:pPr>
              <w:textAlignment w:val="bottom"/>
            </w:pPr>
            <w:r>
              <w:rPr>
                <w:rFonts w:ascii="Arial" w:eastAsia="宋体" w:hAnsi="Arial" w:cs="Arial"/>
                <w:color w:val="000000"/>
                <w:sz w:val="18"/>
                <w:szCs w:val="18"/>
              </w:rPr>
              <w:t>$</w:t>
            </w:r>
          </w:p>
        </w:tc>
        <w:tc>
          <w:tcPr>
            <w:tcW w:w="0" w:type="auto"/>
            <w:shd w:val="clear" w:color="auto" w:fill="DBDBDB"/>
            <w:tcMar>
              <w:top w:w="40" w:type="dxa"/>
              <w:left w:w="0" w:type="dxa"/>
              <w:bottom w:w="40" w:type="dxa"/>
              <w:right w:w="0" w:type="dxa"/>
            </w:tcMar>
            <w:vAlign w:val="bottom"/>
          </w:tcPr>
          <w:p w14:paraId="18600F6B" w14:textId="77777777" w:rsidR="00A91885" w:rsidRDefault="009C4196">
            <w:pPr>
              <w:jc w:val="right"/>
              <w:textAlignment w:val="bottom"/>
            </w:pPr>
            <w:r>
              <w:rPr>
                <w:rFonts w:ascii="Arial" w:eastAsia="宋体" w:hAnsi="Arial" w:cs="Arial"/>
                <w:color w:val="000000"/>
                <w:sz w:val="18"/>
                <w:szCs w:val="18"/>
              </w:rPr>
              <w:t>(422)</w:t>
            </w:r>
          </w:p>
        </w:tc>
        <w:tc>
          <w:tcPr>
            <w:tcW w:w="0" w:type="auto"/>
            <w:shd w:val="clear" w:color="auto" w:fill="DBDBDB"/>
            <w:tcMar>
              <w:top w:w="40" w:type="dxa"/>
              <w:left w:w="0" w:type="dxa"/>
              <w:bottom w:w="40" w:type="dxa"/>
              <w:right w:w="20" w:type="dxa"/>
            </w:tcMar>
            <w:vAlign w:val="bottom"/>
          </w:tcPr>
          <w:p w14:paraId="18600F6C" w14:textId="77777777" w:rsidR="00A91885" w:rsidRDefault="00A91885">
            <w:pPr>
              <w:jc w:val="right"/>
              <w:rPr>
                <w:rFonts w:ascii="宋体"/>
              </w:rPr>
            </w:pPr>
          </w:p>
        </w:tc>
      </w:tr>
      <w:tr w:rsidR="00A91885" w14:paraId="18600F7A" w14:textId="77777777">
        <w:tc>
          <w:tcPr>
            <w:tcW w:w="0" w:type="auto"/>
            <w:gridSpan w:val="3"/>
            <w:shd w:val="clear" w:color="auto" w:fill="FFFFFF"/>
            <w:tcMar>
              <w:top w:w="40" w:type="dxa"/>
              <w:left w:w="20" w:type="dxa"/>
              <w:bottom w:w="40" w:type="dxa"/>
              <w:right w:w="20" w:type="dxa"/>
            </w:tcMar>
            <w:vAlign w:val="bottom"/>
          </w:tcPr>
          <w:p w14:paraId="18600F6E" w14:textId="77777777" w:rsidR="00A91885" w:rsidRDefault="009C4196">
            <w:pPr>
              <w:textAlignment w:val="bottom"/>
            </w:pPr>
            <w:r>
              <w:rPr>
                <w:rFonts w:ascii="Arial" w:eastAsia="宋体" w:hAnsi="Arial" w:cs="Arial"/>
                <w:color w:val="000000"/>
                <w:sz w:val="18"/>
                <w:szCs w:val="18"/>
              </w:rPr>
              <w:t>Change in fair value of equity investment in Gmarket</w:t>
            </w:r>
          </w:p>
        </w:tc>
        <w:tc>
          <w:tcPr>
            <w:tcW w:w="0" w:type="auto"/>
            <w:gridSpan w:val="2"/>
            <w:shd w:val="clear" w:color="auto" w:fill="FFFFFF"/>
            <w:tcMar>
              <w:top w:w="40" w:type="dxa"/>
              <w:left w:w="20" w:type="dxa"/>
              <w:bottom w:w="40" w:type="dxa"/>
              <w:right w:w="0" w:type="dxa"/>
            </w:tcMar>
            <w:vAlign w:val="bottom"/>
          </w:tcPr>
          <w:p w14:paraId="18600F6F" w14:textId="77777777" w:rsidR="00A91885" w:rsidRDefault="009C4196">
            <w:pPr>
              <w:jc w:val="right"/>
              <w:textAlignment w:val="bottom"/>
            </w:pPr>
            <w:r>
              <w:rPr>
                <w:rFonts w:ascii="Arial" w:eastAsia="宋体" w:hAnsi="Arial" w:cs="Arial"/>
                <w:color w:val="000000"/>
                <w:sz w:val="18"/>
                <w:szCs w:val="18"/>
              </w:rPr>
              <w:t>(77)</w:t>
            </w:r>
          </w:p>
        </w:tc>
        <w:tc>
          <w:tcPr>
            <w:tcW w:w="0" w:type="auto"/>
            <w:shd w:val="clear" w:color="auto" w:fill="FFFFFF"/>
            <w:tcMar>
              <w:top w:w="40" w:type="dxa"/>
              <w:left w:w="0" w:type="dxa"/>
              <w:bottom w:w="40" w:type="dxa"/>
              <w:right w:w="20" w:type="dxa"/>
            </w:tcMar>
            <w:vAlign w:val="bottom"/>
          </w:tcPr>
          <w:p w14:paraId="18600F7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F7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F72"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F7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F7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F75" w14:textId="77777777" w:rsidR="00A91885" w:rsidRDefault="009C4196">
            <w:pPr>
              <w:jc w:val="right"/>
              <w:textAlignment w:val="bottom"/>
            </w:pPr>
            <w:r>
              <w:rPr>
                <w:rFonts w:ascii="Arial" w:eastAsia="宋体" w:hAnsi="Arial" w:cs="Arial"/>
                <w:color w:val="000000"/>
                <w:sz w:val="18"/>
                <w:szCs w:val="18"/>
              </w:rPr>
              <w:t>(259)</w:t>
            </w:r>
          </w:p>
        </w:tc>
        <w:tc>
          <w:tcPr>
            <w:tcW w:w="0" w:type="auto"/>
            <w:shd w:val="clear" w:color="auto" w:fill="FFFFFF"/>
            <w:tcMar>
              <w:top w:w="40" w:type="dxa"/>
              <w:left w:w="0" w:type="dxa"/>
              <w:bottom w:w="40" w:type="dxa"/>
              <w:right w:w="20" w:type="dxa"/>
            </w:tcMar>
            <w:vAlign w:val="bottom"/>
          </w:tcPr>
          <w:p w14:paraId="18600F7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F7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F78"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F79" w14:textId="77777777" w:rsidR="00A91885" w:rsidRDefault="00A91885">
            <w:pPr>
              <w:jc w:val="right"/>
              <w:rPr>
                <w:rFonts w:ascii="宋体"/>
              </w:rPr>
            </w:pPr>
          </w:p>
        </w:tc>
      </w:tr>
      <w:tr w:rsidR="00A91885" w14:paraId="18600F87" w14:textId="77777777">
        <w:tc>
          <w:tcPr>
            <w:tcW w:w="0" w:type="auto"/>
            <w:gridSpan w:val="3"/>
            <w:shd w:val="clear" w:color="auto" w:fill="DBDBDB"/>
            <w:tcMar>
              <w:top w:w="40" w:type="dxa"/>
              <w:left w:w="20" w:type="dxa"/>
              <w:bottom w:w="40" w:type="dxa"/>
              <w:right w:w="20" w:type="dxa"/>
            </w:tcMar>
            <w:vAlign w:val="bottom"/>
          </w:tcPr>
          <w:p w14:paraId="18600F7B" w14:textId="77777777" w:rsidR="00A91885" w:rsidRDefault="009C4196">
            <w:pPr>
              <w:textAlignment w:val="bottom"/>
            </w:pPr>
            <w:r>
              <w:rPr>
                <w:rFonts w:ascii="Arial" w:eastAsia="宋体" w:hAnsi="Arial" w:cs="Arial"/>
                <w:color w:val="000000"/>
                <w:sz w:val="18"/>
                <w:szCs w:val="18"/>
              </w:rPr>
              <w:t>Unrealized change in fair value of equity investment in KakaoBank</w:t>
            </w:r>
          </w:p>
        </w:tc>
        <w:tc>
          <w:tcPr>
            <w:tcW w:w="0" w:type="auto"/>
            <w:gridSpan w:val="2"/>
            <w:shd w:val="clear" w:color="auto" w:fill="DBDBDB"/>
            <w:tcMar>
              <w:top w:w="40" w:type="dxa"/>
              <w:left w:w="20" w:type="dxa"/>
              <w:bottom w:w="40" w:type="dxa"/>
              <w:right w:w="0" w:type="dxa"/>
            </w:tcMar>
            <w:vAlign w:val="bottom"/>
          </w:tcPr>
          <w:p w14:paraId="18600F7C" w14:textId="77777777" w:rsidR="00A91885" w:rsidRDefault="009C4196">
            <w:pPr>
              <w:jc w:val="right"/>
              <w:textAlignment w:val="bottom"/>
            </w:pPr>
            <w:r>
              <w:rPr>
                <w:rFonts w:ascii="Arial" w:eastAsia="宋体" w:hAnsi="Arial" w:cs="Arial"/>
                <w:color w:val="000000"/>
                <w:sz w:val="18"/>
                <w:szCs w:val="18"/>
              </w:rPr>
              <w:t>(105)</w:t>
            </w:r>
          </w:p>
        </w:tc>
        <w:tc>
          <w:tcPr>
            <w:tcW w:w="0" w:type="auto"/>
            <w:shd w:val="clear" w:color="auto" w:fill="DBDBDB"/>
            <w:tcMar>
              <w:top w:w="40" w:type="dxa"/>
              <w:left w:w="0" w:type="dxa"/>
              <w:bottom w:w="40" w:type="dxa"/>
              <w:right w:w="20" w:type="dxa"/>
            </w:tcMar>
            <w:vAlign w:val="bottom"/>
          </w:tcPr>
          <w:p w14:paraId="18600F7D"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F7E"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F7F"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18600F80"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F81"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F82" w14:textId="77777777" w:rsidR="00A91885" w:rsidRDefault="009C4196">
            <w:pPr>
              <w:jc w:val="right"/>
              <w:textAlignment w:val="bottom"/>
            </w:pPr>
            <w:r>
              <w:rPr>
                <w:rFonts w:ascii="Arial" w:eastAsia="宋体" w:hAnsi="Arial" w:cs="Arial"/>
                <w:color w:val="000000"/>
                <w:sz w:val="18"/>
                <w:szCs w:val="18"/>
              </w:rPr>
              <w:t>(196)</w:t>
            </w:r>
          </w:p>
        </w:tc>
        <w:tc>
          <w:tcPr>
            <w:tcW w:w="0" w:type="auto"/>
            <w:shd w:val="clear" w:color="auto" w:fill="DBDBDB"/>
            <w:tcMar>
              <w:top w:w="40" w:type="dxa"/>
              <w:left w:w="0" w:type="dxa"/>
              <w:bottom w:w="40" w:type="dxa"/>
              <w:right w:w="20" w:type="dxa"/>
            </w:tcMar>
            <w:vAlign w:val="bottom"/>
          </w:tcPr>
          <w:p w14:paraId="18600F83"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F84"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F85"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18600F86" w14:textId="77777777" w:rsidR="00A91885" w:rsidRDefault="00A91885">
            <w:pPr>
              <w:jc w:val="right"/>
              <w:rPr>
                <w:rFonts w:ascii="宋体"/>
              </w:rPr>
            </w:pPr>
          </w:p>
        </w:tc>
      </w:tr>
      <w:tr w:rsidR="00A91885" w14:paraId="18600F94" w14:textId="77777777">
        <w:tc>
          <w:tcPr>
            <w:tcW w:w="0" w:type="auto"/>
            <w:gridSpan w:val="3"/>
            <w:shd w:val="clear" w:color="auto" w:fill="FFFFFF"/>
            <w:tcMar>
              <w:top w:w="40" w:type="dxa"/>
              <w:left w:w="20" w:type="dxa"/>
              <w:bottom w:w="40" w:type="dxa"/>
              <w:right w:w="20" w:type="dxa"/>
            </w:tcMar>
            <w:vAlign w:val="bottom"/>
          </w:tcPr>
          <w:p w14:paraId="18600F88" w14:textId="77777777" w:rsidR="00A91885" w:rsidRDefault="009C4196">
            <w:pPr>
              <w:textAlignment w:val="bottom"/>
            </w:pPr>
            <w:r>
              <w:rPr>
                <w:rFonts w:ascii="Arial" w:eastAsia="宋体" w:hAnsi="Arial" w:cs="Arial"/>
                <w:color w:val="000000"/>
                <w:sz w:val="18"/>
                <w:szCs w:val="18"/>
              </w:rPr>
              <w:t>Unrealized change in fair value of equity investment in Adyen</w:t>
            </w:r>
          </w:p>
        </w:tc>
        <w:tc>
          <w:tcPr>
            <w:tcW w:w="0" w:type="auto"/>
            <w:gridSpan w:val="2"/>
            <w:shd w:val="clear" w:color="auto" w:fill="FFFFFF"/>
            <w:tcMar>
              <w:top w:w="40" w:type="dxa"/>
              <w:left w:w="20" w:type="dxa"/>
              <w:bottom w:w="40" w:type="dxa"/>
              <w:right w:w="0" w:type="dxa"/>
            </w:tcMar>
            <w:vAlign w:val="bottom"/>
          </w:tcPr>
          <w:p w14:paraId="18600F89" w14:textId="77777777" w:rsidR="00A91885" w:rsidRDefault="009C4196">
            <w:pPr>
              <w:jc w:val="right"/>
              <w:textAlignment w:val="bottom"/>
            </w:pPr>
            <w:r>
              <w:rPr>
                <w:rFonts w:ascii="Arial" w:eastAsia="宋体" w:hAnsi="Arial" w:cs="Arial"/>
                <w:color w:val="000000"/>
                <w:sz w:val="18"/>
                <w:szCs w:val="18"/>
              </w:rPr>
              <w:t>(38)</w:t>
            </w:r>
          </w:p>
        </w:tc>
        <w:tc>
          <w:tcPr>
            <w:tcW w:w="0" w:type="auto"/>
            <w:shd w:val="clear" w:color="auto" w:fill="FFFFFF"/>
            <w:tcMar>
              <w:top w:w="40" w:type="dxa"/>
              <w:left w:w="0" w:type="dxa"/>
              <w:bottom w:w="40" w:type="dxa"/>
              <w:right w:w="20" w:type="dxa"/>
            </w:tcMar>
            <w:vAlign w:val="bottom"/>
          </w:tcPr>
          <w:p w14:paraId="18600F8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F8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F8C"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F8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F8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F8F" w14:textId="77777777" w:rsidR="00A91885" w:rsidRDefault="009C4196">
            <w:pPr>
              <w:jc w:val="right"/>
              <w:textAlignment w:val="bottom"/>
            </w:pPr>
            <w:r>
              <w:rPr>
                <w:rFonts w:ascii="Arial" w:eastAsia="宋体" w:hAnsi="Arial" w:cs="Arial"/>
                <w:color w:val="000000"/>
                <w:sz w:val="18"/>
                <w:szCs w:val="18"/>
              </w:rPr>
              <w:t>(118)</w:t>
            </w:r>
          </w:p>
        </w:tc>
        <w:tc>
          <w:tcPr>
            <w:tcW w:w="0" w:type="auto"/>
            <w:shd w:val="clear" w:color="auto" w:fill="FFFFFF"/>
            <w:tcMar>
              <w:top w:w="40" w:type="dxa"/>
              <w:left w:w="0" w:type="dxa"/>
              <w:bottom w:w="40" w:type="dxa"/>
              <w:right w:w="20" w:type="dxa"/>
            </w:tcMar>
            <w:vAlign w:val="bottom"/>
          </w:tcPr>
          <w:p w14:paraId="18600F9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F9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F92"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F93" w14:textId="77777777" w:rsidR="00A91885" w:rsidRDefault="00A91885">
            <w:pPr>
              <w:jc w:val="right"/>
              <w:rPr>
                <w:rFonts w:ascii="宋体"/>
              </w:rPr>
            </w:pPr>
          </w:p>
        </w:tc>
      </w:tr>
      <w:tr w:rsidR="00A91885" w14:paraId="18600FA1" w14:textId="77777777">
        <w:tc>
          <w:tcPr>
            <w:tcW w:w="0" w:type="auto"/>
            <w:gridSpan w:val="3"/>
            <w:shd w:val="clear" w:color="auto" w:fill="DBDBDB"/>
            <w:tcMar>
              <w:top w:w="40" w:type="dxa"/>
              <w:left w:w="20" w:type="dxa"/>
              <w:bottom w:w="40" w:type="dxa"/>
              <w:right w:w="20" w:type="dxa"/>
            </w:tcMar>
            <w:vAlign w:val="bottom"/>
          </w:tcPr>
          <w:p w14:paraId="18600F95" w14:textId="77777777" w:rsidR="00A91885" w:rsidRDefault="009C4196">
            <w:pPr>
              <w:textAlignment w:val="bottom"/>
            </w:pPr>
            <w:r>
              <w:rPr>
                <w:rFonts w:ascii="Arial" w:eastAsia="宋体" w:hAnsi="Arial" w:cs="Arial"/>
                <w:color w:val="000000"/>
                <w:sz w:val="18"/>
                <w:szCs w:val="18"/>
              </w:rPr>
              <w:t>Realized change in fair value of shares sold in Adyen</w:t>
            </w:r>
          </w:p>
        </w:tc>
        <w:tc>
          <w:tcPr>
            <w:tcW w:w="0" w:type="auto"/>
            <w:gridSpan w:val="2"/>
            <w:shd w:val="clear" w:color="auto" w:fill="DBDBDB"/>
            <w:tcMar>
              <w:top w:w="40" w:type="dxa"/>
              <w:left w:w="20" w:type="dxa"/>
              <w:bottom w:w="40" w:type="dxa"/>
              <w:right w:w="0" w:type="dxa"/>
            </w:tcMar>
            <w:vAlign w:val="bottom"/>
          </w:tcPr>
          <w:p w14:paraId="18600F96" w14:textId="77777777" w:rsidR="00A91885" w:rsidRDefault="009C4196">
            <w:pPr>
              <w:jc w:val="right"/>
              <w:textAlignment w:val="bottom"/>
            </w:pPr>
            <w:r>
              <w:rPr>
                <w:rFonts w:ascii="Arial" w:eastAsia="宋体" w:hAnsi="Arial" w:cs="Arial"/>
                <w:color w:val="000000"/>
                <w:sz w:val="18"/>
                <w:szCs w:val="18"/>
              </w:rPr>
              <w:t>(1)</w:t>
            </w:r>
          </w:p>
        </w:tc>
        <w:tc>
          <w:tcPr>
            <w:tcW w:w="0" w:type="auto"/>
            <w:shd w:val="clear" w:color="auto" w:fill="DBDBDB"/>
            <w:tcMar>
              <w:top w:w="40" w:type="dxa"/>
              <w:left w:w="0" w:type="dxa"/>
              <w:bottom w:w="40" w:type="dxa"/>
              <w:right w:w="20" w:type="dxa"/>
            </w:tcMar>
            <w:vAlign w:val="bottom"/>
          </w:tcPr>
          <w:p w14:paraId="18600F97"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F98"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F99"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18600F9A"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F9B"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F9C" w14:textId="77777777" w:rsidR="00A91885" w:rsidRDefault="009C4196">
            <w:pPr>
              <w:jc w:val="right"/>
              <w:textAlignment w:val="bottom"/>
            </w:pPr>
            <w:r>
              <w:rPr>
                <w:rFonts w:ascii="Arial" w:eastAsia="宋体" w:hAnsi="Arial" w:cs="Arial"/>
                <w:color w:val="000000"/>
                <w:sz w:val="18"/>
                <w:szCs w:val="18"/>
              </w:rPr>
              <w:t>(167)</w:t>
            </w:r>
          </w:p>
        </w:tc>
        <w:tc>
          <w:tcPr>
            <w:tcW w:w="0" w:type="auto"/>
            <w:shd w:val="clear" w:color="auto" w:fill="DBDBDB"/>
            <w:tcMar>
              <w:top w:w="40" w:type="dxa"/>
              <w:left w:w="0" w:type="dxa"/>
              <w:bottom w:w="40" w:type="dxa"/>
              <w:right w:w="20" w:type="dxa"/>
            </w:tcMar>
            <w:vAlign w:val="bottom"/>
          </w:tcPr>
          <w:p w14:paraId="18600F9D"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F9E"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F9F"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DBDBDB"/>
            <w:tcMar>
              <w:top w:w="40" w:type="dxa"/>
              <w:left w:w="0" w:type="dxa"/>
              <w:bottom w:w="40" w:type="dxa"/>
              <w:right w:w="20" w:type="dxa"/>
            </w:tcMar>
            <w:vAlign w:val="bottom"/>
          </w:tcPr>
          <w:p w14:paraId="18600FA0" w14:textId="77777777" w:rsidR="00A91885" w:rsidRDefault="00A91885">
            <w:pPr>
              <w:jc w:val="right"/>
              <w:rPr>
                <w:rFonts w:ascii="宋体"/>
              </w:rPr>
            </w:pPr>
          </w:p>
        </w:tc>
      </w:tr>
      <w:tr w:rsidR="00A91885" w14:paraId="18600FAE" w14:textId="77777777">
        <w:tc>
          <w:tcPr>
            <w:tcW w:w="0" w:type="auto"/>
            <w:gridSpan w:val="3"/>
            <w:shd w:val="clear" w:color="auto" w:fill="FFFFFF"/>
            <w:tcMar>
              <w:top w:w="40" w:type="dxa"/>
              <w:left w:w="20" w:type="dxa"/>
              <w:bottom w:w="40" w:type="dxa"/>
              <w:right w:w="20" w:type="dxa"/>
            </w:tcMar>
            <w:vAlign w:val="bottom"/>
          </w:tcPr>
          <w:p w14:paraId="18600FA2" w14:textId="77777777" w:rsidR="00A91885" w:rsidRDefault="009C4196">
            <w:pPr>
              <w:textAlignment w:val="bottom"/>
            </w:pPr>
            <w:r>
              <w:rPr>
                <w:rFonts w:ascii="Arial" w:eastAsia="宋体" w:hAnsi="Arial" w:cs="Arial"/>
                <w:color w:val="000000"/>
                <w:sz w:val="18"/>
                <w:szCs w:val="18"/>
              </w:rPr>
              <w:t>Realized change in fair value of shares sold in KakaoBank</w:t>
            </w:r>
          </w:p>
        </w:tc>
        <w:tc>
          <w:tcPr>
            <w:tcW w:w="0" w:type="auto"/>
            <w:gridSpan w:val="2"/>
            <w:shd w:val="clear" w:color="auto" w:fill="FFFFFF"/>
            <w:tcMar>
              <w:top w:w="40" w:type="dxa"/>
              <w:left w:w="20" w:type="dxa"/>
              <w:bottom w:w="40" w:type="dxa"/>
              <w:right w:w="0" w:type="dxa"/>
            </w:tcMar>
            <w:vAlign w:val="bottom"/>
          </w:tcPr>
          <w:p w14:paraId="18600FA3" w14:textId="77777777" w:rsidR="00A91885" w:rsidRDefault="009C4196">
            <w:pPr>
              <w:jc w:val="right"/>
              <w:textAlignment w:val="bottom"/>
            </w:pPr>
            <w:r>
              <w:rPr>
                <w:rFonts w:ascii="Arial" w:eastAsia="宋体" w:hAnsi="Arial" w:cs="Arial"/>
                <w:color w:val="000000"/>
                <w:sz w:val="18"/>
                <w:szCs w:val="18"/>
              </w:rPr>
              <w:t>(67)</w:t>
            </w:r>
          </w:p>
        </w:tc>
        <w:tc>
          <w:tcPr>
            <w:tcW w:w="0" w:type="auto"/>
            <w:shd w:val="clear" w:color="auto" w:fill="FFFFFF"/>
            <w:tcMar>
              <w:top w:w="40" w:type="dxa"/>
              <w:left w:w="0" w:type="dxa"/>
              <w:bottom w:w="40" w:type="dxa"/>
              <w:right w:w="20" w:type="dxa"/>
            </w:tcMar>
            <w:vAlign w:val="bottom"/>
          </w:tcPr>
          <w:p w14:paraId="18600FA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FA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FA6"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FA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FA8"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FA9" w14:textId="77777777" w:rsidR="00A91885" w:rsidRDefault="009C4196">
            <w:pPr>
              <w:jc w:val="right"/>
              <w:textAlignment w:val="bottom"/>
            </w:pPr>
            <w:r>
              <w:rPr>
                <w:rFonts w:ascii="Arial" w:eastAsia="宋体" w:hAnsi="Arial" w:cs="Arial"/>
                <w:color w:val="000000"/>
                <w:sz w:val="18"/>
                <w:szCs w:val="18"/>
              </w:rPr>
              <w:t>(75)</w:t>
            </w:r>
          </w:p>
        </w:tc>
        <w:tc>
          <w:tcPr>
            <w:tcW w:w="0" w:type="auto"/>
            <w:shd w:val="clear" w:color="auto" w:fill="FFFFFF"/>
            <w:tcMar>
              <w:top w:w="40" w:type="dxa"/>
              <w:left w:w="0" w:type="dxa"/>
              <w:bottom w:w="40" w:type="dxa"/>
              <w:right w:w="20" w:type="dxa"/>
            </w:tcMar>
            <w:vAlign w:val="bottom"/>
          </w:tcPr>
          <w:p w14:paraId="18600FA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FA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FAC"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FAD" w14:textId="77777777" w:rsidR="00A91885" w:rsidRDefault="00A91885">
            <w:pPr>
              <w:jc w:val="right"/>
              <w:rPr>
                <w:rFonts w:ascii="宋体"/>
              </w:rPr>
            </w:pPr>
          </w:p>
        </w:tc>
      </w:tr>
      <w:tr w:rsidR="00A91885" w14:paraId="18600FBB" w14:textId="77777777">
        <w:tc>
          <w:tcPr>
            <w:tcW w:w="0" w:type="auto"/>
            <w:gridSpan w:val="3"/>
            <w:shd w:val="clear" w:color="auto" w:fill="DBDBDB"/>
            <w:tcMar>
              <w:top w:w="40" w:type="dxa"/>
              <w:left w:w="20" w:type="dxa"/>
              <w:bottom w:w="40" w:type="dxa"/>
              <w:right w:w="20" w:type="dxa"/>
            </w:tcMar>
            <w:vAlign w:val="bottom"/>
          </w:tcPr>
          <w:p w14:paraId="18600FAF" w14:textId="77777777" w:rsidR="00A91885" w:rsidRDefault="009C4196">
            <w:pPr>
              <w:textAlignment w:val="bottom"/>
            </w:pPr>
            <w:r>
              <w:rPr>
                <w:rFonts w:ascii="Arial" w:eastAsia="宋体" w:hAnsi="Arial" w:cs="Arial"/>
                <w:color w:val="000000"/>
                <w:sz w:val="18"/>
                <w:szCs w:val="18"/>
              </w:rPr>
              <w:t>Change in fair value of warrant</w:t>
            </w:r>
          </w:p>
        </w:tc>
        <w:tc>
          <w:tcPr>
            <w:tcW w:w="0" w:type="auto"/>
            <w:gridSpan w:val="2"/>
            <w:shd w:val="clear" w:color="auto" w:fill="DBDBDB"/>
            <w:tcMar>
              <w:top w:w="40" w:type="dxa"/>
              <w:left w:w="20" w:type="dxa"/>
              <w:bottom w:w="40" w:type="dxa"/>
              <w:right w:w="0" w:type="dxa"/>
            </w:tcMar>
            <w:vAlign w:val="bottom"/>
          </w:tcPr>
          <w:p w14:paraId="18600FB0" w14:textId="77777777" w:rsidR="00A91885" w:rsidRDefault="009C4196">
            <w:pPr>
              <w:jc w:val="right"/>
              <w:textAlignment w:val="bottom"/>
            </w:pPr>
            <w:r>
              <w:rPr>
                <w:rFonts w:ascii="Arial" w:eastAsia="宋体" w:hAnsi="Arial" w:cs="Arial"/>
                <w:color w:val="000000"/>
                <w:sz w:val="18"/>
                <w:szCs w:val="18"/>
              </w:rPr>
              <w:t>(104)</w:t>
            </w:r>
          </w:p>
        </w:tc>
        <w:tc>
          <w:tcPr>
            <w:tcW w:w="0" w:type="auto"/>
            <w:shd w:val="clear" w:color="auto" w:fill="DBDBDB"/>
            <w:tcMar>
              <w:top w:w="40" w:type="dxa"/>
              <w:left w:w="0" w:type="dxa"/>
              <w:bottom w:w="40" w:type="dxa"/>
              <w:right w:w="20" w:type="dxa"/>
            </w:tcMar>
            <w:vAlign w:val="bottom"/>
          </w:tcPr>
          <w:p w14:paraId="18600FB1"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FB2"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FB3" w14:textId="77777777" w:rsidR="00A91885" w:rsidRDefault="009C4196">
            <w:pPr>
              <w:jc w:val="right"/>
              <w:textAlignment w:val="bottom"/>
            </w:pPr>
            <w:r>
              <w:rPr>
                <w:rFonts w:ascii="Arial" w:eastAsia="宋体" w:hAnsi="Arial" w:cs="Arial"/>
                <w:color w:val="000000"/>
                <w:sz w:val="18"/>
                <w:szCs w:val="18"/>
              </w:rPr>
              <w:t>108 </w:t>
            </w:r>
          </w:p>
        </w:tc>
        <w:tc>
          <w:tcPr>
            <w:tcW w:w="0" w:type="auto"/>
            <w:shd w:val="clear" w:color="auto" w:fill="DBDBDB"/>
            <w:tcMar>
              <w:top w:w="40" w:type="dxa"/>
              <w:left w:w="0" w:type="dxa"/>
              <w:bottom w:w="40" w:type="dxa"/>
              <w:right w:w="20" w:type="dxa"/>
            </w:tcMar>
            <w:vAlign w:val="bottom"/>
          </w:tcPr>
          <w:p w14:paraId="18600FB4"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FB5"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FB6" w14:textId="77777777" w:rsidR="00A91885" w:rsidRDefault="009C4196">
            <w:pPr>
              <w:jc w:val="right"/>
              <w:textAlignment w:val="bottom"/>
            </w:pPr>
            <w:r>
              <w:rPr>
                <w:rFonts w:ascii="Arial" w:eastAsia="宋体" w:hAnsi="Arial" w:cs="Arial"/>
                <w:color w:val="000000"/>
                <w:sz w:val="18"/>
                <w:szCs w:val="18"/>
              </w:rPr>
              <w:t>(219)</w:t>
            </w:r>
          </w:p>
        </w:tc>
        <w:tc>
          <w:tcPr>
            <w:tcW w:w="0" w:type="auto"/>
            <w:shd w:val="clear" w:color="auto" w:fill="DBDBDB"/>
            <w:tcMar>
              <w:top w:w="40" w:type="dxa"/>
              <w:left w:w="0" w:type="dxa"/>
              <w:bottom w:w="40" w:type="dxa"/>
              <w:right w:w="20" w:type="dxa"/>
            </w:tcMar>
            <w:vAlign w:val="bottom"/>
          </w:tcPr>
          <w:p w14:paraId="18600FB7"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FB8"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0FB9" w14:textId="77777777" w:rsidR="00A91885" w:rsidRDefault="009C4196">
            <w:pPr>
              <w:jc w:val="right"/>
              <w:textAlignment w:val="bottom"/>
            </w:pPr>
            <w:r>
              <w:rPr>
                <w:rFonts w:ascii="Arial" w:eastAsia="宋体" w:hAnsi="Arial" w:cs="Arial"/>
                <w:color w:val="000000"/>
                <w:sz w:val="18"/>
                <w:szCs w:val="18"/>
              </w:rPr>
              <w:t>72 </w:t>
            </w:r>
          </w:p>
        </w:tc>
        <w:tc>
          <w:tcPr>
            <w:tcW w:w="0" w:type="auto"/>
            <w:shd w:val="clear" w:color="auto" w:fill="DBDBDB"/>
            <w:tcMar>
              <w:top w:w="40" w:type="dxa"/>
              <w:left w:w="0" w:type="dxa"/>
              <w:bottom w:w="40" w:type="dxa"/>
              <w:right w:w="20" w:type="dxa"/>
            </w:tcMar>
            <w:vAlign w:val="bottom"/>
          </w:tcPr>
          <w:p w14:paraId="18600FBA" w14:textId="77777777" w:rsidR="00A91885" w:rsidRDefault="00A91885">
            <w:pPr>
              <w:jc w:val="right"/>
              <w:rPr>
                <w:rFonts w:ascii="宋体"/>
              </w:rPr>
            </w:pPr>
          </w:p>
        </w:tc>
      </w:tr>
      <w:tr w:rsidR="00A91885" w14:paraId="18600FC8" w14:textId="77777777">
        <w:tc>
          <w:tcPr>
            <w:tcW w:w="0" w:type="auto"/>
            <w:gridSpan w:val="3"/>
            <w:shd w:val="clear" w:color="auto" w:fill="FFFFFF"/>
            <w:tcMar>
              <w:top w:w="40" w:type="dxa"/>
              <w:left w:w="20" w:type="dxa"/>
              <w:bottom w:w="40" w:type="dxa"/>
              <w:right w:w="20" w:type="dxa"/>
            </w:tcMar>
            <w:vAlign w:val="bottom"/>
          </w:tcPr>
          <w:p w14:paraId="18600FBC" w14:textId="77777777" w:rsidR="00A91885" w:rsidRDefault="009C4196">
            <w:pPr>
              <w:textAlignment w:val="bottom"/>
            </w:pPr>
            <w:r>
              <w:rPr>
                <w:rFonts w:ascii="Arial" w:eastAsia="宋体" w:hAnsi="Arial" w:cs="Arial"/>
                <w:color w:val="000000"/>
                <w:sz w:val="18"/>
                <w:szCs w:val="18"/>
              </w:rPr>
              <w:t>Gain (loss) on other investments</w:t>
            </w:r>
          </w:p>
        </w:tc>
        <w:tc>
          <w:tcPr>
            <w:tcW w:w="0" w:type="auto"/>
            <w:gridSpan w:val="2"/>
            <w:shd w:val="clear" w:color="auto" w:fill="FFFFFF"/>
            <w:tcMar>
              <w:top w:w="40" w:type="dxa"/>
              <w:left w:w="20" w:type="dxa"/>
              <w:bottom w:w="40" w:type="dxa"/>
              <w:right w:w="0" w:type="dxa"/>
            </w:tcMar>
            <w:vAlign w:val="bottom"/>
          </w:tcPr>
          <w:p w14:paraId="18600FBD"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0FB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FB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FC0" w14:textId="77777777" w:rsidR="00A91885" w:rsidRDefault="009C4196">
            <w:pPr>
              <w:jc w:val="right"/>
              <w:textAlignment w:val="bottom"/>
            </w:pPr>
            <w:r>
              <w:rPr>
                <w:rFonts w:ascii="Arial" w:eastAsia="宋体" w:hAnsi="Arial" w:cs="Arial"/>
                <w:color w:val="000000"/>
                <w:sz w:val="18"/>
                <w:szCs w:val="18"/>
              </w:rPr>
              <w:t>41 </w:t>
            </w:r>
          </w:p>
        </w:tc>
        <w:tc>
          <w:tcPr>
            <w:tcW w:w="0" w:type="auto"/>
            <w:shd w:val="clear" w:color="auto" w:fill="FFFFFF"/>
            <w:tcMar>
              <w:top w:w="40" w:type="dxa"/>
              <w:left w:w="0" w:type="dxa"/>
              <w:bottom w:w="40" w:type="dxa"/>
              <w:right w:w="20" w:type="dxa"/>
            </w:tcMar>
            <w:vAlign w:val="bottom"/>
          </w:tcPr>
          <w:p w14:paraId="18600FC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FC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FC3" w14:textId="77777777" w:rsidR="00A91885" w:rsidRDefault="009C4196">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18600FC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0FC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0FC6" w14:textId="77777777" w:rsidR="00A91885" w:rsidRDefault="009C4196">
            <w:pPr>
              <w:jc w:val="right"/>
              <w:textAlignment w:val="bottom"/>
            </w:pPr>
            <w:r>
              <w:rPr>
                <w:rFonts w:ascii="Arial" w:eastAsia="宋体" w:hAnsi="Arial" w:cs="Arial"/>
                <w:color w:val="000000"/>
                <w:sz w:val="18"/>
                <w:szCs w:val="18"/>
              </w:rPr>
              <w:t>41 </w:t>
            </w:r>
          </w:p>
        </w:tc>
        <w:tc>
          <w:tcPr>
            <w:tcW w:w="0" w:type="auto"/>
            <w:shd w:val="clear" w:color="auto" w:fill="FFFFFF"/>
            <w:tcMar>
              <w:top w:w="40" w:type="dxa"/>
              <w:left w:w="0" w:type="dxa"/>
              <w:bottom w:w="40" w:type="dxa"/>
              <w:right w:w="20" w:type="dxa"/>
            </w:tcMar>
            <w:vAlign w:val="bottom"/>
          </w:tcPr>
          <w:p w14:paraId="18600FC7" w14:textId="77777777" w:rsidR="00A91885" w:rsidRDefault="00A91885">
            <w:pPr>
              <w:jc w:val="right"/>
              <w:rPr>
                <w:rFonts w:ascii="宋体"/>
              </w:rPr>
            </w:pPr>
          </w:p>
        </w:tc>
      </w:tr>
      <w:tr w:rsidR="00A91885" w14:paraId="18600FD9" w14:textId="77777777">
        <w:tc>
          <w:tcPr>
            <w:tcW w:w="0" w:type="auto"/>
            <w:gridSpan w:val="3"/>
            <w:shd w:val="clear" w:color="auto" w:fill="DBDBDB"/>
            <w:tcMar>
              <w:top w:w="40" w:type="dxa"/>
              <w:left w:w="245" w:type="dxa"/>
              <w:bottom w:w="40" w:type="dxa"/>
              <w:right w:w="20" w:type="dxa"/>
            </w:tcMar>
            <w:vAlign w:val="bottom"/>
          </w:tcPr>
          <w:p w14:paraId="18600FC9" w14:textId="77777777" w:rsidR="00A91885" w:rsidRDefault="009C4196">
            <w:pPr>
              <w:textAlignment w:val="bottom"/>
            </w:pPr>
            <w:r>
              <w:rPr>
                <w:rFonts w:ascii="Arial" w:eastAsia="宋体" w:hAnsi="Arial" w:cs="Arial"/>
                <w:color w:val="000000"/>
                <w:sz w:val="18"/>
                <w:szCs w:val="18"/>
              </w:rPr>
              <w:t>Total gain (loss) on equity investments and warrant, net</w:t>
            </w: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8600FC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8600FCB" w14:textId="77777777" w:rsidR="00A91885" w:rsidRDefault="009C4196">
            <w:pPr>
              <w:jc w:val="right"/>
              <w:textAlignment w:val="bottom"/>
            </w:pPr>
            <w:r>
              <w:rPr>
                <w:rFonts w:ascii="Arial" w:eastAsia="宋体" w:hAnsi="Arial" w:cs="Arial"/>
                <w:color w:val="000000"/>
                <w:sz w:val="18"/>
                <w:szCs w:val="18"/>
              </w:rPr>
              <w:t>(1,221)</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8600FCC"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FCD" w14:textId="77777777" w:rsidR="00A91885" w:rsidRDefault="00A91885">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8600FC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8600FCF" w14:textId="77777777" w:rsidR="00A91885" w:rsidRDefault="009C4196">
            <w:pPr>
              <w:jc w:val="right"/>
              <w:textAlignment w:val="bottom"/>
            </w:pPr>
            <w:r>
              <w:rPr>
                <w:rFonts w:ascii="Arial" w:eastAsia="宋体" w:hAnsi="Arial" w:cs="Arial"/>
                <w:color w:val="000000"/>
                <w:sz w:val="18"/>
                <w:szCs w:val="18"/>
              </w:rPr>
              <w:t>(273)</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8600FD0"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FD1" w14:textId="77777777" w:rsidR="00A91885" w:rsidRDefault="00A91885">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8600FD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8600FD3" w14:textId="77777777" w:rsidR="00A91885" w:rsidRDefault="009C4196">
            <w:pPr>
              <w:jc w:val="right"/>
              <w:textAlignment w:val="bottom"/>
            </w:pPr>
            <w:r>
              <w:rPr>
                <w:rFonts w:ascii="Arial" w:eastAsia="宋体" w:hAnsi="Arial" w:cs="Arial"/>
                <w:color w:val="000000"/>
                <w:sz w:val="18"/>
                <w:szCs w:val="18"/>
              </w:rPr>
              <w:t>(3,512)</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8600FD4"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0FD5" w14:textId="77777777" w:rsidR="00A91885" w:rsidRDefault="00A91885">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8600FD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8600FD7" w14:textId="77777777" w:rsidR="00A91885" w:rsidRDefault="009C4196">
            <w:pPr>
              <w:jc w:val="right"/>
              <w:textAlignment w:val="bottom"/>
            </w:pPr>
            <w:r>
              <w:rPr>
                <w:rFonts w:ascii="Arial" w:eastAsia="宋体" w:hAnsi="Arial" w:cs="Arial"/>
                <w:color w:val="000000"/>
                <w:sz w:val="18"/>
                <w:szCs w:val="18"/>
              </w:rPr>
              <w:t>(309)</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8600FD8" w14:textId="77777777" w:rsidR="00A91885" w:rsidRDefault="00A91885">
            <w:pPr>
              <w:jc w:val="right"/>
              <w:rPr>
                <w:rFonts w:ascii="宋体"/>
              </w:rPr>
            </w:pPr>
          </w:p>
        </w:tc>
      </w:tr>
    </w:tbl>
    <w:p w14:paraId="18600FDA" w14:textId="77777777" w:rsidR="00A91885" w:rsidRDefault="00A91885">
      <w:pPr>
        <w:jc w:val="center"/>
      </w:pPr>
    </w:p>
    <w:p w14:paraId="18600FDB" w14:textId="77777777" w:rsidR="00A91885" w:rsidRDefault="009C4196">
      <w:pPr>
        <w:jc w:val="center"/>
      </w:pPr>
      <w:r>
        <w:rPr>
          <w:rFonts w:ascii="Arial" w:eastAsia="宋体" w:hAnsi="Arial" w:cs="Arial"/>
          <w:color w:val="000000"/>
          <w:sz w:val="20"/>
          <w:szCs w:val="20"/>
        </w:rPr>
        <w:t>36</w:t>
      </w:r>
    </w:p>
    <w:p w14:paraId="18600FDC" w14:textId="77777777" w:rsidR="00A91885" w:rsidRDefault="009C4196">
      <w:r>
        <w:pict w14:anchorId="186021A7">
          <v:rect id="_x0000_i1060" style="width:415.3pt;height:1.5pt" o:hralign="center" o:hrstd="t" o:hr="t" fillcolor="#a0a0a0" stroked="f"/>
        </w:pict>
      </w:r>
    </w:p>
    <w:p w14:paraId="18600FDD" w14:textId="77777777" w:rsidR="00A91885" w:rsidRDefault="009C4196">
      <w:hyperlink r:id="rId120" w:anchor="ieb971428a625452486c65ae24899afca_7" w:history="1">
        <w:r>
          <w:rPr>
            <w:rStyle w:val="a5"/>
            <w:rFonts w:ascii="Arial" w:eastAsia="宋体" w:hAnsi="Arial" w:cs="Arial"/>
            <w:sz w:val="18"/>
            <w:szCs w:val="18"/>
          </w:rPr>
          <w:t>Table of Contents</w:t>
        </w:r>
      </w:hyperlink>
    </w:p>
    <w:p w14:paraId="18600FDE" w14:textId="77777777" w:rsidR="00A91885" w:rsidRDefault="009C4196">
      <w:pPr>
        <w:jc w:val="center"/>
      </w:pPr>
      <w:r>
        <w:rPr>
          <w:rFonts w:ascii="Arial" w:eastAsia="宋体" w:hAnsi="Arial" w:cs="Arial"/>
          <w:b/>
          <w:bCs/>
          <w:color w:val="000000"/>
          <w:sz w:val="20"/>
          <w:szCs w:val="20"/>
        </w:rPr>
        <w:t>eBay Inc.</w:t>
      </w:r>
    </w:p>
    <w:p w14:paraId="18600FDF"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0FE0" w14:textId="77777777" w:rsidR="00A91885" w:rsidRDefault="009C4196">
      <w:pPr>
        <w:jc w:val="both"/>
      </w:pPr>
      <w:r>
        <w:rPr>
          <w:rFonts w:ascii="Arial" w:eastAsia="宋体" w:hAnsi="Arial" w:cs="Arial"/>
          <w:b/>
          <w:bCs/>
          <w:color w:val="000000"/>
          <w:sz w:val="20"/>
          <w:szCs w:val="20"/>
        </w:rPr>
        <w:t xml:space="preserve">Note 11 — Commitments and Contingencies </w:t>
      </w:r>
    </w:p>
    <w:p w14:paraId="18600FE1" w14:textId="77777777" w:rsidR="00A91885" w:rsidRDefault="00A91885">
      <w:pPr>
        <w:ind w:firstLine="450"/>
        <w:jc w:val="both"/>
      </w:pPr>
    </w:p>
    <w:p w14:paraId="18600FE2" w14:textId="77777777" w:rsidR="00A91885" w:rsidRDefault="009C4196">
      <w:pPr>
        <w:ind w:firstLine="270"/>
        <w:jc w:val="both"/>
      </w:pPr>
      <w:r>
        <w:rPr>
          <w:rFonts w:ascii="Arial" w:eastAsia="宋体" w:hAnsi="Arial" w:cs="Arial"/>
          <w:b/>
          <w:bCs/>
          <w:i/>
          <w:iCs/>
          <w:color w:val="000000"/>
          <w:sz w:val="20"/>
          <w:szCs w:val="20"/>
        </w:rPr>
        <w:t>Off-Balance Sheet Arrangements</w:t>
      </w:r>
    </w:p>
    <w:p w14:paraId="18600FE3" w14:textId="77777777" w:rsidR="00A91885" w:rsidRDefault="00A91885">
      <w:pPr>
        <w:jc w:val="both"/>
      </w:pPr>
    </w:p>
    <w:p w14:paraId="18600FE4" w14:textId="77777777" w:rsidR="00A91885" w:rsidRDefault="009C4196">
      <w:pPr>
        <w:ind w:firstLine="540"/>
        <w:jc w:val="both"/>
      </w:pPr>
      <w:r>
        <w:rPr>
          <w:rFonts w:ascii="Arial" w:eastAsia="宋体" w:hAnsi="Arial" w:cs="Arial"/>
          <w:color w:val="000000"/>
          <w:sz w:val="20"/>
          <w:szCs w:val="20"/>
        </w:rPr>
        <w:t>As of June 30, 2022, we had no off-balance sheet arrangements that have, or are reasonably likely to have, a current or future material effect on our consolidated financial condition, results of operations, liquidity, capital expenditures or capital resour</w:t>
      </w:r>
      <w:r>
        <w:rPr>
          <w:rFonts w:ascii="Arial" w:eastAsia="宋体" w:hAnsi="Arial" w:cs="Arial"/>
          <w:color w:val="000000"/>
          <w:sz w:val="20"/>
          <w:szCs w:val="20"/>
        </w:rPr>
        <w:t xml:space="preserve">ces. </w:t>
      </w:r>
    </w:p>
    <w:p w14:paraId="18600FE5" w14:textId="77777777" w:rsidR="00A91885" w:rsidRDefault="00A91885">
      <w:pPr>
        <w:ind w:firstLine="540"/>
        <w:jc w:val="both"/>
      </w:pPr>
    </w:p>
    <w:p w14:paraId="18600FE6" w14:textId="77777777" w:rsidR="00A91885" w:rsidRDefault="009C4196">
      <w:pPr>
        <w:ind w:firstLine="540"/>
        <w:jc w:val="both"/>
      </w:pPr>
      <w:r>
        <w:rPr>
          <w:rFonts w:ascii="Arial" w:eastAsia="宋体" w:hAnsi="Arial" w:cs="Arial"/>
          <w:color w:val="000000"/>
          <w:sz w:val="20"/>
          <w:szCs w:val="20"/>
        </w:rPr>
        <w:t>We have a cash pooling arrangement with a financial institution for cash management purposes. This arrangement allows for cash withdrawals from the financial institution based upon our aggregate operating cash balances held within the same financial</w:t>
      </w:r>
      <w:r>
        <w:rPr>
          <w:rFonts w:ascii="Arial" w:eastAsia="宋体" w:hAnsi="Arial" w:cs="Arial"/>
          <w:color w:val="000000"/>
          <w:sz w:val="20"/>
          <w:szCs w:val="20"/>
        </w:rPr>
        <w:t xml:space="preserve"> institution (“Aggregate Cash Deposits”). This arrangement also allows us to withdraw amounts exceeding the Aggregate Cash Deposits up to an agreed-upon limit. The net balance of the withdrawals and the Aggregate Cash Deposits are used by the financial ins</w:t>
      </w:r>
      <w:r>
        <w:rPr>
          <w:rFonts w:ascii="Arial" w:eastAsia="宋体" w:hAnsi="Arial" w:cs="Arial"/>
          <w:color w:val="000000"/>
          <w:sz w:val="20"/>
          <w:szCs w:val="20"/>
        </w:rPr>
        <w:t>titution as a basis for calculating our net interest expense or income under the arrangement. As of June 30, 2022, we had a total of $1.3 billion in aggregate cash deposits, partially offset by $1.2 billion in cash withdrawals, held within the financial in</w:t>
      </w:r>
      <w:r>
        <w:rPr>
          <w:rFonts w:ascii="Arial" w:eastAsia="宋体" w:hAnsi="Arial" w:cs="Arial"/>
          <w:color w:val="000000"/>
          <w:sz w:val="20"/>
          <w:szCs w:val="20"/>
        </w:rPr>
        <w:t>stitution under the cash pooling arrangement.</w:t>
      </w:r>
    </w:p>
    <w:p w14:paraId="18600FE7" w14:textId="77777777" w:rsidR="00A91885" w:rsidRDefault="00A91885">
      <w:pPr>
        <w:jc w:val="both"/>
      </w:pPr>
    </w:p>
    <w:p w14:paraId="18600FE8" w14:textId="77777777" w:rsidR="00A91885" w:rsidRDefault="009C4196">
      <w:pPr>
        <w:ind w:firstLine="270"/>
        <w:jc w:val="both"/>
      </w:pPr>
      <w:r>
        <w:rPr>
          <w:rFonts w:ascii="Arial" w:eastAsia="宋体" w:hAnsi="Arial" w:cs="Arial"/>
          <w:b/>
          <w:bCs/>
          <w:i/>
          <w:iCs/>
          <w:color w:val="000000"/>
          <w:sz w:val="20"/>
          <w:szCs w:val="20"/>
        </w:rPr>
        <w:t>Litigation and Other Legal Matters</w:t>
      </w:r>
    </w:p>
    <w:p w14:paraId="18600FE9" w14:textId="77777777" w:rsidR="00A91885" w:rsidRDefault="009C4196">
      <w:pPr>
        <w:jc w:val="both"/>
      </w:pPr>
      <w:r>
        <w:rPr>
          <w:rFonts w:ascii="Arial" w:eastAsia="宋体" w:hAnsi="Arial" w:cs="Arial"/>
          <w:color w:val="000000"/>
          <w:sz w:val="20"/>
          <w:szCs w:val="20"/>
        </w:rPr>
        <w:t> </w:t>
      </w:r>
    </w:p>
    <w:p w14:paraId="18600FEA" w14:textId="77777777" w:rsidR="00A91885" w:rsidRDefault="009C4196">
      <w:pPr>
        <w:ind w:firstLine="540"/>
        <w:jc w:val="both"/>
      </w:pPr>
      <w:r>
        <w:rPr>
          <w:rFonts w:ascii="Arial" w:eastAsia="宋体" w:hAnsi="Arial" w:cs="Arial"/>
          <w:i/>
          <w:iCs/>
          <w:color w:val="000000"/>
          <w:sz w:val="20"/>
          <w:szCs w:val="20"/>
        </w:rPr>
        <w:t>Overview</w:t>
      </w:r>
    </w:p>
    <w:p w14:paraId="18600FEB" w14:textId="77777777" w:rsidR="00A91885" w:rsidRDefault="00A91885">
      <w:pPr>
        <w:ind w:firstLine="540"/>
        <w:jc w:val="both"/>
      </w:pPr>
    </w:p>
    <w:p w14:paraId="18600FEC" w14:textId="77777777" w:rsidR="00A91885" w:rsidRDefault="009C4196">
      <w:pPr>
        <w:ind w:firstLine="540"/>
        <w:jc w:val="both"/>
      </w:pPr>
      <w:r>
        <w:rPr>
          <w:rFonts w:ascii="Arial" w:eastAsia="宋体" w:hAnsi="Arial" w:cs="Arial"/>
          <w:color w:val="000000"/>
          <w:sz w:val="20"/>
          <w:szCs w:val="20"/>
        </w:rPr>
        <w:t>We are involved in legal and regulatory proceedings on an ongoing basis. Many of these proceedings are in early stages and may seek an indeterminate amount of dam</w:t>
      </w:r>
      <w:r>
        <w:rPr>
          <w:rFonts w:ascii="Arial" w:eastAsia="宋体" w:hAnsi="Arial" w:cs="Arial"/>
          <w:color w:val="000000"/>
          <w:sz w:val="20"/>
          <w:szCs w:val="20"/>
        </w:rPr>
        <w:t>ages. If we believe that a loss arising from such matters is probable and can be reasonably estimated, we accrue the estimated liability in our financial statements. If only a range of estimated losses can be determined, we accrue an amount within the rang</w:t>
      </w:r>
      <w:r>
        <w:rPr>
          <w:rFonts w:ascii="Arial" w:eastAsia="宋体" w:hAnsi="Arial" w:cs="Arial"/>
          <w:color w:val="000000"/>
          <w:sz w:val="20"/>
          <w:szCs w:val="20"/>
        </w:rPr>
        <w:t>e that, in our judgment, reflects the most likely outcome; if none of the estimates within that range is a better estimate than any other amount, we accrue the low end of the range. For those proceedings in which an unfavorable outcome is reasonably possib</w:t>
      </w:r>
      <w:r>
        <w:rPr>
          <w:rFonts w:ascii="Arial" w:eastAsia="宋体" w:hAnsi="Arial" w:cs="Arial"/>
          <w:color w:val="000000"/>
          <w:sz w:val="20"/>
          <w:szCs w:val="20"/>
        </w:rPr>
        <w:t>le but not probable, we have disclosed an estimate of the reasonably possible loss or range of losses or we have concluded that an estimate of the reasonably possible loss or range of losses arising directly from the proceeding (i.e., monetary damages or a</w:t>
      </w:r>
      <w:r>
        <w:rPr>
          <w:rFonts w:ascii="Arial" w:eastAsia="宋体" w:hAnsi="Arial" w:cs="Arial"/>
          <w:color w:val="000000"/>
          <w:sz w:val="20"/>
          <w:szCs w:val="20"/>
        </w:rPr>
        <w:t>mounts paid in judgment or settlement) is not material. If we cannot estimate the probable or reasonably possible loss or range of losses arising from a proceeding, we have disclosed that fact. In assessing the materiality of a proceeding, we evaluate, amo</w:t>
      </w:r>
      <w:r>
        <w:rPr>
          <w:rFonts w:ascii="Arial" w:eastAsia="宋体" w:hAnsi="Arial" w:cs="Arial"/>
          <w:color w:val="000000"/>
          <w:sz w:val="20"/>
          <w:szCs w:val="20"/>
        </w:rPr>
        <w:t>ng other factors, the amount of monetary damages claimed, as well as the potential impact of non-monetary remedies sought by plaintiffs (e.g., injunctive relief) that may require us to change our business practices in a manner that could have a material ad</w:t>
      </w:r>
      <w:r>
        <w:rPr>
          <w:rFonts w:ascii="Arial" w:eastAsia="宋体" w:hAnsi="Arial" w:cs="Arial"/>
          <w:color w:val="000000"/>
          <w:sz w:val="20"/>
          <w:szCs w:val="20"/>
        </w:rPr>
        <w:t>verse impact on our business. With respect to the matters disclosed in this Overview, we are unable to estimate the possible loss or range of losses that could potentially result from the application of such non-monetary remedies.</w:t>
      </w:r>
    </w:p>
    <w:p w14:paraId="18600FED" w14:textId="77777777" w:rsidR="00A91885" w:rsidRDefault="00A91885">
      <w:pPr>
        <w:ind w:firstLine="540"/>
        <w:jc w:val="both"/>
      </w:pPr>
    </w:p>
    <w:p w14:paraId="18600FEE" w14:textId="77777777" w:rsidR="00A91885" w:rsidRDefault="009C4196">
      <w:pPr>
        <w:ind w:firstLine="540"/>
        <w:jc w:val="both"/>
      </w:pPr>
      <w:r>
        <w:rPr>
          <w:rFonts w:ascii="Arial" w:eastAsia="宋体" w:hAnsi="Arial" w:cs="Arial"/>
          <w:color w:val="000000"/>
          <w:sz w:val="20"/>
          <w:szCs w:val="20"/>
        </w:rPr>
        <w:t>Amounts accrued for lega</w:t>
      </w:r>
      <w:r>
        <w:rPr>
          <w:rFonts w:ascii="Arial" w:eastAsia="宋体" w:hAnsi="Arial" w:cs="Arial"/>
          <w:color w:val="000000"/>
          <w:sz w:val="20"/>
          <w:szCs w:val="20"/>
        </w:rPr>
        <w:t xml:space="preserve">l and regulatory proceedings for which we believe a loss is probable were not material for the three and six months ended June 30, 2022. We have concluded, based on currently available information, that reasonably possible losses arising directly from the </w:t>
      </w:r>
      <w:r>
        <w:rPr>
          <w:rFonts w:ascii="Arial" w:eastAsia="宋体" w:hAnsi="Arial" w:cs="Arial"/>
          <w:color w:val="000000"/>
          <w:sz w:val="20"/>
          <w:szCs w:val="20"/>
        </w:rPr>
        <w:t>proceedings (i.e., monetary damages or amounts paid in judgment or settlement) in excess of our recorded accruals are also not material. However, legal and regulatory proceedings are inherently unpredictable and subject to significant uncertainties. If one</w:t>
      </w:r>
      <w:r>
        <w:rPr>
          <w:rFonts w:ascii="Arial" w:eastAsia="宋体" w:hAnsi="Arial" w:cs="Arial"/>
          <w:color w:val="000000"/>
          <w:sz w:val="20"/>
          <w:szCs w:val="20"/>
        </w:rPr>
        <w:t xml:space="preserve"> or more matters were resolved against us in a reporting period for amounts in excess of management’s expectations, the impact on our operating results or financial condition for that reporting period could be material. Legal fees are expensed as incurred.</w:t>
      </w:r>
    </w:p>
    <w:p w14:paraId="18600FEF" w14:textId="77777777" w:rsidR="00A91885" w:rsidRDefault="00A91885">
      <w:pPr>
        <w:ind w:firstLine="540"/>
        <w:jc w:val="both"/>
      </w:pPr>
    </w:p>
    <w:p w14:paraId="18600FF0" w14:textId="77777777" w:rsidR="00A91885" w:rsidRDefault="00A91885">
      <w:pPr>
        <w:jc w:val="center"/>
      </w:pPr>
    </w:p>
    <w:p w14:paraId="18600FF1" w14:textId="77777777" w:rsidR="00A91885" w:rsidRDefault="009C4196">
      <w:pPr>
        <w:jc w:val="center"/>
      </w:pPr>
      <w:r>
        <w:rPr>
          <w:rFonts w:ascii="Arial" w:eastAsia="宋体" w:hAnsi="Arial" w:cs="Arial"/>
          <w:color w:val="000000"/>
          <w:sz w:val="20"/>
          <w:szCs w:val="20"/>
        </w:rPr>
        <w:t>37</w:t>
      </w:r>
    </w:p>
    <w:p w14:paraId="18600FF2" w14:textId="77777777" w:rsidR="00A91885" w:rsidRDefault="009C4196">
      <w:r>
        <w:pict w14:anchorId="186021A8">
          <v:rect id="_x0000_i1061" style="width:415.3pt;height:1.5pt" o:hralign="center" o:hrstd="t" o:hr="t" fillcolor="#a0a0a0" stroked="f"/>
        </w:pict>
      </w:r>
    </w:p>
    <w:p w14:paraId="18600FF3" w14:textId="77777777" w:rsidR="00A91885" w:rsidRDefault="009C4196">
      <w:hyperlink r:id="rId121" w:anchor="ieb971428a625452486c65ae24899afca_7" w:history="1">
        <w:r>
          <w:rPr>
            <w:rStyle w:val="a5"/>
            <w:rFonts w:ascii="Arial" w:eastAsia="宋体" w:hAnsi="Arial" w:cs="Arial"/>
            <w:sz w:val="18"/>
            <w:szCs w:val="18"/>
          </w:rPr>
          <w:t>Table of Contents</w:t>
        </w:r>
      </w:hyperlink>
    </w:p>
    <w:p w14:paraId="18600FF4" w14:textId="77777777" w:rsidR="00A91885" w:rsidRDefault="009C4196">
      <w:pPr>
        <w:jc w:val="center"/>
      </w:pPr>
      <w:r>
        <w:rPr>
          <w:rFonts w:ascii="Arial" w:eastAsia="宋体" w:hAnsi="Arial" w:cs="Arial"/>
          <w:b/>
          <w:bCs/>
          <w:color w:val="000000"/>
          <w:sz w:val="20"/>
          <w:szCs w:val="20"/>
        </w:rPr>
        <w:t>eBay Inc.</w:t>
      </w:r>
    </w:p>
    <w:p w14:paraId="18600FF5"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0FF6" w14:textId="77777777" w:rsidR="00A91885" w:rsidRDefault="009C4196">
      <w:pPr>
        <w:ind w:firstLine="540"/>
        <w:jc w:val="both"/>
      </w:pPr>
      <w:r>
        <w:rPr>
          <w:rFonts w:ascii="Arial" w:eastAsia="宋体" w:hAnsi="Arial" w:cs="Arial"/>
          <w:i/>
          <w:iCs/>
          <w:color w:val="000000"/>
          <w:sz w:val="20"/>
          <w:szCs w:val="20"/>
        </w:rPr>
        <w:t>Ge</w:t>
      </w:r>
      <w:r>
        <w:rPr>
          <w:rFonts w:ascii="Arial" w:eastAsia="宋体" w:hAnsi="Arial" w:cs="Arial"/>
          <w:i/>
          <w:iCs/>
          <w:color w:val="000000"/>
          <w:sz w:val="20"/>
          <w:szCs w:val="20"/>
        </w:rPr>
        <w:t>neral Matters</w:t>
      </w:r>
    </w:p>
    <w:p w14:paraId="18600FF7" w14:textId="77777777" w:rsidR="00A91885" w:rsidRDefault="00A91885">
      <w:pPr>
        <w:ind w:firstLine="540"/>
        <w:jc w:val="both"/>
      </w:pPr>
    </w:p>
    <w:p w14:paraId="18600FF8" w14:textId="77777777" w:rsidR="00A91885" w:rsidRDefault="009C4196">
      <w:pPr>
        <w:ind w:firstLine="540"/>
        <w:jc w:val="both"/>
      </w:pPr>
      <w:r>
        <w:rPr>
          <w:rFonts w:ascii="Arial" w:eastAsia="宋体" w:hAnsi="Arial" w:cs="Arial"/>
          <w:color w:val="000000"/>
          <w:sz w:val="20"/>
          <w:szCs w:val="20"/>
        </w:rPr>
        <w:t>Third parties have from time to time claimed, and others may claim in the future, that we have infringed their intellectual property rights. We are subject to patent disputes, and expect that we could be subject to additional patent infringe</w:t>
      </w:r>
      <w:r>
        <w:rPr>
          <w:rFonts w:ascii="Arial" w:eastAsia="宋体" w:hAnsi="Arial" w:cs="Arial"/>
          <w:color w:val="000000"/>
          <w:sz w:val="20"/>
          <w:szCs w:val="20"/>
        </w:rPr>
        <w:t>ment claims involving various aspects of our business as our products and services continue to expand in scope and complexity. Such claims may be brought directly or indirectly against us and/or against our customers (who may be entitled to contractual ind</w:t>
      </w:r>
      <w:r>
        <w:rPr>
          <w:rFonts w:ascii="Arial" w:eastAsia="宋体" w:hAnsi="Arial" w:cs="Arial"/>
          <w:color w:val="000000"/>
          <w:sz w:val="20"/>
          <w:szCs w:val="20"/>
        </w:rPr>
        <w:t>emnification under their contracts with us), and we are subject to increased exposure to such claims as a result of our acquisitions and divestitures and in cases where we are entering new lines of business. We have in the past been forced to litigate such</w:t>
      </w:r>
      <w:r>
        <w:rPr>
          <w:rFonts w:ascii="Arial" w:eastAsia="宋体" w:hAnsi="Arial" w:cs="Arial"/>
          <w:color w:val="000000"/>
          <w:sz w:val="20"/>
          <w:szCs w:val="20"/>
        </w:rPr>
        <w:t xml:space="preserve"> claims. We may also become more vulnerable to third-party claims as laws such as the Digital Millennium Copyright Act, the Lanham Act and the Communications Decency Act are interpreted by the courts, and as we expand the scope of our business (both in ter</w:t>
      </w:r>
      <w:r>
        <w:rPr>
          <w:rFonts w:ascii="Arial" w:eastAsia="宋体" w:hAnsi="Arial" w:cs="Arial"/>
          <w:color w:val="000000"/>
          <w:sz w:val="20"/>
          <w:szCs w:val="20"/>
        </w:rPr>
        <w:t>ms of the range of products and services that we offer and our geographical operations) and become subject to laws in jurisdictions where the underlying laws with respect to the potential liability of online intermediaries like ourselves are either unclear</w:t>
      </w:r>
      <w:r>
        <w:rPr>
          <w:rFonts w:ascii="Arial" w:eastAsia="宋体" w:hAnsi="Arial" w:cs="Arial"/>
          <w:color w:val="000000"/>
          <w:sz w:val="20"/>
          <w:szCs w:val="20"/>
        </w:rPr>
        <w:t xml:space="preserve"> or less favorable. We believe that additional lawsuits alleging that we have violated patent, copyright or trademark laws will be filed against us. Intellectual property claims, whether meritorious or not, are time consuming and costly to defend and resol</w:t>
      </w:r>
      <w:r>
        <w:rPr>
          <w:rFonts w:ascii="Arial" w:eastAsia="宋体" w:hAnsi="Arial" w:cs="Arial"/>
          <w:color w:val="000000"/>
          <w:sz w:val="20"/>
          <w:szCs w:val="20"/>
        </w:rPr>
        <w:t>ve, could require expensive changes in our methods of doing business or could require us to enter into costly royalty or licensing agreements on unfavorable terms.</w:t>
      </w:r>
    </w:p>
    <w:p w14:paraId="18600FF9" w14:textId="77777777" w:rsidR="00A91885" w:rsidRDefault="00A91885">
      <w:pPr>
        <w:ind w:firstLine="540"/>
        <w:jc w:val="both"/>
      </w:pPr>
    </w:p>
    <w:p w14:paraId="18600FFA" w14:textId="77777777" w:rsidR="00A91885" w:rsidRDefault="009C4196">
      <w:pPr>
        <w:ind w:firstLine="540"/>
        <w:jc w:val="both"/>
      </w:pPr>
      <w:r>
        <w:rPr>
          <w:rFonts w:ascii="Arial" w:eastAsia="宋体" w:hAnsi="Arial" w:cs="Arial"/>
          <w:color w:val="000000"/>
          <w:sz w:val="20"/>
          <w:szCs w:val="20"/>
        </w:rPr>
        <w:t xml:space="preserve">From time to time, we are involved in other disputes or regulatory inquiries that </w:t>
      </w:r>
      <w:r>
        <w:rPr>
          <w:rFonts w:ascii="Arial" w:eastAsia="宋体" w:hAnsi="Arial" w:cs="Arial"/>
          <w:color w:val="000000"/>
          <w:sz w:val="20"/>
          <w:szCs w:val="20"/>
        </w:rPr>
        <w:t>arise in the ordinary course of business, including suits by our users (individually or as class actions) alleging, among other things, improper disclosure of our prices, rules or policies, that our practices, prices, rules, policies or customer/user agree</w:t>
      </w:r>
      <w:r>
        <w:rPr>
          <w:rFonts w:ascii="Arial" w:eastAsia="宋体" w:hAnsi="Arial" w:cs="Arial"/>
          <w:color w:val="000000"/>
          <w:sz w:val="20"/>
          <w:szCs w:val="20"/>
        </w:rPr>
        <w:t xml:space="preserve">ments violate applicable law or that we have acted unfairly and/or not acted in conformity with such practices, prices, rules, policies or agreements. Further, the number and significance of these disputes and inquiries are increasing as the political and </w:t>
      </w:r>
      <w:r>
        <w:rPr>
          <w:rFonts w:ascii="Arial" w:eastAsia="宋体" w:hAnsi="Arial" w:cs="Arial"/>
          <w:color w:val="000000"/>
          <w:sz w:val="20"/>
          <w:szCs w:val="20"/>
        </w:rPr>
        <w:t>regulatory landscape changes and, as we have grown larger, our businesses have expanded in scope (both in terms of the range of products and services that we offer and our geographical operations) and our products and services have increased in complexity.</w:t>
      </w:r>
      <w:r>
        <w:rPr>
          <w:rFonts w:ascii="Arial" w:eastAsia="宋体" w:hAnsi="Arial" w:cs="Arial"/>
          <w:color w:val="000000"/>
          <w:sz w:val="20"/>
          <w:szCs w:val="20"/>
        </w:rPr>
        <w:t xml:space="preserve"> Any claims or regulatory actions against us, whether meritorious or not, could be time consuming, result in costly litigation, damage awards (including statutory damages for certain causes of action in certain jurisdictions), injunctive relief or increase</w:t>
      </w:r>
      <w:r>
        <w:rPr>
          <w:rFonts w:ascii="Arial" w:eastAsia="宋体" w:hAnsi="Arial" w:cs="Arial"/>
          <w:color w:val="000000"/>
          <w:sz w:val="20"/>
          <w:szCs w:val="20"/>
        </w:rPr>
        <w:t xml:space="preserve">d costs of doing business through adverse judgment or settlement, require us to change our business practices in expensive ways, require significant amounts of management time, result in the diversion of significant operational resources or otherwise harm </w:t>
      </w:r>
      <w:r>
        <w:rPr>
          <w:rFonts w:ascii="Arial" w:eastAsia="宋体" w:hAnsi="Arial" w:cs="Arial"/>
          <w:color w:val="000000"/>
          <w:sz w:val="20"/>
          <w:szCs w:val="20"/>
        </w:rPr>
        <w:t>our business.</w:t>
      </w:r>
    </w:p>
    <w:p w14:paraId="18600FFB" w14:textId="77777777" w:rsidR="00A91885" w:rsidRDefault="00A91885">
      <w:pPr>
        <w:ind w:firstLine="540"/>
        <w:jc w:val="both"/>
      </w:pPr>
    </w:p>
    <w:p w14:paraId="18600FFC" w14:textId="77777777" w:rsidR="00A91885" w:rsidRDefault="009C4196">
      <w:pPr>
        <w:ind w:firstLine="540"/>
        <w:jc w:val="both"/>
      </w:pPr>
      <w:r>
        <w:rPr>
          <w:rFonts w:ascii="Arial" w:eastAsia="宋体" w:hAnsi="Arial" w:cs="Arial"/>
          <w:color w:val="000000"/>
          <w:sz w:val="20"/>
          <w:szCs w:val="20"/>
        </w:rPr>
        <w:t>From time to time, the Company receives subpoenas or requests for information from various government agencies, typically for potential misconduct by sellers on the Company’s Marketplace platforms. More recently, the Company has received sub</w:t>
      </w:r>
      <w:r>
        <w:rPr>
          <w:rFonts w:ascii="Arial" w:eastAsia="宋体" w:hAnsi="Arial" w:cs="Arial"/>
          <w:color w:val="000000"/>
          <w:sz w:val="20"/>
          <w:szCs w:val="20"/>
        </w:rPr>
        <w:t xml:space="preserve">poenas or requests for information from government agencies related to potential liability of the Company for products sold by sellers on the Marketplace platforms. The Company generally responds to government subpoenas and requests in the ordinary course </w:t>
      </w:r>
      <w:r>
        <w:rPr>
          <w:rFonts w:ascii="Arial" w:eastAsia="宋体" w:hAnsi="Arial" w:cs="Arial"/>
          <w:color w:val="000000"/>
          <w:sz w:val="20"/>
          <w:szCs w:val="20"/>
        </w:rPr>
        <w:t xml:space="preserve">of business and in a cooperative, thorough and timely manner. These responses sometimes require time and effort and can result in considerable costs being incurred by the Company. </w:t>
      </w:r>
    </w:p>
    <w:p w14:paraId="18600FFD" w14:textId="77777777" w:rsidR="00A91885" w:rsidRDefault="00A91885">
      <w:pPr>
        <w:ind w:firstLine="540"/>
        <w:jc w:val="both"/>
      </w:pPr>
    </w:p>
    <w:p w14:paraId="18600FFE" w14:textId="77777777" w:rsidR="00A91885" w:rsidRDefault="009C4196">
      <w:pPr>
        <w:ind w:firstLine="540"/>
        <w:jc w:val="both"/>
      </w:pPr>
      <w:r>
        <w:rPr>
          <w:rFonts w:ascii="Arial" w:eastAsia="宋体" w:hAnsi="Arial" w:cs="Arial"/>
          <w:color w:val="000000"/>
          <w:sz w:val="20"/>
          <w:szCs w:val="20"/>
        </w:rPr>
        <w:t xml:space="preserve">In this regard, the Company has responded to inquiries from the U.S. </w:t>
      </w:r>
      <w:r>
        <w:rPr>
          <w:rFonts w:ascii="Arial" w:eastAsia="宋体" w:hAnsi="Arial" w:cs="Arial"/>
          <w:color w:val="000000"/>
          <w:sz w:val="20"/>
          <w:szCs w:val="20"/>
        </w:rPr>
        <w:t>Department of Justice regarding products sold on the Marketplace platforms alleged to violate certain laws and regulations, including regulations of the Environmental Protection Agency and, separately, regulations of the Drug Enforcement Agency. If the Com</w:t>
      </w:r>
      <w:r>
        <w:rPr>
          <w:rFonts w:ascii="Arial" w:eastAsia="宋体" w:hAnsi="Arial" w:cs="Arial"/>
          <w:color w:val="000000"/>
          <w:sz w:val="20"/>
          <w:szCs w:val="20"/>
        </w:rPr>
        <w:t>pany is found to be liable for such activities on the Marketplace, it could be subject to monetary damages, changes in our business practices, or other remedies that could have a material adverse impact on our business. At this time, we are unable to estim</w:t>
      </w:r>
      <w:r>
        <w:rPr>
          <w:rFonts w:ascii="Arial" w:eastAsia="宋体" w:hAnsi="Arial" w:cs="Arial"/>
          <w:color w:val="000000"/>
          <w:sz w:val="20"/>
          <w:szCs w:val="20"/>
        </w:rPr>
        <w:t>ate the possible loss because the matters are still under investigation and involve novel legal questions relevant to the Company’s potential liability. Given the uncertainties involved, the ultimate resolution of these matters may be material to our opera</w:t>
      </w:r>
      <w:r>
        <w:rPr>
          <w:rFonts w:ascii="Arial" w:eastAsia="宋体" w:hAnsi="Arial" w:cs="Arial"/>
          <w:color w:val="000000"/>
          <w:sz w:val="20"/>
          <w:szCs w:val="20"/>
        </w:rPr>
        <w:t>ting results for a particular period, depending on, among other factors, the size of the loss or liability imposed and the level of our net income or loss for that period.</w:t>
      </w:r>
    </w:p>
    <w:p w14:paraId="18600FFF" w14:textId="77777777" w:rsidR="00A91885" w:rsidRDefault="00A91885">
      <w:pPr>
        <w:ind w:firstLine="540"/>
        <w:jc w:val="both"/>
      </w:pPr>
    </w:p>
    <w:p w14:paraId="18601000" w14:textId="77777777" w:rsidR="00A91885" w:rsidRDefault="00A91885">
      <w:pPr>
        <w:jc w:val="center"/>
      </w:pPr>
    </w:p>
    <w:p w14:paraId="18601001" w14:textId="77777777" w:rsidR="00A91885" w:rsidRDefault="009C4196">
      <w:pPr>
        <w:jc w:val="center"/>
      </w:pPr>
      <w:r>
        <w:rPr>
          <w:rFonts w:ascii="Arial" w:eastAsia="宋体" w:hAnsi="Arial" w:cs="Arial"/>
          <w:color w:val="000000"/>
          <w:sz w:val="20"/>
          <w:szCs w:val="20"/>
        </w:rPr>
        <w:t>38</w:t>
      </w:r>
    </w:p>
    <w:p w14:paraId="18601002" w14:textId="77777777" w:rsidR="00A91885" w:rsidRDefault="009C4196">
      <w:r>
        <w:pict w14:anchorId="186021A9">
          <v:rect id="_x0000_i1062" style="width:415.3pt;height:1.5pt" o:hralign="center" o:hrstd="t" o:hr="t" fillcolor="#a0a0a0" stroked="f"/>
        </w:pict>
      </w:r>
    </w:p>
    <w:p w14:paraId="18601003" w14:textId="77777777" w:rsidR="00A91885" w:rsidRDefault="009C4196">
      <w:hyperlink r:id="rId122" w:anchor="ieb971428a625452486c65ae24899afca_7" w:history="1">
        <w:r>
          <w:rPr>
            <w:rStyle w:val="a5"/>
            <w:rFonts w:ascii="Arial" w:eastAsia="宋体" w:hAnsi="Arial" w:cs="Arial"/>
            <w:sz w:val="18"/>
            <w:szCs w:val="18"/>
          </w:rPr>
          <w:t>Table of Contents</w:t>
        </w:r>
      </w:hyperlink>
    </w:p>
    <w:p w14:paraId="18601004" w14:textId="77777777" w:rsidR="00A91885" w:rsidRDefault="009C4196">
      <w:pPr>
        <w:jc w:val="center"/>
      </w:pPr>
      <w:r>
        <w:rPr>
          <w:rFonts w:ascii="Arial" w:eastAsia="宋体" w:hAnsi="Arial" w:cs="Arial"/>
          <w:b/>
          <w:bCs/>
          <w:color w:val="000000"/>
          <w:sz w:val="20"/>
          <w:szCs w:val="20"/>
        </w:rPr>
        <w:t>eBay Inc.</w:t>
      </w:r>
    </w:p>
    <w:p w14:paraId="18601005"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1006" w14:textId="77777777" w:rsidR="00A91885" w:rsidRDefault="009C4196">
      <w:pPr>
        <w:ind w:firstLine="270"/>
        <w:jc w:val="both"/>
      </w:pPr>
      <w:r>
        <w:rPr>
          <w:rFonts w:ascii="Arial" w:eastAsia="宋体" w:hAnsi="Arial" w:cs="Arial"/>
          <w:b/>
          <w:bCs/>
          <w:i/>
          <w:iCs/>
          <w:color w:val="000000"/>
          <w:sz w:val="20"/>
          <w:szCs w:val="20"/>
        </w:rPr>
        <w:t xml:space="preserve">Indemnification Provisions </w:t>
      </w:r>
    </w:p>
    <w:p w14:paraId="18601007" w14:textId="77777777" w:rsidR="00A91885" w:rsidRDefault="00A91885">
      <w:pPr>
        <w:jc w:val="both"/>
      </w:pPr>
    </w:p>
    <w:p w14:paraId="18601008" w14:textId="77777777" w:rsidR="00A91885" w:rsidRDefault="009C4196">
      <w:pPr>
        <w:ind w:firstLine="540"/>
        <w:jc w:val="both"/>
      </w:pPr>
      <w:r>
        <w:rPr>
          <w:rFonts w:ascii="Arial" w:eastAsia="宋体" w:hAnsi="Arial" w:cs="Arial"/>
          <w:color w:val="000000"/>
          <w:sz w:val="20"/>
          <w:szCs w:val="20"/>
        </w:rPr>
        <w:t>We entered into a separation and distribution agreement an</w:t>
      </w:r>
      <w:r>
        <w:rPr>
          <w:rFonts w:ascii="Arial" w:eastAsia="宋体" w:hAnsi="Arial" w:cs="Arial"/>
          <w:color w:val="000000"/>
          <w:sz w:val="20"/>
          <w:szCs w:val="20"/>
        </w:rPr>
        <w:t xml:space="preserve">d various other agreements with PayPal to govern the separation and relationship of the two companies. These agreements provide for specific indemnity and liability obligations and could lead to disputes between us and PayPal, which may be significant. In </w:t>
      </w:r>
      <w:r>
        <w:rPr>
          <w:rFonts w:ascii="Arial" w:eastAsia="宋体" w:hAnsi="Arial" w:cs="Arial"/>
          <w:color w:val="000000"/>
          <w:sz w:val="20"/>
          <w:szCs w:val="20"/>
        </w:rPr>
        <w:t>addition, the indemnity rights we have against PayPal under the agreements may not be sufficient to protect us and our indemnity obligations to PayPal may be significant.</w:t>
      </w:r>
    </w:p>
    <w:p w14:paraId="18601009" w14:textId="77777777" w:rsidR="00A91885" w:rsidRDefault="00A91885">
      <w:pPr>
        <w:ind w:firstLine="540"/>
        <w:jc w:val="both"/>
      </w:pPr>
    </w:p>
    <w:p w14:paraId="1860100A" w14:textId="77777777" w:rsidR="00A91885" w:rsidRDefault="009C4196">
      <w:pPr>
        <w:ind w:firstLine="540"/>
        <w:jc w:val="both"/>
      </w:pPr>
      <w:r>
        <w:rPr>
          <w:rFonts w:ascii="Arial" w:eastAsia="宋体" w:hAnsi="Arial" w:cs="Arial"/>
          <w:color w:val="000000"/>
          <w:sz w:val="20"/>
          <w:szCs w:val="20"/>
        </w:rPr>
        <w:t>In addition, we have entered into indemnification agreements with each of our direct</w:t>
      </w:r>
      <w:r>
        <w:rPr>
          <w:rFonts w:ascii="Arial" w:eastAsia="宋体" w:hAnsi="Arial" w:cs="Arial"/>
          <w:color w:val="000000"/>
          <w:sz w:val="20"/>
          <w:szCs w:val="20"/>
        </w:rPr>
        <w:t>ors, executive officers and certain other officers. These agreements require us to indemnify such individuals, to the fullest extent permitted by Delaware law, for certain liabilities to which they may become subject as a result of their affiliation with u</w:t>
      </w:r>
      <w:r>
        <w:rPr>
          <w:rFonts w:ascii="Arial" w:eastAsia="宋体" w:hAnsi="Arial" w:cs="Arial"/>
          <w:color w:val="000000"/>
          <w:sz w:val="20"/>
          <w:szCs w:val="20"/>
        </w:rPr>
        <w:t xml:space="preserve">s. </w:t>
      </w:r>
    </w:p>
    <w:p w14:paraId="1860100B" w14:textId="77777777" w:rsidR="00A91885" w:rsidRDefault="00A91885">
      <w:pPr>
        <w:ind w:firstLine="540"/>
        <w:jc w:val="both"/>
      </w:pPr>
    </w:p>
    <w:p w14:paraId="1860100C" w14:textId="77777777" w:rsidR="00A91885" w:rsidRDefault="009C4196">
      <w:pPr>
        <w:ind w:firstLine="540"/>
        <w:jc w:val="both"/>
      </w:pPr>
      <w:r>
        <w:rPr>
          <w:rFonts w:ascii="Arial" w:eastAsia="宋体" w:hAnsi="Arial" w:cs="Arial"/>
          <w:color w:val="000000"/>
          <w:sz w:val="20"/>
          <w:szCs w:val="20"/>
        </w:rPr>
        <w:t>In the ordinary course of business, we have included limited indemnification provisions in certain of our agreements with parties with which we have commercial relations, including our standard marketing, promotions and application programming interfa</w:t>
      </w:r>
      <w:r>
        <w:rPr>
          <w:rFonts w:ascii="Arial" w:eastAsia="宋体" w:hAnsi="Arial" w:cs="Arial"/>
          <w:color w:val="000000"/>
          <w:sz w:val="20"/>
          <w:szCs w:val="20"/>
        </w:rPr>
        <w:t xml:space="preserve">ce license agreements. Under these contracts, we generally indemnify, hold harmless and agree to reimburse the indemnified party for losses suffered or incurred by the indemnified party in connection with claims by a third party with respect to our domain </w:t>
      </w:r>
      <w:r>
        <w:rPr>
          <w:rFonts w:ascii="Arial" w:eastAsia="宋体" w:hAnsi="Arial" w:cs="Arial"/>
          <w:color w:val="000000"/>
          <w:sz w:val="20"/>
          <w:szCs w:val="20"/>
        </w:rPr>
        <w:t xml:space="preserve">names, trademarks, logos and other branding elements to the extent that such marks are applicable to our performance under the subject agreement. In certain cases, we have agreed to provide indemnification for intellectual property infringement. It is not </w:t>
      </w:r>
      <w:r>
        <w:rPr>
          <w:rFonts w:ascii="Arial" w:eastAsia="宋体" w:hAnsi="Arial" w:cs="Arial"/>
          <w:color w:val="000000"/>
          <w:sz w:val="20"/>
          <w:szCs w:val="20"/>
        </w:rPr>
        <w:t>possible to determine the maximum potential loss under these indemnification provisions due to our limited history of prior indemnification claims and the unique facts and circumstances involved in each particular provision. To date, losses recorded in our</w:t>
      </w:r>
      <w:r>
        <w:rPr>
          <w:rFonts w:ascii="Arial" w:eastAsia="宋体" w:hAnsi="Arial" w:cs="Arial"/>
          <w:color w:val="000000"/>
          <w:sz w:val="20"/>
          <w:szCs w:val="20"/>
        </w:rPr>
        <w:t xml:space="preserve"> condensed consolidated statement of income in connection with our indemnification provisions have not been significant, either individually or collectively. </w:t>
      </w:r>
    </w:p>
    <w:p w14:paraId="1860100D" w14:textId="77777777" w:rsidR="00A91885" w:rsidRDefault="00A91885">
      <w:pPr>
        <w:jc w:val="both"/>
      </w:pPr>
    </w:p>
    <w:p w14:paraId="1860100E" w14:textId="77777777" w:rsidR="00A91885" w:rsidRDefault="00A91885">
      <w:pPr>
        <w:jc w:val="center"/>
      </w:pPr>
    </w:p>
    <w:p w14:paraId="1860100F" w14:textId="77777777" w:rsidR="00A91885" w:rsidRDefault="009C4196">
      <w:pPr>
        <w:jc w:val="center"/>
      </w:pPr>
      <w:r>
        <w:rPr>
          <w:rFonts w:ascii="Arial" w:eastAsia="宋体" w:hAnsi="Arial" w:cs="Arial"/>
          <w:color w:val="000000"/>
          <w:sz w:val="20"/>
          <w:szCs w:val="20"/>
        </w:rPr>
        <w:t>39</w:t>
      </w:r>
    </w:p>
    <w:p w14:paraId="18601010" w14:textId="77777777" w:rsidR="00A91885" w:rsidRDefault="009C4196">
      <w:r>
        <w:pict w14:anchorId="186021AA">
          <v:rect id="_x0000_i1063" style="width:415.3pt;height:1.5pt" o:hralign="center" o:hrstd="t" o:hr="t" fillcolor="#a0a0a0" stroked="f"/>
        </w:pict>
      </w:r>
    </w:p>
    <w:p w14:paraId="18601011" w14:textId="77777777" w:rsidR="00A91885" w:rsidRDefault="009C4196">
      <w:hyperlink r:id="rId123" w:anchor="ieb971428a625452486c65ae24899afca_7" w:history="1">
        <w:r>
          <w:rPr>
            <w:rStyle w:val="a5"/>
            <w:rFonts w:ascii="Arial" w:eastAsia="宋体" w:hAnsi="Arial" w:cs="Arial"/>
            <w:sz w:val="18"/>
            <w:szCs w:val="18"/>
          </w:rPr>
          <w:t>Table of Contents</w:t>
        </w:r>
      </w:hyperlink>
    </w:p>
    <w:p w14:paraId="18601012" w14:textId="77777777" w:rsidR="00A91885" w:rsidRDefault="009C4196">
      <w:pPr>
        <w:jc w:val="center"/>
      </w:pPr>
      <w:r>
        <w:rPr>
          <w:rFonts w:ascii="Arial" w:eastAsia="宋体" w:hAnsi="Arial" w:cs="Arial"/>
          <w:b/>
          <w:bCs/>
          <w:color w:val="000000"/>
          <w:sz w:val="20"/>
          <w:szCs w:val="20"/>
        </w:rPr>
        <w:t>eBay Inc.</w:t>
      </w:r>
    </w:p>
    <w:p w14:paraId="18601013"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1014" w14:textId="77777777" w:rsidR="00A91885" w:rsidRDefault="009C4196">
      <w:pPr>
        <w:jc w:val="both"/>
      </w:pPr>
      <w:r>
        <w:rPr>
          <w:rFonts w:ascii="Arial" w:eastAsia="宋体" w:hAnsi="Arial" w:cs="Arial"/>
          <w:b/>
          <w:bCs/>
          <w:color w:val="000000"/>
          <w:sz w:val="20"/>
          <w:szCs w:val="20"/>
        </w:rPr>
        <w:t>Note 12 — Stockholders’ Equity</w:t>
      </w:r>
    </w:p>
    <w:p w14:paraId="18601015" w14:textId="77777777" w:rsidR="00A91885" w:rsidRDefault="00A91885">
      <w:pPr>
        <w:jc w:val="both"/>
      </w:pPr>
    </w:p>
    <w:p w14:paraId="18601016" w14:textId="77777777" w:rsidR="00A91885" w:rsidRDefault="009C4196">
      <w:pPr>
        <w:ind w:firstLine="270"/>
        <w:jc w:val="both"/>
      </w:pPr>
      <w:r>
        <w:rPr>
          <w:rFonts w:ascii="Arial" w:eastAsia="宋体" w:hAnsi="Arial" w:cs="Arial"/>
          <w:b/>
          <w:bCs/>
          <w:i/>
          <w:iCs/>
          <w:color w:val="000000"/>
          <w:sz w:val="20"/>
          <w:szCs w:val="20"/>
        </w:rPr>
        <w:t xml:space="preserve">Stock Repurchase Program </w:t>
      </w:r>
    </w:p>
    <w:p w14:paraId="18601017" w14:textId="77777777" w:rsidR="00A91885" w:rsidRDefault="00A91885">
      <w:pPr>
        <w:ind w:firstLine="540"/>
      </w:pPr>
    </w:p>
    <w:p w14:paraId="18601018" w14:textId="77777777" w:rsidR="00A91885" w:rsidRDefault="009C4196">
      <w:pPr>
        <w:ind w:firstLine="540"/>
        <w:jc w:val="both"/>
      </w:pPr>
      <w:r>
        <w:rPr>
          <w:rFonts w:ascii="Arial" w:eastAsia="宋体" w:hAnsi="Arial" w:cs="Arial"/>
          <w:color w:val="000000"/>
          <w:sz w:val="20"/>
          <w:szCs w:val="20"/>
        </w:rPr>
        <w:t>Our stock repurchase programs are intended to programmatically offset the impact of dilution from our equity compensation programs and, subject to market conditions and other factors, to make opportunistic and programmatic repurchases of our common stock t</w:t>
      </w:r>
      <w:r>
        <w:rPr>
          <w:rFonts w:ascii="Arial" w:eastAsia="宋体" w:hAnsi="Arial" w:cs="Arial"/>
          <w:color w:val="000000"/>
          <w:sz w:val="20"/>
          <w:szCs w:val="20"/>
        </w:rPr>
        <w:t>o reduce our outstanding share count. Any share repurchases under our stock repurchase programs may be made through open market transactions, block trades, privately negotiated transactions (including accelerated share repurchase transactions) or other mea</w:t>
      </w:r>
      <w:r>
        <w:rPr>
          <w:rFonts w:ascii="Arial" w:eastAsia="宋体" w:hAnsi="Arial" w:cs="Arial"/>
          <w:color w:val="000000"/>
          <w:sz w:val="20"/>
          <w:szCs w:val="20"/>
        </w:rPr>
        <w:t xml:space="preserve">ns at times and in such amounts as management deems appropriate and will be funded from our working capital or other financing alternatives. Our stock repurchase programs may be limited or terminated at any time without prior notice. The timing and actual </w:t>
      </w:r>
      <w:r>
        <w:rPr>
          <w:rFonts w:ascii="Arial" w:eastAsia="宋体" w:hAnsi="Arial" w:cs="Arial"/>
          <w:color w:val="000000"/>
          <w:sz w:val="20"/>
          <w:szCs w:val="20"/>
        </w:rPr>
        <w:t xml:space="preserve">number of shares repurchased will depend on a variety of factors, including corporate and regulatory requirements, price and other market conditions and management’s determination as to the appropriate use of our cash. </w:t>
      </w:r>
    </w:p>
    <w:p w14:paraId="18601019" w14:textId="77777777" w:rsidR="00A91885" w:rsidRDefault="00A91885">
      <w:pPr>
        <w:ind w:firstLine="540"/>
        <w:jc w:val="both"/>
      </w:pPr>
    </w:p>
    <w:p w14:paraId="1860101A" w14:textId="77777777" w:rsidR="00A91885" w:rsidRDefault="009C4196">
      <w:pPr>
        <w:ind w:firstLine="540"/>
        <w:jc w:val="both"/>
      </w:pPr>
      <w:r>
        <w:rPr>
          <w:rFonts w:ascii="Arial" w:eastAsia="宋体" w:hAnsi="Arial" w:cs="Arial"/>
          <w:color w:val="000000"/>
          <w:sz w:val="20"/>
          <w:szCs w:val="20"/>
        </w:rPr>
        <w:t xml:space="preserve">In </w:t>
      </w:r>
      <w:r>
        <w:rPr>
          <w:rFonts w:ascii="Arial" w:eastAsia="宋体" w:hAnsi="Arial" w:cs="Arial"/>
          <w:color w:val="212529"/>
          <w:sz w:val="20"/>
          <w:szCs w:val="20"/>
        </w:rPr>
        <w:t>August 2021 our Board authorized</w:t>
      </w:r>
      <w:r>
        <w:rPr>
          <w:rFonts w:ascii="Arial" w:eastAsia="宋体" w:hAnsi="Arial" w:cs="Arial"/>
          <w:color w:val="212529"/>
          <w:sz w:val="20"/>
          <w:szCs w:val="20"/>
        </w:rPr>
        <w:t xml:space="preserve"> an additional </w:t>
      </w:r>
      <w:r>
        <w:rPr>
          <w:rFonts w:ascii="Arial" w:eastAsia="宋体" w:hAnsi="Arial" w:cs="Arial"/>
          <w:color w:val="000000"/>
          <w:sz w:val="20"/>
          <w:szCs w:val="20"/>
        </w:rPr>
        <w:t xml:space="preserve">$3.0 billion </w:t>
      </w:r>
      <w:r>
        <w:rPr>
          <w:rFonts w:ascii="Arial" w:eastAsia="宋体" w:hAnsi="Arial" w:cs="Arial"/>
          <w:color w:val="212529"/>
          <w:sz w:val="20"/>
          <w:szCs w:val="20"/>
        </w:rPr>
        <w:t>stock repurchase program and in February 2022 our Board authorized an additional $4.0 billion stock repurchase program</w:t>
      </w:r>
      <w:r>
        <w:rPr>
          <w:rFonts w:ascii="Arial" w:eastAsia="宋体" w:hAnsi="Arial" w:cs="Arial"/>
          <w:color w:val="000000"/>
          <w:sz w:val="20"/>
          <w:szCs w:val="20"/>
        </w:rPr>
        <w:t xml:space="preserve">. These stock repurchase programs have no expiration from the date of authorization. </w:t>
      </w:r>
    </w:p>
    <w:p w14:paraId="1860101B" w14:textId="77777777" w:rsidR="00A91885" w:rsidRDefault="00A91885">
      <w:pPr>
        <w:ind w:firstLine="540"/>
        <w:jc w:val="both"/>
      </w:pPr>
    </w:p>
    <w:p w14:paraId="1860101C" w14:textId="77777777" w:rsidR="00A91885" w:rsidRDefault="009C4196">
      <w:pPr>
        <w:ind w:firstLine="540"/>
        <w:jc w:val="both"/>
      </w:pPr>
      <w:r>
        <w:rPr>
          <w:rFonts w:ascii="Arial" w:eastAsia="宋体" w:hAnsi="Arial" w:cs="Arial"/>
          <w:color w:val="000000"/>
          <w:sz w:val="20"/>
          <w:szCs w:val="20"/>
        </w:rPr>
        <w:t>On October 29, 2021, we entered into accelerated share repurchase agreements (the “2021 ASR Agreements”) with two financial institutions (each a “2021 ASR Counterparty”)</w:t>
      </w:r>
      <w:r>
        <w:rPr>
          <w:rFonts w:ascii="Arial" w:eastAsia="宋体" w:hAnsi="Arial" w:cs="Arial"/>
          <w:color w:val="000000"/>
          <w:sz w:val="20"/>
          <w:szCs w:val="20"/>
        </w:rPr>
        <w:t>, as part of our share repurchase program. Under the 2021 ASR Agreements, we paid an aggregate amount of $2.5 billion to the 2021 ASR Counterparties and received an initial delivery of approximately 29.3 million shares of our common stock, which were recor</w:t>
      </w:r>
      <w:r>
        <w:rPr>
          <w:rFonts w:ascii="Arial" w:eastAsia="宋体" w:hAnsi="Arial" w:cs="Arial"/>
          <w:color w:val="000000"/>
          <w:sz w:val="20"/>
          <w:szCs w:val="20"/>
        </w:rPr>
        <w:t xml:space="preserve">ded as a $2,125 million increase to treasury stock. In December 2021, the 2021 ASR Agreement with one of the 2021 ASR Counterparties settled and resulted in a delivery of approximately 3.4 million additional shares of our common stock, which were recorded </w:t>
      </w:r>
      <w:r>
        <w:rPr>
          <w:rFonts w:ascii="Arial" w:eastAsia="宋体" w:hAnsi="Arial" w:cs="Arial"/>
          <w:color w:val="000000"/>
          <w:sz w:val="20"/>
          <w:szCs w:val="20"/>
        </w:rPr>
        <w:t>as a $188 million increase to treasury stock. The remaining $188 million was evaluated as an unsettled forward contract indexed to our own stock, classified within stockholders’ equity as of December 31, 2021.</w:t>
      </w:r>
    </w:p>
    <w:p w14:paraId="1860101D" w14:textId="77777777" w:rsidR="00A91885" w:rsidRDefault="00A91885">
      <w:pPr>
        <w:ind w:firstLine="540"/>
        <w:jc w:val="both"/>
      </w:pPr>
    </w:p>
    <w:p w14:paraId="1860101E" w14:textId="77777777" w:rsidR="00A91885" w:rsidRDefault="009C4196">
      <w:pPr>
        <w:ind w:firstLine="540"/>
        <w:jc w:val="both"/>
      </w:pPr>
      <w:r>
        <w:rPr>
          <w:rFonts w:ascii="Arial" w:eastAsia="宋体" w:hAnsi="Arial" w:cs="Arial"/>
          <w:color w:val="000000"/>
          <w:sz w:val="20"/>
          <w:szCs w:val="20"/>
        </w:rPr>
        <w:t xml:space="preserve">In January 2022, the 2021 ASR Agreement with </w:t>
      </w:r>
      <w:r>
        <w:rPr>
          <w:rFonts w:ascii="Arial" w:eastAsia="宋体" w:hAnsi="Arial" w:cs="Arial"/>
          <w:color w:val="000000"/>
          <w:sz w:val="20"/>
          <w:szCs w:val="20"/>
        </w:rPr>
        <w:t>the remaining 2021 ASR Counterparty settled and resulted in a delivery of approximately 3.3 million additional shares of our common stock. The related forward contract was settled and recorded as a $188 million increase to treasury stock during the six mon</w:t>
      </w:r>
      <w:r>
        <w:rPr>
          <w:rFonts w:ascii="Arial" w:eastAsia="宋体" w:hAnsi="Arial" w:cs="Arial"/>
          <w:color w:val="000000"/>
          <w:sz w:val="20"/>
          <w:szCs w:val="20"/>
        </w:rPr>
        <w:t>ths ended June 30, 2022. In total under the 2021 ASR Agreements, approximately 36.0 million shares were repurchased at an average price per share of $69.43.</w:t>
      </w:r>
    </w:p>
    <w:p w14:paraId="1860101F" w14:textId="77777777" w:rsidR="00A91885" w:rsidRDefault="00A91885">
      <w:pPr>
        <w:ind w:firstLine="540"/>
        <w:jc w:val="both"/>
      </w:pPr>
    </w:p>
    <w:p w14:paraId="18601020" w14:textId="77777777" w:rsidR="00A91885" w:rsidRDefault="009C4196">
      <w:pPr>
        <w:spacing w:after="120"/>
        <w:ind w:firstLine="540"/>
        <w:jc w:val="both"/>
      </w:pPr>
      <w:r>
        <w:rPr>
          <w:rFonts w:ascii="Arial" w:eastAsia="宋体" w:hAnsi="Arial" w:cs="Arial"/>
          <w:color w:val="000000"/>
          <w:sz w:val="20"/>
          <w:szCs w:val="20"/>
        </w:rPr>
        <w:t>The following table summarizes stock repurchase activity under our stock repurchase programs for t</w:t>
      </w:r>
      <w:r>
        <w:rPr>
          <w:rFonts w:ascii="Arial" w:eastAsia="宋体" w:hAnsi="Arial" w:cs="Arial"/>
          <w:color w:val="000000"/>
          <w:sz w:val="20"/>
          <w:szCs w:val="20"/>
        </w:rPr>
        <w:t>he period indicated (in millions, except per share amounts):</w:t>
      </w:r>
    </w:p>
    <w:tbl>
      <w:tblPr>
        <w:tblW w:w="4993" w:type="pct"/>
        <w:jc w:val="center"/>
        <w:tblCellMar>
          <w:top w:w="15" w:type="dxa"/>
          <w:left w:w="15" w:type="dxa"/>
          <w:bottom w:w="15" w:type="dxa"/>
          <w:right w:w="15" w:type="dxa"/>
        </w:tblCellMar>
        <w:tblLook w:val="04A0" w:firstRow="1" w:lastRow="0" w:firstColumn="1" w:lastColumn="0" w:noHBand="0" w:noVBand="1"/>
      </w:tblPr>
      <w:tblGrid>
        <w:gridCol w:w="38"/>
        <w:gridCol w:w="3579"/>
        <w:gridCol w:w="37"/>
        <w:gridCol w:w="84"/>
        <w:gridCol w:w="1026"/>
        <w:gridCol w:w="36"/>
        <w:gridCol w:w="36"/>
        <w:gridCol w:w="36"/>
        <w:gridCol w:w="36"/>
        <w:gridCol w:w="122"/>
        <w:gridCol w:w="858"/>
        <w:gridCol w:w="36"/>
        <w:gridCol w:w="36"/>
        <w:gridCol w:w="36"/>
        <w:gridCol w:w="36"/>
        <w:gridCol w:w="122"/>
        <w:gridCol w:w="1026"/>
        <w:gridCol w:w="36"/>
        <w:gridCol w:w="36"/>
        <w:gridCol w:w="36"/>
        <w:gridCol w:w="36"/>
        <w:gridCol w:w="122"/>
        <w:gridCol w:w="842"/>
        <w:gridCol w:w="36"/>
      </w:tblGrid>
      <w:tr w:rsidR="00A91885" w14:paraId="18601039" w14:textId="77777777">
        <w:trPr>
          <w:jc w:val="center"/>
        </w:trPr>
        <w:tc>
          <w:tcPr>
            <w:tcW w:w="50" w:type="pct"/>
            <w:shd w:val="clear" w:color="auto" w:fill="auto"/>
            <w:vAlign w:val="bottom"/>
          </w:tcPr>
          <w:p w14:paraId="18601021" w14:textId="77777777" w:rsidR="00A91885" w:rsidRDefault="00A91885">
            <w:pPr>
              <w:rPr>
                <w:rFonts w:ascii="宋体"/>
              </w:rPr>
            </w:pPr>
          </w:p>
        </w:tc>
        <w:tc>
          <w:tcPr>
            <w:tcW w:w="2229" w:type="pct"/>
            <w:shd w:val="clear" w:color="auto" w:fill="auto"/>
            <w:vAlign w:val="bottom"/>
          </w:tcPr>
          <w:p w14:paraId="18601022" w14:textId="77777777" w:rsidR="00A91885" w:rsidRDefault="00A91885">
            <w:pPr>
              <w:rPr>
                <w:rFonts w:ascii="宋体"/>
              </w:rPr>
            </w:pPr>
          </w:p>
        </w:tc>
        <w:tc>
          <w:tcPr>
            <w:tcW w:w="5" w:type="pct"/>
            <w:shd w:val="clear" w:color="auto" w:fill="auto"/>
            <w:vAlign w:val="bottom"/>
          </w:tcPr>
          <w:p w14:paraId="18601023" w14:textId="77777777" w:rsidR="00A91885" w:rsidRDefault="00A91885">
            <w:pPr>
              <w:rPr>
                <w:rFonts w:ascii="宋体"/>
              </w:rPr>
            </w:pPr>
          </w:p>
        </w:tc>
        <w:tc>
          <w:tcPr>
            <w:tcW w:w="50" w:type="pct"/>
            <w:shd w:val="clear" w:color="auto" w:fill="auto"/>
            <w:vAlign w:val="bottom"/>
          </w:tcPr>
          <w:p w14:paraId="18601024" w14:textId="77777777" w:rsidR="00A91885" w:rsidRDefault="00A91885">
            <w:pPr>
              <w:rPr>
                <w:rFonts w:ascii="宋体"/>
              </w:rPr>
            </w:pPr>
          </w:p>
        </w:tc>
        <w:tc>
          <w:tcPr>
            <w:tcW w:w="611" w:type="pct"/>
            <w:shd w:val="clear" w:color="auto" w:fill="auto"/>
            <w:vAlign w:val="bottom"/>
          </w:tcPr>
          <w:p w14:paraId="18601025" w14:textId="77777777" w:rsidR="00A91885" w:rsidRDefault="00A91885">
            <w:pPr>
              <w:rPr>
                <w:rFonts w:ascii="宋体"/>
              </w:rPr>
            </w:pPr>
          </w:p>
        </w:tc>
        <w:tc>
          <w:tcPr>
            <w:tcW w:w="5" w:type="pct"/>
            <w:shd w:val="clear" w:color="auto" w:fill="auto"/>
            <w:vAlign w:val="bottom"/>
          </w:tcPr>
          <w:p w14:paraId="18601026" w14:textId="77777777" w:rsidR="00A91885" w:rsidRDefault="00A91885">
            <w:pPr>
              <w:rPr>
                <w:rFonts w:ascii="宋体"/>
              </w:rPr>
            </w:pPr>
          </w:p>
        </w:tc>
        <w:tc>
          <w:tcPr>
            <w:tcW w:w="5" w:type="pct"/>
            <w:shd w:val="clear" w:color="auto" w:fill="auto"/>
            <w:vAlign w:val="bottom"/>
          </w:tcPr>
          <w:p w14:paraId="18601027" w14:textId="77777777" w:rsidR="00A91885" w:rsidRDefault="00A91885">
            <w:pPr>
              <w:rPr>
                <w:rFonts w:ascii="宋体"/>
              </w:rPr>
            </w:pPr>
          </w:p>
        </w:tc>
        <w:tc>
          <w:tcPr>
            <w:tcW w:w="26" w:type="pct"/>
            <w:shd w:val="clear" w:color="auto" w:fill="auto"/>
            <w:vAlign w:val="bottom"/>
          </w:tcPr>
          <w:p w14:paraId="18601028" w14:textId="77777777" w:rsidR="00A91885" w:rsidRDefault="00A91885">
            <w:pPr>
              <w:rPr>
                <w:rFonts w:ascii="宋体"/>
              </w:rPr>
            </w:pPr>
          </w:p>
        </w:tc>
        <w:tc>
          <w:tcPr>
            <w:tcW w:w="5" w:type="pct"/>
            <w:shd w:val="clear" w:color="auto" w:fill="auto"/>
            <w:vAlign w:val="bottom"/>
          </w:tcPr>
          <w:p w14:paraId="18601029" w14:textId="77777777" w:rsidR="00A91885" w:rsidRDefault="00A91885">
            <w:pPr>
              <w:rPr>
                <w:rFonts w:ascii="宋体"/>
              </w:rPr>
            </w:pPr>
          </w:p>
        </w:tc>
        <w:tc>
          <w:tcPr>
            <w:tcW w:w="50" w:type="pct"/>
            <w:shd w:val="clear" w:color="auto" w:fill="auto"/>
            <w:vAlign w:val="bottom"/>
          </w:tcPr>
          <w:p w14:paraId="1860102A" w14:textId="77777777" w:rsidR="00A91885" w:rsidRDefault="00A91885">
            <w:pPr>
              <w:rPr>
                <w:rFonts w:ascii="宋体"/>
              </w:rPr>
            </w:pPr>
          </w:p>
        </w:tc>
        <w:tc>
          <w:tcPr>
            <w:tcW w:w="618" w:type="pct"/>
            <w:shd w:val="clear" w:color="auto" w:fill="auto"/>
            <w:vAlign w:val="bottom"/>
          </w:tcPr>
          <w:p w14:paraId="1860102B" w14:textId="77777777" w:rsidR="00A91885" w:rsidRDefault="00A91885">
            <w:pPr>
              <w:rPr>
                <w:rFonts w:ascii="宋体"/>
              </w:rPr>
            </w:pPr>
          </w:p>
        </w:tc>
        <w:tc>
          <w:tcPr>
            <w:tcW w:w="5" w:type="pct"/>
            <w:shd w:val="clear" w:color="auto" w:fill="auto"/>
            <w:vAlign w:val="bottom"/>
          </w:tcPr>
          <w:p w14:paraId="1860102C" w14:textId="77777777" w:rsidR="00A91885" w:rsidRDefault="00A91885">
            <w:pPr>
              <w:rPr>
                <w:rFonts w:ascii="宋体"/>
              </w:rPr>
            </w:pPr>
          </w:p>
        </w:tc>
        <w:tc>
          <w:tcPr>
            <w:tcW w:w="5" w:type="pct"/>
            <w:shd w:val="clear" w:color="auto" w:fill="auto"/>
            <w:vAlign w:val="bottom"/>
          </w:tcPr>
          <w:p w14:paraId="1860102D" w14:textId="77777777" w:rsidR="00A91885" w:rsidRDefault="00A91885">
            <w:pPr>
              <w:rPr>
                <w:rFonts w:ascii="宋体"/>
              </w:rPr>
            </w:pPr>
          </w:p>
        </w:tc>
        <w:tc>
          <w:tcPr>
            <w:tcW w:w="26" w:type="pct"/>
            <w:shd w:val="clear" w:color="auto" w:fill="auto"/>
            <w:vAlign w:val="bottom"/>
          </w:tcPr>
          <w:p w14:paraId="1860102E" w14:textId="77777777" w:rsidR="00A91885" w:rsidRDefault="00A91885">
            <w:pPr>
              <w:rPr>
                <w:rFonts w:ascii="宋体"/>
              </w:rPr>
            </w:pPr>
          </w:p>
        </w:tc>
        <w:tc>
          <w:tcPr>
            <w:tcW w:w="5" w:type="pct"/>
            <w:shd w:val="clear" w:color="auto" w:fill="auto"/>
            <w:vAlign w:val="bottom"/>
          </w:tcPr>
          <w:p w14:paraId="1860102F" w14:textId="77777777" w:rsidR="00A91885" w:rsidRDefault="00A91885">
            <w:pPr>
              <w:rPr>
                <w:rFonts w:ascii="宋体"/>
              </w:rPr>
            </w:pPr>
          </w:p>
        </w:tc>
        <w:tc>
          <w:tcPr>
            <w:tcW w:w="50" w:type="pct"/>
            <w:shd w:val="clear" w:color="auto" w:fill="auto"/>
            <w:vAlign w:val="bottom"/>
          </w:tcPr>
          <w:p w14:paraId="18601030" w14:textId="77777777" w:rsidR="00A91885" w:rsidRDefault="00A91885">
            <w:pPr>
              <w:rPr>
                <w:rFonts w:ascii="宋体"/>
              </w:rPr>
            </w:pPr>
          </w:p>
        </w:tc>
        <w:tc>
          <w:tcPr>
            <w:tcW w:w="618" w:type="pct"/>
            <w:shd w:val="clear" w:color="auto" w:fill="auto"/>
            <w:vAlign w:val="bottom"/>
          </w:tcPr>
          <w:p w14:paraId="18601031" w14:textId="77777777" w:rsidR="00A91885" w:rsidRDefault="00A91885">
            <w:pPr>
              <w:rPr>
                <w:rFonts w:ascii="宋体"/>
              </w:rPr>
            </w:pPr>
          </w:p>
        </w:tc>
        <w:tc>
          <w:tcPr>
            <w:tcW w:w="5" w:type="pct"/>
            <w:shd w:val="clear" w:color="auto" w:fill="auto"/>
            <w:vAlign w:val="bottom"/>
          </w:tcPr>
          <w:p w14:paraId="18601032" w14:textId="77777777" w:rsidR="00A91885" w:rsidRDefault="00A91885">
            <w:pPr>
              <w:rPr>
                <w:rFonts w:ascii="宋体"/>
              </w:rPr>
            </w:pPr>
          </w:p>
        </w:tc>
        <w:tc>
          <w:tcPr>
            <w:tcW w:w="5" w:type="pct"/>
            <w:shd w:val="clear" w:color="auto" w:fill="auto"/>
            <w:vAlign w:val="bottom"/>
          </w:tcPr>
          <w:p w14:paraId="18601033" w14:textId="77777777" w:rsidR="00A91885" w:rsidRDefault="00A91885">
            <w:pPr>
              <w:rPr>
                <w:rFonts w:ascii="宋体"/>
              </w:rPr>
            </w:pPr>
          </w:p>
        </w:tc>
        <w:tc>
          <w:tcPr>
            <w:tcW w:w="26" w:type="pct"/>
            <w:shd w:val="clear" w:color="auto" w:fill="auto"/>
            <w:vAlign w:val="bottom"/>
          </w:tcPr>
          <w:p w14:paraId="18601034" w14:textId="77777777" w:rsidR="00A91885" w:rsidRDefault="00A91885">
            <w:pPr>
              <w:rPr>
                <w:rFonts w:ascii="宋体"/>
              </w:rPr>
            </w:pPr>
          </w:p>
        </w:tc>
        <w:tc>
          <w:tcPr>
            <w:tcW w:w="5" w:type="pct"/>
            <w:shd w:val="clear" w:color="auto" w:fill="auto"/>
            <w:vAlign w:val="bottom"/>
          </w:tcPr>
          <w:p w14:paraId="18601035" w14:textId="77777777" w:rsidR="00A91885" w:rsidRDefault="00A91885">
            <w:pPr>
              <w:rPr>
                <w:rFonts w:ascii="宋体"/>
              </w:rPr>
            </w:pPr>
          </w:p>
        </w:tc>
        <w:tc>
          <w:tcPr>
            <w:tcW w:w="50" w:type="pct"/>
            <w:shd w:val="clear" w:color="auto" w:fill="auto"/>
            <w:vAlign w:val="bottom"/>
          </w:tcPr>
          <w:p w14:paraId="18601036" w14:textId="77777777" w:rsidR="00A91885" w:rsidRDefault="00A91885">
            <w:pPr>
              <w:rPr>
                <w:rFonts w:ascii="宋体"/>
              </w:rPr>
            </w:pPr>
          </w:p>
        </w:tc>
        <w:tc>
          <w:tcPr>
            <w:tcW w:w="538" w:type="pct"/>
            <w:shd w:val="clear" w:color="auto" w:fill="auto"/>
            <w:vAlign w:val="bottom"/>
          </w:tcPr>
          <w:p w14:paraId="18601037" w14:textId="77777777" w:rsidR="00A91885" w:rsidRDefault="00A91885">
            <w:pPr>
              <w:rPr>
                <w:rFonts w:ascii="宋体"/>
              </w:rPr>
            </w:pPr>
          </w:p>
        </w:tc>
        <w:tc>
          <w:tcPr>
            <w:tcW w:w="5" w:type="pct"/>
            <w:shd w:val="clear" w:color="auto" w:fill="auto"/>
            <w:vAlign w:val="bottom"/>
          </w:tcPr>
          <w:p w14:paraId="18601038" w14:textId="77777777" w:rsidR="00A91885" w:rsidRDefault="00A91885">
            <w:pPr>
              <w:rPr>
                <w:rFonts w:ascii="宋体"/>
              </w:rPr>
            </w:pPr>
          </w:p>
        </w:tc>
      </w:tr>
      <w:tr w:rsidR="00A91885" w14:paraId="18601045" w14:textId="77777777">
        <w:trPr>
          <w:jc w:val="center"/>
        </w:trPr>
        <w:tc>
          <w:tcPr>
            <w:tcW w:w="0" w:type="auto"/>
            <w:gridSpan w:val="3"/>
            <w:shd w:val="clear" w:color="auto" w:fill="auto"/>
            <w:tcMar>
              <w:top w:w="0" w:type="dxa"/>
              <w:left w:w="20" w:type="dxa"/>
              <w:bottom w:w="0" w:type="dxa"/>
              <w:right w:w="20" w:type="dxa"/>
            </w:tcMar>
            <w:vAlign w:val="bottom"/>
          </w:tcPr>
          <w:p w14:paraId="1860103A"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03B" w14:textId="77777777" w:rsidR="00A91885" w:rsidRDefault="009C4196">
            <w:pPr>
              <w:jc w:val="center"/>
              <w:textAlignment w:val="bottom"/>
            </w:pPr>
            <w:r>
              <w:rPr>
                <w:rFonts w:ascii="Arial" w:eastAsia="宋体" w:hAnsi="Arial" w:cs="Arial"/>
                <w:b/>
                <w:bCs/>
                <w:color w:val="000000"/>
                <w:sz w:val="17"/>
                <w:szCs w:val="17"/>
              </w:rPr>
              <w:t>Shares</w:t>
            </w:r>
          </w:p>
          <w:p w14:paraId="1860103C" w14:textId="77777777" w:rsidR="00A91885" w:rsidRDefault="009C4196">
            <w:pPr>
              <w:jc w:val="center"/>
              <w:textAlignment w:val="bottom"/>
            </w:pPr>
            <w:r>
              <w:rPr>
                <w:rFonts w:ascii="Arial" w:eastAsia="宋体" w:hAnsi="Arial" w:cs="Arial"/>
                <w:b/>
                <w:bCs/>
                <w:color w:val="000000"/>
                <w:sz w:val="17"/>
                <w:szCs w:val="17"/>
              </w:rPr>
              <w:t xml:space="preserve">Repurchased </w:t>
            </w:r>
            <w:r>
              <w:rPr>
                <w:rFonts w:ascii="Arial" w:eastAsia="宋体" w:hAnsi="Arial" w:cs="Arial"/>
                <w:b/>
                <w:bCs/>
                <w:color w:val="000000"/>
                <w:sz w:val="11"/>
                <w:szCs w:val="11"/>
              </w:rPr>
              <w:t>(1)</w:t>
            </w:r>
          </w:p>
        </w:tc>
        <w:tc>
          <w:tcPr>
            <w:tcW w:w="0" w:type="auto"/>
            <w:gridSpan w:val="3"/>
            <w:shd w:val="clear" w:color="auto" w:fill="auto"/>
            <w:tcMar>
              <w:top w:w="0" w:type="dxa"/>
              <w:left w:w="20" w:type="dxa"/>
              <w:bottom w:w="0" w:type="dxa"/>
              <w:right w:w="20" w:type="dxa"/>
            </w:tcMar>
            <w:vAlign w:val="bottom"/>
          </w:tcPr>
          <w:p w14:paraId="1860103D"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03E" w14:textId="77777777" w:rsidR="00A91885" w:rsidRDefault="009C4196">
            <w:pPr>
              <w:jc w:val="center"/>
              <w:textAlignment w:val="bottom"/>
            </w:pPr>
            <w:r>
              <w:rPr>
                <w:rFonts w:ascii="Arial" w:eastAsia="宋体" w:hAnsi="Arial" w:cs="Arial"/>
                <w:b/>
                <w:bCs/>
                <w:color w:val="000000"/>
                <w:sz w:val="17"/>
                <w:szCs w:val="17"/>
              </w:rPr>
              <w:t>Average Price</w:t>
            </w:r>
          </w:p>
          <w:p w14:paraId="1860103F" w14:textId="77777777" w:rsidR="00A91885" w:rsidRDefault="009C4196">
            <w:pPr>
              <w:jc w:val="center"/>
              <w:textAlignment w:val="bottom"/>
            </w:pPr>
            <w:r>
              <w:rPr>
                <w:rFonts w:ascii="Arial" w:eastAsia="宋体" w:hAnsi="Arial" w:cs="Arial"/>
                <w:b/>
                <w:bCs/>
                <w:color w:val="000000"/>
                <w:sz w:val="17"/>
                <w:szCs w:val="17"/>
              </w:rPr>
              <w:t xml:space="preserve">per Share </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18601040"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041" w14:textId="77777777" w:rsidR="00A91885" w:rsidRDefault="009C4196">
            <w:pPr>
              <w:jc w:val="center"/>
              <w:textAlignment w:val="bottom"/>
            </w:pPr>
            <w:r>
              <w:rPr>
                <w:rFonts w:ascii="Arial" w:eastAsia="宋体" w:hAnsi="Arial" w:cs="Arial"/>
                <w:b/>
                <w:bCs/>
                <w:color w:val="000000"/>
                <w:sz w:val="17"/>
                <w:szCs w:val="17"/>
              </w:rPr>
              <w:t>Value of Shares</w:t>
            </w:r>
          </w:p>
          <w:p w14:paraId="18601042" w14:textId="77777777" w:rsidR="00A91885" w:rsidRDefault="009C4196">
            <w:pPr>
              <w:jc w:val="center"/>
              <w:textAlignment w:val="bottom"/>
            </w:pPr>
            <w:r>
              <w:rPr>
                <w:rFonts w:ascii="Arial" w:eastAsia="宋体" w:hAnsi="Arial" w:cs="Arial"/>
                <w:b/>
                <w:bCs/>
                <w:color w:val="000000"/>
                <w:sz w:val="17"/>
                <w:szCs w:val="17"/>
              </w:rPr>
              <w:t xml:space="preserve">Repurchased </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18601043"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044" w14:textId="77777777" w:rsidR="00A91885" w:rsidRDefault="009C4196">
            <w:pPr>
              <w:jc w:val="center"/>
              <w:textAlignment w:val="bottom"/>
            </w:pPr>
            <w:r>
              <w:rPr>
                <w:rFonts w:ascii="Arial" w:eastAsia="宋体" w:hAnsi="Arial" w:cs="Arial"/>
                <w:b/>
                <w:bCs/>
                <w:color w:val="000000"/>
                <w:sz w:val="17"/>
                <w:szCs w:val="17"/>
              </w:rPr>
              <w:t>Remaining Amount Authorized</w:t>
            </w:r>
          </w:p>
        </w:tc>
      </w:tr>
      <w:tr w:rsidR="00A91885" w14:paraId="18601050" w14:textId="77777777">
        <w:trPr>
          <w:jc w:val="center"/>
        </w:trPr>
        <w:tc>
          <w:tcPr>
            <w:tcW w:w="0" w:type="auto"/>
            <w:gridSpan w:val="3"/>
            <w:shd w:val="clear" w:color="auto" w:fill="E1E1E1"/>
            <w:tcMar>
              <w:top w:w="40" w:type="dxa"/>
              <w:left w:w="20" w:type="dxa"/>
              <w:bottom w:w="40" w:type="dxa"/>
              <w:right w:w="20" w:type="dxa"/>
            </w:tcMar>
            <w:vAlign w:val="bottom"/>
          </w:tcPr>
          <w:p w14:paraId="18601046" w14:textId="77777777" w:rsidR="00A91885" w:rsidRDefault="009C4196">
            <w:pPr>
              <w:textAlignment w:val="bottom"/>
            </w:pPr>
            <w:r>
              <w:rPr>
                <w:rFonts w:ascii="Arial" w:eastAsia="宋体" w:hAnsi="Arial" w:cs="Arial"/>
                <w:color w:val="000000"/>
                <w:sz w:val="18"/>
                <w:szCs w:val="18"/>
              </w:rPr>
              <w:t>Balance as of January 1, 2022</w:t>
            </w: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8601047"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048" w14:textId="77777777" w:rsidR="00A91885" w:rsidRDefault="00A91885">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8601049"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04A" w14:textId="77777777" w:rsidR="00A91885" w:rsidRDefault="00A91885">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860104B"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04C"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60104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60104E" w14:textId="77777777" w:rsidR="00A91885" w:rsidRDefault="009C4196">
            <w:pPr>
              <w:jc w:val="right"/>
              <w:textAlignment w:val="bottom"/>
            </w:pPr>
            <w:r>
              <w:rPr>
                <w:rFonts w:ascii="Arial" w:eastAsia="宋体" w:hAnsi="Arial" w:cs="Arial"/>
                <w:color w:val="000000"/>
                <w:sz w:val="18"/>
                <w:szCs w:val="18"/>
              </w:rPr>
              <w:t>1,991 </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04F" w14:textId="77777777" w:rsidR="00A91885" w:rsidRDefault="00A91885">
            <w:pPr>
              <w:jc w:val="right"/>
              <w:rPr>
                <w:rFonts w:ascii="宋体"/>
              </w:rPr>
            </w:pPr>
          </w:p>
        </w:tc>
      </w:tr>
      <w:tr w:rsidR="00A91885" w14:paraId="1860105A" w14:textId="77777777">
        <w:trPr>
          <w:jc w:val="center"/>
        </w:trPr>
        <w:tc>
          <w:tcPr>
            <w:tcW w:w="0" w:type="auto"/>
            <w:gridSpan w:val="3"/>
            <w:shd w:val="clear" w:color="auto" w:fill="FFFFFF"/>
            <w:tcMar>
              <w:top w:w="40" w:type="dxa"/>
              <w:left w:w="140" w:type="dxa"/>
              <w:bottom w:w="40" w:type="dxa"/>
              <w:right w:w="20" w:type="dxa"/>
            </w:tcMar>
            <w:vAlign w:val="bottom"/>
          </w:tcPr>
          <w:p w14:paraId="18601051" w14:textId="77777777" w:rsidR="00A91885" w:rsidRDefault="009C4196">
            <w:pPr>
              <w:textAlignment w:val="bottom"/>
            </w:pPr>
            <w:r>
              <w:rPr>
                <w:rFonts w:ascii="Arial" w:eastAsia="宋体" w:hAnsi="Arial" w:cs="Arial"/>
                <w:color w:val="000000"/>
                <w:sz w:val="18"/>
                <w:szCs w:val="18"/>
              </w:rPr>
              <w:t>Authorization of additional plan in February 2022</w:t>
            </w:r>
          </w:p>
        </w:tc>
        <w:tc>
          <w:tcPr>
            <w:tcW w:w="0" w:type="auto"/>
            <w:gridSpan w:val="3"/>
            <w:shd w:val="clear" w:color="auto" w:fill="FFFFFF"/>
            <w:tcMar>
              <w:top w:w="0" w:type="dxa"/>
              <w:left w:w="20" w:type="dxa"/>
              <w:bottom w:w="0" w:type="dxa"/>
              <w:right w:w="20" w:type="dxa"/>
            </w:tcMar>
            <w:vAlign w:val="bottom"/>
          </w:tcPr>
          <w:p w14:paraId="18601052"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053"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054"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055"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056"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05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058" w14:textId="77777777" w:rsidR="00A91885" w:rsidRDefault="009C4196">
            <w:pPr>
              <w:jc w:val="right"/>
              <w:textAlignment w:val="bottom"/>
            </w:pPr>
            <w:r>
              <w:rPr>
                <w:rFonts w:ascii="Arial" w:eastAsia="宋体" w:hAnsi="Arial" w:cs="Arial"/>
                <w:color w:val="000000"/>
                <w:sz w:val="18"/>
                <w:szCs w:val="18"/>
              </w:rPr>
              <w:t>4,000 </w:t>
            </w:r>
          </w:p>
        </w:tc>
        <w:tc>
          <w:tcPr>
            <w:tcW w:w="0" w:type="auto"/>
            <w:shd w:val="clear" w:color="auto" w:fill="FFFFFF"/>
            <w:tcMar>
              <w:top w:w="40" w:type="dxa"/>
              <w:left w:w="0" w:type="dxa"/>
              <w:bottom w:w="40" w:type="dxa"/>
              <w:right w:w="20" w:type="dxa"/>
            </w:tcMar>
            <w:vAlign w:val="bottom"/>
          </w:tcPr>
          <w:p w14:paraId="18601059" w14:textId="77777777" w:rsidR="00A91885" w:rsidRDefault="00A91885">
            <w:pPr>
              <w:jc w:val="right"/>
              <w:rPr>
                <w:rFonts w:ascii="宋体"/>
              </w:rPr>
            </w:pPr>
          </w:p>
        </w:tc>
      </w:tr>
      <w:tr w:rsidR="00A91885" w14:paraId="18601063" w14:textId="77777777">
        <w:trPr>
          <w:jc w:val="center"/>
          <w:hidden/>
        </w:trPr>
        <w:tc>
          <w:tcPr>
            <w:tcW w:w="0" w:type="auto"/>
            <w:gridSpan w:val="3"/>
            <w:shd w:val="clear" w:color="auto" w:fill="auto"/>
            <w:vAlign w:val="bottom"/>
          </w:tcPr>
          <w:p w14:paraId="1860105B" w14:textId="77777777" w:rsidR="00A91885" w:rsidRDefault="00A91885">
            <w:pPr>
              <w:rPr>
                <w:rFonts w:ascii="宋体"/>
                <w:vanish/>
              </w:rPr>
            </w:pPr>
          </w:p>
        </w:tc>
        <w:tc>
          <w:tcPr>
            <w:tcW w:w="0" w:type="auto"/>
            <w:gridSpan w:val="3"/>
            <w:shd w:val="clear" w:color="auto" w:fill="auto"/>
            <w:vAlign w:val="bottom"/>
          </w:tcPr>
          <w:p w14:paraId="1860105C" w14:textId="77777777" w:rsidR="00A91885" w:rsidRDefault="00A91885">
            <w:pPr>
              <w:rPr>
                <w:rFonts w:ascii="宋体"/>
                <w:vanish/>
              </w:rPr>
            </w:pPr>
          </w:p>
        </w:tc>
        <w:tc>
          <w:tcPr>
            <w:tcW w:w="0" w:type="auto"/>
            <w:gridSpan w:val="3"/>
            <w:shd w:val="clear" w:color="auto" w:fill="auto"/>
            <w:vAlign w:val="bottom"/>
          </w:tcPr>
          <w:p w14:paraId="1860105D" w14:textId="77777777" w:rsidR="00A91885" w:rsidRDefault="00A91885">
            <w:pPr>
              <w:rPr>
                <w:rFonts w:ascii="宋体"/>
                <w:vanish/>
              </w:rPr>
            </w:pPr>
          </w:p>
        </w:tc>
        <w:tc>
          <w:tcPr>
            <w:tcW w:w="0" w:type="auto"/>
            <w:gridSpan w:val="3"/>
            <w:shd w:val="clear" w:color="auto" w:fill="auto"/>
            <w:vAlign w:val="bottom"/>
          </w:tcPr>
          <w:p w14:paraId="1860105E" w14:textId="77777777" w:rsidR="00A91885" w:rsidRDefault="00A91885">
            <w:pPr>
              <w:rPr>
                <w:rFonts w:ascii="宋体"/>
                <w:vanish/>
              </w:rPr>
            </w:pPr>
          </w:p>
        </w:tc>
        <w:tc>
          <w:tcPr>
            <w:tcW w:w="0" w:type="auto"/>
            <w:gridSpan w:val="3"/>
            <w:shd w:val="clear" w:color="auto" w:fill="auto"/>
            <w:vAlign w:val="bottom"/>
          </w:tcPr>
          <w:p w14:paraId="1860105F" w14:textId="77777777" w:rsidR="00A91885" w:rsidRDefault="00A91885">
            <w:pPr>
              <w:rPr>
                <w:rFonts w:ascii="宋体"/>
                <w:vanish/>
              </w:rPr>
            </w:pPr>
          </w:p>
        </w:tc>
        <w:tc>
          <w:tcPr>
            <w:tcW w:w="0" w:type="auto"/>
            <w:gridSpan w:val="3"/>
            <w:shd w:val="clear" w:color="auto" w:fill="auto"/>
            <w:vAlign w:val="bottom"/>
          </w:tcPr>
          <w:p w14:paraId="18601060" w14:textId="77777777" w:rsidR="00A91885" w:rsidRDefault="00A91885">
            <w:pPr>
              <w:rPr>
                <w:rFonts w:ascii="宋体"/>
                <w:vanish/>
              </w:rPr>
            </w:pPr>
          </w:p>
        </w:tc>
        <w:tc>
          <w:tcPr>
            <w:tcW w:w="0" w:type="auto"/>
            <w:gridSpan w:val="3"/>
            <w:shd w:val="clear" w:color="auto" w:fill="auto"/>
            <w:vAlign w:val="bottom"/>
          </w:tcPr>
          <w:p w14:paraId="18601061" w14:textId="77777777" w:rsidR="00A91885" w:rsidRDefault="00A91885">
            <w:pPr>
              <w:rPr>
                <w:rFonts w:ascii="宋体"/>
                <w:vanish/>
              </w:rPr>
            </w:pPr>
          </w:p>
        </w:tc>
        <w:tc>
          <w:tcPr>
            <w:tcW w:w="0" w:type="auto"/>
            <w:gridSpan w:val="3"/>
            <w:shd w:val="clear" w:color="auto" w:fill="auto"/>
            <w:vAlign w:val="bottom"/>
          </w:tcPr>
          <w:p w14:paraId="18601062" w14:textId="77777777" w:rsidR="00A91885" w:rsidRDefault="00A91885">
            <w:pPr>
              <w:rPr>
                <w:rFonts w:ascii="宋体"/>
                <w:vanish/>
              </w:rPr>
            </w:pPr>
          </w:p>
        </w:tc>
      </w:tr>
      <w:tr w:rsidR="00A91885" w14:paraId="18601072" w14:textId="77777777">
        <w:trPr>
          <w:jc w:val="center"/>
        </w:trPr>
        <w:tc>
          <w:tcPr>
            <w:tcW w:w="0" w:type="auto"/>
            <w:gridSpan w:val="3"/>
            <w:shd w:val="clear" w:color="auto" w:fill="E1E1E1"/>
            <w:tcMar>
              <w:top w:w="40" w:type="dxa"/>
              <w:left w:w="140" w:type="dxa"/>
              <w:bottom w:w="40" w:type="dxa"/>
              <w:right w:w="20" w:type="dxa"/>
            </w:tcMar>
            <w:vAlign w:val="bottom"/>
          </w:tcPr>
          <w:p w14:paraId="18601064" w14:textId="77777777" w:rsidR="00A91885" w:rsidRDefault="009C4196">
            <w:pPr>
              <w:textAlignment w:val="bottom"/>
            </w:pPr>
            <w:r>
              <w:rPr>
                <w:rFonts w:ascii="Arial" w:eastAsia="宋体" w:hAnsi="Arial" w:cs="Arial"/>
                <w:color w:val="000000"/>
                <w:sz w:val="18"/>
                <w:szCs w:val="18"/>
              </w:rPr>
              <w:t xml:space="preserve">Repurchase of shares of common stock </w:t>
            </w:r>
          </w:p>
        </w:tc>
        <w:tc>
          <w:tcPr>
            <w:tcW w:w="0" w:type="auto"/>
            <w:gridSpan w:val="2"/>
            <w:shd w:val="clear" w:color="auto" w:fill="E1E1E1"/>
            <w:tcMar>
              <w:top w:w="40" w:type="dxa"/>
              <w:left w:w="20" w:type="dxa"/>
              <w:bottom w:w="40" w:type="dxa"/>
              <w:right w:w="0" w:type="dxa"/>
            </w:tcMar>
            <w:vAlign w:val="bottom"/>
          </w:tcPr>
          <w:p w14:paraId="18601065" w14:textId="77777777" w:rsidR="00A91885" w:rsidRDefault="009C4196">
            <w:pPr>
              <w:jc w:val="right"/>
              <w:textAlignment w:val="bottom"/>
            </w:pPr>
            <w:r>
              <w:rPr>
                <w:rFonts w:ascii="Arial" w:eastAsia="宋体" w:hAnsi="Arial" w:cs="Arial"/>
                <w:color w:val="000000"/>
                <w:sz w:val="18"/>
                <w:szCs w:val="18"/>
              </w:rPr>
              <w:t>47 </w:t>
            </w:r>
          </w:p>
        </w:tc>
        <w:tc>
          <w:tcPr>
            <w:tcW w:w="0" w:type="auto"/>
            <w:shd w:val="clear" w:color="auto" w:fill="E1E1E1"/>
            <w:tcMar>
              <w:top w:w="40" w:type="dxa"/>
              <w:left w:w="0" w:type="dxa"/>
              <w:bottom w:w="40" w:type="dxa"/>
              <w:right w:w="20" w:type="dxa"/>
            </w:tcMar>
            <w:vAlign w:val="bottom"/>
          </w:tcPr>
          <w:p w14:paraId="18601066"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067" w14:textId="77777777" w:rsidR="00A91885" w:rsidRDefault="00A91885">
            <w:pPr>
              <w:rPr>
                <w:rFonts w:ascii="宋体"/>
              </w:rPr>
            </w:pPr>
          </w:p>
        </w:tc>
        <w:tc>
          <w:tcPr>
            <w:tcW w:w="0" w:type="auto"/>
            <w:shd w:val="clear" w:color="auto" w:fill="E1E1E1"/>
            <w:tcMar>
              <w:top w:w="40" w:type="dxa"/>
              <w:left w:w="20" w:type="dxa"/>
              <w:bottom w:w="40" w:type="dxa"/>
              <w:right w:w="0" w:type="dxa"/>
            </w:tcMar>
            <w:vAlign w:val="bottom"/>
          </w:tcPr>
          <w:p w14:paraId="18601068"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8601069" w14:textId="77777777" w:rsidR="00A91885" w:rsidRDefault="009C4196">
            <w:pPr>
              <w:jc w:val="right"/>
              <w:textAlignment w:val="bottom"/>
            </w:pPr>
            <w:r>
              <w:rPr>
                <w:rFonts w:ascii="Arial" w:eastAsia="宋体" w:hAnsi="Arial" w:cs="Arial"/>
                <w:color w:val="000000"/>
                <w:sz w:val="18"/>
                <w:szCs w:val="18"/>
              </w:rPr>
              <w:t>54.01 </w:t>
            </w:r>
          </w:p>
        </w:tc>
        <w:tc>
          <w:tcPr>
            <w:tcW w:w="0" w:type="auto"/>
            <w:shd w:val="clear" w:color="auto" w:fill="E1E1E1"/>
            <w:tcMar>
              <w:top w:w="40" w:type="dxa"/>
              <w:left w:w="0" w:type="dxa"/>
              <w:bottom w:w="40" w:type="dxa"/>
              <w:right w:w="20" w:type="dxa"/>
            </w:tcMar>
            <w:vAlign w:val="bottom"/>
          </w:tcPr>
          <w:p w14:paraId="1860106A"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06B" w14:textId="77777777" w:rsidR="00A91885" w:rsidRDefault="00A91885">
            <w:pPr>
              <w:rPr>
                <w:rFonts w:ascii="宋体"/>
              </w:rPr>
            </w:pPr>
          </w:p>
        </w:tc>
        <w:tc>
          <w:tcPr>
            <w:tcW w:w="0" w:type="auto"/>
            <w:shd w:val="clear" w:color="auto" w:fill="E1E1E1"/>
            <w:tcMar>
              <w:top w:w="40" w:type="dxa"/>
              <w:left w:w="20" w:type="dxa"/>
              <w:bottom w:w="40" w:type="dxa"/>
              <w:right w:w="0" w:type="dxa"/>
            </w:tcMar>
            <w:vAlign w:val="bottom"/>
          </w:tcPr>
          <w:p w14:paraId="1860106C"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860106D" w14:textId="77777777" w:rsidR="00A91885" w:rsidRDefault="009C4196">
            <w:pPr>
              <w:jc w:val="right"/>
              <w:textAlignment w:val="bottom"/>
            </w:pPr>
            <w:r>
              <w:rPr>
                <w:rFonts w:ascii="Arial" w:eastAsia="宋体" w:hAnsi="Arial" w:cs="Arial"/>
                <w:color w:val="000000"/>
                <w:sz w:val="18"/>
                <w:szCs w:val="18"/>
              </w:rPr>
              <w:t>2,542 </w:t>
            </w:r>
          </w:p>
        </w:tc>
        <w:tc>
          <w:tcPr>
            <w:tcW w:w="0" w:type="auto"/>
            <w:shd w:val="clear" w:color="auto" w:fill="E1E1E1"/>
            <w:tcMar>
              <w:top w:w="40" w:type="dxa"/>
              <w:left w:w="0" w:type="dxa"/>
              <w:bottom w:w="40" w:type="dxa"/>
              <w:right w:w="20" w:type="dxa"/>
            </w:tcMar>
            <w:vAlign w:val="bottom"/>
          </w:tcPr>
          <w:p w14:paraId="1860106E"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06F"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070" w14:textId="77777777" w:rsidR="00A91885" w:rsidRDefault="009C4196">
            <w:pPr>
              <w:jc w:val="right"/>
              <w:textAlignment w:val="bottom"/>
            </w:pPr>
            <w:r>
              <w:rPr>
                <w:rFonts w:ascii="Arial" w:eastAsia="宋体" w:hAnsi="Arial" w:cs="Arial"/>
                <w:color w:val="000000"/>
                <w:sz w:val="18"/>
                <w:szCs w:val="18"/>
              </w:rPr>
              <w:t>(2,542)</w:t>
            </w:r>
          </w:p>
        </w:tc>
        <w:tc>
          <w:tcPr>
            <w:tcW w:w="0" w:type="auto"/>
            <w:shd w:val="clear" w:color="auto" w:fill="E1E1E1"/>
            <w:tcMar>
              <w:top w:w="40" w:type="dxa"/>
              <w:left w:w="0" w:type="dxa"/>
              <w:bottom w:w="40" w:type="dxa"/>
              <w:right w:w="20" w:type="dxa"/>
            </w:tcMar>
            <w:vAlign w:val="bottom"/>
          </w:tcPr>
          <w:p w14:paraId="18601071" w14:textId="77777777" w:rsidR="00A91885" w:rsidRDefault="00A91885">
            <w:pPr>
              <w:jc w:val="right"/>
              <w:rPr>
                <w:rFonts w:ascii="宋体"/>
              </w:rPr>
            </w:pPr>
          </w:p>
        </w:tc>
      </w:tr>
      <w:tr w:rsidR="00A91885" w14:paraId="1860107F" w14:textId="77777777">
        <w:trPr>
          <w:jc w:val="center"/>
        </w:trPr>
        <w:tc>
          <w:tcPr>
            <w:tcW w:w="0" w:type="auto"/>
            <w:gridSpan w:val="3"/>
            <w:shd w:val="clear" w:color="auto" w:fill="FFFFFF"/>
            <w:tcMar>
              <w:top w:w="40" w:type="dxa"/>
              <w:left w:w="20" w:type="dxa"/>
              <w:bottom w:w="40" w:type="dxa"/>
              <w:right w:w="20" w:type="dxa"/>
            </w:tcMar>
            <w:vAlign w:val="bottom"/>
          </w:tcPr>
          <w:p w14:paraId="18601073" w14:textId="77777777" w:rsidR="00A91885" w:rsidRDefault="009C4196">
            <w:pPr>
              <w:textAlignment w:val="bottom"/>
            </w:pPr>
            <w:r>
              <w:rPr>
                <w:rFonts w:ascii="Arial" w:eastAsia="宋体" w:hAnsi="Arial" w:cs="Arial"/>
                <w:color w:val="000000"/>
                <w:sz w:val="18"/>
                <w:szCs w:val="18"/>
              </w:rPr>
              <w:t xml:space="preserve">Accelerated share repurchases </w:t>
            </w:r>
            <w:r>
              <w:rPr>
                <w:rFonts w:ascii="Arial" w:eastAsia="宋体" w:hAnsi="Arial" w:cs="Arial"/>
                <w:color w:val="000000"/>
                <w:sz w:val="11"/>
                <w:szCs w:val="11"/>
              </w:rPr>
              <w:t>(3)</w:t>
            </w:r>
          </w:p>
        </w:tc>
        <w:tc>
          <w:tcPr>
            <w:tcW w:w="0" w:type="auto"/>
            <w:gridSpan w:val="2"/>
            <w:shd w:val="clear" w:color="auto" w:fill="FFFFFF"/>
            <w:tcMar>
              <w:top w:w="40" w:type="dxa"/>
              <w:left w:w="20" w:type="dxa"/>
              <w:bottom w:w="40" w:type="dxa"/>
              <w:right w:w="0" w:type="dxa"/>
            </w:tcMar>
            <w:vAlign w:val="bottom"/>
          </w:tcPr>
          <w:p w14:paraId="18601074" w14:textId="77777777" w:rsidR="00A91885" w:rsidRDefault="009C4196">
            <w:pPr>
              <w:jc w:val="right"/>
              <w:textAlignment w:val="bottom"/>
            </w:pPr>
            <w:r>
              <w:rPr>
                <w:rFonts w:ascii="Arial" w:eastAsia="宋体" w:hAnsi="Arial" w:cs="Arial"/>
                <w:color w:val="000000"/>
                <w:sz w:val="18"/>
                <w:szCs w:val="18"/>
              </w:rPr>
              <w:t>3 </w:t>
            </w:r>
          </w:p>
        </w:tc>
        <w:tc>
          <w:tcPr>
            <w:tcW w:w="0" w:type="auto"/>
            <w:shd w:val="clear" w:color="auto" w:fill="FFFFFF"/>
            <w:tcMar>
              <w:top w:w="40" w:type="dxa"/>
              <w:left w:w="0" w:type="dxa"/>
              <w:bottom w:w="40" w:type="dxa"/>
              <w:right w:w="20" w:type="dxa"/>
            </w:tcMar>
            <w:vAlign w:val="bottom"/>
          </w:tcPr>
          <w:p w14:paraId="1860107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076"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077"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078"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079"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07A"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107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07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07D"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107E" w14:textId="77777777" w:rsidR="00A91885" w:rsidRDefault="00A91885">
            <w:pPr>
              <w:jc w:val="right"/>
              <w:rPr>
                <w:rFonts w:ascii="宋体"/>
              </w:rPr>
            </w:pPr>
          </w:p>
        </w:tc>
      </w:tr>
      <w:tr w:rsidR="00A91885" w14:paraId="18601088" w14:textId="77777777">
        <w:trPr>
          <w:jc w:val="center"/>
          <w:hidden/>
        </w:trPr>
        <w:tc>
          <w:tcPr>
            <w:tcW w:w="0" w:type="auto"/>
            <w:gridSpan w:val="3"/>
            <w:shd w:val="clear" w:color="auto" w:fill="auto"/>
            <w:vAlign w:val="bottom"/>
          </w:tcPr>
          <w:p w14:paraId="18601080" w14:textId="77777777" w:rsidR="00A91885" w:rsidRDefault="00A91885">
            <w:pPr>
              <w:rPr>
                <w:rFonts w:ascii="宋体"/>
                <w:vanish/>
              </w:rPr>
            </w:pPr>
          </w:p>
        </w:tc>
        <w:tc>
          <w:tcPr>
            <w:tcW w:w="0" w:type="auto"/>
            <w:gridSpan w:val="3"/>
            <w:shd w:val="clear" w:color="auto" w:fill="auto"/>
            <w:vAlign w:val="bottom"/>
          </w:tcPr>
          <w:p w14:paraId="18601081" w14:textId="77777777" w:rsidR="00A91885" w:rsidRDefault="00A91885">
            <w:pPr>
              <w:rPr>
                <w:rFonts w:ascii="宋体"/>
                <w:vanish/>
              </w:rPr>
            </w:pPr>
          </w:p>
        </w:tc>
        <w:tc>
          <w:tcPr>
            <w:tcW w:w="0" w:type="auto"/>
            <w:gridSpan w:val="3"/>
            <w:shd w:val="clear" w:color="auto" w:fill="auto"/>
            <w:vAlign w:val="bottom"/>
          </w:tcPr>
          <w:p w14:paraId="18601082" w14:textId="77777777" w:rsidR="00A91885" w:rsidRDefault="00A91885">
            <w:pPr>
              <w:rPr>
                <w:rFonts w:ascii="宋体"/>
                <w:vanish/>
              </w:rPr>
            </w:pPr>
          </w:p>
        </w:tc>
        <w:tc>
          <w:tcPr>
            <w:tcW w:w="0" w:type="auto"/>
            <w:gridSpan w:val="3"/>
            <w:shd w:val="clear" w:color="auto" w:fill="auto"/>
            <w:vAlign w:val="bottom"/>
          </w:tcPr>
          <w:p w14:paraId="18601083" w14:textId="77777777" w:rsidR="00A91885" w:rsidRDefault="00A91885">
            <w:pPr>
              <w:rPr>
                <w:rFonts w:ascii="宋体"/>
                <w:vanish/>
              </w:rPr>
            </w:pPr>
          </w:p>
        </w:tc>
        <w:tc>
          <w:tcPr>
            <w:tcW w:w="0" w:type="auto"/>
            <w:gridSpan w:val="3"/>
            <w:shd w:val="clear" w:color="auto" w:fill="auto"/>
            <w:vAlign w:val="bottom"/>
          </w:tcPr>
          <w:p w14:paraId="18601084" w14:textId="77777777" w:rsidR="00A91885" w:rsidRDefault="00A91885">
            <w:pPr>
              <w:rPr>
                <w:rFonts w:ascii="宋体"/>
                <w:vanish/>
              </w:rPr>
            </w:pPr>
          </w:p>
        </w:tc>
        <w:tc>
          <w:tcPr>
            <w:tcW w:w="0" w:type="auto"/>
            <w:gridSpan w:val="3"/>
            <w:shd w:val="clear" w:color="auto" w:fill="auto"/>
            <w:vAlign w:val="bottom"/>
          </w:tcPr>
          <w:p w14:paraId="18601085" w14:textId="77777777" w:rsidR="00A91885" w:rsidRDefault="00A91885">
            <w:pPr>
              <w:rPr>
                <w:rFonts w:ascii="宋体"/>
                <w:vanish/>
              </w:rPr>
            </w:pPr>
          </w:p>
        </w:tc>
        <w:tc>
          <w:tcPr>
            <w:tcW w:w="0" w:type="auto"/>
            <w:gridSpan w:val="3"/>
            <w:shd w:val="clear" w:color="auto" w:fill="auto"/>
            <w:vAlign w:val="bottom"/>
          </w:tcPr>
          <w:p w14:paraId="18601086" w14:textId="77777777" w:rsidR="00A91885" w:rsidRDefault="00A91885">
            <w:pPr>
              <w:rPr>
                <w:rFonts w:ascii="宋体"/>
                <w:vanish/>
              </w:rPr>
            </w:pPr>
          </w:p>
        </w:tc>
        <w:tc>
          <w:tcPr>
            <w:tcW w:w="0" w:type="auto"/>
            <w:gridSpan w:val="3"/>
            <w:shd w:val="clear" w:color="auto" w:fill="auto"/>
            <w:vAlign w:val="bottom"/>
          </w:tcPr>
          <w:p w14:paraId="18601087" w14:textId="77777777" w:rsidR="00A91885" w:rsidRDefault="00A91885">
            <w:pPr>
              <w:rPr>
                <w:rFonts w:ascii="宋体"/>
                <w:vanish/>
              </w:rPr>
            </w:pPr>
          </w:p>
        </w:tc>
      </w:tr>
      <w:tr w:rsidR="00A91885" w14:paraId="18601093" w14:textId="77777777">
        <w:trPr>
          <w:jc w:val="center"/>
        </w:trPr>
        <w:tc>
          <w:tcPr>
            <w:tcW w:w="0" w:type="auto"/>
            <w:gridSpan w:val="3"/>
            <w:shd w:val="clear" w:color="auto" w:fill="E1E1E1"/>
            <w:tcMar>
              <w:top w:w="40" w:type="dxa"/>
              <w:left w:w="20" w:type="dxa"/>
              <w:bottom w:w="40" w:type="dxa"/>
              <w:right w:w="20" w:type="dxa"/>
            </w:tcMar>
            <w:vAlign w:val="bottom"/>
          </w:tcPr>
          <w:p w14:paraId="18601089" w14:textId="77777777" w:rsidR="00A91885" w:rsidRDefault="009C4196">
            <w:pPr>
              <w:textAlignment w:val="bottom"/>
            </w:pPr>
            <w:r>
              <w:rPr>
                <w:rFonts w:ascii="Arial" w:eastAsia="宋体" w:hAnsi="Arial" w:cs="Arial"/>
                <w:color w:val="000000"/>
                <w:sz w:val="18"/>
                <w:szCs w:val="18"/>
              </w:rPr>
              <w:t>Balance as of June 30, 2022</w:t>
            </w:r>
          </w:p>
        </w:tc>
        <w:tc>
          <w:tcPr>
            <w:tcW w:w="0" w:type="auto"/>
            <w:gridSpan w:val="3"/>
            <w:shd w:val="clear" w:color="auto" w:fill="E1E1E1"/>
            <w:tcMar>
              <w:top w:w="0" w:type="dxa"/>
              <w:left w:w="20" w:type="dxa"/>
              <w:bottom w:w="0" w:type="dxa"/>
              <w:right w:w="20" w:type="dxa"/>
            </w:tcMar>
            <w:vAlign w:val="bottom"/>
          </w:tcPr>
          <w:p w14:paraId="1860108A"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08B"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08C"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08D"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08E"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08F" w14:textId="77777777" w:rsidR="00A91885" w:rsidRDefault="00A91885">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60109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601091" w14:textId="77777777" w:rsidR="00A91885" w:rsidRDefault="009C4196">
            <w:pPr>
              <w:jc w:val="right"/>
              <w:textAlignment w:val="bottom"/>
            </w:pPr>
            <w:r>
              <w:rPr>
                <w:rFonts w:ascii="Arial" w:eastAsia="宋体" w:hAnsi="Arial" w:cs="Arial"/>
                <w:color w:val="000000"/>
                <w:sz w:val="18"/>
                <w:szCs w:val="18"/>
              </w:rPr>
              <w:t>3,449 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601092" w14:textId="77777777" w:rsidR="00A91885" w:rsidRDefault="00A91885">
            <w:pPr>
              <w:jc w:val="right"/>
              <w:rPr>
                <w:rFonts w:ascii="宋体"/>
              </w:rPr>
            </w:pPr>
          </w:p>
        </w:tc>
      </w:tr>
    </w:tbl>
    <w:p w14:paraId="18601094" w14:textId="77777777" w:rsidR="00A91885" w:rsidRDefault="009C4196">
      <w:pPr>
        <w:ind w:hanging="180"/>
        <w:jc w:val="both"/>
      </w:pPr>
      <w:r>
        <w:rPr>
          <w:rFonts w:ascii="Arial" w:eastAsia="宋体" w:hAnsi="Arial" w:cs="Arial"/>
          <w:color w:val="000000"/>
          <w:sz w:val="13"/>
          <w:szCs w:val="13"/>
        </w:rPr>
        <w:t xml:space="preserve">(1) </w:t>
      </w:r>
      <w:r>
        <w:rPr>
          <w:rFonts w:ascii="Arial" w:eastAsia="宋体" w:hAnsi="Arial" w:cs="Arial"/>
          <w:color w:val="000000"/>
          <w:sz w:val="16"/>
          <w:szCs w:val="16"/>
        </w:rPr>
        <w:t xml:space="preserve">These repurchased shares of common stock were recorded as treasury stock and were accounted for under the cost method. None of the repurchased shares of common stock have been retired. </w:t>
      </w:r>
    </w:p>
    <w:p w14:paraId="18601095" w14:textId="77777777" w:rsidR="00A91885" w:rsidRDefault="009C4196">
      <w:pPr>
        <w:ind w:hanging="270"/>
        <w:jc w:val="both"/>
      </w:pPr>
      <w:r>
        <w:rPr>
          <w:rFonts w:ascii="Arial" w:eastAsia="宋体" w:hAnsi="Arial" w:cs="Arial"/>
          <w:color w:val="000000"/>
          <w:sz w:val="13"/>
          <w:szCs w:val="13"/>
        </w:rPr>
        <w:t xml:space="preserve">(2) </w:t>
      </w:r>
      <w:r>
        <w:rPr>
          <w:rFonts w:ascii="Arial" w:eastAsia="宋体" w:hAnsi="Arial" w:cs="Arial"/>
          <w:color w:val="000000"/>
          <w:sz w:val="16"/>
          <w:szCs w:val="16"/>
        </w:rPr>
        <w:t>Excludes broker commissions.</w:t>
      </w:r>
    </w:p>
    <w:p w14:paraId="18601096" w14:textId="77777777" w:rsidR="00A91885" w:rsidRDefault="009C4196">
      <w:pPr>
        <w:ind w:hanging="180"/>
        <w:jc w:val="both"/>
      </w:pPr>
      <w:r>
        <w:rPr>
          <w:rFonts w:ascii="Arial" w:eastAsia="宋体" w:hAnsi="Arial" w:cs="Arial"/>
          <w:color w:val="000000"/>
          <w:sz w:val="13"/>
          <w:szCs w:val="13"/>
        </w:rPr>
        <w:t xml:space="preserve">(3) </w:t>
      </w:r>
      <w:r>
        <w:rPr>
          <w:rFonts w:ascii="Arial" w:eastAsia="宋体" w:hAnsi="Arial" w:cs="Arial"/>
          <w:color w:val="000000"/>
          <w:sz w:val="16"/>
          <w:szCs w:val="16"/>
        </w:rPr>
        <w:t>As indicated above, in January 20</w:t>
      </w:r>
      <w:r>
        <w:rPr>
          <w:rFonts w:ascii="Arial" w:eastAsia="宋体" w:hAnsi="Arial" w:cs="Arial"/>
          <w:color w:val="000000"/>
          <w:sz w:val="16"/>
          <w:szCs w:val="16"/>
        </w:rPr>
        <w:t>22, the 2021 ASR Agreement with the remaining ASR Counterparty settled and resulted in delivery of approximately 3.3 million additional shares.</w:t>
      </w:r>
    </w:p>
    <w:p w14:paraId="18601097" w14:textId="77777777" w:rsidR="00A91885" w:rsidRDefault="00A91885">
      <w:pPr>
        <w:ind w:firstLine="540"/>
        <w:jc w:val="both"/>
      </w:pPr>
    </w:p>
    <w:p w14:paraId="18601098" w14:textId="77777777" w:rsidR="00A91885" w:rsidRDefault="00A91885">
      <w:pPr>
        <w:jc w:val="center"/>
      </w:pPr>
    </w:p>
    <w:p w14:paraId="18601099" w14:textId="77777777" w:rsidR="00A91885" w:rsidRDefault="009C4196">
      <w:pPr>
        <w:jc w:val="center"/>
      </w:pPr>
      <w:r>
        <w:rPr>
          <w:rFonts w:ascii="Arial" w:eastAsia="宋体" w:hAnsi="Arial" w:cs="Arial"/>
          <w:color w:val="000000"/>
          <w:sz w:val="20"/>
          <w:szCs w:val="20"/>
        </w:rPr>
        <w:t>40</w:t>
      </w:r>
    </w:p>
    <w:p w14:paraId="1860109A" w14:textId="77777777" w:rsidR="00A91885" w:rsidRDefault="009C4196">
      <w:r>
        <w:pict w14:anchorId="186021AB">
          <v:rect id="_x0000_i1064" style="width:415.3pt;height:1.5pt" o:hralign="center" o:hrstd="t" o:hr="t" fillcolor="#a0a0a0" stroked="f"/>
        </w:pict>
      </w:r>
    </w:p>
    <w:p w14:paraId="1860109B" w14:textId="77777777" w:rsidR="00A91885" w:rsidRDefault="009C4196">
      <w:hyperlink r:id="rId124" w:anchor="ieb971428a625452486c65ae24899afca_7" w:history="1">
        <w:r>
          <w:rPr>
            <w:rStyle w:val="a5"/>
            <w:rFonts w:ascii="Arial" w:eastAsia="宋体" w:hAnsi="Arial" w:cs="Arial"/>
            <w:sz w:val="18"/>
            <w:szCs w:val="18"/>
          </w:rPr>
          <w:t>Table of Contents</w:t>
        </w:r>
      </w:hyperlink>
    </w:p>
    <w:p w14:paraId="1860109C" w14:textId="77777777" w:rsidR="00A91885" w:rsidRDefault="009C4196">
      <w:pPr>
        <w:jc w:val="center"/>
      </w:pPr>
      <w:r>
        <w:rPr>
          <w:rFonts w:ascii="Arial" w:eastAsia="宋体" w:hAnsi="Arial" w:cs="Arial"/>
          <w:b/>
          <w:bCs/>
          <w:color w:val="000000"/>
          <w:sz w:val="20"/>
          <w:szCs w:val="20"/>
        </w:rPr>
        <w:t>eBay Inc.</w:t>
      </w:r>
    </w:p>
    <w:p w14:paraId="1860109D"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109E" w14:textId="77777777" w:rsidR="00A91885" w:rsidRDefault="009C4196">
      <w:pPr>
        <w:ind w:firstLine="270"/>
        <w:jc w:val="both"/>
      </w:pPr>
      <w:r>
        <w:rPr>
          <w:rFonts w:ascii="Arial" w:eastAsia="宋体" w:hAnsi="Arial" w:cs="Arial"/>
          <w:b/>
          <w:bCs/>
          <w:i/>
          <w:iCs/>
          <w:color w:val="000000"/>
          <w:sz w:val="20"/>
          <w:szCs w:val="20"/>
        </w:rPr>
        <w:t>Dividends</w:t>
      </w:r>
    </w:p>
    <w:p w14:paraId="1860109F" w14:textId="77777777" w:rsidR="00A91885" w:rsidRDefault="00A91885">
      <w:pPr>
        <w:ind w:firstLine="270"/>
      </w:pPr>
    </w:p>
    <w:p w14:paraId="186010A0" w14:textId="77777777" w:rsidR="00A91885" w:rsidRDefault="009C4196">
      <w:pPr>
        <w:ind w:firstLine="540"/>
        <w:jc w:val="both"/>
      </w:pPr>
      <w:r>
        <w:rPr>
          <w:rFonts w:ascii="Arial" w:eastAsia="宋体" w:hAnsi="Arial" w:cs="Arial"/>
          <w:color w:val="000000"/>
          <w:sz w:val="20"/>
          <w:szCs w:val="20"/>
        </w:rPr>
        <w:t>The Company paid a total of $121 million and $121 million in cash dividends during the three months ended June 30, 2022 and 2021, respectively, and $250 million and $243 million in cash dividends during the six months ended June 30, 2022 and 2021, respect</w:t>
      </w:r>
      <w:r>
        <w:rPr>
          <w:rFonts w:ascii="Arial" w:eastAsia="宋体" w:hAnsi="Arial" w:cs="Arial"/>
          <w:color w:val="000000"/>
          <w:sz w:val="20"/>
          <w:szCs w:val="20"/>
        </w:rPr>
        <w:t>ively. In August 2022, our Board of Directors declared a cash dividend of $0.22 per share of common stock to be paid on September 16, 2022 to stockholders of record as of September 1, 2022.</w:t>
      </w:r>
    </w:p>
    <w:p w14:paraId="186010A1" w14:textId="77777777" w:rsidR="00A91885" w:rsidRDefault="00A91885"/>
    <w:p w14:paraId="186010A2" w14:textId="77777777" w:rsidR="00A91885" w:rsidRDefault="00A91885">
      <w:pPr>
        <w:jc w:val="center"/>
      </w:pPr>
    </w:p>
    <w:p w14:paraId="186010A3" w14:textId="77777777" w:rsidR="00A91885" w:rsidRDefault="009C4196">
      <w:pPr>
        <w:jc w:val="center"/>
      </w:pPr>
      <w:r>
        <w:rPr>
          <w:rFonts w:ascii="Arial" w:eastAsia="宋体" w:hAnsi="Arial" w:cs="Arial"/>
          <w:color w:val="000000"/>
          <w:sz w:val="20"/>
          <w:szCs w:val="20"/>
        </w:rPr>
        <w:t>41</w:t>
      </w:r>
    </w:p>
    <w:p w14:paraId="186010A4" w14:textId="77777777" w:rsidR="00A91885" w:rsidRDefault="009C4196">
      <w:r>
        <w:pict w14:anchorId="186021AC">
          <v:rect id="_x0000_i1065" style="width:415.3pt;height:1.5pt" o:hralign="center" o:hrstd="t" o:hr="t" fillcolor="#a0a0a0" stroked="f"/>
        </w:pict>
      </w:r>
    </w:p>
    <w:p w14:paraId="186010A5" w14:textId="77777777" w:rsidR="00A91885" w:rsidRDefault="009C4196">
      <w:hyperlink r:id="rId125" w:anchor="ieb971428a625452486c65ae24899afca_7" w:history="1">
        <w:r>
          <w:rPr>
            <w:rStyle w:val="a5"/>
            <w:rFonts w:ascii="Arial" w:eastAsia="宋体" w:hAnsi="Arial" w:cs="Arial"/>
            <w:sz w:val="18"/>
            <w:szCs w:val="18"/>
          </w:rPr>
          <w:t>Table of Contents</w:t>
        </w:r>
      </w:hyperlink>
    </w:p>
    <w:p w14:paraId="186010A6" w14:textId="77777777" w:rsidR="00A91885" w:rsidRDefault="009C4196">
      <w:pPr>
        <w:jc w:val="center"/>
      </w:pPr>
      <w:r>
        <w:rPr>
          <w:rFonts w:ascii="Arial" w:eastAsia="宋体" w:hAnsi="Arial" w:cs="Arial"/>
          <w:b/>
          <w:bCs/>
          <w:color w:val="000000"/>
          <w:sz w:val="20"/>
          <w:szCs w:val="20"/>
        </w:rPr>
        <w:t>eBay Inc.</w:t>
      </w:r>
    </w:p>
    <w:p w14:paraId="186010A7"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10A8" w14:textId="77777777" w:rsidR="00A91885" w:rsidRDefault="009C4196">
      <w:r>
        <w:rPr>
          <w:rFonts w:ascii="Arial" w:eastAsia="宋体" w:hAnsi="Arial" w:cs="Arial"/>
          <w:b/>
          <w:bCs/>
          <w:color w:val="000000"/>
          <w:sz w:val="20"/>
          <w:szCs w:val="20"/>
        </w:rPr>
        <w:t>Note 13 — Employee Benefit Plans</w:t>
      </w:r>
    </w:p>
    <w:p w14:paraId="186010A9" w14:textId="77777777" w:rsidR="00A91885" w:rsidRDefault="00A91885"/>
    <w:p w14:paraId="186010AA" w14:textId="77777777" w:rsidR="00A91885" w:rsidRDefault="009C4196">
      <w:pPr>
        <w:ind w:firstLine="270"/>
      </w:pPr>
      <w:r>
        <w:rPr>
          <w:rFonts w:ascii="Arial" w:eastAsia="宋体" w:hAnsi="Arial" w:cs="Arial"/>
          <w:b/>
          <w:bCs/>
          <w:i/>
          <w:iCs/>
          <w:color w:val="000000"/>
          <w:sz w:val="20"/>
          <w:szCs w:val="20"/>
        </w:rPr>
        <w:t>Restricted Stock Unit Activity</w:t>
      </w:r>
    </w:p>
    <w:p w14:paraId="186010AB" w14:textId="77777777" w:rsidR="00A91885" w:rsidRDefault="00A91885"/>
    <w:p w14:paraId="186010AC" w14:textId="77777777" w:rsidR="00A91885" w:rsidRDefault="009C4196">
      <w:pPr>
        <w:spacing w:after="120"/>
        <w:ind w:firstLine="540"/>
        <w:jc w:val="both"/>
      </w:pPr>
      <w:r>
        <w:rPr>
          <w:rFonts w:ascii="Arial" w:eastAsia="宋体" w:hAnsi="Arial" w:cs="Arial"/>
          <w:color w:val="000000"/>
          <w:sz w:val="20"/>
          <w:szCs w:val="20"/>
        </w:rPr>
        <w:t xml:space="preserve">The following table presents restricted stock unit (“RSU”) activity under our equity incentive plans for the period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69"/>
        <w:gridCol w:w="7170"/>
        <w:gridCol w:w="36"/>
        <w:gridCol w:w="69"/>
        <w:gridCol w:w="956"/>
        <w:gridCol w:w="36"/>
      </w:tblGrid>
      <w:tr w:rsidR="00A91885" w14:paraId="186010B3" w14:textId="77777777">
        <w:tc>
          <w:tcPr>
            <w:tcW w:w="50" w:type="pct"/>
            <w:shd w:val="clear" w:color="auto" w:fill="auto"/>
            <w:vAlign w:val="bottom"/>
          </w:tcPr>
          <w:p w14:paraId="186010AD" w14:textId="77777777" w:rsidR="00A91885" w:rsidRDefault="00A91885">
            <w:pPr>
              <w:rPr>
                <w:rFonts w:ascii="宋体"/>
              </w:rPr>
            </w:pPr>
          </w:p>
        </w:tc>
        <w:tc>
          <w:tcPr>
            <w:tcW w:w="4309" w:type="pct"/>
            <w:shd w:val="clear" w:color="auto" w:fill="auto"/>
            <w:vAlign w:val="bottom"/>
          </w:tcPr>
          <w:p w14:paraId="186010AE" w14:textId="77777777" w:rsidR="00A91885" w:rsidRDefault="00A91885">
            <w:pPr>
              <w:rPr>
                <w:rFonts w:ascii="宋体"/>
              </w:rPr>
            </w:pPr>
          </w:p>
        </w:tc>
        <w:tc>
          <w:tcPr>
            <w:tcW w:w="5" w:type="pct"/>
            <w:shd w:val="clear" w:color="auto" w:fill="auto"/>
            <w:vAlign w:val="bottom"/>
          </w:tcPr>
          <w:p w14:paraId="186010AF" w14:textId="77777777" w:rsidR="00A91885" w:rsidRDefault="00A91885">
            <w:pPr>
              <w:rPr>
                <w:rFonts w:ascii="宋体"/>
              </w:rPr>
            </w:pPr>
          </w:p>
        </w:tc>
        <w:tc>
          <w:tcPr>
            <w:tcW w:w="50" w:type="pct"/>
            <w:shd w:val="clear" w:color="auto" w:fill="auto"/>
            <w:vAlign w:val="bottom"/>
          </w:tcPr>
          <w:p w14:paraId="186010B0" w14:textId="77777777" w:rsidR="00A91885" w:rsidRDefault="00A91885">
            <w:pPr>
              <w:rPr>
                <w:rFonts w:ascii="宋体"/>
              </w:rPr>
            </w:pPr>
          </w:p>
        </w:tc>
        <w:tc>
          <w:tcPr>
            <w:tcW w:w="581" w:type="pct"/>
            <w:shd w:val="clear" w:color="auto" w:fill="auto"/>
            <w:vAlign w:val="bottom"/>
          </w:tcPr>
          <w:p w14:paraId="186010B1" w14:textId="77777777" w:rsidR="00A91885" w:rsidRDefault="00A91885">
            <w:pPr>
              <w:rPr>
                <w:rFonts w:ascii="宋体"/>
              </w:rPr>
            </w:pPr>
          </w:p>
        </w:tc>
        <w:tc>
          <w:tcPr>
            <w:tcW w:w="5" w:type="pct"/>
            <w:shd w:val="clear" w:color="auto" w:fill="auto"/>
            <w:vAlign w:val="bottom"/>
          </w:tcPr>
          <w:p w14:paraId="186010B2" w14:textId="77777777" w:rsidR="00A91885" w:rsidRDefault="00A91885">
            <w:pPr>
              <w:rPr>
                <w:rFonts w:ascii="宋体"/>
              </w:rPr>
            </w:pPr>
          </w:p>
        </w:tc>
      </w:tr>
      <w:tr w:rsidR="00A91885" w14:paraId="186010B6" w14:textId="77777777">
        <w:tc>
          <w:tcPr>
            <w:tcW w:w="0" w:type="auto"/>
            <w:gridSpan w:val="3"/>
            <w:shd w:val="clear" w:color="auto" w:fill="auto"/>
            <w:tcMar>
              <w:top w:w="40" w:type="dxa"/>
              <w:left w:w="20" w:type="dxa"/>
              <w:bottom w:w="40" w:type="dxa"/>
              <w:right w:w="20" w:type="dxa"/>
            </w:tcMar>
            <w:vAlign w:val="bottom"/>
          </w:tcPr>
          <w:p w14:paraId="186010B4"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vAlign w:val="bottom"/>
          </w:tcPr>
          <w:p w14:paraId="186010B5" w14:textId="77777777" w:rsidR="00A91885" w:rsidRDefault="009C4196">
            <w:pPr>
              <w:jc w:val="center"/>
              <w:textAlignment w:val="bottom"/>
            </w:pPr>
            <w:r>
              <w:rPr>
                <w:rFonts w:ascii="Arial" w:eastAsia="宋体" w:hAnsi="Arial" w:cs="Arial"/>
                <w:b/>
                <w:bCs/>
                <w:color w:val="000000"/>
                <w:sz w:val="17"/>
                <w:szCs w:val="17"/>
              </w:rPr>
              <w:t>Units</w:t>
            </w:r>
          </w:p>
        </w:tc>
      </w:tr>
      <w:tr w:rsidR="00A91885" w14:paraId="186010BA" w14:textId="77777777">
        <w:tc>
          <w:tcPr>
            <w:tcW w:w="0" w:type="auto"/>
            <w:gridSpan w:val="3"/>
            <w:shd w:val="clear" w:color="auto" w:fill="E1E1E1"/>
            <w:tcMar>
              <w:top w:w="40" w:type="dxa"/>
              <w:left w:w="20" w:type="dxa"/>
              <w:bottom w:w="40" w:type="dxa"/>
              <w:right w:w="20" w:type="dxa"/>
            </w:tcMar>
            <w:vAlign w:val="bottom"/>
          </w:tcPr>
          <w:p w14:paraId="186010B7" w14:textId="77777777" w:rsidR="00A91885" w:rsidRDefault="009C4196">
            <w:pPr>
              <w:textAlignment w:val="bottom"/>
            </w:pPr>
            <w:r>
              <w:rPr>
                <w:rFonts w:ascii="Arial" w:eastAsia="宋体" w:hAnsi="Arial" w:cs="Arial"/>
                <w:color w:val="000000"/>
                <w:sz w:val="18"/>
                <w:szCs w:val="18"/>
              </w:rPr>
              <w:t>Outstanding as of January 1, 2022</w:t>
            </w: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10B8" w14:textId="77777777" w:rsidR="00A91885" w:rsidRDefault="009C4196">
            <w:pPr>
              <w:jc w:val="right"/>
              <w:textAlignment w:val="bottom"/>
            </w:pPr>
            <w:r>
              <w:rPr>
                <w:rFonts w:ascii="Arial" w:eastAsia="宋体" w:hAnsi="Arial" w:cs="Arial"/>
                <w:color w:val="000000"/>
                <w:sz w:val="18"/>
                <w:szCs w:val="18"/>
              </w:rPr>
              <w:t>20 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0B9" w14:textId="77777777" w:rsidR="00A91885" w:rsidRDefault="00A91885">
            <w:pPr>
              <w:jc w:val="right"/>
              <w:rPr>
                <w:rFonts w:ascii="宋体"/>
              </w:rPr>
            </w:pPr>
          </w:p>
        </w:tc>
      </w:tr>
      <w:tr w:rsidR="00A91885" w14:paraId="186010BE" w14:textId="77777777">
        <w:tc>
          <w:tcPr>
            <w:tcW w:w="0" w:type="auto"/>
            <w:gridSpan w:val="3"/>
            <w:shd w:val="clear" w:color="auto" w:fill="FFFFFF"/>
            <w:tcMar>
              <w:top w:w="40" w:type="dxa"/>
              <w:left w:w="140" w:type="dxa"/>
              <w:bottom w:w="40" w:type="dxa"/>
              <w:right w:w="20" w:type="dxa"/>
            </w:tcMar>
            <w:vAlign w:val="bottom"/>
          </w:tcPr>
          <w:p w14:paraId="186010BB" w14:textId="77777777" w:rsidR="00A91885" w:rsidRDefault="009C4196">
            <w:pPr>
              <w:textAlignment w:val="bottom"/>
            </w:pPr>
            <w:r>
              <w:rPr>
                <w:rFonts w:ascii="Arial" w:eastAsia="宋体" w:hAnsi="Arial" w:cs="Arial"/>
                <w:color w:val="000000"/>
                <w:sz w:val="18"/>
                <w:szCs w:val="18"/>
              </w:rPr>
              <w:t>Awarded</w:t>
            </w:r>
          </w:p>
        </w:tc>
        <w:tc>
          <w:tcPr>
            <w:tcW w:w="0" w:type="auto"/>
            <w:gridSpan w:val="2"/>
            <w:shd w:val="clear" w:color="auto" w:fill="FFFFFF"/>
            <w:tcMar>
              <w:top w:w="40" w:type="dxa"/>
              <w:left w:w="20" w:type="dxa"/>
              <w:bottom w:w="40" w:type="dxa"/>
              <w:right w:w="0" w:type="dxa"/>
            </w:tcMar>
            <w:vAlign w:val="bottom"/>
          </w:tcPr>
          <w:p w14:paraId="186010BC" w14:textId="77777777" w:rsidR="00A91885" w:rsidRDefault="009C4196">
            <w:pPr>
              <w:jc w:val="right"/>
              <w:textAlignment w:val="bottom"/>
            </w:pPr>
            <w:r>
              <w:rPr>
                <w:rFonts w:ascii="Arial" w:eastAsia="宋体" w:hAnsi="Arial" w:cs="Arial"/>
                <w:color w:val="000000"/>
                <w:sz w:val="18"/>
                <w:szCs w:val="18"/>
              </w:rPr>
              <w:t>12 </w:t>
            </w:r>
          </w:p>
        </w:tc>
        <w:tc>
          <w:tcPr>
            <w:tcW w:w="0" w:type="auto"/>
            <w:shd w:val="clear" w:color="auto" w:fill="FFFFFF"/>
            <w:tcMar>
              <w:top w:w="40" w:type="dxa"/>
              <w:left w:w="0" w:type="dxa"/>
              <w:bottom w:w="40" w:type="dxa"/>
              <w:right w:w="20" w:type="dxa"/>
            </w:tcMar>
            <w:vAlign w:val="bottom"/>
          </w:tcPr>
          <w:p w14:paraId="186010BD" w14:textId="77777777" w:rsidR="00A91885" w:rsidRDefault="00A91885">
            <w:pPr>
              <w:jc w:val="right"/>
              <w:rPr>
                <w:rFonts w:ascii="宋体"/>
              </w:rPr>
            </w:pPr>
          </w:p>
        </w:tc>
      </w:tr>
      <w:tr w:rsidR="00A91885" w14:paraId="186010C2" w14:textId="77777777">
        <w:tc>
          <w:tcPr>
            <w:tcW w:w="0" w:type="auto"/>
            <w:gridSpan w:val="3"/>
            <w:shd w:val="clear" w:color="auto" w:fill="E1E1E1"/>
            <w:tcMar>
              <w:top w:w="40" w:type="dxa"/>
              <w:left w:w="140" w:type="dxa"/>
              <w:bottom w:w="40" w:type="dxa"/>
              <w:right w:w="20" w:type="dxa"/>
            </w:tcMar>
            <w:vAlign w:val="bottom"/>
          </w:tcPr>
          <w:p w14:paraId="186010BF" w14:textId="77777777" w:rsidR="00A91885" w:rsidRDefault="009C4196">
            <w:pPr>
              <w:textAlignment w:val="bottom"/>
            </w:pPr>
            <w:r>
              <w:rPr>
                <w:rFonts w:ascii="Arial" w:eastAsia="宋体" w:hAnsi="Arial" w:cs="Arial"/>
                <w:color w:val="000000"/>
                <w:sz w:val="18"/>
                <w:szCs w:val="18"/>
              </w:rPr>
              <w:t>Vested</w:t>
            </w:r>
          </w:p>
        </w:tc>
        <w:tc>
          <w:tcPr>
            <w:tcW w:w="0" w:type="auto"/>
            <w:gridSpan w:val="2"/>
            <w:shd w:val="clear" w:color="auto" w:fill="E1E1E1"/>
            <w:tcMar>
              <w:top w:w="40" w:type="dxa"/>
              <w:left w:w="20" w:type="dxa"/>
              <w:bottom w:w="40" w:type="dxa"/>
              <w:right w:w="0" w:type="dxa"/>
            </w:tcMar>
            <w:vAlign w:val="bottom"/>
          </w:tcPr>
          <w:p w14:paraId="186010C0" w14:textId="77777777" w:rsidR="00A91885" w:rsidRDefault="009C4196">
            <w:pPr>
              <w:jc w:val="right"/>
              <w:textAlignment w:val="bottom"/>
            </w:pPr>
            <w:r>
              <w:rPr>
                <w:rFonts w:ascii="Arial" w:eastAsia="宋体" w:hAnsi="Arial" w:cs="Arial"/>
                <w:color w:val="000000"/>
                <w:sz w:val="18"/>
                <w:szCs w:val="18"/>
              </w:rPr>
              <w:t>(6)</w:t>
            </w:r>
          </w:p>
        </w:tc>
        <w:tc>
          <w:tcPr>
            <w:tcW w:w="0" w:type="auto"/>
            <w:shd w:val="clear" w:color="auto" w:fill="E1E1E1"/>
            <w:tcMar>
              <w:top w:w="40" w:type="dxa"/>
              <w:left w:w="0" w:type="dxa"/>
              <w:bottom w:w="40" w:type="dxa"/>
              <w:right w:w="20" w:type="dxa"/>
            </w:tcMar>
            <w:vAlign w:val="bottom"/>
          </w:tcPr>
          <w:p w14:paraId="186010C1" w14:textId="77777777" w:rsidR="00A91885" w:rsidRDefault="00A91885">
            <w:pPr>
              <w:jc w:val="right"/>
              <w:rPr>
                <w:rFonts w:ascii="宋体"/>
              </w:rPr>
            </w:pPr>
          </w:p>
        </w:tc>
      </w:tr>
      <w:tr w:rsidR="00A91885" w14:paraId="186010C6" w14:textId="77777777">
        <w:tc>
          <w:tcPr>
            <w:tcW w:w="0" w:type="auto"/>
            <w:gridSpan w:val="3"/>
            <w:shd w:val="clear" w:color="auto" w:fill="FFFFFF"/>
            <w:tcMar>
              <w:top w:w="40" w:type="dxa"/>
              <w:left w:w="140" w:type="dxa"/>
              <w:bottom w:w="40" w:type="dxa"/>
              <w:right w:w="20" w:type="dxa"/>
            </w:tcMar>
            <w:vAlign w:val="bottom"/>
          </w:tcPr>
          <w:p w14:paraId="186010C3" w14:textId="77777777" w:rsidR="00A91885" w:rsidRDefault="009C4196">
            <w:pPr>
              <w:textAlignment w:val="bottom"/>
            </w:pPr>
            <w:r>
              <w:rPr>
                <w:rFonts w:ascii="Arial" w:eastAsia="宋体" w:hAnsi="Arial" w:cs="Arial"/>
                <w:color w:val="000000"/>
                <w:sz w:val="18"/>
                <w:szCs w:val="18"/>
              </w:rPr>
              <w:t>Forfeited</w:t>
            </w:r>
          </w:p>
        </w:tc>
        <w:tc>
          <w:tcPr>
            <w:tcW w:w="0" w:type="auto"/>
            <w:gridSpan w:val="2"/>
            <w:shd w:val="clear" w:color="auto" w:fill="FFFFFF"/>
            <w:tcMar>
              <w:top w:w="40" w:type="dxa"/>
              <w:left w:w="20" w:type="dxa"/>
              <w:bottom w:w="40" w:type="dxa"/>
              <w:right w:w="0" w:type="dxa"/>
            </w:tcMar>
            <w:vAlign w:val="bottom"/>
          </w:tcPr>
          <w:p w14:paraId="186010C4"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186010C5" w14:textId="77777777" w:rsidR="00A91885" w:rsidRDefault="00A91885">
            <w:pPr>
              <w:jc w:val="right"/>
              <w:rPr>
                <w:rFonts w:ascii="宋体"/>
              </w:rPr>
            </w:pPr>
          </w:p>
        </w:tc>
      </w:tr>
      <w:tr w:rsidR="00A91885" w14:paraId="186010CA" w14:textId="77777777">
        <w:tc>
          <w:tcPr>
            <w:tcW w:w="0" w:type="auto"/>
            <w:gridSpan w:val="3"/>
            <w:shd w:val="clear" w:color="auto" w:fill="E1E1E1"/>
            <w:tcMar>
              <w:top w:w="40" w:type="dxa"/>
              <w:left w:w="20" w:type="dxa"/>
              <w:bottom w:w="40" w:type="dxa"/>
              <w:right w:w="20" w:type="dxa"/>
            </w:tcMar>
            <w:vAlign w:val="bottom"/>
          </w:tcPr>
          <w:p w14:paraId="186010C7" w14:textId="77777777" w:rsidR="00A91885" w:rsidRDefault="009C4196">
            <w:pPr>
              <w:textAlignment w:val="bottom"/>
            </w:pPr>
            <w:r>
              <w:rPr>
                <w:rFonts w:ascii="Arial" w:eastAsia="宋体" w:hAnsi="Arial" w:cs="Arial"/>
                <w:color w:val="000000"/>
                <w:sz w:val="18"/>
                <w:szCs w:val="18"/>
              </w:rPr>
              <w:t>Outstanding as of June 30, 2022</w:t>
            </w:r>
          </w:p>
        </w:tc>
        <w:tc>
          <w:tcPr>
            <w:tcW w:w="0" w:type="auto"/>
            <w:gridSpan w:val="2"/>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6010C8" w14:textId="77777777" w:rsidR="00A91885" w:rsidRDefault="009C4196">
            <w:pPr>
              <w:jc w:val="right"/>
              <w:textAlignment w:val="bottom"/>
            </w:pPr>
            <w:r>
              <w:rPr>
                <w:rFonts w:ascii="Arial" w:eastAsia="宋体" w:hAnsi="Arial" w:cs="Arial"/>
                <w:color w:val="000000"/>
                <w:sz w:val="18"/>
                <w:szCs w:val="18"/>
              </w:rPr>
              <w:t>24 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6010C9" w14:textId="77777777" w:rsidR="00A91885" w:rsidRDefault="00A91885">
            <w:pPr>
              <w:jc w:val="right"/>
              <w:rPr>
                <w:rFonts w:ascii="宋体"/>
              </w:rPr>
            </w:pPr>
          </w:p>
        </w:tc>
      </w:tr>
    </w:tbl>
    <w:p w14:paraId="186010CB" w14:textId="77777777" w:rsidR="00A91885" w:rsidRDefault="00A91885">
      <w:pPr>
        <w:ind w:firstLine="540"/>
      </w:pPr>
    </w:p>
    <w:p w14:paraId="186010CC" w14:textId="77777777" w:rsidR="00A91885" w:rsidRDefault="009C4196">
      <w:pPr>
        <w:ind w:firstLine="540"/>
        <w:jc w:val="both"/>
      </w:pPr>
      <w:r>
        <w:rPr>
          <w:rFonts w:ascii="Arial" w:eastAsia="宋体" w:hAnsi="Arial" w:cs="Arial"/>
          <w:color w:val="000000"/>
          <w:sz w:val="20"/>
          <w:szCs w:val="20"/>
        </w:rPr>
        <w:t>The weighted average grant date fair value for RSUs awarded during the six months ended June 30, 2022 was $56.47 per share.</w:t>
      </w:r>
    </w:p>
    <w:p w14:paraId="186010CD" w14:textId="77777777" w:rsidR="00A91885" w:rsidRDefault="00A91885">
      <w:pPr>
        <w:ind w:firstLine="540"/>
      </w:pPr>
    </w:p>
    <w:p w14:paraId="186010CE" w14:textId="77777777" w:rsidR="00A91885" w:rsidRDefault="009C4196">
      <w:pPr>
        <w:ind w:firstLine="270"/>
        <w:jc w:val="both"/>
      </w:pPr>
      <w:r>
        <w:rPr>
          <w:rFonts w:ascii="Arial" w:eastAsia="宋体" w:hAnsi="Arial" w:cs="Arial"/>
          <w:b/>
          <w:bCs/>
          <w:i/>
          <w:iCs/>
          <w:color w:val="000000"/>
          <w:sz w:val="20"/>
          <w:szCs w:val="20"/>
        </w:rPr>
        <w:t>Stock-Based Compensation Expense</w:t>
      </w:r>
    </w:p>
    <w:p w14:paraId="186010CF" w14:textId="77777777" w:rsidR="00A91885" w:rsidRDefault="00A91885"/>
    <w:p w14:paraId="186010D0" w14:textId="77777777" w:rsidR="00A91885" w:rsidRDefault="009C4196">
      <w:pPr>
        <w:spacing w:after="120"/>
        <w:ind w:firstLine="540"/>
        <w:jc w:val="both"/>
      </w:pPr>
      <w:r>
        <w:rPr>
          <w:rFonts w:ascii="Arial" w:eastAsia="宋体" w:hAnsi="Arial" w:cs="Arial"/>
          <w:color w:val="000000"/>
          <w:sz w:val="20"/>
          <w:szCs w:val="20"/>
        </w:rPr>
        <w:t xml:space="preserve">The following table presents the impact on our </w:t>
      </w:r>
      <w:r>
        <w:rPr>
          <w:rFonts w:ascii="Arial" w:eastAsia="宋体" w:hAnsi="Arial" w:cs="Arial"/>
          <w:color w:val="000000"/>
          <w:sz w:val="20"/>
          <w:szCs w:val="20"/>
        </w:rPr>
        <w:t>results of continuing operations of recording stock-based compensation expense for the periods indicated (in millions):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4428"/>
        <w:gridCol w:w="39"/>
        <w:gridCol w:w="121"/>
        <w:gridCol w:w="719"/>
        <w:gridCol w:w="36"/>
        <w:gridCol w:w="36"/>
        <w:gridCol w:w="36"/>
        <w:gridCol w:w="36"/>
        <w:gridCol w:w="121"/>
        <w:gridCol w:w="719"/>
        <w:gridCol w:w="36"/>
        <w:gridCol w:w="36"/>
        <w:gridCol w:w="36"/>
        <w:gridCol w:w="36"/>
        <w:gridCol w:w="121"/>
        <w:gridCol w:w="719"/>
        <w:gridCol w:w="36"/>
        <w:gridCol w:w="36"/>
        <w:gridCol w:w="36"/>
        <w:gridCol w:w="36"/>
        <w:gridCol w:w="121"/>
        <w:gridCol w:w="720"/>
        <w:gridCol w:w="36"/>
      </w:tblGrid>
      <w:tr w:rsidR="00A91885" w14:paraId="186010E9" w14:textId="77777777">
        <w:tc>
          <w:tcPr>
            <w:tcW w:w="50" w:type="pct"/>
            <w:shd w:val="clear" w:color="auto" w:fill="auto"/>
            <w:vAlign w:val="bottom"/>
          </w:tcPr>
          <w:p w14:paraId="186010D1" w14:textId="77777777" w:rsidR="00A91885" w:rsidRDefault="00A91885">
            <w:pPr>
              <w:rPr>
                <w:rFonts w:ascii="宋体"/>
              </w:rPr>
            </w:pPr>
          </w:p>
        </w:tc>
        <w:tc>
          <w:tcPr>
            <w:tcW w:w="2722" w:type="pct"/>
            <w:shd w:val="clear" w:color="auto" w:fill="auto"/>
            <w:vAlign w:val="bottom"/>
          </w:tcPr>
          <w:p w14:paraId="186010D2" w14:textId="77777777" w:rsidR="00A91885" w:rsidRDefault="00A91885">
            <w:pPr>
              <w:rPr>
                <w:rFonts w:ascii="宋体"/>
              </w:rPr>
            </w:pPr>
          </w:p>
        </w:tc>
        <w:tc>
          <w:tcPr>
            <w:tcW w:w="5" w:type="pct"/>
            <w:shd w:val="clear" w:color="auto" w:fill="auto"/>
            <w:vAlign w:val="bottom"/>
          </w:tcPr>
          <w:p w14:paraId="186010D3" w14:textId="77777777" w:rsidR="00A91885" w:rsidRDefault="00A91885">
            <w:pPr>
              <w:rPr>
                <w:rFonts w:ascii="宋体"/>
              </w:rPr>
            </w:pPr>
          </w:p>
        </w:tc>
        <w:tc>
          <w:tcPr>
            <w:tcW w:w="50" w:type="pct"/>
            <w:shd w:val="clear" w:color="auto" w:fill="auto"/>
            <w:vAlign w:val="bottom"/>
          </w:tcPr>
          <w:p w14:paraId="186010D4" w14:textId="77777777" w:rsidR="00A91885" w:rsidRDefault="00A91885">
            <w:pPr>
              <w:rPr>
                <w:rFonts w:ascii="宋体"/>
              </w:rPr>
            </w:pPr>
          </w:p>
        </w:tc>
        <w:tc>
          <w:tcPr>
            <w:tcW w:w="478" w:type="pct"/>
            <w:shd w:val="clear" w:color="auto" w:fill="auto"/>
            <w:vAlign w:val="bottom"/>
          </w:tcPr>
          <w:p w14:paraId="186010D5" w14:textId="77777777" w:rsidR="00A91885" w:rsidRDefault="00A91885">
            <w:pPr>
              <w:rPr>
                <w:rFonts w:ascii="宋体"/>
              </w:rPr>
            </w:pPr>
          </w:p>
        </w:tc>
        <w:tc>
          <w:tcPr>
            <w:tcW w:w="5" w:type="pct"/>
            <w:shd w:val="clear" w:color="auto" w:fill="auto"/>
            <w:vAlign w:val="bottom"/>
          </w:tcPr>
          <w:p w14:paraId="186010D6" w14:textId="77777777" w:rsidR="00A91885" w:rsidRDefault="00A91885">
            <w:pPr>
              <w:rPr>
                <w:rFonts w:ascii="宋体"/>
              </w:rPr>
            </w:pPr>
          </w:p>
        </w:tc>
        <w:tc>
          <w:tcPr>
            <w:tcW w:w="5" w:type="pct"/>
            <w:shd w:val="clear" w:color="auto" w:fill="auto"/>
            <w:vAlign w:val="bottom"/>
          </w:tcPr>
          <w:p w14:paraId="186010D7" w14:textId="77777777" w:rsidR="00A91885" w:rsidRDefault="00A91885">
            <w:pPr>
              <w:rPr>
                <w:rFonts w:ascii="宋体"/>
              </w:rPr>
            </w:pPr>
          </w:p>
        </w:tc>
        <w:tc>
          <w:tcPr>
            <w:tcW w:w="19" w:type="pct"/>
            <w:shd w:val="clear" w:color="auto" w:fill="auto"/>
            <w:vAlign w:val="bottom"/>
          </w:tcPr>
          <w:p w14:paraId="186010D8" w14:textId="77777777" w:rsidR="00A91885" w:rsidRDefault="00A91885">
            <w:pPr>
              <w:rPr>
                <w:rFonts w:ascii="宋体"/>
              </w:rPr>
            </w:pPr>
          </w:p>
        </w:tc>
        <w:tc>
          <w:tcPr>
            <w:tcW w:w="5" w:type="pct"/>
            <w:shd w:val="clear" w:color="auto" w:fill="auto"/>
            <w:vAlign w:val="bottom"/>
          </w:tcPr>
          <w:p w14:paraId="186010D9" w14:textId="77777777" w:rsidR="00A91885" w:rsidRDefault="00A91885">
            <w:pPr>
              <w:rPr>
                <w:rFonts w:ascii="宋体"/>
              </w:rPr>
            </w:pPr>
          </w:p>
        </w:tc>
        <w:tc>
          <w:tcPr>
            <w:tcW w:w="50" w:type="pct"/>
            <w:shd w:val="clear" w:color="auto" w:fill="auto"/>
            <w:vAlign w:val="bottom"/>
          </w:tcPr>
          <w:p w14:paraId="186010DA" w14:textId="77777777" w:rsidR="00A91885" w:rsidRDefault="00A91885">
            <w:pPr>
              <w:rPr>
                <w:rFonts w:ascii="宋体"/>
              </w:rPr>
            </w:pPr>
          </w:p>
        </w:tc>
        <w:tc>
          <w:tcPr>
            <w:tcW w:w="478" w:type="pct"/>
            <w:shd w:val="clear" w:color="auto" w:fill="auto"/>
            <w:vAlign w:val="bottom"/>
          </w:tcPr>
          <w:p w14:paraId="186010DB" w14:textId="77777777" w:rsidR="00A91885" w:rsidRDefault="00A91885">
            <w:pPr>
              <w:rPr>
                <w:rFonts w:ascii="宋体"/>
              </w:rPr>
            </w:pPr>
          </w:p>
        </w:tc>
        <w:tc>
          <w:tcPr>
            <w:tcW w:w="5" w:type="pct"/>
            <w:shd w:val="clear" w:color="auto" w:fill="auto"/>
            <w:vAlign w:val="bottom"/>
          </w:tcPr>
          <w:p w14:paraId="186010DC" w14:textId="77777777" w:rsidR="00A91885" w:rsidRDefault="00A91885">
            <w:pPr>
              <w:rPr>
                <w:rFonts w:ascii="宋体"/>
              </w:rPr>
            </w:pPr>
          </w:p>
        </w:tc>
        <w:tc>
          <w:tcPr>
            <w:tcW w:w="5" w:type="pct"/>
            <w:shd w:val="clear" w:color="auto" w:fill="auto"/>
            <w:vAlign w:val="bottom"/>
          </w:tcPr>
          <w:p w14:paraId="186010DD" w14:textId="77777777" w:rsidR="00A91885" w:rsidRDefault="00A91885">
            <w:pPr>
              <w:rPr>
                <w:rFonts w:ascii="宋体"/>
              </w:rPr>
            </w:pPr>
          </w:p>
        </w:tc>
        <w:tc>
          <w:tcPr>
            <w:tcW w:w="19" w:type="pct"/>
            <w:shd w:val="clear" w:color="auto" w:fill="auto"/>
            <w:vAlign w:val="bottom"/>
          </w:tcPr>
          <w:p w14:paraId="186010DE" w14:textId="77777777" w:rsidR="00A91885" w:rsidRDefault="00A91885">
            <w:pPr>
              <w:rPr>
                <w:rFonts w:ascii="宋体"/>
              </w:rPr>
            </w:pPr>
          </w:p>
        </w:tc>
        <w:tc>
          <w:tcPr>
            <w:tcW w:w="5" w:type="pct"/>
            <w:shd w:val="clear" w:color="auto" w:fill="auto"/>
            <w:vAlign w:val="bottom"/>
          </w:tcPr>
          <w:p w14:paraId="186010DF" w14:textId="77777777" w:rsidR="00A91885" w:rsidRDefault="00A91885">
            <w:pPr>
              <w:rPr>
                <w:rFonts w:ascii="宋体"/>
              </w:rPr>
            </w:pPr>
          </w:p>
        </w:tc>
        <w:tc>
          <w:tcPr>
            <w:tcW w:w="50" w:type="pct"/>
            <w:shd w:val="clear" w:color="auto" w:fill="auto"/>
            <w:vAlign w:val="bottom"/>
          </w:tcPr>
          <w:p w14:paraId="186010E0" w14:textId="77777777" w:rsidR="00A91885" w:rsidRDefault="00A91885">
            <w:pPr>
              <w:rPr>
                <w:rFonts w:ascii="宋体"/>
              </w:rPr>
            </w:pPr>
          </w:p>
        </w:tc>
        <w:tc>
          <w:tcPr>
            <w:tcW w:w="478" w:type="pct"/>
            <w:shd w:val="clear" w:color="auto" w:fill="auto"/>
            <w:vAlign w:val="bottom"/>
          </w:tcPr>
          <w:p w14:paraId="186010E1" w14:textId="77777777" w:rsidR="00A91885" w:rsidRDefault="00A91885">
            <w:pPr>
              <w:rPr>
                <w:rFonts w:ascii="宋体"/>
              </w:rPr>
            </w:pPr>
          </w:p>
        </w:tc>
        <w:tc>
          <w:tcPr>
            <w:tcW w:w="5" w:type="pct"/>
            <w:shd w:val="clear" w:color="auto" w:fill="auto"/>
            <w:vAlign w:val="bottom"/>
          </w:tcPr>
          <w:p w14:paraId="186010E2" w14:textId="77777777" w:rsidR="00A91885" w:rsidRDefault="00A91885">
            <w:pPr>
              <w:rPr>
                <w:rFonts w:ascii="宋体"/>
              </w:rPr>
            </w:pPr>
          </w:p>
        </w:tc>
        <w:tc>
          <w:tcPr>
            <w:tcW w:w="5" w:type="pct"/>
            <w:shd w:val="clear" w:color="auto" w:fill="auto"/>
            <w:vAlign w:val="bottom"/>
          </w:tcPr>
          <w:p w14:paraId="186010E3" w14:textId="77777777" w:rsidR="00A91885" w:rsidRDefault="00A91885">
            <w:pPr>
              <w:rPr>
                <w:rFonts w:ascii="宋体"/>
              </w:rPr>
            </w:pPr>
          </w:p>
        </w:tc>
        <w:tc>
          <w:tcPr>
            <w:tcW w:w="19" w:type="pct"/>
            <w:shd w:val="clear" w:color="auto" w:fill="auto"/>
            <w:vAlign w:val="bottom"/>
          </w:tcPr>
          <w:p w14:paraId="186010E4" w14:textId="77777777" w:rsidR="00A91885" w:rsidRDefault="00A91885">
            <w:pPr>
              <w:rPr>
                <w:rFonts w:ascii="宋体"/>
              </w:rPr>
            </w:pPr>
          </w:p>
        </w:tc>
        <w:tc>
          <w:tcPr>
            <w:tcW w:w="5" w:type="pct"/>
            <w:shd w:val="clear" w:color="auto" w:fill="auto"/>
            <w:vAlign w:val="bottom"/>
          </w:tcPr>
          <w:p w14:paraId="186010E5" w14:textId="77777777" w:rsidR="00A91885" w:rsidRDefault="00A91885">
            <w:pPr>
              <w:rPr>
                <w:rFonts w:ascii="宋体"/>
              </w:rPr>
            </w:pPr>
          </w:p>
        </w:tc>
        <w:tc>
          <w:tcPr>
            <w:tcW w:w="50" w:type="pct"/>
            <w:shd w:val="clear" w:color="auto" w:fill="auto"/>
            <w:vAlign w:val="bottom"/>
          </w:tcPr>
          <w:p w14:paraId="186010E6" w14:textId="77777777" w:rsidR="00A91885" w:rsidRDefault="00A91885">
            <w:pPr>
              <w:rPr>
                <w:rFonts w:ascii="宋体"/>
              </w:rPr>
            </w:pPr>
          </w:p>
        </w:tc>
        <w:tc>
          <w:tcPr>
            <w:tcW w:w="478" w:type="pct"/>
            <w:shd w:val="clear" w:color="auto" w:fill="auto"/>
            <w:vAlign w:val="bottom"/>
          </w:tcPr>
          <w:p w14:paraId="186010E7" w14:textId="77777777" w:rsidR="00A91885" w:rsidRDefault="00A91885">
            <w:pPr>
              <w:rPr>
                <w:rFonts w:ascii="宋体"/>
              </w:rPr>
            </w:pPr>
          </w:p>
        </w:tc>
        <w:tc>
          <w:tcPr>
            <w:tcW w:w="5" w:type="pct"/>
            <w:shd w:val="clear" w:color="auto" w:fill="auto"/>
            <w:vAlign w:val="bottom"/>
          </w:tcPr>
          <w:p w14:paraId="186010E8" w14:textId="77777777" w:rsidR="00A91885" w:rsidRDefault="00A91885">
            <w:pPr>
              <w:rPr>
                <w:rFonts w:ascii="宋体"/>
              </w:rPr>
            </w:pPr>
          </w:p>
        </w:tc>
      </w:tr>
      <w:tr w:rsidR="00A91885" w14:paraId="186010EE" w14:textId="77777777">
        <w:tc>
          <w:tcPr>
            <w:tcW w:w="0" w:type="auto"/>
            <w:gridSpan w:val="3"/>
            <w:shd w:val="clear" w:color="auto" w:fill="auto"/>
            <w:tcMar>
              <w:top w:w="0" w:type="dxa"/>
              <w:left w:w="20" w:type="dxa"/>
              <w:bottom w:w="0" w:type="dxa"/>
              <w:right w:w="20" w:type="dxa"/>
            </w:tcMar>
            <w:vAlign w:val="bottom"/>
          </w:tcPr>
          <w:p w14:paraId="186010EA"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0EB"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0EC"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0ED"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6010F7" w14:textId="77777777">
        <w:tc>
          <w:tcPr>
            <w:tcW w:w="0" w:type="auto"/>
            <w:gridSpan w:val="3"/>
            <w:shd w:val="clear" w:color="auto" w:fill="auto"/>
            <w:tcMar>
              <w:top w:w="40" w:type="dxa"/>
              <w:left w:w="20" w:type="dxa"/>
              <w:bottom w:w="40" w:type="dxa"/>
              <w:right w:w="20" w:type="dxa"/>
            </w:tcMar>
            <w:vAlign w:val="bottom"/>
          </w:tcPr>
          <w:p w14:paraId="186010EF" w14:textId="77777777" w:rsidR="00A91885" w:rsidRDefault="009C4196">
            <w:pPr>
              <w:jc w:val="cente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0F0"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0F1"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0F2"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0F3"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0F4"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0F5"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0F6"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601108" w14:textId="77777777">
        <w:tc>
          <w:tcPr>
            <w:tcW w:w="0" w:type="auto"/>
            <w:gridSpan w:val="3"/>
            <w:shd w:val="clear" w:color="auto" w:fill="E2E2E2"/>
            <w:tcMar>
              <w:top w:w="40" w:type="dxa"/>
              <w:left w:w="20" w:type="dxa"/>
              <w:bottom w:w="40" w:type="dxa"/>
              <w:right w:w="20" w:type="dxa"/>
            </w:tcMar>
            <w:vAlign w:val="bottom"/>
          </w:tcPr>
          <w:p w14:paraId="186010F8" w14:textId="77777777" w:rsidR="00A91885" w:rsidRDefault="009C4196">
            <w:pPr>
              <w:textAlignment w:val="bottom"/>
            </w:pPr>
            <w:r>
              <w:rPr>
                <w:rFonts w:ascii="Arial" w:eastAsia="宋体" w:hAnsi="Arial" w:cs="Arial"/>
                <w:color w:val="000000"/>
                <w:sz w:val="18"/>
                <w:szCs w:val="18"/>
              </w:rPr>
              <w:t>Cost of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10F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0FA" w14:textId="77777777" w:rsidR="00A91885" w:rsidRDefault="009C4196">
            <w:pPr>
              <w:jc w:val="right"/>
              <w:textAlignment w:val="bottom"/>
            </w:pPr>
            <w:r>
              <w:rPr>
                <w:rFonts w:ascii="Arial" w:eastAsia="宋体" w:hAnsi="Arial" w:cs="Arial"/>
                <w:color w:val="000000"/>
                <w:sz w:val="18"/>
                <w:szCs w:val="18"/>
              </w:rPr>
              <w:t>13 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0F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0FC"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0F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0FE" w14:textId="77777777" w:rsidR="00A91885" w:rsidRDefault="009C4196">
            <w:pPr>
              <w:jc w:val="right"/>
              <w:textAlignment w:val="bottom"/>
            </w:pPr>
            <w:r>
              <w:rPr>
                <w:rFonts w:ascii="Arial" w:eastAsia="宋体" w:hAnsi="Arial" w:cs="Arial"/>
                <w:color w:val="000000"/>
                <w:sz w:val="18"/>
                <w:szCs w:val="18"/>
              </w:rPr>
              <w:t>13 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0FF"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00"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10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102" w14:textId="77777777" w:rsidR="00A91885" w:rsidRDefault="009C4196">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10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04"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10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106" w14:textId="77777777" w:rsidR="00A91885" w:rsidRDefault="009C4196">
            <w:pPr>
              <w:jc w:val="right"/>
              <w:textAlignment w:val="bottom"/>
            </w:pPr>
            <w:r>
              <w:rPr>
                <w:rFonts w:ascii="Arial" w:eastAsia="宋体" w:hAnsi="Arial" w:cs="Arial"/>
                <w:color w:val="000000"/>
                <w:sz w:val="18"/>
                <w:szCs w:val="18"/>
              </w:rPr>
              <w:t>23 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107" w14:textId="77777777" w:rsidR="00A91885" w:rsidRDefault="00A91885">
            <w:pPr>
              <w:jc w:val="right"/>
              <w:rPr>
                <w:rFonts w:ascii="宋体"/>
              </w:rPr>
            </w:pPr>
          </w:p>
        </w:tc>
      </w:tr>
      <w:tr w:rsidR="00A91885" w14:paraId="18601115" w14:textId="77777777">
        <w:tc>
          <w:tcPr>
            <w:tcW w:w="0" w:type="auto"/>
            <w:gridSpan w:val="3"/>
            <w:shd w:val="clear" w:color="auto" w:fill="FFFFFF"/>
            <w:tcMar>
              <w:top w:w="40" w:type="dxa"/>
              <w:left w:w="20" w:type="dxa"/>
              <w:bottom w:w="40" w:type="dxa"/>
              <w:right w:w="20" w:type="dxa"/>
            </w:tcMar>
            <w:vAlign w:val="bottom"/>
          </w:tcPr>
          <w:p w14:paraId="18601109" w14:textId="77777777" w:rsidR="00A91885" w:rsidRDefault="009C4196">
            <w:pPr>
              <w:textAlignment w:val="bottom"/>
            </w:pPr>
            <w:r>
              <w:rPr>
                <w:rFonts w:ascii="Arial" w:eastAsia="宋体" w:hAnsi="Arial" w:cs="Arial"/>
                <w:color w:val="000000"/>
                <w:sz w:val="18"/>
                <w:szCs w:val="18"/>
              </w:rPr>
              <w:t>Sales and marketing</w:t>
            </w:r>
          </w:p>
        </w:tc>
        <w:tc>
          <w:tcPr>
            <w:tcW w:w="0" w:type="auto"/>
            <w:gridSpan w:val="2"/>
            <w:shd w:val="clear" w:color="auto" w:fill="FFFFFF"/>
            <w:tcMar>
              <w:top w:w="40" w:type="dxa"/>
              <w:left w:w="20" w:type="dxa"/>
              <w:bottom w:w="40" w:type="dxa"/>
              <w:right w:w="0" w:type="dxa"/>
            </w:tcMar>
            <w:vAlign w:val="bottom"/>
          </w:tcPr>
          <w:p w14:paraId="1860110A" w14:textId="77777777" w:rsidR="00A91885" w:rsidRDefault="009C4196">
            <w:pPr>
              <w:jc w:val="right"/>
              <w:textAlignment w:val="bottom"/>
            </w:pPr>
            <w:r>
              <w:rPr>
                <w:rFonts w:ascii="Arial" w:eastAsia="宋体" w:hAnsi="Arial" w:cs="Arial"/>
                <w:color w:val="000000"/>
                <w:sz w:val="18"/>
                <w:szCs w:val="18"/>
              </w:rPr>
              <w:t>20 </w:t>
            </w:r>
          </w:p>
        </w:tc>
        <w:tc>
          <w:tcPr>
            <w:tcW w:w="0" w:type="auto"/>
            <w:shd w:val="clear" w:color="auto" w:fill="FFFFFF"/>
            <w:tcMar>
              <w:top w:w="40" w:type="dxa"/>
              <w:left w:w="0" w:type="dxa"/>
              <w:bottom w:w="40" w:type="dxa"/>
              <w:right w:w="20" w:type="dxa"/>
            </w:tcMar>
            <w:vAlign w:val="bottom"/>
          </w:tcPr>
          <w:p w14:paraId="1860110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0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10D" w14:textId="77777777" w:rsidR="00A91885" w:rsidRDefault="009C4196">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1860110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0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110" w14:textId="77777777" w:rsidR="00A91885" w:rsidRDefault="009C4196">
            <w:pPr>
              <w:jc w:val="right"/>
              <w:textAlignment w:val="bottom"/>
            </w:pPr>
            <w:r>
              <w:rPr>
                <w:rFonts w:ascii="Arial" w:eastAsia="宋体" w:hAnsi="Arial" w:cs="Arial"/>
                <w:color w:val="000000"/>
                <w:sz w:val="18"/>
                <w:szCs w:val="18"/>
              </w:rPr>
              <w:t>40 </w:t>
            </w:r>
          </w:p>
        </w:tc>
        <w:tc>
          <w:tcPr>
            <w:tcW w:w="0" w:type="auto"/>
            <w:shd w:val="clear" w:color="auto" w:fill="FFFFFF"/>
            <w:tcMar>
              <w:top w:w="40" w:type="dxa"/>
              <w:left w:w="0" w:type="dxa"/>
              <w:bottom w:w="40" w:type="dxa"/>
              <w:right w:w="20" w:type="dxa"/>
            </w:tcMar>
            <w:vAlign w:val="bottom"/>
          </w:tcPr>
          <w:p w14:paraId="1860111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1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113" w14:textId="77777777" w:rsidR="00A91885" w:rsidRDefault="009C4196">
            <w:pPr>
              <w:jc w:val="right"/>
              <w:textAlignment w:val="bottom"/>
            </w:pPr>
            <w:r>
              <w:rPr>
                <w:rFonts w:ascii="Arial" w:eastAsia="宋体" w:hAnsi="Arial" w:cs="Arial"/>
                <w:color w:val="000000"/>
                <w:sz w:val="18"/>
                <w:szCs w:val="18"/>
              </w:rPr>
              <w:t>45 </w:t>
            </w:r>
          </w:p>
        </w:tc>
        <w:tc>
          <w:tcPr>
            <w:tcW w:w="0" w:type="auto"/>
            <w:shd w:val="clear" w:color="auto" w:fill="FFFFFF"/>
            <w:tcMar>
              <w:top w:w="40" w:type="dxa"/>
              <w:left w:w="0" w:type="dxa"/>
              <w:bottom w:w="40" w:type="dxa"/>
              <w:right w:w="20" w:type="dxa"/>
            </w:tcMar>
            <w:vAlign w:val="bottom"/>
          </w:tcPr>
          <w:p w14:paraId="18601114" w14:textId="77777777" w:rsidR="00A91885" w:rsidRDefault="00A91885">
            <w:pPr>
              <w:jc w:val="right"/>
              <w:rPr>
                <w:rFonts w:ascii="宋体"/>
              </w:rPr>
            </w:pPr>
          </w:p>
        </w:tc>
      </w:tr>
      <w:tr w:rsidR="00A91885" w14:paraId="18601122" w14:textId="77777777">
        <w:tc>
          <w:tcPr>
            <w:tcW w:w="0" w:type="auto"/>
            <w:gridSpan w:val="3"/>
            <w:shd w:val="clear" w:color="auto" w:fill="E2E2E2"/>
            <w:tcMar>
              <w:top w:w="40" w:type="dxa"/>
              <w:left w:w="20" w:type="dxa"/>
              <w:bottom w:w="40" w:type="dxa"/>
              <w:right w:w="20" w:type="dxa"/>
            </w:tcMar>
            <w:vAlign w:val="bottom"/>
          </w:tcPr>
          <w:p w14:paraId="18601116" w14:textId="77777777" w:rsidR="00A91885" w:rsidRDefault="009C4196">
            <w:pPr>
              <w:textAlignment w:val="bottom"/>
            </w:pPr>
            <w:r>
              <w:rPr>
                <w:rFonts w:ascii="Arial" w:eastAsia="宋体" w:hAnsi="Arial" w:cs="Arial"/>
                <w:color w:val="000000"/>
                <w:sz w:val="18"/>
                <w:szCs w:val="18"/>
              </w:rPr>
              <w:t>Product development</w:t>
            </w:r>
          </w:p>
        </w:tc>
        <w:tc>
          <w:tcPr>
            <w:tcW w:w="0" w:type="auto"/>
            <w:gridSpan w:val="2"/>
            <w:shd w:val="clear" w:color="auto" w:fill="E2E2E2"/>
            <w:tcMar>
              <w:top w:w="40" w:type="dxa"/>
              <w:left w:w="20" w:type="dxa"/>
              <w:bottom w:w="40" w:type="dxa"/>
              <w:right w:w="0" w:type="dxa"/>
            </w:tcMar>
            <w:vAlign w:val="bottom"/>
          </w:tcPr>
          <w:p w14:paraId="18601117" w14:textId="77777777" w:rsidR="00A91885" w:rsidRDefault="009C4196">
            <w:pPr>
              <w:jc w:val="right"/>
              <w:textAlignment w:val="bottom"/>
            </w:pPr>
            <w:r>
              <w:rPr>
                <w:rFonts w:ascii="Arial" w:eastAsia="宋体" w:hAnsi="Arial" w:cs="Arial"/>
                <w:color w:val="000000"/>
                <w:sz w:val="18"/>
                <w:szCs w:val="18"/>
              </w:rPr>
              <w:t>62 </w:t>
            </w:r>
          </w:p>
        </w:tc>
        <w:tc>
          <w:tcPr>
            <w:tcW w:w="0" w:type="auto"/>
            <w:shd w:val="clear" w:color="auto" w:fill="E2E2E2"/>
            <w:tcMar>
              <w:top w:w="40" w:type="dxa"/>
              <w:left w:w="0" w:type="dxa"/>
              <w:bottom w:w="40" w:type="dxa"/>
              <w:right w:w="20" w:type="dxa"/>
            </w:tcMar>
            <w:vAlign w:val="bottom"/>
          </w:tcPr>
          <w:p w14:paraId="1860111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19"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11A" w14:textId="77777777" w:rsidR="00A91885" w:rsidRDefault="009C4196">
            <w:pPr>
              <w:jc w:val="right"/>
              <w:textAlignment w:val="bottom"/>
            </w:pPr>
            <w:r>
              <w:rPr>
                <w:rFonts w:ascii="Arial" w:eastAsia="宋体" w:hAnsi="Arial" w:cs="Arial"/>
                <w:color w:val="000000"/>
                <w:sz w:val="18"/>
                <w:szCs w:val="18"/>
              </w:rPr>
              <w:t>55 </w:t>
            </w:r>
          </w:p>
        </w:tc>
        <w:tc>
          <w:tcPr>
            <w:tcW w:w="0" w:type="auto"/>
            <w:shd w:val="clear" w:color="auto" w:fill="E2E2E2"/>
            <w:tcMar>
              <w:top w:w="40" w:type="dxa"/>
              <w:left w:w="0" w:type="dxa"/>
              <w:bottom w:w="40" w:type="dxa"/>
              <w:right w:w="20" w:type="dxa"/>
            </w:tcMar>
            <w:vAlign w:val="bottom"/>
          </w:tcPr>
          <w:p w14:paraId="1860111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1C"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11D" w14:textId="77777777" w:rsidR="00A91885" w:rsidRDefault="009C4196">
            <w:pPr>
              <w:jc w:val="right"/>
              <w:textAlignment w:val="bottom"/>
            </w:pPr>
            <w:r>
              <w:rPr>
                <w:rFonts w:ascii="Arial" w:eastAsia="宋体" w:hAnsi="Arial" w:cs="Arial"/>
                <w:color w:val="000000"/>
                <w:sz w:val="18"/>
                <w:szCs w:val="18"/>
              </w:rPr>
              <w:t>107 </w:t>
            </w:r>
          </w:p>
        </w:tc>
        <w:tc>
          <w:tcPr>
            <w:tcW w:w="0" w:type="auto"/>
            <w:shd w:val="clear" w:color="auto" w:fill="E2E2E2"/>
            <w:tcMar>
              <w:top w:w="40" w:type="dxa"/>
              <w:left w:w="0" w:type="dxa"/>
              <w:bottom w:w="40" w:type="dxa"/>
              <w:right w:w="20" w:type="dxa"/>
            </w:tcMar>
            <w:vAlign w:val="bottom"/>
          </w:tcPr>
          <w:p w14:paraId="1860111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1F"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120" w14:textId="77777777" w:rsidR="00A91885" w:rsidRDefault="009C4196">
            <w:pPr>
              <w:jc w:val="right"/>
              <w:textAlignment w:val="bottom"/>
            </w:pPr>
            <w:r>
              <w:rPr>
                <w:rFonts w:ascii="Arial" w:eastAsia="宋体" w:hAnsi="Arial" w:cs="Arial"/>
                <w:color w:val="000000"/>
                <w:sz w:val="18"/>
                <w:szCs w:val="18"/>
              </w:rPr>
              <w:t>97 </w:t>
            </w:r>
          </w:p>
        </w:tc>
        <w:tc>
          <w:tcPr>
            <w:tcW w:w="0" w:type="auto"/>
            <w:shd w:val="clear" w:color="auto" w:fill="E2E2E2"/>
            <w:tcMar>
              <w:top w:w="40" w:type="dxa"/>
              <w:left w:w="0" w:type="dxa"/>
              <w:bottom w:w="40" w:type="dxa"/>
              <w:right w:w="20" w:type="dxa"/>
            </w:tcMar>
            <w:vAlign w:val="bottom"/>
          </w:tcPr>
          <w:p w14:paraId="18601121" w14:textId="77777777" w:rsidR="00A91885" w:rsidRDefault="00A91885">
            <w:pPr>
              <w:jc w:val="right"/>
              <w:rPr>
                <w:rFonts w:ascii="宋体"/>
              </w:rPr>
            </w:pPr>
          </w:p>
        </w:tc>
      </w:tr>
      <w:tr w:rsidR="00A91885" w14:paraId="1860112F" w14:textId="77777777">
        <w:tc>
          <w:tcPr>
            <w:tcW w:w="0" w:type="auto"/>
            <w:gridSpan w:val="3"/>
            <w:shd w:val="clear" w:color="auto" w:fill="FFFFFF"/>
            <w:tcMar>
              <w:top w:w="40" w:type="dxa"/>
              <w:left w:w="20" w:type="dxa"/>
              <w:bottom w:w="40" w:type="dxa"/>
              <w:right w:w="20" w:type="dxa"/>
            </w:tcMar>
            <w:vAlign w:val="bottom"/>
          </w:tcPr>
          <w:p w14:paraId="18601123" w14:textId="77777777" w:rsidR="00A91885" w:rsidRDefault="009C4196">
            <w:pPr>
              <w:textAlignment w:val="bottom"/>
            </w:pPr>
            <w:r>
              <w:rPr>
                <w:rFonts w:ascii="Arial" w:eastAsia="宋体" w:hAnsi="Arial" w:cs="Arial"/>
                <w:color w:val="000000"/>
                <w:sz w:val="18"/>
                <w:szCs w:val="18"/>
              </w:rPr>
              <w:t>General and administrative</w:t>
            </w:r>
          </w:p>
        </w:tc>
        <w:tc>
          <w:tcPr>
            <w:tcW w:w="0" w:type="auto"/>
            <w:gridSpan w:val="2"/>
            <w:shd w:val="clear" w:color="auto" w:fill="FFFFFF"/>
            <w:tcMar>
              <w:top w:w="40" w:type="dxa"/>
              <w:left w:w="20" w:type="dxa"/>
              <w:bottom w:w="40" w:type="dxa"/>
              <w:right w:w="0" w:type="dxa"/>
            </w:tcMar>
            <w:vAlign w:val="bottom"/>
          </w:tcPr>
          <w:p w14:paraId="18601124" w14:textId="77777777" w:rsidR="00A91885" w:rsidRDefault="009C4196">
            <w:pPr>
              <w:jc w:val="right"/>
              <w:textAlignment w:val="bottom"/>
            </w:pPr>
            <w:r>
              <w:rPr>
                <w:rFonts w:ascii="Arial" w:eastAsia="宋体" w:hAnsi="Arial" w:cs="Arial"/>
                <w:color w:val="000000"/>
                <w:sz w:val="18"/>
                <w:szCs w:val="18"/>
              </w:rPr>
              <w:t>42 </w:t>
            </w:r>
          </w:p>
        </w:tc>
        <w:tc>
          <w:tcPr>
            <w:tcW w:w="0" w:type="auto"/>
            <w:shd w:val="clear" w:color="auto" w:fill="FFFFFF"/>
            <w:tcMar>
              <w:top w:w="40" w:type="dxa"/>
              <w:left w:w="0" w:type="dxa"/>
              <w:bottom w:w="40" w:type="dxa"/>
              <w:right w:w="20" w:type="dxa"/>
            </w:tcMar>
            <w:vAlign w:val="bottom"/>
          </w:tcPr>
          <w:p w14:paraId="1860112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26"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127" w14:textId="77777777" w:rsidR="00A91885" w:rsidRDefault="009C4196">
            <w:pPr>
              <w:jc w:val="right"/>
              <w:textAlignment w:val="bottom"/>
            </w:pPr>
            <w:r>
              <w:rPr>
                <w:rFonts w:ascii="Arial" w:eastAsia="宋体" w:hAnsi="Arial" w:cs="Arial"/>
                <w:color w:val="000000"/>
                <w:sz w:val="18"/>
                <w:szCs w:val="18"/>
              </w:rPr>
              <w:t>42 </w:t>
            </w:r>
          </w:p>
        </w:tc>
        <w:tc>
          <w:tcPr>
            <w:tcW w:w="0" w:type="auto"/>
            <w:shd w:val="clear" w:color="auto" w:fill="FFFFFF"/>
            <w:tcMar>
              <w:top w:w="40" w:type="dxa"/>
              <w:left w:w="0" w:type="dxa"/>
              <w:bottom w:w="40" w:type="dxa"/>
              <w:right w:w="20" w:type="dxa"/>
            </w:tcMar>
            <w:vAlign w:val="bottom"/>
          </w:tcPr>
          <w:p w14:paraId="1860112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2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12A" w14:textId="77777777" w:rsidR="00A91885" w:rsidRDefault="009C4196">
            <w:pPr>
              <w:jc w:val="right"/>
              <w:textAlignment w:val="bottom"/>
            </w:pPr>
            <w:r>
              <w:rPr>
                <w:rFonts w:ascii="Arial" w:eastAsia="宋体" w:hAnsi="Arial" w:cs="Arial"/>
                <w:color w:val="000000"/>
                <w:sz w:val="18"/>
                <w:szCs w:val="18"/>
              </w:rPr>
              <w:t>76 </w:t>
            </w:r>
          </w:p>
        </w:tc>
        <w:tc>
          <w:tcPr>
            <w:tcW w:w="0" w:type="auto"/>
            <w:shd w:val="clear" w:color="auto" w:fill="FFFFFF"/>
            <w:tcMar>
              <w:top w:w="40" w:type="dxa"/>
              <w:left w:w="0" w:type="dxa"/>
              <w:bottom w:w="40" w:type="dxa"/>
              <w:right w:w="20" w:type="dxa"/>
            </w:tcMar>
            <w:vAlign w:val="bottom"/>
          </w:tcPr>
          <w:p w14:paraId="1860112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2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12D" w14:textId="77777777" w:rsidR="00A91885" w:rsidRDefault="009C4196">
            <w:pPr>
              <w:jc w:val="right"/>
              <w:textAlignment w:val="bottom"/>
            </w:pPr>
            <w:r>
              <w:rPr>
                <w:rFonts w:ascii="Arial" w:eastAsia="宋体" w:hAnsi="Arial" w:cs="Arial"/>
                <w:color w:val="000000"/>
                <w:sz w:val="18"/>
                <w:szCs w:val="18"/>
              </w:rPr>
              <w:t>73 </w:t>
            </w:r>
          </w:p>
        </w:tc>
        <w:tc>
          <w:tcPr>
            <w:tcW w:w="0" w:type="auto"/>
            <w:shd w:val="clear" w:color="auto" w:fill="FFFFFF"/>
            <w:tcMar>
              <w:top w:w="40" w:type="dxa"/>
              <w:left w:w="0" w:type="dxa"/>
              <w:bottom w:w="40" w:type="dxa"/>
              <w:right w:w="20" w:type="dxa"/>
            </w:tcMar>
            <w:vAlign w:val="bottom"/>
          </w:tcPr>
          <w:p w14:paraId="1860112E" w14:textId="77777777" w:rsidR="00A91885" w:rsidRDefault="00A91885">
            <w:pPr>
              <w:jc w:val="right"/>
              <w:rPr>
                <w:rFonts w:ascii="宋体"/>
              </w:rPr>
            </w:pPr>
          </w:p>
        </w:tc>
      </w:tr>
      <w:tr w:rsidR="00A91885" w14:paraId="18601140" w14:textId="77777777">
        <w:tc>
          <w:tcPr>
            <w:tcW w:w="0" w:type="auto"/>
            <w:gridSpan w:val="3"/>
            <w:shd w:val="clear" w:color="auto" w:fill="E2E2E2"/>
            <w:tcMar>
              <w:top w:w="40" w:type="dxa"/>
              <w:left w:w="260" w:type="dxa"/>
              <w:bottom w:w="40" w:type="dxa"/>
              <w:right w:w="20" w:type="dxa"/>
            </w:tcMar>
            <w:vAlign w:val="bottom"/>
          </w:tcPr>
          <w:p w14:paraId="18601130" w14:textId="77777777" w:rsidR="00A91885" w:rsidRDefault="009C4196">
            <w:pPr>
              <w:textAlignment w:val="bottom"/>
            </w:pPr>
            <w:r>
              <w:rPr>
                <w:rFonts w:ascii="Arial" w:eastAsia="宋体" w:hAnsi="Arial" w:cs="Arial"/>
                <w:color w:val="000000"/>
                <w:sz w:val="18"/>
                <w:szCs w:val="18"/>
              </w:rPr>
              <w:t>Total stock-based compensation expense</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113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132" w14:textId="77777777" w:rsidR="00A91885" w:rsidRDefault="009C4196">
            <w:pPr>
              <w:jc w:val="right"/>
              <w:textAlignment w:val="bottom"/>
            </w:pPr>
            <w:r>
              <w:rPr>
                <w:rFonts w:ascii="Arial" w:eastAsia="宋体" w:hAnsi="Arial" w:cs="Arial"/>
                <w:color w:val="000000"/>
                <w:sz w:val="18"/>
                <w:szCs w:val="18"/>
              </w:rPr>
              <w:t>137 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13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34"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13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136" w14:textId="77777777" w:rsidR="00A91885" w:rsidRDefault="009C4196">
            <w:pPr>
              <w:jc w:val="right"/>
              <w:textAlignment w:val="bottom"/>
            </w:pPr>
            <w:r>
              <w:rPr>
                <w:rFonts w:ascii="Arial" w:eastAsia="宋体" w:hAnsi="Arial" w:cs="Arial"/>
                <w:color w:val="000000"/>
                <w:sz w:val="18"/>
                <w:szCs w:val="18"/>
              </w:rPr>
              <w:t>135 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13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38"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13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13A" w14:textId="77777777" w:rsidR="00A91885" w:rsidRDefault="009C4196">
            <w:pPr>
              <w:jc w:val="right"/>
              <w:textAlignment w:val="bottom"/>
            </w:pPr>
            <w:r>
              <w:rPr>
                <w:rFonts w:ascii="Arial" w:eastAsia="宋体" w:hAnsi="Arial" w:cs="Arial"/>
                <w:color w:val="000000"/>
                <w:sz w:val="18"/>
                <w:szCs w:val="18"/>
              </w:rPr>
              <w:t>248 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13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3C"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13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13E" w14:textId="77777777" w:rsidR="00A91885" w:rsidRDefault="009C4196">
            <w:pPr>
              <w:jc w:val="right"/>
              <w:textAlignment w:val="bottom"/>
            </w:pPr>
            <w:r>
              <w:rPr>
                <w:rFonts w:ascii="Arial" w:eastAsia="宋体" w:hAnsi="Arial" w:cs="Arial"/>
                <w:color w:val="000000"/>
                <w:sz w:val="18"/>
                <w:szCs w:val="18"/>
              </w:rPr>
              <w:t>238 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13F" w14:textId="77777777" w:rsidR="00A91885" w:rsidRDefault="00A91885">
            <w:pPr>
              <w:jc w:val="right"/>
              <w:rPr>
                <w:rFonts w:ascii="宋体"/>
              </w:rPr>
            </w:pPr>
          </w:p>
        </w:tc>
      </w:tr>
      <w:tr w:rsidR="00A91885" w14:paraId="18601151" w14:textId="77777777">
        <w:tc>
          <w:tcPr>
            <w:tcW w:w="0" w:type="auto"/>
            <w:gridSpan w:val="3"/>
            <w:shd w:val="clear" w:color="auto" w:fill="FFFFFF"/>
            <w:tcMar>
              <w:top w:w="40" w:type="dxa"/>
              <w:left w:w="20" w:type="dxa"/>
              <w:bottom w:w="40" w:type="dxa"/>
              <w:right w:w="20" w:type="dxa"/>
            </w:tcMar>
            <w:vAlign w:val="bottom"/>
          </w:tcPr>
          <w:p w14:paraId="18601141" w14:textId="77777777" w:rsidR="00A91885" w:rsidRDefault="009C4196">
            <w:pPr>
              <w:textAlignment w:val="bottom"/>
            </w:pPr>
            <w:r>
              <w:rPr>
                <w:rFonts w:ascii="Arial" w:eastAsia="宋体" w:hAnsi="Arial" w:cs="Arial"/>
                <w:color w:val="000000"/>
                <w:sz w:val="18"/>
                <w:szCs w:val="18"/>
              </w:rPr>
              <w:t>Capitalized in product development</w:t>
            </w: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8601142" w14:textId="77777777" w:rsidR="00A91885" w:rsidRDefault="009C4196">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18601143" w14:textId="77777777" w:rsidR="00A91885" w:rsidRDefault="009C4196">
            <w:pPr>
              <w:jc w:val="right"/>
              <w:textAlignment w:val="bottom"/>
            </w:pPr>
            <w:r>
              <w:rPr>
                <w:rFonts w:ascii="Arial" w:eastAsia="宋体" w:hAnsi="Arial" w:cs="Arial"/>
                <w:color w:val="000000"/>
                <w:sz w:val="18"/>
                <w:szCs w:val="18"/>
              </w:rPr>
              <w:t>3 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860114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45" w14:textId="77777777" w:rsidR="00A91885" w:rsidRDefault="00A91885">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8601146" w14:textId="77777777" w:rsidR="00A91885" w:rsidRDefault="009C4196">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18601147" w14:textId="77777777" w:rsidR="00A91885" w:rsidRDefault="009C4196">
            <w:pPr>
              <w:jc w:val="right"/>
              <w:textAlignment w:val="bottom"/>
            </w:pPr>
            <w:r>
              <w:rPr>
                <w:rFonts w:ascii="Arial" w:eastAsia="宋体" w:hAnsi="Arial" w:cs="Arial"/>
                <w:color w:val="000000"/>
                <w:sz w:val="18"/>
                <w:szCs w:val="18"/>
              </w:rPr>
              <w:t>3 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860114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49" w14:textId="77777777" w:rsidR="00A91885" w:rsidRDefault="00A91885">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860114A" w14:textId="77777777" w:rsidR="00A91885" w:rsidRDefault="009C4196">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1860114B" w14:textId="77777777" w:rsidR="00A91885" w:rsidRDefault="009C4196">
            <w:pPr>
              <w:jc w:val="right"/>
              <w:textAlignment w:val="bottom"/>
            </w:pPr>
            <w:r>
              <w:rPr>
                <w:rFonts w:ascii="Arial" w:eastAsia="宋体" w:hAnsi="Arial" w:cs="Arial"/>
                <w:color w:val="000000"/>
                <w:sz w:val="18"/>
                <w:szCs w:val="18"/>
              </w:rPr>
              <w:t>7 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860114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4D" w14:textId="77777777" w:rsidR="00A91885" w:rsidRDefault="00A91885">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1860114E" w14:textId="77777777" w:rsidR="00A91885" w:rsidRDefault="009C4196">
            <w:pPr>
              <w:textAlignment w:val="bottom"/>
            </w:pPr>
            <w:r>
              <w:rPr>
                <w:rFonts w:ascii="Arial" w:eastAsia="宋体" w:hAnsi="Arial" w:cs="Arial"/>
                <w:color w:val="000000"/>
                <w:sz w:val="18"/>
                <w:szCs w:val="18"/>
              </w:rPr>
              <w:t>$</w:t>
            </w:r>
          </w:p>
        </w:tc>
        <w:tc>
          <w:tcPr>
            <w:tcW w:w="0" w:type="auto"/>
            <w:tcBorders>
              <w:top w:val="double" w:sz="6" w:space="0" w:color="000000"/>
              <w:bottom w:val="double" w:sz="6" w:space="0" w:color="000000"/>
            </w:tcBorders>
            <w:shd w:val="clear" w:color="auto" w:fill="FFFFFF"/>
            <w:tcMar>
              <w:top w:w="40" w:type="dxa"/>
              <w:left w:w="0" w:type="dxa"/>
              <w:bottom w:w="40" w:type="dxa"/>
              <w:right w:w="0" w:type="dxa"/>
            </w:tcMar>
            <w:vAlign w:val="bottom"/>
          </w:tcPr>
          <w:p w14:paraId="1860114F" w14:textId="77777777" w:rsidR="00A91885" w:rsidRDefault="009C4196">
            <w:pPr>
              <w:jc w:val="right"/>
              <w:textAlignment w:val="bottom"/>
            </w:pPr>
            <w:r>
              <w:rPr>
                <w:rFonts w:ascii="Arial" w:eastAsia="宋体" w:hAnsi="Arial" w:cs="Arial"/>
                <w:color w:val="000000"/>
                <w:sz w:val="18"/>
                <w:szCs w:val="18"/>
              </w:rPr>
              <w:t>6 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18601150" w14:textId="77777777" w:rsidR="00A91885" w:rsidRDefault="00A91885">
            <w:pPr>
              <w:jc w:val="right"/>
              <w:rPr>
                <w:rFonts w:ascii="宋体"/>
              </w:rPr>
            </w:pPr>
          </w:p>
        </w:tc>
      </w:tr>
    </w:tbl>
    <w:p w14:paraId="18601152" w14:textId="77777777" w:rsidR="00A91885" w:rsidRDefault="00A91885"/>
    <w:p w14:paraId="18601153" w14:textId="77777777" w:rsidR="00A91885" w:rsidRDefault="00A91885">
      <w:pPr>
        <w:jc w:val="center"/>
      </w:pPr>
    </w:p>
    <w:p w14:paraId="18601154" w14:textId="77777777" w:rsidR="00A91885" w:rsidRDefault="009C4196">
      <w:pPr>
        <w:jc w:val="center"/>
      </w:pPr>
      <w:r>
        <w:rPr>
          <w:rFonts w:ascii="Arial" w:eastAsia="宋体" w:hAnsi="Arial" w:cs="Arial"/>
          <w:color w:val="000000"/>
          <w:sz w:val="20"/>
          <w:szCs w:val="20"/>
        </w:rPr>
        <w:t>42</w:t>
      </w:r>
    </w:p>
    <w:p w14:paraId="18601155" w14:textId="77777777" w:rsidR="00A91885" w:rsidRDefault="009C4196">
      <w:r>
        <w:pict w14:anchorId="186021AD">
          <v:rect id="_x0000_i1066" style="width:415.3pt;height:1.5pt" o:hralign="center" o:hrstd="t" o:hr="t" fillcolor="#a0a0a0" stroked="f"/>
        </w:pict>
      </w:r>
    </w:p>
    <w:p w14:paraId="18601156" w14:textId="77777777" w:rsidR="00A91885" w:rsidRDefault="009C4196">
      <w:hyperlink r:id="rId126" w:anchor="ieb971428a625452486c65ae24899afca_7" w:history="1">
        <w:r>
          <w:rPr>
            <w:rStyle w:val="a5"/>
            <w:rFonts w:ascii="Arial" w:eastAsia="宋体" w:hAnsi="Arial" w:cs="Arial"/>
            <w:sz w:val="18"/>
            <w:szCs w:val="18"/>
          </w:rPr>
          <w:t>Table of Contents</w:t>
        </w:r>
      </w:hyperlink>
    </w:p>
    <w:p w14:paraId="18601157" w14:textId="77777777" w:rsidR="00A91885" w:rsidRDefault="009C4196">
      <w:pPr>
        <w:jc w:val="center"/>
      </w:pPr>
      <w:r>
        <w:rPr>
          <w:rFonts w:ascii="Arial" w:eastAsia="宋体" w:hAnsi="Arial" w:cs="Arial"/>
          <w:b/>
          <w:bCs/>
          <w:color w:val="000000"/>
          <w:sz w:val="20"/>
          <w:szCs w:val="20"/>
        </w:rPr>
        <w:t>eBay Inc.</w:t>
      </w:r>
    </w:p>
    <w:p w14:paraId="18601158"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1159" w14:textId="77777777" w:rsidR="00A91885" w:rsidRDefault="009C4196">
      <w:pPr>
        <w:jc w:val="both"/>
      </w:pPr>
      <w:r>
        <w:rPr>
          <w:rFonts w:ascii="Arial" w:eastAsia="宋体" w:hAnsi="Arial" w:cs="Arial"/>
          <w:b/>
          <w:bCs/>
          <w:color w:val="000000"/>
          <w:sz w:val="20"/>
          <w:szCs w:val="20"/>
        </w:rPr>
        <w:t xml:space="preserve">Note 14 — </w:t>
      </w:r>
      <w:r>
        <w:rPr>
          <w:rFonts w:ascii="Arial" w:eastAsia="宋体" w:hAnsi="Arial" w:cs="Arial"/>
          <w:b/>
          <w:bCs/>
          <w:color w:val="000000"/>
          <w:sz w:val="20"/>
          <w:szCs w:val="20"/>
        </w:rPr>
        <w:t xml:space="preserve">Income Taxes </w:t>
      </w:r>
    </w:p>
    <w:p w14:paraId="1860115A" w14:textId="77777777" w:rsidR="00A91885" w:rsidRDefault="00A91885">
      <w:pPr>
        <w:jc w:val="both"/>
      </w:pPr>
    </w:p>
    <w:p w14:paraId="1860115B" w14:textId="77777777" w:rsidR="00A91885" w:rsidRDefault="009C4196">
      <w:pPr>
        <w:ind w:firstLine="540"/>
        <w:jc w:val="both"/>
      </w:pPr>
      <w:r>
        <w:rPr>
          <w:rFonts w:ascii="Arial" w:eastAsia="宋体" w:hAnsi="Arial" w:cs="Arial"/>
          <w:color w:val="000000"/>
          <w:sz w:val="20"/>
          <w:szCs w:val="20"/>
        </w:rPr>
        <w:t>We are subject to both direct and indirect taxation in the U.S. and various states and foreign jurisdictions. We are under examination by certain tax authorities for the 2010 to 2020 tax years. We believe that adequate amounts have been rese</w:t>
      </w:r>
      <w:r>
        <w:rPr>
          <w:rFonts w:ascii="Arial" w:eastAsia="宋体" w:hAnsi="Arial" w:cs="Arial"/>
          <w:color w:val="000000"/>
          <w:sz w:val="20"/>
          <w:szCs w:val="20"/>
        </w:rPr>
        <w:t>rved for any adjustments that may ultimately result from these or other examinations. The material jurisdictions where we are subject to potential examination by tax authorities for tax years after 2009 include, among others, the U.S. (Federal and Californ</w:t>
      </w:r>
      <w:r>
        <w:rPr>
          <w:rFonts w:ascii="Arial" w:eastAsia="宋体" w:hAnsi="Arial" w:cs="Arial"/>
          <w:color w:val="000000"/>
          <w:sz w:val="20"/>
          <w:szCs w:val="20"/>
        </w:rPr>
        <w:t xml:space="preserve">ia), Germany, Israel, Singapore, Switzerland and the United Kingdom. </w:t>
      </w:r>
    </w:p>
    <w:p w14:paraId="1860115C" w14:textId="77777777" w:rsidR="00A91885" w:rsidRDefault="009C4196">
      <w:pPr>
        <w:ind w:firstLine="540"/>
        <w:jc w:val="both"/>
      </w:pPr>
      <w:r>
        <w:rPr>
          <w:rFonts w:ascii="Arial" w:eastAsia="宋体" w:hAnsi="Arial" w:cs="Arial"/>
          <w:color w:val="000000"/>
          <w:sz w:val="20"/>
          <w:szCs w:val="20"/>
        </w:rPr>
        <w:t> </w:t>
      </w:r>
    </w:p>
    <w:p w14:paraId="1860115D" w14:textId="77777777" w:rsidR="00A91885" w:rsidRDefault="009C4196">
      <w:pPr>
        <w:ind w:firstLine="540"/>
        <w:jc w:val="both"/>
      </w:pPr>
      <w:r>
        <w:rPr>
          <w:rFonts w:ascii="Arial" w:eastAsia="宋体" w:hAnsi="Arial" w:cs="Arial"/>
          <w:color w:val="000000"/>
          <w:sz w:val="20"/>
          <w:szCs w:val="20"/>
        </w:rPr>
        <w:t>Although the timing of the resolution and/or closure of audits is highly uncertain, it is reasonably possible that the balance of gross unrecognized tax benefits could significantly change in the next 12 months. However, given the number of years remaining</w:t>
      </w:r>
      <w:r>
        <w:rPr>
          <w:rFonts w:ascii="Arial" w:eastAsia="宋体" w:hAnsi="Arial" w:cs="Arial"/>
          <w:color w:val="000000"/>
          <w:sz w:val="20"/>
          <w:szCs w:val="20"/>
        </w:rPr>
        <w:t xml:space="preserve"> subject to examination and the number of matters being examined, we are unable to estimate the full range of possible adjustments to the balance of gross unrecognized tax benefits. </w:t>
      </w:r>
    </w:p>
    <w:p w14:paraId="1860115E" w14:textId="77777777" w:rsidR="00A91885" w:rsidRDefault="00A91885">
      <w:pPr>
        <w:ind w:firstLine="540"/>
        <w:jc w:val="both"/>
      </w:pPr>
    </w:p>
    <w:p w14:paraId="1860115F" w14:textId="77777777" w:rsidR="00A91885" w:rsidRDefault="009C4196">
      <w:pPr>
        <w:ind w:firstLine="540"/>
        <w:jc w:val="both"/>
      </w:pPr>
      <w:r>
        <w:rPr>
          <w:rFonts w:ascii="Arial" w:eastAsia="宋体" w:hAnsi="Arial" w:cs="Arial"/>
          <w:color w:val="000000"/>
          <w:sz w:val="20"/>
          <w:szCs w:val="20"/>
        </w:rPr>
        <w:t>We have recognized the tax consequences of all foreign unremitted earnin</w:t>
      </w:r>
      <w:r>
        <w:rPr>
          <w:rFonts w:ascii="Arial" w:eastAsia="宋体" w:hAnsi="Arial" w:cs="Arial"/>
          <w:color w:val="000000"/>
          <w:sz w:val="20"/>
          <w:szCs w:val="20"/>
        </w:rPr>
        <w:t>gs and management has no specific plans to indefinitely reinvest the unremitted earnings of our foreign subsidiaries as of the balance sheet date. We have not provided for deferred taxes on outside basis differences in our investments in our foreign subsid</w:t>
      </w:r>
      <w:r>
        <w:rPr>
          <w:rFonts w:ascii="Arial" w:eastAsia="宋体" w:hAnsi="Arial" w:cs="Arial"/>
          <w:color w:val="000000"/>
          <w:sz w:val="20"/>
          <w:szCs w:val="20"/>
        </w:rPr>
        <w:t>iaries that are unrelated to unremitted earnings. These basis differences will be indefinitely reinvested. A determination of the unrecognized deferred taxes related to these other components of our outside basis difference is not practicable.</w:t>
      </w:r>
    </w:p>
    <w:p w14:paraId="18601160" w14:textId="77777777" w:rsidR="00A91885" w:rsidRDefault="00A91885">
      <w:pPr>
        <w:jc w:val="both"/>
      </w:pPr>
    </w:p>
    <w:p w14:paraId="18601161" w14:textId="77777777" w:rsidR="00A91885" w:rsidRDefault="00A91885">
      <w:pPr>
        <w:jc w:val="center"/>
      </w:pPr>
    </w:p>
    <w:p w14:paraId="18601162" w14:textId="77777777" w:rsidR="00A91885" w:rsidRDefault="009C4196">
      <w:pPr>
        <w:jc w:val="center"/>
      </w:pPr>
      <w:r>
        <w:rPr>
          <w:rFonts w:ascii="Arial" w:eastAsia="宋体" w:hAnsi="Arial" w:cs="Arial"/>
          <w:color w:val="000000"/>
          <w:sz w:val="20"/>
          <w:szCs w:val="20"/>
        </w:rPr>
        <w:t>43</w:t>
      </w:r>
    </w:p>
    <w:p w14:paraId="18601163" w14:textId="77777777" w:rsidR="00A91885" w:rsidRDefault="009C4196">
      <w:r>
        <w:pict w14:anchorId="186021AE">
          <v:rect id="_x0000_i1067" style="width:415.3pt;height:1.5pt" o:hralign="center" o:hrstd="t" o:hr="t" fillcolor="#a0a0a0" stroked="f"/>
        </w:pict>
      </w:r>
    </w:p>
    <w:p w14:paraId="18601164" w14:textId="77777777" w:rsidR="00A91885" w:rsidRDefault="009C4196">
      <w:hyperlink r:id="rId127" w:anchor="ieb971428a625452486c65ae24899afca_7" w:history="1">
        <w:r>
          <w:rPr>
            <w:rStyle w:val="a5"/>
            <w:rFonts w:ascii="Arial" w:eastAsia="宋体" w:hAnsi="Arial" w:cs="Arial"/>
            <w:sz w:val="18"/>
            <w:szCs w:val="18"/>
          </w:rPr>
          <w:t>Table of Contents</w:t>
        </w:r>
      </w:hyperlink>
    </w:p>
    <w:p w14:paraId="18601165" w14:textId="77777777" w:rsidR="00A91885" w:rsidRDefault="009C4196">
      <w:pPr>
        <w:jc w:val="center"/>
      </w:pPr>
      <w:r>
        <w:rPr>
          <w:rFonts w:ascii="Arial" w:eastAsia="宋体" w:hAnsi="Arial" w:cs="Arial"/>
          <w:b/>
          <w:bCs/>
          <w:color w:val="000000"/>
          <w:sz w:val="20"/>
          <w:szCs w:val="20"/>
        </w:rPr>
        <w:t>eBay Inc.</w:t>
      </w:r>
    </w:p>
    <w:p w14:paraId="18601166" w14:textId="77777777" w:rsidR="00A91885" w:rsidRDefault="009C4196">
      <w:pPr>
        <w:spacing w:before="80"/>
        <w:jc w:val="center"/>
      </w:pPr>
      <w:r>
        <w:rPr>
          <w:rFonts w:ascii="Arial" w:eastAsia="宋体" w:hAnsi="Arial" w:cs="Arial"/>
          <w:b/>
          <w:bCs/>
          <w:color w:val="000000"/>
          <w:sz w:val="20"/>
          <w:szCs w:val="20"/>
        </w:rPr>
        <w:t>NOTES TO CONDENSED CONSOLIDATED FINANCIAL STATEMENTS—(Continued)</w:t>
      </w:r>
    </w:p>
    <w:p w14:paraId="18601167" w14:textId="77777777" w:rsidR="00A91885" w:rsidRDefault="009C4196">
      <w:r>
        <w:rPr>
          <w:rFonts w:ascii="Arial" w:eastAsia="宋体" w:hAnsi="Arial" w:cs="Arial"/>
          <w:b/>
          <w:bCs/>
          <w:color w:val="000000"/>
          <w:sz w:val="20"/>
          <w:szCs w:val="20"/>
        </w:rPr>
        <w:t>Note 15 — Accum</w:t>
      </w:r>
      <w:r>
        <w:rPr>
          <w:rFonts w:ascii="Arial" w:eastAsia="宋体" w:hAnsi="Arial" w:cs="Arial"/>
          <w:b/>
          <w:bCs/>
          <w:color w:val="000000"/>
          <w:sz w:val="20"/>
          <w:szCs w:val="20"/>
        </w:rPr>
        <w:t xml:space="preserve">ulated Other Comprehensive Income </w:t>
      </w:r>
    </w:p>
    <w:p w14:paraId="18601168" w14:textId="77777777" w:rsidR="00A91885" w:rsidRDefault="00A91885">
      <w:pPr>
        <w:ind w:firstLine="540"/>
      </w:pPr>
    </w:p>
    <w:p w14:paraId="18601169" w14:textId="77777777" w:rsidR="00A91885" w:rsidRDefault="009C4196">
      <w:pPr>
        <w:spacing w:after="120"/>
        <w:ind w:firstLine="540"/>
      </w:pPr>
      <w:r>
        <w:rPr>
          <w:rFonts w:ascii="Arial" w:eastAsia="宋体" w:hAnsi="Arial" w:cs="Arial"/>
          <w:color w:val="000000"/>
          <w:sz w:val="20"/>
          <w:szCs w:val="20"/>
        </w:rPr>
        <w:t xml:space="preserve">The following tables summarize the changes in AOCI for the periods indicated (in millions): </w:t>
      </w:r>
    </w:p>
    <w:tbl>
      <w:tblPr>
        <w:tblW w:w="5000" w:type="pct"/>
        <w:tblCellMar>
          <w:top w:w="15" w:type="dxa"/>
          <w:left w:w="15" w:type="dxa"/>
          <w:bottom w:w="15" w:type="dxa"/>
          <w:right w:w="15" w:type="dxa"/>
        </w:tblCellMar>
        <w:tblLook w:val="04A0" w:firstRow="1" w:lastRow="0" w:firstColumn="1" w:lastColumn="0" w:noHBand="0" w:noVBand="1"/>
      </w:tblPr>
      <w:tblGrid>
        <w:gridCol w:w="42"/>
        <w:gridCol w:w="2855"/>
        <w:gridCol w:w="37"/>
        <w:gridCol w:w="122"/>
        <w:gridCol w:w="928"/>
        <w:gridCol w:w="36"/>
        <w:gridCol w:w="36"/>
        <w:gridCol w:w="36"/>
        <w:gridCol w:w="36"/>
        <w:gridCol w:w="122"/>
        <w:gridCol w:w="943"/>
        <w:gridCol w:w="36"/>
        <w:gridCol w:w="36"/>
        <w:gridCol w:w="36"/>
        <w:gridCol w:w="36"/>
        <w:gridCol w:w="122"/>
        <w:gridCol w:w="863"/>
        <w:gridCol w:w="36"/>
        <w:gridCol w:w="36"/>
        <w:gridCol w:w="36"/>
        <w:gridCol w:w="36"/>
        <w:gridCol w:w="122"/>
        <w:gridCol w:w="775"/>
        <w:gridCol w:w="36"/>
        <w:gridCol w:w="36"/>
        <w:gridCol w:w="36"/>
        <w:gridCol w:w="36"/>
        <w:gridCol w:w="121"/>
        <w:gridCol w:w="672"/>
        <w:gridCol w:w="36"/>
      </w:tblGrid>
      <w:tr w:rsidR="00A91885" w14:paraId="18601188" w14:textId="77777777">
        <w:tc>
          <w:tcPr>
            <w:tcW w:w="50" w:type="pct"/>
            <w:shd w:val="clear" w:color="auto" w:fill="auto"/>
            <w:vAlign w:val="bottom"/>
          </w:tcPr>
          <w:p w14:paraId="1860116A" w14:textId="77777777" w:rsidR="00A91885" w:rsidRDefault="00A91885">
            <w:pPr>
              <w:rPr>
                <w:rFonts w:ascii="宋体"/>
              </w:rPr>
            </w:pPr>
          </w:p>
        </w:tc>
        <w:tc>
          <w:tcPr>
            <w:tcW w:w="1809" w:type="pct"/>
            <w:shd w:val="clear" w:color="auto" w:fill="auto"/>
            <w:vAlign w:val="bottom"/>
          </w:tcPr>
          <w:p w14:paraId="1860116B" w14:textId="77777777" w:rsidR="00A91885" w:rsidRDefault="00A91885">
            <w:pPr>
              <w:rPr>
                <w:rFonts w:ascii="宋体"/>
              </w:rPr>
            </w:pPr>
          </w:p>
        </w:tc>
        <w:tc>
          <w:tcPr>
            <w:tcW w:w="5" w:type="pct"/>
            <w:shd w:val="clear" w:color="auto" w:fill="auto"/>
            <w:vAlign w:val="bottom"/>
          </w:tcPr>
          <w:p w14:paraId="1860116C" w14:textId="77777777" w:rsidR="00A91885" w:rsidRDefault="00A91885">
            <w:pPr>
              <w:rPr>
                <w:rFonts w:ascii="宋体"/>
              </w:rPr>
            </w:pPr>
          </w:p>
        </w:tc>
        <w:tc>
          <w:tcPr>
            <w:tcW w:w="50" w:type="pct"/>
            <w:shd w:val="clear" w:color="auto" w:fill="auto"/>
            <w:vAlign w:val="bottom"/>
          </w:tcPr>
          <w:p w14:paraId="1860116D" w14:textId="77777777" w:rsidR="00A91885" w:rsidRDefault="00A91885">
            <w:pPr>
              <w:rPr>
                <w:rFonts w:ascii="宋体"/>
              </w:rPr>
            </w:pPr>
          </w:p>
        </w:tc>
        <w:tc>
          <w:tcPr>
            <w:tcW w:w="595" w:type="pct"/>
            <w:shd w:val="clear" w:color="auto" w:fill="auto"/>
            <w:vAlign w:val="bottom"/>
          </w:tcPr>
          <w:p w14:paraId="1860116E" w14:textId="77777777" w:rsidR="00A91885" w:rsidRDefault="00A91885">
            <w:pPr>
              <w:rPr>
                <w:rFonts w:ascii="宋体"/>
              </w:rPr>
            </w:pPr>
          </w:p>
        </w:tc>
        <w:tc>
          <w:tcPr>
            <w:tcW w:w="5" w:type="pct"/>
            <w:shd w:val="clear" w:color="auto" w:fill="auto"/>
            <w:vAlign w:val="bottom"/>
          </w:tcPr>
          <w:p w14:paraId="1860116F" w14:textId="77777777" w:rsidR="00A91885" w:rsidRDefault="00A91885">
            <w:pPr>
              <w:rPr>
                <w:rFonts w:ascii="宋体"/>
              </w:rPr>
            </w:pPr>
          </w:p>
        </w:tc>
        <w:tc>
          <w:tcPr>
            <w:tcW w:w="5" w:type="pct"/>
            <w:shd w:val="clear" w:color="auto" w:fill="auto"/>
            <w:vAlign w:val="bottom"/>
          </w:tcPr>
          <w:p w14:paraId="18601170" w14:textId="77777777" w:rsidR="00A91885" w:rsidRDefault="00A91885">
            <w:pPr>
              <w:rPr>
                <w:rFonts w:ascii="宋体"/>
              </w:rPr>
            </w:pPr>
          </w:p>
        </w:tc>
        <w:tc>
          <w:tcPr>
            <w:tcW w:w="19" w:type="pct"/>
            <w:shd w:val="clear" w:color="auto" w:fill="auto"/>
            <w:vAlign w:val="bottom"/>
          </w:tcPr>
          <w:p w14:paraId="18601171" w14:textId="77777777" w:rsidR="00A91885" w:rsidRDefault="00A91885">
            <w:pPr>
              <w:rPr>
                <w:rFonts w:ascii="宋体"/>
              </w:rPr>
            </w:pPr>
          </w:p>
        </w:tc>
        <w:tc>
          <w:tcPr>
            <w:tcW w:w="5" w:type="pct"/>
            <w:shd w:val="clear" w:color="auto" w:fill="auto"/>
            <w:vAlign w:val="bottom"/>
          </w:tcPr>
          <w:p w14:paraId="18601172" w14:textId="77777777" w:rsidR="00A91885" w:rsidRDefault="00A91885">
            <w:pPr>
              <w:rPr>
                <w:rFonts w:ascii="宋体"/>
              </w:rPr>
            </w:pPr>
          </w:p>
        </w:tc>
        <w:tc>
          <w:tcPr>
            <w:tcW w:w="50" w:type="pct"/>
            <w:shd w:val="clear" w:color="auto" w:fill="auto"/>
            <w:vAlign w:val="bottom"/>
          </w:tcPr>
          <w:p w14:paraId="18601173" w14:textId="77777777" w:rsidR="00A91885" w:rsidRDefault="00A91885">
            <w:pPr>
              <w:rPr>
                <w:rFonts w:ascii="宋体"/>
              </w:rPr>
            </w:pPr>
          </w:p>
        </w:tc>
        <w:tc>
          <w:tcPr>
            <w:tcW w:w="580" w:type="pct"/>
            <w:shd w:val="clear" w:color="auto" w:fill="auto"/>
            <w:vAlign w:val="bottom"/>
          </w:tcPr>
          <w:p w14:paraId="18601174" w14:textId="77777777" w:rsidR="00A91885" w:rsidRDefault="00A91885">
            <w:pPr>
              <w:rPr>
                <w:rFonts w:ascii="宋体"/>
              </w:rPr>
            </w:pPr>
          </w:p>
        </w:tc>
        <w:tc>
          <w:tcPr>
            <w:tcW w:w="5" w:type="pct"/>
            <w:shd w:val="clear" w:color="auto" w:fill="auto"/>
            <w:vAlign w:val="bottom"/>
          </w:tcPr>
          <w:p w14:paraId="18601175" w14:textId="77777777" w:rsidR="00A91885" w:rsidRDefault="00A91885">
            <w:pPr>
              <w:rPr>
                <w:rFonts w:ascii="宋体"/>
              </w:rPr>
            </w:pPr>
          </w:p>
        </w:tc>
        <w:tc>
          <w:tcPr>
            <w:tcW w:w="5" w:type="pct"/>
            <w:shd w:val="clear" w:color="auto" w:fill="auto"/>
            <w:vAlign w:val="bottom"/>
          </w:tcPr>
          <w:p w14:paraId="18601176" w14:textId="77777777" w:rsidR="00A91885" w:rsidRDefault="00A91885">
            <w:pPr>
              <w:rPr>
                <w:rFonts w:ascii="宋体"/>
              </w:rPr>
            </w:pPr>
          </w:p>
        </w:tc>
        <w:tc>
          <w:tcPr>
            <w:tcW w:w="19" w:type="pct"/>
            <w:shd w:val="clear" w:color="auto" w:fill="auto"/>
            <w:vAlign w:val="bottom"/>
          </w:tcPr>
          <w:p w14:paraId="18601177" w14:textId="77777777" w:rsidR="00A91885" w:rsidRDefault="00A91885">
            <w:pPr>
              <w:rPr>
                <w:rFonts w:ascii="宋体"/>
              </w:rPr>
            </w:pPr>
          </w:p>
        </w:tc>
        <w:tc>
          <w:tcPr>
            <w:tcW w:w="5" w:type="pct"/>
            <w:shd w:val="clear" w:color="auto" w:fill="auto"/>
            <w:vAlign w:val="bottom"/>
          </w:tcPr>
          <w:p w14:paraId="18601178" w14:textId="77777777" w:rsidR="00A91885" w:rsidRDefault="00A91885">
            <w:pPr>
              <w:rPr>
                <w:rFonts w:ascii="宋体"/>
              </w:rPr>
            </w:pPr>
          </w:p>
        </w:tc>
        <w:tc>
          <w:tcPr>
            <w:tcW w:w="50" w:type="pct"/>
            <w:shd w:val="clear" w:color="auto" w:fill="auto"/>
            <w:vAlign w:val="bottom"/>
          </w:tcPr>
          <w:p w14:paraId="18601179" w14:textId="77777777" w:rsidR="00A91885" w:rsidRDefault="00A91885">
            <w:pPr>
              <w:rPr>
                <w:rFonts w:ascii="宋体"/>
              </w:rPr>
            </w:pPr>
          </w:p>
        </w:tc>
        <w:tc>
          <w:tcPr>
            <w:tcW w:w="507" w:type="pct"/>
            <w:shd w:val="clear" w:color="auto" w:fill="auto"/>
            <w:vAlign w:val="bottom"/>
          </w:tcPr>
          <w:p w14:paraId="1860117A" w14:textId="77777777" w:rsidR="00A91885" w:rsidRDefault="00A91885">
            <w:pPr>
              <w:rPr>
                <w:rFonts w:ascii="宋体"/>
              </w:rPr>
            </w:pPr>
          </w:p>
        </w:tc>
        <w:tc>
          <w:tcPr>
            <w:tcW w:w="5" w:type="pct"/>
            <w:shd w:val="clear" w:color="auto" w:fill="auto"/>
            <w:vAlign w:val="bottom"/>
          </w:tcPr>
          <w:p w14:paraId="1860117B" w14:textId="77777777" w:rsidR="00A91885" w:rsidRDefault="00A91885">
            <w:pPr>
              <w:rPr>
                <w:rFonts w:ascii="宋体"/>
              </w:rPr>
            </w:pPr>
          </w:p>
        </w:tc>
        <w:tc>
          <w:tcPr>
            <w:tcW w:w="5" w:type="pct"/>
            <w:shd w:val="clear" w:color="auto" w:fill="auto"/>
            <w:vAlign w:val="bottom"/>
          </w:tcPr>
          <w:p w14:paraId="1860117C" w14:textId="77777777" w:rsidR="00A91885" w:rsidRDefault="00A91885">
            <w:pPr>
              <w:rPr>
                <w:rFonts w:ascii="宋体"/>
              </w:rPr>
            </w:pPr>
          </w:p>
        </w:tc>
        <w:tc>
          <w:tcPr>
            <w:tcW w:w="19" w:type="pct"/>
            <w:shd w:val="clear" w:color="auto" w:fill="auto"/>
            <w:vAlign w:val="bottom"/>
          </w:tcPr>
          <w:p w14:paraId="1860117D" w14:textId="77777777" w:rsidR="00A91885" w:rsidRDefault="00A91885">
            <w:pPr>
              <w:rPr>
                <w:rFonts w:ascii="宋体"/>
              </w:rPr>
            </w:pPr>
          </w:p>
        </w:tc>
        <w:tc>
          <w:tcPr>
            <w:tcW w:w="5" w:type="pct"/>
            <w:shd w:val="clear" w:color="auto" w:fill="auto"/>
            <w:vAlign w:val="bottom"/>
          </w:tcPr>
          <w:p w14:paraId="1860117E" w14:textId="77777777" w:rsidR="00A91885" w:rsidRDefault="00A91885">
            <w:pPr>
              <w:rPr>
                <w:rFonts w:ascii="宋体"/>
              </w:rPr>
            </w:pPr>
          </w:p>
        </w:tc>
        <w:tc>
          <w:tcPr>
            <w:tcW w:w="50" w:type="pct"/>
            <w:shd w:val="clear" w:color="auto" w:fill="auto"/>
            <w:vAlign w:val="bottom"/>
          </w:tcPr>
          <w:p w14:paraId="1860117F" w14:textId="77777777" w:rsidR="00A91885" w:rsidRDefault="00A91885">
            <w:pPr>
              <w:rPr>
                <w:rFonts w:ascii="宋体"/>
              </w:rPr>
            </w:pPr>
          </w:p>
        </w:tc>
        <w:tc>
          <w:tcPr>
            <w:tcW w:w="551" w:type="pct"/>
            <w:shd w:val="clear" w:color="auto" w:fill="auto"/>
            <w:vAlign w:val="bottom"/>
          </w:tcPr>
          <w:p w14:paraId="18601180" w14:textId="77777777" w:rsidR="00A91885" w:rsidRDefault="00A91885">
            <w:pPr>
              <w:rPr>
                <w:rFonts w:ascii="宋体"/>
              </w:rPr>
            </w:pPr>
          </w:p>
        </w:tc>
        <w:tc>
          <w:tcPr>
            <w:tcW w:w="5" w:type="pct"/>
            <w:shd w:val="clear" w:color="auto" w:fill="auto"/>
            <w:vAlign w:val="bottom"/>
          </w:tcPr>
          <w:p w14:paraId="18601181" w14:textId="77777777" w:rsidR="00A91885" w:rsidRDefault="00A91885">
            <w:pPr>
              <w:rPr>
                <w:rFonts w:ascii="宋体"/>
              </w:rPr>
            </w:pPr>
          </w:p>
        </w:tc>
        <w:tc>
          <w:tcPr>
            <w:tcW w:w="5" w:type="pct"/>
            <w:shd w:val="clear" w:color="auto" w:fill="auto"/>
            <w:vAlign w:val="bottom"/>
          </w:tcPr>
          <w:p w14:paraId="18601182" w14:textId="77777777" w:rsidR="00A91885" w:rsidRDefault="00A91885">
            <w:pPr>
              <w:rPr>
                <w:rFonts w:ascii="宋体"/>
              </w:rPr>
            </w:pPr>
          </w:p>
        </w:tc>
        <w:tc>
          <w:tcPr>
            <w:tcW w:w="19" w:type="pct"/>
            <w:shd w:val="clear" w:color="auto" w:fill="auto"/>
            <w:vAlign w:val="bottom"/>
          </w:tcPr>
          <w:p w14:paraId="18601183" w14:textId="77777777" w:rsidR="00A91885" w:rsidRDefault="00A91885">
            <w:pPr>
              <w:rPr>
                <w:rFonts w:ascii="宋体"/>
              </w:rPr>
            </w:pPr>
          </w:p>
        </w:tc>
        <w:tc>
          <w:tcPr>
            <w:tcW w:w="5" w:type="pct"/>
            <w:shd w:val="clear" w:color="auto" w:fill="auto"/>
            <w:vAlign w:val="bottom"/>
          </w:tcPr>
          <w:p w14:paraId="18601184" w14:textId="77777777" w:rsidR="00A91885" w:rsidRDefault="00A91885">
            <w:pPr>
              <w:rPr>
                <w:rFonts w:ascii="宋体"/>
              </w:rPr>
            </w:pPr>
          </w:p>
        </w:tc>
        <w:tc>
          <w:tcPr>
            <w:tcW w:w="50" w:type="pct"/>
            <w:shd w:val="clear" w:color="auto" w:fill="auto"/>
            <w:vAlign w:val="bottom"/>
          </w:tcPr>
          <w:p w14:paraId="18601185" w14:textId="77777777" w:rsidR="00A91885" w:rsidRDefault="00A91885">
            <w:pPr>
              <w:rPr>
                <w:rFonts w:ascii="宋体"/>
              </w:rPr>
            </w:pPr>
          </w:p>
        </w:tc>
        <w:tc>
          <w:tcPr>
            <w:tcW w:w="508" w:type="pct"/>
            <w:shd w:val="clear" w:color="auto" w:fill="auto"/>
            <w:vAlign w:val="bottom"/>
          </w:tcPr>
          <w:p w14:paraId="18601186" w14:textId="77777777" w:rsidR="00A91885" w:rsidRDefault="00A91885">
            <w:pPr>
              <w:rPr>
                <w:rFonts w:ascii="宋体"/>
              </w:rPr>
            </w:pPr>
          </w:p>
        </w:tc>
        <w:tc>
          <w:tcPr>
            <w:tcW w:w="5" w:type="pct"/>
            <w:shd w:val="clear" w:color="auto" w:fill="auto"/>
            <w:vAlign w:val="bottom"/>
          </w:tcPr>
          <w:p w14:paraId="18601187" w14:textId="77777777" w:rsidR="00A91885" w:rsidRDefault="00A91885">
            <w:pPr>
              <w:rPr>
                <w:rFonts w:ascii="宋体"/>
              </w:rPr>
            </w:pPr>
          </w:p>
        </w:tc>
      </w:tr>
      <w:tr w:rsidR="00A91885" w14:paraId="18601193" w14:textId="77777777">
        <w:tc>
          <w:tcPr>
            <w:tcW w:w="0" w:type="auto"/>
            <w:gridSpan w:val="3"/>
            <w:shd w:val="clear" w:color="auto" w:fill="auto"/>
            <w:tcMar>
              <w:top w:w="0" w:type="dxa"/>
              <w:left w:w="20" w:type="dxa"/>
              <w:bottom w:w="0" w:type="dxa"/>
              <w:right w:w="20" w:type="dxa"/>
            </w:tcMar>
            <w:vAlign w:val="bottom"/>
          </w:tcPr>
          <w:p w14:paraId="18601189"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18A" w14:textId="77777777" w:rsidR="00A91885" w:rsidRDefault="009C4196">
            <w:pPr>
              <w:jc w:val="center"/>
              <w:textAlignment w:val="bottom"/>
            </w:pPr>
            <w:r>
              <w:rPr>
                <w:rFonts w:ascii="Arial" w:eastAsia="宋体" w:hAnsi="Arial" w:cs="Arial"/>
                <w:b/>
                <w:bCs/>
                <w:color w:val="000000"/>
                <w:sz w:val="17"/>
                <w:szCs w:val="17"/>
              </w:rPr>
              <w:t>Unrealized Gains (Losses) on Derivative Instruments</w:t>
            </w:r>
          </w:p>
        </w:tc>
        <w:tc>
          <w:tcPr>
            <w:tcW w:w="0" w:type="auto"/>
            <w:gridSpan w:val="3"/>
            <w:shd w:val="clear" w:color="auto" w:fill="auto"/>
            <w:tcMar>
              <w:top w:w="0" w:type="dxa"/>
              <w:left w:w="20" w:type="dxa"/>
              <w:bottom w:w="0" w:type="dxa"/>
              <w:right w:w="20" w:type="dxa"/>
            </w:tcMar>
            <w:vAlign w:val="bottom"/>
          </w:tcPr>
          <w:p w14:paraId="1860118B"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18C" w14:textId="77777777" w:rsidR="00A91885" w:rsidRDefault="009C4196">
            <w:pPr>
              <w:jc w:val="center"/>
              <w:textAlignment w:val="bottom"/>
            </w:pPr>
            <w:r>
              <w:rPr>
                <w:rFonts w:ascii="Arial" w:eastAsia="宋体" w:hAnsi="Arial" w:cs="Arial"/>
                <w:b/>
                <w:bCs/>
                <w:color w:val="000000"/>
                <w:sz w:val="17"/>
                <w:szCs w:val="17"/>
              </w:rPr>
              <w:t>Unrealized</w:t>
            </w:r>
            <w:r>
              <w:rPr>
                <w:rFonts w:ascii="Arial" w:eastAsia="宋体" w:hAnsi="Arial" w:cs="Arial"/>
                <w:b/>
                <w:bCs/>
                <w:color w:val="000000"/>
                <w:sz w:val="17"/>
                <w:szCs w:val="17"/>
              </w:rPr>
              <w:br/>
              <w:t>Gains (Losses) on</w:t>
            </w:r>
            <w:r>
              <w:rPr>
                <w:rFonts w:ascii="Arial" w:eastAsia="宋体" w:hAnsi="Arial" w:cs="Arial"/>
                <w:b/>
                <w:bCs/>
                <w:color w:val="000000"/>
                <w:sz w:val="17"/>
                <w:szCs w:val="17"/>
              </w:rPr>
              <w:br/>
              <w:t>Investments</w:t>
            </w:r>
          </w:p>
        </w:tc>
        <w:tc>
          <w:tcPr>
            <w:tcW w:w="0" w:type="auto"/>
            <w:gridSpan w:val="3"/>
            <w:shd w:val="clear" w:color="auto" w:fill="auto"/>
            <w:tcMar>
              <w:top w:w="0" w:type="dxa"/>
              <w:left w:w="20" w:type="dxa"/>
              <w:bottom w:w="0" w:type="dxa"/>
              <w:right w:w="20" w:type="dxa"/>
            </w:tcMar>
            <w:vAlign w:val="bottom"/>
          </w:tcPr>
          <w:p w14:paraId="1860118D"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18E" w14:textId="77777777" w:rsidR="00A91885" w:rsidRDefault="009C4196">
            <w:pPr>
              <w:jc w:val="center"/>
              <w:textAlignment w:val="bottom"/>
            </w:pPr>
            <w:r>
              <w:rPr>
                <w:rFonts w:ascii="Arial" w:eastAsia="宋体" w:hAnsi="Arial" w:cs="Arial"/>
                <w:b/>
                <w:bCs/>
                <w:color w:val="000000"/>
                <w:sz w:val="17"/>
                <w:szCs w:val="17"/>
              </w:rPr>
              <w:t>Foreign</w:t>
            </w:r>
            <w:r>
              <w:rPr>
                <w:rFonts w:ascii="Arial" w:eastAsia="宋体" w:hAnsi="Arial" w:cs="Arial"/>
                <w:b/>
                <w:bCs/>
                <w:color w:val="000000"/>
                <w:sz w:val="17"/>
                <w:szCs w:val="17"/>
              </w:rPr>
              <w:br/>
              <w:t>Currency</w:t>
            </w:r>
            <w:r>
              <w:rPr>
                <w:rFonts w:ascii="Arial" w:eastAsia="宋体" w:hAnsi="Arial" w:cs="Arial"/>
                <w:b/>
                <w:bCs/>
                <w:color w:val="000000"/>
                <w:sz w:val="17"/>
                <w:szCs w:val="17"/>
              </w:rPr>
              <w:br/>
              <w:t>Translation</w:t>
            </w:r>
          </w:p>
        </w:tc>
        <w:tc>
          <w:tcPr>
            <w:tcW w:w="0" w:type="auto"/>
            <w:gridSpan w:val="3"/>
            <w:shd w:val="clear" w:color="auto" w:fill="auto"/>
            <w:tcMar>
              <w:top w:w="0" w:type="dxa"/>
              <w:left w:w="20" w:type="dxa"/>
              <w:bottom w:w="0" w:type="dxa"/>
              <w:right w:w="20" w:type="dxa"/>
            </w:tcMar>
            <w:vAlign w:val="bottom"/>
          </w:tcPr>
          <w:p w14:paraId="1860118F"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190" w14:textId="77777777" w:rsidR="00A91885" w:rsidRDefault="009C4196">
            <w:pPr>
              <w:jc w:val="center"/>
              <w:textAlignment w:val="bottom"/>
            </w:pPr>
            <w:r>
              <w:rPr>
                <w:rFonts w:ascii="Arial" w:eastAsia="宋体" w:hAnsi="Arial" w:cs="Arial"/>
                <w:b/>
                <w:bCs/>
                <w:color w:val="000000"/>
                <w:sz w:val="17"/>
                <w:szCs w:val="17"/>
              </w:rPr>
              <w:t>Estimated Tax (Expense) Benefit</w:t>
            </w:r>
          </w:p>
        </w:tc>
        <w:tc>
          <w:tcPr>
            <w:tcW w:w="0" w:type="auto"/>
            <w:gridSpan w:val="3"/>
            <w:shd w:val="clear" w:color="auto" w:fill="auto"/>
            <w:tcMar>
              <w:top w:w="0" w:type="dxa"/>
              <w:left w:w="20" w:type="dxa"/>
              <w:bottom w:w="0" w:type="dxa"/>
              <w:right w:w="20" w:type="dxa"/>
            </w:tcMar>
            <w:vAlign w:val="bottom"/>
          </w:tcPr>
          <w:p w14:paraId="18601191"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192" w14:textId="77777777" w:rsidR="00A91885" w:rsidRDefault="009C4196">
            <w:pPr>
              <w:jc w:val="center"/>
              <w:textAlignment w:val="bottom"/>
            </w:pPr>
            <w:r>
              <w:rPr>
                <w:rFonts w:ascii="Arial" w:eastAsia="宋体" w:hAnsi="Arial" w:cs="Arial"/>
                <w:b/>
                <w:bCs/>
                <w:color w:val="000000"/>
                <w:sz w:val="17"/>
                <w:szCs w:val="17"/>
              </w:rPr>
              <w:t>Total</w:t>
            </w:r>
          </w:p>
        </w:tc>
      </w:tr>
      <w:tr w:rsidR="00A91885" w14:paraId="186011A8" w14:textId="77777777">
        <w:tc>
          <w:tcPr>
            <w:tcW w:w="0" w:type="auto"/>
            <w:gridSpan w:val="3"/>
            <w:shd w:val="clear" w:color="auto" w:fill="E2E2E2"/>
            <w:tcMar>
              <w:top w:w="40" w:type="dxa"/>
              <w:left w:w="20" w:type="dxa"/>
              <w:bottom w:w="40" w:type="dxa"/>
              <w:right w:w="20" w:type="dxa"/>
            </w:tcMar>
            <w:vAlign w:val="bottom"/>
          </w:tcPr>
          <w:p w14:paraId="18601194" w14:textId="77777777" w:rsidR="00A91885" w:rsidRDefault="009C4196">
            <w:pPr>
              <w:textAlignment w:val="bottom"/>
            </w:pPr>
            <w:r>
              <w:rPr>
                <w:rFonts w:ascii="Arial" w:eastAsia="宋体" w:hAnsi="Arial" w:cs="Arial"/>
                <w:color w:val="000000"/>
                <w:sz w:val="18"/>
                <w:szCs w:val="18"/>
              </w:rPr>
              <w:t>Balance as of March 31, 2022</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119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196" w14:textId="77777777" w:rsidR="00A91885" w:rsidRDefault="009C4196">
            <w:pPr>
              <w:jc w:val="right"/>
              <w:textAlignment w:val="bottom"/>
            </w:pPr>
            <w:r>
              <w:rPr>
                <w:rFonts w:ascii="Arial" w:eastAsia="宋体" w:hAnsi="Arial" w:cs="Arial"/>
                <w:color w:val="000000"/>
                <w:sz w:val="18"/>
                <w:szCs w:val="18"/>
              </w:rPr>
              <w:t>85 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19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98"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19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19A" w14:textId="77777777" w:rsidR="00A91885" w:rsidRDefault="009C4196">
            <w:pPr>
              <w:jc w:val="right"/>
              <w:textAlignment w:val="bottom"/>
            </w:pPr>
            <w:r>
              <w:rPr>
                <w:rFonts w:ascii="Arial" w:eastAsia="宋体" w:hAnsi="Arial" w:cs="Arial"/>
                <w:color w:val="000000"/>
                <w:sz w:val="18"/>
                <w:szCs w:val="18"/>
              </w:rPr>
              <w:t>(58)</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19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9C"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19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19E" w14:textId="77777777" w:rsidR="00A91885" w:rsidRDefault="009C4196">
            <w:pPr>
              <w:jc w:val="right"/>
              <w:textAlignment w:val="bottom"/>
            </w:pPr>
            <w:r>
              <w:rPr>
                <w:rFonts w:ascii="Arial" w:eastAsia="宋体" w:hAnsi="Arial" w:cs="Arial"/>
                <w:color w:val="000000"/>
                <w:sz w:val="18"/>
                <w:szCs w:val="18"/>
              </w:rPr>
              <w:t>294 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19F"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A0"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1A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1A2" w14:textId="77777777" w:rsidR="00A91885" w:rsidRDefault="009C4196">
            <w:pPr>
              <w:jc w:val="right"/>
              <w:textAlignment w:val="bottom"/>
            </w:pPr>
            <w:r>
              <w:rPr>
                <w:rFonts w:ascii="Arial" w:eastAsia="宋体" w:hAnsi="Arial" w:cs="Arial"/>
                <w:color w:val="000000"/>
                <w:sz w:val="18"/>
                <w:szCs w:val="18"/>
              </w:rPr>
              <w:t>21 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1A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A4"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1A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1A6" w14:textId="77777777" w:rsidR="00A91885" w:rsidRDefault="009C4196">
            <w:pPr>
              <w:jc w:val="right"/>
              <w:textAlignment w:val="bottom"/>
            </w:pPr>
            <w:r>
              <w:rPr>
                <w:rFonts w:ascii="Arial" w:eastAsia="宋体" w:hAnsi="Arial" w:cs="Arial"/>
                <w:color w:val="000000"/>
                <w:sz w:val="18"/>
                <w:szCs w:val="18"/>
              </w:rPr>
              <w:t>342 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1A7" w14:textId="77777777" w:rsidR="00A91885" w:rsidRDefault="00A91885">
            <w:pPr>
              <w:jc w:val="right"/>
              <w:rPr>
                <w:rFonts w:ascii="宋体"/>
              </w:rPr>
            </w:pPr>
          </w:p>
        </w:tc>
      </w:tr>
      <w:tr w:rsidR="00A91885" w14:paraId="186011B8" w14:textId="77777777">
        <w:tc>
          <w:tcPr>
            <w:tcW w:w="0" w:type="auto"/>
            <w:gridSpan w:val="3"/>
            <w:shd w:val="clear" w:color="auto" w:fill="FFFFFF"/>
            <w:tcMar>
              <w:top w:w="40" w:type="dxa"/>
              <w:left w:w="245" w:type="dxa"/>
              <w:bottom w:w="40" w:type="dxa"/>
              <w:right w:w="20" w:type="dxa"/>
            </w:tcMar>
            <w:vAlign w:val="bottom"/>
          </w:tcPr>
          <w:p w14:paraId="186011A9" w14:textId="77777777" w:rsidR="00A91885" w:rsidRDefault="009C4196">
            <w:pPr>
              <w:textAlignment w:val="bottom"/>
            </w:pPr>
            <w:r>
              <w:rPr>
                <w:rFonts w:ascii="Arial" w:eastAsia="宋体" w:hAnsi="Arial" w:cs="Arial"/>
                <w:color w:val="000000"/>
                <w:sz w:val="18"/>
                <w:szCs w:val="18"/>
              </w:rPr>
              <w:t>Other comprehensive income (loss) before reclassificati</w:t>
            </w:r>
            <w:r>
              <w:rPr>
                <w:rFonts w:ascii="Arial" w:eastAsia="宋体" w:hAnsi="Arial" w:cs="Arial"/>
                <w:color w:val="000000"/>
                <w:sz w:val="18"/>
                <w:szCs w:val="18"/>
              </w:rPr>
              <w:t>ons</w:t>
            </w:r>
          </w:p>
        </w:tc>
        <w:tc>
          <w:tcPr>
            <w:tcW w:w="0" w:type="auto"/>
            <w:gridSpan w:val="2"/>
            <w:shd w:val="clear" w:color="auto" w:fill="FFFFFF"/>
            <w:tcMar>
              <w:top w:w="40" w:type="dxa"/>
              <w:left w:w="20" w:type="dxa"/>
              <w:bottom w:w="40" w:type="dxa"/>
              <w:right w:w="0" w:type="dxa"/>
            </w:tcMar>
            <w:vAlign w:val="bottom"/>
          </w:tcPr>
          <w:p w14:paraId="186011AA" w14:textId="77777777" w:rsidR="00A91885" w:rsidRDefault="009C4196">
            <w:pPr>
              <w:jc w:val="right"/>
              <w:textAlignment w:val="bottom"/>
            </w:pPr>
            <w:r>
              <w:rPr>
                <w:rFonts w:ascii="Arial" w:eastAsia="宋体" w:hAnsi="Arial" w:cs="Arial"/>
                <w:color w:val="000000"/>
                <w:sz w:val="18"/>
                <w:szCs w:val="18"/>
              </w:rPr>
              <w:t>114 </w:t>
            </w:r>
          </w:p>
        </w:tc>
        <w:tc>
          <w:tcPr>
            <w:tcW w:w="0" w:type="auto"/>
            <w:shd w:val="clear" w:color="auto" w:fill="FFFFFF"/>
            <w:tcMar>
              <w:top w:w="40" w:type="dxa"/>
              <w:left w:w="0" w:type="dxa"/>
              <w:bottom w:w="40" w:type="dxa"/>
              <w:right w:w="20" w:type="dxa"/>
            </w:tcMar>
            <w:vAlign w:val="bottom"/>
          </w:tcPr>
          <w:p w14:paraId="186011A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A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1AD" w14:textId="77777777" w:rsidR="00A91885" w:rsidRDefault="009C4196">
            <w:pPr>
              <w:jc w:val="right"/>
              <w:textAlignment w:val="bottom"/>
            </w:pPr>
            <w:r>
              <w:rPr>
                <w:rFonts w:ascii="Arial" w:eastAsia="宋体" w:hAnsi="Arial" w:cs="Arial"/>
                <w:color w:val="000000"/>
                <w:sz w:val="18"/>
                <w:szCs w:val="18"/>
              </w:rPr>
              <w:t>(19)</w:t>
            </w:r>
          </w:p>
        </w:tc>
        <w:tc>
          <w:tcPr>
            <w:tcW w:w="0" w:type="auto"/>
            <w:shd w:val="clear" w:color="auto" w:fill="FFFFFF"/>
            <w:tcMar>
              <w:top w:w="40" w:type="dxa"/>
              <w:left w:w="0" w:type="dxa"/>
              <w:bottom w:w="40" w:type="dxa"/>
              <w:right w:w="20" w:type="dxa"/>
            </w:tcMar>
            <w:vAlign w:val="bottom"/>
          </w:tcPr>
          <w:p w14:paraId="186011A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A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1B0" w14:textId="77777777" w:rsidR="00A91885" w:rsidRDefault="009C4196">
            <w:pPr>
              <w:jc w:val="right"/>
              <w:textAlignment w:val="bottom"/>
            </w:pPr>
            <w:r>
              <w:rPr>
                <w:rFonts w:ascii="Arial" w:eastAsia="宋体" w:hAnsi="Arial" w:cs="Arial"/>
                <w:color w:val="000000"/>
                <w:sz w:val="18"/>
                <w:szCs w:val="18"/>
              </w:rPr>
              <w:t>(85)</w:t>
            </w:r>
          </w:p>
        </w:tc>
        <w:tc>
          <w:tcPr>
            <w:tcW w:w="0" w:type="auto"/>
            <w:shd w:val="clear" w:color="auto" w:fill="FFFFFF"/>
            <w:tcMar>
              <w:top w:w="40" w:type="dxa"/>
              <w:left w:w="0" w:type="dxa"/>
              <w:bottom w:w="40" w:type="dxa"/>
              <w:right w:w="20" w:type="dxa"/>
            </w:tcMar>
            <w:vAlign w:val="bottom"/>
          </w:tcPr>
          <w:p w14:paraId="186011B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B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1B3" w14:textId="77777777" w:rsidR="00A91885" w:rsidRDefault="009C4196">
            <w:pPr>
              <w:jc w:val="right"/>
              <w:textAlignment w:val="bottom"/>
            </w:pPr>
            <w:r>
              <w:rPr>
                <w:rFonts w:ascii="Arial" w:eastAsia="宋体" w:hAnsi="Arial" w:cs="Arial"/>
                <w:color w:val="000000"/>
                <w:sz w:val="18"/>
                <w:szCs w:val="18"/>
              </w:rPr>
              <w:t>(24)</w:t>
            </w:r>
          </w:p>
        </w:tc>
        <w:tc>
          <w:tcPr>
            <w:tcW w:w="0" w:type="auto"/>
            <w:shd w:val="clear" w:color="auto" w:fill="FFFFFF"/>
            <w:tcMar>
              <w:top w:w="40" w:type="dxa"/>
              <w:left w:w="0" w:type="dxa"/>
              <w:bottom w:w="40" w:type="dxa"/>
              <w:right w:w="20" w:type="dxa"/>
            </w:tcMar>
            <w:vAlign w:val="bottom"/>
          </w:tcPr>
          <w:p w14:paraId="186011B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B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1B6" w14:textId="77777777" w:rsidR="00A91885" w:rsidRDefault="009C4196">
            <w:pPr>
              <w:jc w:val="right"/>
              <w:textAlignment w:val="bottom"/>
            </w:pPr>
            <w:r>
              <w:rPr>
                <w:rFonts w:ascii="Arial" w:eastAsia="宋体" w:hAnsi="Arial" w:cs="Arial"/>
                <w:color w:val="000000"/>
                <w:sz w:val="18"/>
                <w:szCs w:val="18"/>
              </w:rPr>
              <w:t>(14)</w:t>
            </w:r>
          </w:p>
        </w:tc>
        <w:tc>
          <w:tcPr>
            <w:tcW w:w="0" w:type="auto"/>
            <w:shd w:val="clear" w:color="auto" w:fill="FFFFFF"/>
            <w:tcMar>
              <w:top w:w="40" w:type="dxa"/>
              <w:left w:w="0" w:type="dxa"/>
              <w:bottom w:w="40" w:type="dxa"/>
              <w:right w:w="20" w:type="dxa"/>
            </w:tcMar>
            <w:vAlign w:val="bottom"/>
          </w:tcPr>
          <w:p w14:paraId="186011B7" w14:textId="77777777" w:rsidR="00A91885" w:rsidRDefault="00A91885">
            <w:pPr>
              <w:jc w:val="right"/>
              <w:rPr>
                <w:rFonts w:ascii="宋体"/>
              </w:rPr>
            </w:pPr>
          </w:p>
        </w:tc>
      </w:tr>
      <w:tr w:rsidR="00A91885" w14:paraId="186011C8" w14:textId="77777777">
        <w:tc>
          <w:tcPr>
            <w:tcW w:w="0" w:type="auto"/>
            <w:gridSpan w:val="3"/>
            <w:shd w:val="clear" w:color="auto" w:fill="E2E2E2"/>
            <w:tcMar>
              <w:top w:w="40" w:type="dxa"/>
              <w:left w:w="245" w:type="dxa"/>
              <w:bottom w:w="40" w:type="dxa"/>
              <w:right w:w="20" w:type="dxa"/>
            </w:tcMar>
            <w:vAlign w:val="bottom"/>
          </w:tcPr>
          <w:p w14:paraId="186011B9" w14:textId="77777777" w:rsidR="00A91885" w:rsidRDefault="009C4196">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186011BA" w14:textId="77777777" w:rsidR="00A91885" w:rsidRDefault="009C4196">
            <w:pPr>
              <w:jc w:val="right"/>
              <w:textAlignment w:val="bottom"/>
            </w:pPr>
            <w:r>
              <w:rPr>
                <w:rFonts w:ascii="Arial" w:eastAsia="宋体" w:hAnsi="Arial" w:cs="Arial"/>
                <w:color w:val="000000"/>
                <w:sz w:val="18"/>
                <w:szCs w:val="18"/>
              </w:rPr>
              <w:t>9 </w:t>
            </w:r>
          </w:p>
        </w:tc>
        <w:tc>
          <w:tcPr>
            <w:tcW w:w="0" w:type="auto"/>
            <w:shd w:val="clear" w:color="auto" w:fill="E2E2E2"/>
            <w:tcMar>
              <w:top w:w="40" w:type="dxa"/>
              <w:left w:w="0" w:type="dxa"/>
              <w:bottom w:w="40" w:type="dxa"/>
              <w:right w:w="20" w:type="dxa"/>
            </w:tcMar>
            <w:vAlign w:val="bottom"/>
          </w:tcPr>
          <w:p w14:paraId="186011B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BC"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1BD"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E2E2E2"/>
            <w:tcMar>
              <w:top w:w="40" w:type="dxa"/>
              <w:left w:w="0" w:type="dxa"/>
              <w:bottom w:w="40" w:type="dxa"/>
              <w:right w:w="20" w:type="dxa"/>
            </w:tcMar>
            <w:vAlign w:val="bottom"/>
          </w:tcPr>
          <w:p w14:paraId="186011B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BF"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1C0"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11C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C2"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1C3"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E2E2E2"/>
            <w:tcMar>
              <w:top w:w="40" w:type="dxa"/>
              <w:left w:w="0" w:type="dxa"/>
              <w:bottom w:w="40" w:type="dxa"/>
              <w:right w:w="20" w:type="dxa"/>
            </w:tcMar>
            <w:vAlign w:val="bottom"/>
          </w:tcPr>
          <w:p w14:paraId="186011C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C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1C6" w14:textId="77777777" w:rsidR="00A91885" w:rsidRDefault="009C4196">
            <w:pPr>
              <w:jc w:val="right"/>
              <w:textAlignment w:val="bottom"/>
            </w:pPr>
            <w:r>
              <w:rPr>
                <w:rFonts w:ascii="Arial" w:eastAsia="宋体" w:hAnsi="Arial" w:cs="Arial"/>
                <w:color w:val="000000"/>
                <w:sz w:val="18"/>
                <w:szCs w:val="18"/>
              </w:rPr>
              <w:t>5 </w:t>
            </w:r>
          </w:p>
        </w:tc>
        <w:tc>
          <w:tcPr>
            <w:tcW w:w="0" w:type="auto"/>
            <w:shd w:val="clear" w:color="auto" w:fill="E2E2E2"/>
            <w:tcMar>
              <w:top w:w="40" w:type="dxa"/>
              <w:left w:w="0" w:type="dxa"/>
              <w:bottom w:w="40" w:type="dxa"/>
              <w:right w:w="20" w:type="dxa"/>
            </w:tcMar>
            <w:vAlign w:val="bottom"/>
          </w:tcPr>
          <w:p w14:paraId="186011C7" w14:textId="77777777" w:rsidR="00A91885" w:rsidRDefault="00A91885">
            <w:pPr>
              <w:jc w:val="right"/>
              <w:rPr>
                <w:rFonts w:ascii="宋体"/>
              </w:rPr>
            </w:pPr>
          </w:p>
        </w:tc>
      </w:tr>
      <w:tr w:rsidR="00A91885" w14:paraId="186011D8" w14:textId="77777777">
        <w:tc>
          <w:tcPr>
            <w:tcW w:w="0" w:type="auto"/>
            <w:gridSpan w:val="3"/>
            <w:shd w:val="clear" w:color="auto" w:fill="FFFFFF"/>
            <w:tcMar>
              <w:top w:w="40" w:type="dxa"/>
              <w:left w:w="20" w:type="dxa"/>
              <w:bottom w:w="40" w:type="dxa"/>
              <w:right w:w="20" w:type="dxa"/>
            </w:tcMar>
            <w:vAlign w:val="bottom"/>
          </w:tcPr>
          <w:p w14:paraId="186011C9" w14:textId="77777777" w:rsidR="00A91885" w:rsidRDefault="009C4196">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1CA" w14:textId="77777777" w:rsidR="00A91885" w:rsidRDefault="009C4196">
            <w:pPr>
              <w:jc w:val="right"/>
              <w:textAlignment w:val="bottom"/>
            </w:pPr>
            <w:r>
              <w:rPr>
                <w:rFonts w:ascii="Arial" w:eastAsia="宋体" w:hAnsi="Arial" w:cs="Arial"/>
                <w:color w:val="000000"/>
                <w:sz w:val="18"/>
                <w:szCs w:val="18"/>
              </w:rPr>
              <w:t>105 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1C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CC"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1CD" w14:textId="77777777" w:rsidR="00A91885" w:rsidRDefault="009C4196">
            <w:pPr>
              <w:jc w:val="right"/>
              <w:textAlignment w:val="bottom"/>
            </w:pPr>
            <w:r>
              <w:rPr>
                <w:rFonts w:ascii="Arial" w:eastAsia="宋体" w:hAnsi="Arial" w:cs="Arial"/>
                <w:color w:val="000000"/>
                <w:sz w:val="18"/>
                <w:szCs w:val="18"/>
              </w:rPr>
              <w:t>(17)</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1C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CF"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1D0" w14:textId="77777777" w:rsidR="00A91885" w:rsidRDefault="009C4196">
            <w:pPr>
              <w:jc w:val="right"/>
              <w:textAlignment w:val="bottom"/>
            </w:pPr>
            <w:r>
              <w:rPr>
                <w:rFonts w:ascii="Arial" w:eastAsia="宋体" w:hAnsi="Arial" w:cs="Arial"/>
                <w:color w:val="000000"/>
                <w:sz w:val="18"/>
                <w:szCs w:val="18"/>
              </w:rPr>
              <w:t>(85)</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1D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D2"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1D3" w14:textId="77777777" w:rsidR="00A91885" w:rsidRDefault="009C4196">
            <w:pPr>
              <w:jc w:val="right"/>
              <w:textAlignment w:val="bottom"/>
            </w:pPr>
            <w:r>
              <w:rPr>
                <w:rFonts w:ascii="Arial" w:eastAsia="宋体" w:hAnsi="Arial" w:cs="Arial"/>
                <w:color w:val="000000"/>
                <w:sz w:val="18"/>
                <w:szCs w:val="18"/>
              </w:rPr>
              <w:t>(22)</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1D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1D5"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1D6" w14:textId="77777777" w:rsidR="00A91885" w:rsidRDefault="009C4196">
            <w:pPr>
              <w:jc w:val="right"/>
              <w:textAlignment w:val="bottom"/>
            </w:pPr>
            <w:r>
              <w:rPr>
                <w:rFonts w:ascii="Arial" w:eastAsia="宋体" w:hAnsi="Arial" w:cs="Arial"/>
                <w:color w:val="000000"/>
                <w:sz w:val="18"/>
                <w:szCs w:val="18"/>
              </w:rPr>
              <w:t>(19)</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1D7" w14:textId="77777777" w:rsidR="00A91885" w:rsidRDefault="00A91885">
            <w:pPr>
              <w:jc w:val="right"/>
              <w:rPr>
                <w:rFonts w:ascii="宋体"/>
              </w:rPr>
            </w:pPr>
          </w:p>
        </w:tc>
      </w:tr>
      <w:tr w:rsidR="00A91885" w14:paraId="186011ED" w14:textId="77777777">
        <w:tc>
          <w:tcPr>
            <w:tcW w:w="0" w:type="auto"/>
            <w:gridSpan w:val="3"/>
            <w:shd w:val="clear" w:color="auto" w:fill="E2E2E2"/>
            <w:tcMar>
              <w:top w:w="40" w:type="dxa"/>
              <w:left w:w="20" w:type="dxa"/>
              <w:bottom w:w="40" w:type="dxa"/>
              <w:right w:w="20" w:type="dxa"/>
            </w:tcMar>
            <w:vAlign w:val="bottom"/>
          </w:tcPr>
          <w:p w14:paraId="186011D9" w14:textId="77777777" w:rsidR="00A91885" w:rsidRDefault="009C4196">
            <w:pPr>
              <w:textAlignment w:val="bottom"/>
            </w:pPr>
            <w:r>
              <w:rPr>
                <w:rFonts w:ascii="Arial" w:eastAsia="宋体" w:hAnsi="Arial" w:cs="Arial"/>
                <w:color w:val="000000"/>
                <w:sz w:val="18"/>
                <w:szCs w:val="18"/>
              </w:rPr>
              <w:t>Balance as of June 30, 2022</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1D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1DB" w14:textId="77777777" w:rsidR="00A91885" w:rsidRDefault="009C4196">
            <w:pPr>
              <w:jc w:val="right"/>
              <w:textAlignment w:val="bottom"/>
            </w:pPr>
            <w:r>
              <w:rPr>
                <w:rFonts w:ascii="Arial" w:eastAsia="宋体" w:hAnsi="Arial" w:cs="Arial"/>
                <w:color w:val="000000"/>
                <w:sz w:val="18"/>
                <w:szCs w:val="18"/>
              </w:rPr>
              <w:t>190 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1D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DD"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1D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1DF" w14:textId="77777777" w:rsidR="00A91885" w:rsidRDefault="009C4196">
            <w:pPr>
              <w:jc w:val="right"/>
              <w:textAlignment w:val="bottom"/>
            </w:pPr>
            <w:r>
              <w:rPr>
                <w:rFonts w:ascii="Arial" w:eastAsia="宋体" w:hAnsi="Arial" w:cs="Arial"/>
                <w:color w:val="000000"/>
                <w:sz w:val="18"/>
                <w:szCs w:val="18"/>
              </w:rPr>
              <w:t>(75)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1E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E1"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1E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1E3" w14:textId="77777777" w:rsidR="00A91885" w:rsidRDefault="009C4196">
            <w:pPr>
              <w:jc w:val="right"/>
              <w:textAlignment w:val="bottom"/>
            </w:pPr>
            <w:r>
              <w:rPr>
                <w:rFonts w:ascii="Arial" w:eastAsia="宋体" w:hAnsi="Arial" w:cs="Arial"/>
                <w:color w:val="000000"/>
                <w:sz w:val="18"/>
                <w:szCs w:val="18"/>
              </w:rPr>
              <w:t>209 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1E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E5"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1E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1E7" w14:textId="77777777" w:rsidR="00A91885" w:rsidRDefault="009C4196">
            <w:pPr>
              <w:jc w:val="right"/>
              <w:textAlignment w:val="bottom"/>
            </w:pPr>
            <w:r>
              <w:rPr>
                <w:rFonts w:ascii="Arial" w:eastAsia="宋体" w:hAnsi="Arial" w:cs="Arial"/>
                <w:color w:val="000000"/>
                <w:sz w:val="18"/>
                <w:szCs w:val="18"/>
              </w:rPr>
              <w:t>(1)</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1E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1E9"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1E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1EB" w14:textId="77777777" w:rsidR="00A91885" w:rsidRDefault="009C4196">
            <w:pPr>
              <w:jc w:val="right"/>
              <w:textAlignment w:val="bottom"/>
            </w:pPr>
            <w:r>
              <w:rPr>
                <w:rFonts w:ascii="Arial" w:eastAsia="宋体" w:hAnsi="Arial" w:cs="Arial"/>
                <w:color w:val="000000"/>
                <w:sz w:val="18"/>
                <w:szCs w:val="18"/>
              </w:rPr>
              <w:t>323 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1EC" w14:textId="77777777" w:rsidR="00A91885" w:rsidRDefault="00A91885">
            <w:pPr>
              <w:jc w:val="right"/>
              <w:rPr>
                <w:rFonts w:ascii="宋体"/>
              </w:rPr>
            </w:pPr>
          </w:p>
        </w:tc>
      </w:tr>
    </w:tbl>
    <w:p w14:paraId="186011EE" w14:textId="77777777" w:rsidR="00A91885" w:rsidRDefault="00A91885">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855"/>
        <w:gridCol w:w="37"/>
        <w:gridCol w:w="122"/>
        <w:gridCol w:w="928"/>
        <w:gridCol w:w="36"/>
        <w:gridCol w:w="36"/>
        <w:gridCol w:w="36"/>
        <w:gridCol w:w="36"/>
        <w:gridCol w:w="122"/>
        <w:gridCol w:w="943"/>
        <w:gridCol w:w="36"/>
        <w:gridCol w:w="36"/>
        <w:gridCol w:w="36"/>
        <w:gridCol w:w="36"/>
        <w:gridCol w:w="122"/>
        <w:gridCol w:w="863"/>
        <w:gridCol w:w="36"/>
        <w:gridCol w:w="36"/>
        <w:gridCol w:w="36"/>
        <w:gridCol w:w="36"/>
        <w:gridCol w:w="122"/>
        <w:gridCol w:w="775"/>
        <w:gridCol w:w="36"/>
        <w:gridCol w:w="36"/>
        <w:gridCol w:w="36"/>
        <w:gridCol w:w="36"/>
        <w:gridCol w:w="121"/>
        <w:gridCol w:w="672"/>
        <w:gridCol w:w="36"/>
      </w:tblGrid>
      <w:tr w:rsidR="00A91885" w14:paraId="1860120D" w14:textId="77777777">
        <w:trPr>
          <w:jc w:val="center"/>
        </w:trPr>
        <w:tc>
          <w:tcPr>
            <w:tcW w:w="50" w:type="pct"/>
            <w:shd w:val="clear" w:color="auto" w:fill="auto"/>
            <w:vAlign w:val="bottom"/>
          </w:tcPr>
          <w:p w14:paraId="186011EF" w14:textId="77777777" w:rsidR="00A91885" w:rsidRDefault="00A91885">
            <w:pPr>
              <w:rPr>
                <w:rFonts w:ascii="宋体"/>
              </w:rPr>
            </w:pPr>
          </w:p>
        </w:tc>
        <w:tc>
          <w:tcPr>
            <w:tcW w:w="1809" w:type="pct"/>
            <w:shd w:val="clear" w:color="auto" w:fill="auto"/>
            <w:vAlign w:val="bottom"/>
          </w:tcPr>
          <w:p w14:paraId="186011F0" w14:textId="77777777" w:rsidR="00A91885" w:rsidRDefault="00A91885">
            <w:pPr>
              <w:rPr>
                <w:rFonts w:ascii="宋体"/>
              </w:rPr>
            </w:pPr>
          </w:p>
        </w:tc>
        <w:tc>
          <w:tcPr>
            <w:tcW w:w="5" w:type="pct"/>
            <w:shd w:val="clear" w:color="auto" w:fill="auto"/>
            <w:vAlign w:val="bottom"/>
          </w:tcPr>
          <w:p w14:paraId="186011F1" w14:textId="77777777" w:rsidR="00A91885" w:rsidRDefault="00A91885">
            <w:pPr>
              <w:rPr>
                <w:rFonts w:ascii="宋体"/>
              </w:rPr>
            </w:pPr>
          </w:p>
        </w:tc>
        <w:tc>
          <w:tcPr>
            <w:tcW w:w="50" w:type="pct"/>
            <w:shd w:val="clear" w:color="auto" w:fill="auto"/>
            <w:vAlign w:val="bottom"/>
          </w:tcPr>
          <w:p w14:paraId="186011F2" w14:textId="77777777" w:rsidR="00A91885" w:rsidRDefault="00A91885">
            <w:pPr>
              <w:rPr>
                <w:rFonts w:ascii="宋体"/>
              </w:rPr>
            </w:pPr>
          </w:p>
        </w:tc>
        <w:tc>
          <w:tcPr>
            <w:tcW w:w="595" w:type="pct"/>
            <w:shd w:val="clear" w:color="auto" w:fill="auto"/>
            <w:vAlign w:val="bottom"/>
          </w:tcPr>
          <w:p w14:paraId="186011F3" w14:textId="77777777" w:rsidR="00A91885" w:rsidRDefault="00A91885">
            <w:pPr>
              <w:rPr>
                <w:rFonts w:ascii="宋体"/>
              </w:rPr>
            </w:pPr>
          </w:p>
        </w:tc>
        <w:tc>
          <w:tcPr>
            <w:tcW w:w="5" w:type="pct"/>
            <w:shd w:val="clear" w:color="auto" w:fill="auto"/>
            <w:vAlign w:val="bottom"/>
          </w:tcPr>
          <w:p w14:paraId="186011F4" w14:textId="77777777" w:rsidR="00A91885" w:rsidRDefault="00A91885">
            <w:pPr>
              <w:rPr>
                <w:rFonts w:ascii="宋体"/>
              </w:rPr>
            </w:pPr>
          </w:p>
        </w:tc>
        <w:tc>
          <w:tcPr>
            <w:tcW w:w="5" w:type="pct"/>
            <w:shd w:val="clear" w:color="auto" w:fill="auto"/>
            <w:vAlign w:val="bottom"/>
          </w:tcPr>
          <w:p w14:paraId="186011F5" w14:textId="77777777" w:rsidR="00A91885" w:rsidRDefault="00A91885">
            <w:pPr>
              <w:rPr>
                <w:rFonts w:ascii="宋体"/>
              </w:rPr>
            </w:pPr>
          </w:p>
        </w:tc>
        <w:tc>
          <w:tcPr>
            <w:tcW w:w="19" w:type="pct"/>
            <w:shd w:val="clear" w:color="auto" w:fill="auto"/>
            <w:vAlign w:val="bottom"/>
          </w:tcPr>
          <w:p w14:paraId="186011F6" w14:textId="77777777" w:rsidR="00A91885" w:rsidRDefault="00A91885">
            <w:pPr>
              <w:rPr>
                <w:rFonts w:ascii="宋体"/>
              </w:rPr>
            </w:pPr>
          </w:p>
        </w:tc>
        <w:tc>
          <w:tcPr>
            <w:tcW w:w="5" w:type="pct"/>
            <w:shd w:val="clear" w:color="auto" w:fill="auto"/>
            <w:vAlign w:val="bottom"/>
          </w:tcPr>
          <w:p w14:paraId="186011F7" w14:textId="77777777" w:rsidR="00A91885" w:rsidRDefault="00A91885">
            <w:pPr>
              <w:rPr>
                <w:rFonts w:ascii="宋体"/>
              </w:rPr>
            </w:pPr>
          </w:p>
        </w:tc>
        <w:tc>
          <w:tcPr>
            <w:tcW w:w="50" w:type="pct"/>
            <w:shd w:val="clear" w:color="auto" w:fill="auto"/>
            <w:vAlign w:val="bottom"/>
          </w:tcPr>
          <w:p w14:paraId="186011F8" w14:textId="77777777" w:rsidR="00A91885" w:rsidRDefault="00A91885">
            <w:pPr>
              <w:rPr>
                <w:rFonts w:ascii="宋体"/>
              </w:rPr>
            </w:pPr>
          </w:p>
        </w:tc>
        <w:tc>
          <w:tcPr>
            <w:tcW w:w="580" w:type="pct"/>
            <w:shd w:val="clear" w:color="auto" w:fill="auto"/>
            <w:vAlign w:val="bottom"/>
          </w:tcPr>
          <w:p w14:paraId="186011F9" w14:textId="77777777" w:rsidR="00A91885" w:rsidRDefault="00A91885">
            <w:pPr>
              <w:rPr>
                <w:rFonts w:ascii="宋体"/>
              </w:rPr>
            </w:pPr>
          </w:p>
        </w:tc>
        <w:tc>
          <w:tcPr>
            <w:tcW w:w="5" w:type="pct"/>
            <w:shd w:val="clear" w:color="auto" w:fill="auto"/>
            <w:vAlign w:val="bottom"/>
          </w:tcPr>
          <w:p w14:paraId="186011FA" w14:textId="77777777" w:rsidR="00A91885" w:rsidRDefault="00A91885">
            <w:pPr>
              <w:rPr>
                <w:rFonts w:ascii="宋体"/>
              </w:rPr>
            </w:pPr>
          </w:p>
        </w:tc>
        <w:tc>
          <w:tcPr>
            <w:tcW w:w="5" w:type="pct"/>
            <w:shd w:val="clear" w:color="auto" w:fill="auto"/>
            <w:vAlign w:val="bottom"/>
          </w:tcPr>
          <w:p w14:paraId="186011FB" w14:textId="77777777" w:rsidR="00A91885" w:rsidRDefault="00A91885">
            <w:pPr>
              <w:rPr>
                <w:rFonts w:ascii="宋体"/>
              </w:rPr>
            </w:pPr>
          </w:p>
        </w:tc>
        <w:tc>
          <w:tcPr>
            <w:tcW w:w="19" w:type="pct"/>
            <w:shd w:val="clear" w:color="auto" w:fill="auto"/>
            <w:vAlign w:val="bottom"/>
          </w:tcPr>
          <w:p w14:paraId="186011FC" w14:textId="77777777" w:rsidR="00A91885" w:rsidRDefault="00A91885">
            <w:pPr>
              <w:rPr>
                <w:rFonts w:ascii="宋体"/>
              </w:rPr>
            </w:pPr>
          </w:p>
        </w:tc>
        <w:tc>
          <w:tcPr>
            <w:tcW w:w="5" w:type="pct"/>
            <w:shd w:val="clear" w:color="auto" w:fill="auto"/>
            <w:vAlign w:val="bottom"/>
          </w:tcPr>
          <w:p w14:paraId="186011FD" w14:textId="77777777" w:rsidR="00A91885" w:rsidRDefault="00A91885">
            <w:pPr>
              <w:rPr>
                <w:rFonts w:ascii="宋体"/>
              </w:rPr>
            </w:pPr>
          </w:p>
        </w:tc>
        <w:tc>
          <w:tcPr>
            <w:tcW w:w="50" w:type="pct"/>
            <w:shd w:val="clear" w:color="auto" w:fill="auto"/>
            <w:vAlign w:val="bottom"/>
          </w:tcPr>
          <w:p w14:paraId="186011FE" w14:textId="77777777" w:rsidR="00A91885" w:rsidRDefault="00A91885">
            <w:pPr>
              <w:rPr>
                <w:rFonts w:ascii="宋体"/>
              </w:rPr>
            </w:pPr>
          </w:p>
        </w:tc>
        <w:tc>
          <w:tcPr>
            <w:tcW w:w="507" w:type="pct"/>
            <w:shd w:val="clear" w:color="auto" w:fill="auto"/>
            <w:vAlign w:val="bottom"/>
          </w:tcPr>
          <w:p w14:paraId="186011FF" w14:textId="77777777" w:rsidR="00A91885" w:rsidRDefault="00A91885">
            <w:pPr>
              <w:rPr>
                <w:rFonts w:ascii="宋体"/>
              </w:rPr>
            </w:pPr>
          </w:p>
        </w:tc>
        <w:tc>
          <w:tcPr>
            <w:tcW w:w="5" w:type="pct"/>
            <w:shd w:val="clear" w:color="auto" w:fill="auto"/>
            <w:vAlign w:val="bottom"/>
          </w:tcPr>
          <w:p w14:paraId="18601200" w14:textId="77777777" w:rsidR="00A91885" w:rsidRDefault="00A91885">
            <w:pPr>
              <w:rPr>
                <w:rFonts w:ascii="宋体"/>
              </w:rPr>
            </w:pPr>
          </w:p>
        </w:tc>
        <w:tc>
          <w:tcPr>
            <w:tcW w:w="5" w:type="pct"/>
            <w:shd w:val="clear" w:color="auto" w:fill="auto"/>
            <w:vAlign w:val="bottom"/>
          </w:tcPr>
          <w:p w14:paraId="18601201" w14:textId="77777777" w:rsidR="00A91885" w:rsidRDefault="00A91885">
            <w:pPr>
              <w:rPr>
                <w:rFonts w:ascii="宋体"/>
              </w:rPr>
            </w:pPr>
          </w:p>
        </w:tc>
        <w:tc>
          <w:tcPr>
            <w:tcW w:w="19" w:type="pct"/>
            <w:shd w:val="clear" w:color="auto" w:fill="auto"/>
            <w:vAlign w:val="bottom"/>
          </w:tcPr>
          <w:p w14:paraId="18601202" w14:textId="77777777" w:rsidR="00A91885" w:rsidRDefault="00A91885">
            <w:pPr>
              <w:rPr>
                <w:rFonts w:ascii="宋体"/>
              </w:rPr>
            </w:pPr>
          </w:p>
        </w:tc>
        <w:tc>
          <w:tcPr>
            <w:tcW w:w="5" w:type="pct"/>
            <w:shd w:val="clear" w:color="auto" w:fill="auto"/>
            <w:vAlign w:val="bottom"/>
          </w:tcPr>
          <w:p w14:paraId="18601203" w14:textId="77777777" w:rsidR="00A91885" w:rsidRDefault="00A91885">
            <w:pPr>
              <w:rPr>
                <w:rFonts w:ascii="宋体"/>
              </w:rPr>
            </w:pPr>
          </w:p>
        </w:tc>
        <w:tc>
          <w:tcPr>
            <w:tcW w:w="50" w:type="pct"/>
            <w:shd w:val="clear" w:color="auto" w:fill="auto"/>
            <w:vAlign w:val="bottom"/>
          </w:tcPr>
          <w:p w14:paraId="18601204" w14:textId="77777777" w:rsidR="00A91885" w:rsidRDefault="00A91885">
            <w:pPr>
              <w:rPr>
                <w:rFonts w:ascii="宋体"/>
              </w:rPr>
            </w:pPr>
          </w:p>
        </w:tc>
        <w:tc>
          <w:tcPr>
            <w:tcW w:w="551" w:type="pct"/>
            <w:shd w:val="clear" w:color="auto" w:fill="auto"/>
            <w:vAlign w:val="bottom"/>
          </w:tcPr>
          <w:p w14:paraId="18601205" w14:textId="77777777" w:rsidR="00A91885" w:rsidRDefault="00A91885">
            <w:pPr>
              <w:rPr>
                <w:rFonts w:ascii="宋体"/>
              </w:rPr>
            </w:pPr>
          </w:p>
        </w:tc>
        <w:tc>
          <w:tcPr>
            <w:tcW w:w="5" w:type="pct"/>
            <w:shd w:val="clear" w:color="auto" w:fill="auto"/>
            <w:vAlign w:val="bottom"/>
          </w:tcPr>
          <w:p w14:paraId="18601206" w14:textId="77777777" w:rsidR="00A91885" w:rsidRDefault="00A91885">
            <w:pPr>
              <w:rPr>
                <w:rFonts w:ascii="宋体"/>
              </w:rPr>
            </w:pPr>
          </w:p>
        </w:tc>
        <w:tc>
          <w:tcPr>
            <w:tcW w:w="5" w:type="pct"/>
            <w:shd w:val="clear" w:color="auto" w:fill="auto"/>
            <w:vAlign w:val="bottom"/>
          </w:tcPr>
          <w:p w14:paraId="18601207" w14:textId="77777777" w:rsidR="00A91885" w:rsidRDefault="00A91885">
            <w:pPr>
              <w:rPr>
                <w:rFonts w:ascii="宋体"/>
              </w:rPr>
            </w:pPr>
          </w:p>
        </w:tc>
        <w:tc>
          <w:tcPr>
            <w:tcW w:w="19" w:type="pct"/>
            <w:shd w:val="clear" w:color="auto" w:fill="auto"/>
            <w:vAlign w:val="bottom"/>
          </w:tcPr>
          <w:p w14:paraId="18601208" w14:textId="77777777" w:rsidR="00A91885" w:rsidRDefault="00A91885">
            <w:pPr>
              <w:rPr>
                <w:rFonts w:ascii="宋体"/>
              </w:rPr>
            </w:pPr>
          </w:p>
        </w:tc>
        <w:tc>
          <w:tcPr>
            <w:tcW w:w="5" w:type="pct"/>
            <w:shd w:val="clear" w:color="auto" w:fill="auto"/>
            <w:vAlign w:val="bottom"/>
          </w:tcPr>
          <w:p w14:paraId="18601209" w14:textId="77777777" w:rsidR="00A91885" w:rsidRDefault="00A91885">
            <w:pPr>
              <w:rPr>
                <w:rFonts w:ascii="宋体"/>
              </w:rPr>
            </w:pPr>
          </w:p>
        </w:tc>
        <w:tc>
          <w:tcPr>
            <w:tcW w:w="50" w:type="pct"/>
            <w:shd w:val="clear" w:color="auto" w:fill="auto"/>
            <w:vAlign w:val="bottom"/>
          </w:tcPr>
          <w:p w14:paraId="1860120A" w14:textId="77777777" w:rsidR="00A91885" w:rsidRDefault="00A91885">
            <w:pPr>
              <w:rPr>
                <w:rFonts w:ascii="宋体"/>
              </w:rPr>
            </w:pPr>
          </w:p>
        </w:tc>
        <w:tc>
          <w:tcPr>
            <w:tcW w:w="508" w:type="pct"/>
            <w:shd w:val="clear" w:color="auto" w:fill="auto"/>
            <w:vAlign w:val="bottom"/>
          </w:tcPr>
          <w:p w14:paraId="1860120B" w14:textId="77777777" w:rsidR="00A91885" w:rsidRDefault="00A91885">
            <w:pPr>
              <w:rPr>
                <w:rFonts w:ascii="宋体"/>
              </w:rPr>
            </w:pPr>
          </w:p>
        </w:tc>
        <w:tc>
          <w:tcPr>
            <w:tcW w:w="5" w:type="pct"/>
            <w:shd w:val="clear" w:color="auto" w:fill="auto"/>
            <w:vAlign w:val="bottom"/>
          </w:tcPr>
          <w:p w14:paraId="1860120C" w14:textId="77777777" w:rsidR="00A91885" w:rsidRDefault="00A91885">
            <w:pPr>
              <w:rPr>
                <w:rFonts w:ascii="宋体"/>
              </w:rPr>
            </w:pPr>
          </w:p>
        </w:tc>
      </w:tr>
      <w:tr w:rsidR="00A91885" w14:paraId="18601218" w14:textId="77777777">
        <w:trPr>
          <w:jc w:val="center"/>
        </w:trPr>
        <w:tc>
          <w:tcPr>
            <w:tcW w:w="0" w:type="auto"/>
            <w:gridSpan w:val="3"/>
            <w:shd w:val="clear" w:color="auto" w:fill="auto"/>
            <w:tcMar>
              <w:top w:w="0" w:type="dxa"/>
              <w:left w:w="20" w:type="dxa"/>
              <w:bottom w:w="0" w:type="dxa"/>
              <w:right w:w="20" w:type="dxa"/>
            </w:tcMar>
            <w:vAlign w:val="bottom"/>
          </w:tcPr>
          <w:p w14:paraId="1860120E"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20F" w14:textId="77777777" w:rsidR="00A91885" w:rsidRDefault="009C4196">
            <w:pPr>
              <w:jc w:val="center"/>
              <w:textAlignment w:val="bottom"/>
            </w:pPr>
            <w:r>
              <w:rPr>
                <w:rFonts w:ascii="Arial" w:eastAsia="宋体" w:hAnsi="Arial" w:cs="Arial"/>
                <w:b/>
                <w:bCs/>
                <w:color w:val="000000"/>
                <w:sz w:val="17"/>
                <w:szCs w:val="17"/>
              </w:rPr>
              <w:t>Unrealized Gains (Losses) on Derivative Instruments</w:t>
            </w:r>
          </w:p>
        </w:tc>
        <w:tc>
          <w:tcPr>
            <w:tcW w:w="0" w:type="auto"/>
            <w:gridSpan w:val="3"/>
            <w:shd w:val="clear" w:color="auto" w:fill="auto"/>
            <w:tcMar>
              <w:top w:w="0" w:type="dxa"/>
              <w:left w:w="20" w:type="dxa"/>
              <w:bottom w:w="0" w:type="dxa"/>
              <w:right w:w="20" w:type="dxa"/>
            </w:tcMar>
            <w:vAlign w:val="bottom"/>
          </w:tcPr>
          <w:p w14:paraId="18601210"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211" w14:textId="77777777" w:rsidR="00A91885" w:rsidRDefault="009C4196">
            <w:pPr>
              <w:jc w:val="center"/>
              <w:textAlignment w:val="bottom"/>
            </w:pPr>
            <w:r>
              <w:rPr>
                <w:rFonts w:ascii="Arial" w:eastAsia="宋体" w:hAnsi="Arial" w:cs="Arial"/>
                <w:b/>
                <w:bCs/>
                <w:color w:val="000000"/>
                <w:sz w:val="17"/>
                <w:szCs w:val="17"/>
              </w:rPr>
              <w:t>Unrealized</w:t>
            </w:r>
            <w:r>
              <w:rPr>
                <w:rFonts w:ascii="Arial" w:eastAsia="宋体" w:hAnsi="Arial" w:cs="Arial"/>
                <w:b/>
                <w:bCs/>
                <w:color w:val="000000"/>
                <w:sz w:val="17"/>
                <w:szCs w:val="17"/>
              </w:rPr>
              <w:br/>
              <w:t>Gains (Losses) on</w:t>
            </w:r>
            <w:r>
              <w:rPr>
                <w:rFonts w:ascii="Arial" w:eastAsia="宋体" w:hAnsi="Arial" w:cs="Arial"/>
                <w:b/>
                <w:bCs/>
                <w:color w:val="000000"/>
                <w:sz w:val="17"/>
                <w:szCs w:val="17"/>
              </w:rPr>
              <w:br/>
              <w:t>Investments</w:t>
            </w:r>
          </w:p>
        </w:tc>
        <w:tc>
          <w:tcPr>
            <w:tcW w:w="0" w:type="auto"/>
            <w:gridSpan w:val="3"/>
            <w:shd w:val="clear" w:color="auto" w:fill="auto"/>
            <w:tcMar>
              <w:top w:w="0" w:type="dxa"/>
              <w:left w:w="20" w:type="dxa"/>
              <w:bottom w:w="0" w:type="dxa"/>
              <w:right w:w="20" w:type="dxa"/>
            </w:tcMar>
            <w:vAlign w:val="bottom"/>
          </w:tcPr>
          <w:p w14:paraId="18601212"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213" w14:textId="77777777" w:rsidR="00A91885" w:rsidRDefault="009C4196">
            <w:pPr>
              <w:jc w:val="center"/>
              <w:textAlignment w:val="bottom"/>
            </w:pPr>
            <w:r>
              <w:rPr>
                <w:rFonts w:ascii="Arial" w:eastAsia="宋体" w:hAnsi="Arial" w:cs="Arial"/>
                <w:b/>
                <w:bCs/>
                <w:color w:val="000000"/>
                <w:sz w:val="17"/>
                <w:szCs w:val="17"/>
              </w:rPr>
              <w:t>Foreign</w:t>
            </w:r>
            <w:r>
              <w:rPr>
                <w:rFonts w:ascii="Arial" w:eastAsia="宋体" w:hAnsi="Arial" w:cs="Arial"/>
                <w:b/>
                <w:bCs/>
                <w:color w:val="000000"/>
                <w:sz w:val="17"/>
                <w:szCs w:val="17"/>
              </w:rPr>
              <w:br/>
              <w:t>Currency</w:t>
            </w:r>
            <w:r>
              <w:rPr>
                <w:rFonts w:ascii="Arial" w:eastAsia="宋体" w:hAnsi="Arial" w:cs="Arial"/>
                <w:b/>
                <w:bCs/>
                <w:color w:val="000000"/>
                <w:sz w:val="17"/>
                <w:szCs w:val="17"/>
              </w:rPr>
              <w:br/>
              <w:t>Translation</w:t>
            </w:r>
          </w:p>
        </w:tc>
        <w:tc>
          <w:tcPr>
            <w:tcW w:w="0" w:type="auto"/>
            <w:gridSpan w:val="3"/>
            <w:shd w:val="clear" w:color="auto" w:fill="auto"/>
            <w:tcMar>
              <w:top w:w="0" w:type="dxa"/>
              <w:left w:w="20" w:type="dxa"/>
              <w:bottom w:w="0" w:type="dxa"/>
              <w:right w:w="20" w:type="dxa"/>
            </w:tcMar>
            <w:vAlign w:val="bottom"/>
          </w:tcPr>
          <w:p w14:paraId="18601214"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215" w14:textId="77777777" w:rsidR="00A91885" w:rsidRDefault="009C4196">
            <w:pPr>
              <w:jc w:val="center"/>
              <w:textAlignment w:val="bottom"/>
            </w:pPr>
            <w:r>
              <w:rPr>
                <w:rFonts w:ascii="Arial" w:eastAsia="宋体" w:hAnsi="Arial" w:cs="Arial"/>
                <w:b/>
                <w:bCs/>
                <w:color w:val="000000"/>
                <w:sz w:val="17"/>
                <w:szCs w:val="17"/>
              </w:rPr>
              <w:t>Estimated Tax (Expense) Benefit</w:t>
            </w:r>
          </w:p>
        </w:tc>
        <w:tc>
          <w:tcPr>
            <w:tcW w:w="0" w:type="auto"/>
            <w:gridSpan w:val="3"/>
            <w:shd w:val="clear" w:color="auto" w:fill="auto"/>
            <w:tcMar>
              <w:top w:w="0" w:type="dxa"/>
              <w:left w:w="20" w:type="dxa"/>
              <w:bottom w:w="0" w:type="dxa"/>
              <w:right w:w="20" w:type="dxa"/>
            </w:tcMar>
            <w:vAlign w:val="bottom"/>
          </w:tcPr>
          <w:p w14:paraId="18601216"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217" w14:textId="77777777" w:rsidR="00A91885" w:rsidRDefault="009C4196">
            <w:pPr>
              <w:jc w:val="center"/>
              <w:textAlignment w:val="bottom"/>
            </w:pPr>
            <w:r>
              <w:rPr>
                <w:rFonts w:ascii="Arial" w:eastAsia="宋体" w:hAnsi="Arial" w:cs="Arial"/>
                <w:b/>
                <w:bCs/>
                <w:color w:val="000000"/>
                <w:sz w:val="17"/>
                <w:szCs w:val="17"/>
              </w:rPr>
              <w:t>Total</w:t>
            </w:r>
          </w:p>
        </w:tc>
      </w:tr>
      <w:tr w:rsidR="00A91885" w14:paraId="1860122D" w14:textId="77777777">
        <w:trPr>
          <w:jc w:val="center"/>
        </w:trPr>
        <w:tc>
          <w:tcPr>
            <w:tcW w:w="0" w:type="auto"/>
            <w:gridSpan w:val="3"/>
            <w:shd w:val="clear" w:color="auto" w:fill="E2E2E2"/>
            <w:tcMar>
              <w:top w:w="40" w:type="dxa"/>
              <w:left w:w="20" w:type="dxa"/>
              <w:bottom w:w="40" w:type="dxa"/>
              <w:right w:w="20" w:type="dxa"/>
            </w:tcMar>
            <w:vAlign w:val="bottom"/>
          </w:tcPr>
          <w:p w14:paraId="18601219" w14:textId="77777777" w:rsidR="00A91885" w:rsidRDefault="009C4196">
            <w:pPr>
              <w:textAlignment w:val="bottom"/>
            </w:pPr>
            <w:r>
              <w:rPr>
                <w:rFonts w:ascii="Arial" w:eastAsia="宋体" w:hAnsi="Arial" w:cs="Arial"/>
                <w:color w:val="000000"/>
                <w:sz w:val="18"/>
                <w:szCs w:val="18"/>
              </w:rPr>
              <w:t>Balance as of March 31, 2021</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121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21B" w14:textId="77777777" w:rsidR="00A91885" w:rsidRDefault="009C4196">
            <w:pPr>
              <w:jc w:val="right"/>
              <w:textAlignment w:val="bottom"/>
            </w:pPr>
            <w:r>
              <w:rPr>
                <w:rFonts w:ascii="Arial" w:eastAsia="宋体" w:hAnsi="Arial" w:cs="Arial"/>
                <w:color w:val="000000"/>
                <w:sz w:val="18"/>
                <w:szCs w:val="18"/>
              </w:rPr>
              <w:t>(11)</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21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1D"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21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21F" w14:textId="77777777" w:rsidR="00A91885" w:rsidRDefault="009C4196">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22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21"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22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223" w14:textId="77777777" w:rsidR="00A91885" w:rsidRDefault="009C4196">
            <w:pPr>
              <w:jc w:val="right"/>
              <w:textAlignment w:val="bottom"/>
            </w:pPr>
            <w:r>
              <w:rPr>
                <w:rFonts w:ascii="Arial" w:eastAsia="宋体" w:hAnsi="Arial" w:cs="Arial"/>
                <w:color w:val="000000"/>
                <w:sz w:val="18"/>
                <w:szCs w:val="18"/>
              </w:rPr>
              <w:t>537 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22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25"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22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227" w14:textId="77777777" w:rsidR="00A91885" w:rsidRDefault="009C4196">
            <w:pPr>
              <w:jc w:val="right"/>
              <w:textAlignment w:val="bottom"/>
            </w:pPr>
            <w:r>
              <w:rPr>
                <w:rFonts w:ascii="Arial" w:eastAsia="宋体" w:hAnsi="Arial" w:cs="Arial"/>
                <w:color w:val="000000"/>
                <w:sz w:val="18"/>
                <w:szCs w:val="18"/>
              </w:rPr>
              <w:t>25 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22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29"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22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22B" w14:textId="77777777" w:rsidR="00A91885" w:rsidRDefault="009C4196">
            <w:pPr>
              <w:jc w:val="right"/>
              <w:textAlignment w:val="bottom"/>
            </w:pPr>
            <w:r>
              <w:rPr>
                <w:rFonts w:ascii="Arial" w:eastAsia="宋体" w:hAnsi="Arial" w:cs="Arial"/>
                <w:color w:val="000000"/>
                <w:sz w:val="18"/>
                <w:szCs w:val="18"/>
              </w:rPr>
              <w:t>553 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22C" w14:textId="77777777" w:rsidR="00A91885" w:rsidRDefault="00A91885">
            <w:pPr>
              <w:jc w:val="right"/>
              <w:rPr>
                <w:rFonts w:ascii="宋体"/>
              </w:rPr>
            </w:pPr>
          </w:p>
        </w:tc>
      </w:tr>
      <w:tr w:rsidR="00A91885" w14:paraId="1860123D" w14:textId="77777777">
        <w:trPr>
          <w:jc w:val="center"/>
        </w:trPr>
        <w:tc>
          <w:tcPr>
            <w:tcW w:w="0" w:type="auto"/>
            <w:gridSpan w:val="3"/>
            <w:shd w:val="clear" w:color="auto" w:fill="FFFFFF"/>
            <w:tcMar>
              <w:top w:w="40" w:type="dxa"/>
              <w:left w:w="245" w:type="dxa"/>
              <w:bottom w:w="40" w:type="dxa"/>
              <w:right w:w="20" w:type="dxa"/>
            </w:tcMar>
            <w:vAlign w:val="bottom"/>
          </w:tcPr>
          <w:p w14:paraId="1860122E" w14:textId="77777777" w:rsidR="00A91885" w:rsidRDefault="009C4196">
            <w:pPr>
              <w:textAlignment w:val="bottom"/>
            </w:pPr>
            <w:r>
              <w:rPr>
                <w:rFonts w:ascii="Arial" w:eastAsia="宋体" w:hAnsi="Arial" w:cs="Arial"/>
                <w:color w:val="000000"/>
                <w:sz w:val="18"/>
                <w:szCs w:val="18"/>
              </w:rPr>
              <w:t>Other comprehensive income (loss) before reclassifica</w:t>
            </w:r>
            <w:r>
              <w:rPr>
                <w:rFonts w:ascii="Arial" w:eastAsia="宋体" w:hAnsi="Arial" w:cs="Arial"/>
                <w:color w:val="000000"/>
                <w:sz w:val="18"/>
                <w:szCs w:val="18"/>
              </w:rPr>
              <w:t>tions</w:t>
            </w:r>
          </w:p>
        </w:tc>
        <w:tc>
          <w:tcPr>
            <w:tcW w:w="0" w:type="auto"/>
            <w:gridSpan w:val="2"/>
            <w:shd w:val="clear" w:color="auto" w:fill="FFFFFF"/>
            <w:tcMar>
              <w:top w:w="40" w:type="dxa"/>
              <w:left w:w="20" w:type="dxa"/>
              <w:bottom w:w="40" w:type="dxa"/>
              <w:right w:w="0" w:type="dxa"/>
            </w:tcMar>
            <w:vAlign w:val="bottom"/>
          </w:tcPr>
          <w:p w14:paraId="1860122F" w14:textId="77777777" w:rsidR="00A91885" w:rsidRDefault="009C4196">
            <w:pPr>
              <w:jc w:val="right"/>
              <w:textAlignment w:val="bottom"/>
            </w:pPr>
            <w:r>
              <w:rPr>
                <w:rFonts w:ascii="Arial" w:eastAsia="宋体" w:hAnsi="Arial" w:cs="Arial"/>
                <w:color w:val="000000"/>
                <w:sz w:val="18"/>
                <w:szCs w:val="18"/>
              </w:rPr>
              <w:t>(20)</w:t>
            </w:r>
          </w:p>
        </w:tc>
        <w:tc>
          <w:tcPr>
            <w:tcW w:w="0" w:type="auto"/>
            <w:shd w:val="clear" w:color="auto" w:fill="FFFFFF"/>
            <w:tcMar>
              <w:top w:w="40" w:type="dxa"/>
              <w:left w:w="0" w:type="dxa"/>
              <w:bottom w:w="40" w:type="dxa"/>
              <w:right w:w="20" w:type="dxa"/>
            </w:tcMar>
            <w:vAlign w:val="bottom"/>
          </w:tcPr>
          <w:p w14:paraId="1860123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23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232" w14:textId="77777777" w:rsidR="00A91885" w:rsidRDefault="009C4196">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1860123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23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235" w14:textId="77777777" w:rsidR="00A91885" w:rsidRDefault="009C4196">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1860123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23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238" w14:textId="77777777" w:rsidR="00A91885" w:rsidRDefault="009C4196">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1860123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23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23B" w14:textId="77777777" w:rsidR="00A91885" w:rsidRDefault="009C4196">
            <w:pPr>
              <w:jc w:val="right"/>
              <w:textAlignment w:val="bottom"/>
            </w:pPr>
            <w:r>
              <w:rPr>
                <w:rFonts w:ascii="Arial" w:eastAsia="宋体" w:hAnsi="Arial" w:cs="Arial"/>
                <w:color w:val="000000"/>
                <w:sz w:val="18"/>
                <w:szCs w:val="18"/>
              </w:rPr>
              <w:t>(5)</w:t>
            </w:r>
          </w:p>
        </w:tc>
        <w:tc>
          <w:tcPr>
            <w:tcW w:w="0" w:type="auto"/>
            <w:shd w:val="clear" w:color="auto" w:fill="FFFFFF"/>
            <w:tcMar>
              <w:top w:w="40" w:type="dxa"/>
              <w:left w:w="0" w:type="dxa"/>
              <w:bottom w:w="40" w:type="dxa"/>
              <w:right w:w="20" w:type="dxa"/>
            </w:tcMar>
            <w:vAlign w:val="bottom"/>
          </w:tcPr>
          <w:p w14:paraId="1860123C" w14:textId="77777777" w:rsidR="00A91885" w:rsidRDefault="00A91885">
            <w:pPr>
              <w:jc w:val="right"/>
              <w:rPr>
                <w:rFonts w:ascii="宋体"/>
              </w:rPr>
            </w:pPr>
          </w:p>
        </w:tc>
      </w:tr>
      <w:tr w:rsidR="00A91885" w14:paraId="1860124D" w14:textId="77777777">
        <w:trPr>
          <w:jc w:val="center"/>
        </w:trPr>
        <w:tc>
          <w:tcPr>
            <w:tcW w:w="0" w:type="auto"/>
            <w:gridSpan w:val="3"/>
            <w:shd w:val="clear" w:color="auto" w:fill="E2E2E2"/>
            <w:tcMar>
              <w:top w:w="40" w:type="dxa"/>
              <w:left w:w="245" w:type="dxa"/>
              <w:bottom w:w="40" w:type="dxa"/>
              <w:right w:w="20" w:type="dxa"/>
            </w:tcMar>
            <w:vAlign w:val="bottom"/>
          </w:tcPr>
          <w:p w14:paraId="1860123E" w14:textId="77777777" w:rsidR="00A91885" w:rsidRDefault="009C4196">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1860123F" w14:textId="77777777" w:rsidR="00A91885" w:rsidRDefault="009C4196">
            <w:pPr>
              <w:jc w:val="right"/>
              <w:textAlignment w:val="bottom"/>
            </w:pPr>
            <w:r>
              <w:rPr>
                <w:rFonts w:ascii="Arial" w:eastAsia="宋体" w:hAnsi="Arial" w:cs="Arial"/>
                <w:color w:val="000000"/>
                <w:sz w:val="18"/>
                <w:szCs w:val="18"/>
              </w:rPr>
              <w:t>(16)</w:t>
            </w:r>
          </w:p>
        </w:tc>
        <w:tc>
          <w:tcPr>
            <w:tcW w:w="0" w:type="auto"/>
            <w:shd w:val="clear" w:color="auto" w:fill="E2E2E2"/>
            <w:tcMar>
              <w:top w:w="40" w:type="dxa"/>
              <w:left w:w="0" w:type="dxa"/>
              <w:bottom w:w="40" w:type="dxa"/>
              <w:right w:w="20" w:type="dxa"/>
            </w:tcMar>
            <w:vAlign w:val="bottom"/>
          </w:tcPr>
          <w:p w14:paraId="1860124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4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242"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124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44"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245"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124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47"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248" w14:textId="77777777" w:rsidR="00A91885" w:rsidRDefault="009C4196">
            <w:pPr>
              <w:jc w:val="right"/>
              <w:textAlignment w:val="bottom"/>
            </w:pPr>
            <w:r>
              <w:rPr>
                <w:rFonts w:ascii="Arial" w:eastAsia="宋体" w:hAnsi="Arial" w:cs="Arial"/>
                <w:color w:val="000000"/>
                <w:sz w:val="18"/>
                <w:szCs w:val="18"/>
              </w:rPr>
              <w:t>4 </w:t>
            </w:r>
          </w:p>
        </w:tc>
        <w:tc>
          <w:tcPr>
            <w:tcW w:w="0" w:type="auto"/>
            <w:shd w:val="clear" w:color="auto" w:fill="E2E2E2"/>
            <w:tcMar>
              <w:top w:w="40" w:type="dxa"/>
              <w:left w:w="0" w:type="dxa"/>
              <w:bottom w:w="40" w:type="dxa"/>
              <w:right w:w="20" w:type="dxa"/>
            </w:tcMar>
            <w:vAlign w:val="bottom"/>
          </w:tcPr>
          <w:p w14:paraId="18601249"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4A"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24B" w14:textId="77777777" w:rsidR="00A91885" w:rsidRDefault="009C4196">
            <w:pPr>
              <w:jc w:val="right"/>
              <w:textAlignment w:val="bottom"/>
            </w:pPr>
            <w:r>
              <w:rPr>
                <w:rFonts w:ascii="Arial" w:eastAsia="宋体" w:hAnsi="Arial" w:cs="Arial"/>
                <w:color w:val="000000"/>
                <w:sz w:val="18"/>
                <w:szCs w:val="18"/>
              </w:rPr>
              <w:t>(12)</w:t>
            </w:r>
          </w:p>
        </w:tc>
        <w:tc>
          <w:tcPr>
            <w:tcW w:w="0" w:type="auto"/>
            <w:shd w:val="clear" w:color="auto" w:fill="E2E2E2"/>
            <w:tcMar>
              <w:top w:w="40" w:type="dxa"/>
              <w:left w:w="0" w:type="dxa"/>
              <w:bottom w:w="40" w:type="dxa"/>
              <w:right w:w="20" w:type="dxa"/>
            </w:tcMar>
            <w:vAlign w:val="bottom"/>
          </w:tcPr>
          <w:p w14:paraId="1860124C" w14:textId="77777777" w:rsidR="00A91885" w:rsidRDefault="00A91885">
            <w:pPr>
              <w:jc w:val="right"/>
              <w:rPr>
                <w:rFonts w:ascii="宋体"/>
              </w:rPr>
            </w:pPr>
          </w:p>
        </w:tc>
      </w:tr>
      <w:tr w:rsidR="00A91885" w14:paraId="1860125D" w14:textId="77777777">
        <w:trPr>
          <w:jc w:val="center"/>
        </w:trPr>
        <w:tc>
          <w:tcPr>
            <w:tcW w:w="0" w:type="auto"/>
            <w:gridSpan w:val="3"/>
            <w:shd w:val="clear" w:color="auto" w:fill="FFFFFF"/>
            <w:tcMar>
              <w:top w:w="40" w:type="dxa"/>
              <w:left w:w="20" w:type="dxa"/>
              <w:bottom w:w="40" w:type="dxa"/>
              <w:right w:w="20" w:type="dxa"/>
            </w:tcMar>
            <w:vAlign w:val="bottom"/>
          </w:tcPr>
          <w:p w14:paraId="1860124E" w14:textId="77777777" w:rsidR="00A91885" w:rsidRDefault="009C4196">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24F" w14:textId="77777777" w:rsidR="00A91885" w:rsidRDefault="009C4196">
            <w:pPr>
              <w:jc w:val="right"/>
              <w:textAlignment w:val="bottom"/>
            </w:pPr>
            <w:r>
              <w:rPr>
                <w:rFonts w:ascii="Arial" w:eastAsia="宋体" w:hAnsi="Arial" w:cs="Arial"/>
                <w:color w:val="000000"/>
                <w:sz w:val="18"/>
                <w:szCs w:val="18"/>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25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251"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252" w14:textId="77777777" w:rsidR="00A91885" w:rsidRDefault="009C4196">
            <w:pPr>
              <w:jc w:val="right"/>
              <w:textAlignment w:val="bottom"/>
            </w:pPr>
            <w:r>
              <w:rPr>
                <w:rFonts w:ascii="Arial" w:eastAsia="宋体" w:hAnsi="Arial" w:cs="Arial"/>
                <w:color w:val="000000"/>
                <w:sz w:val="18"/>
                <w:szCs w:val="18"/>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25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254"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255" w14:textId="77777777" w:rsidR="00A91885" w:rsidRDefault="009C4196">
            <w:pPr>
              <w:jc w:val="right"/>
              <w:textAlignment w:val="bottom"/>
            </w:pPr>
            <w:r>
              <w:rPr>
                <w:rFonts w:ascii="Arial" w:eastAsia="宋体" w:hAnsi="Arial" w:cs="Arial"/>
                <w:color w:val="000000"/>
                <w:sz w:val="18"/>
                <w:szCs w:val="18"/>
              </w:rPr>
              <w:t>10 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25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257"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258" w14:textId="77777777" w:rsidR="00A91885" w:rsidRDefault="009C4196">
            <w:pPr>
              <w:jc w:val="right"/>
              <w:textAlignment w:val="bottom"/>
            </w:pPr>
            <w:r>
              <w:rPr>
                <w:rFonts w:ascii="Arial" w:eastAsia="宋体" w:hAnsi="Arial" w:cs="Arial"/>
                <w:color w:val="000000"/>
                <w:sz w:val="18"/>
                <w:szCs w:val="18"/>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25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25A"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25B" w14:textId="77777777" w:rsidR="00A91885" w:rsidRDefault="009C4196">
            <w:pPr>
              <w:jc w:val="right"/>
              <w:textAlignment w:val="bottom"/>
            </w:pPr>
            <w:r>
              <w:rPr>
                <w:rFonts w:ascii="Arial" w:eastAsia="宋体" w:hAnsi="Arial" w:cs="Arial"/>
                <w:color w:val="000000"/>
                <w:sz w:val="18"/>
                <w:szCs w:val="18"/>
              </w:rPr>
              <w:t>7 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25C" w14:textId="77777777" w:rsidR="00A91885" w:rsidRDefault="00A91885">
            <w:pPr>
              <w:jc w:val="right"/>
              <w:rPr>
                <w:rFonts w:ascii="宋体"/>
              </w:rPr>
            </w:pPr>
          </w:p>
        </w:tc>
      </w:tr>
      <w:tr w:rsidR="00A91885" w14:paraId="18601272" w14:textId="77777777">
        <w:trPr>
          <w:jc w:val="center"/>
        </w:trPr>
        <w:tc>
          <w:tcPr>
            <w:tcW w:w="0" w:type="auto"/>
            <w:gridSpan w:val="3"/>
            <w:shd w:val="clear" w:color="auto" w:fill="E2E2E2"/>
            <w:tcMar>
              <w:top w:w="40" w:type="dxa"/>
              <w:left w:w="20" w:type="dxa"/>
              <w:bottom w:w="40" w:type="dxa"/>
              <w:right w:w="20" w:type="dxa"/>
            </w:tcMar>
            <w:vAlign w:val="bottom"/>
          </w:tcPr>
          <w:p w14:paraId="1860125E" w14:textId="77777777" w:rsidR="00A91885" w:rsidRDefault="009C4196">
            <w:pPr>
              <w:textAlignment w:val="bottom"/>
            </w:pPr>
            <w:r>
              <w:rPr>
                <w:rFonts w:ascii="Arial" w:eastAsia="宋体" w:hAnsi="Arial" w:cs="Arial"/>
                <w:color w:val="000000"/>
                <w:sz w:val="18"/>
                <w:szCs w:val="18"/>
              </w:rPr>
              <w:t>Balance as of June 30, 2021</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25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260" w14:textId="77777777" w:rsidR="00A91885" w:rsidRDefault="009C4196">
            <w:pPr>
              <w:jc w:val="right"/>
              <w:textAlignment w:val="bottom"/>
            </w:pPr>
            <w:r>
              <w:rPr>
                <w:rFonts w:ascii="Arial" w:eastAsia="宋体" w:hAnsi="Arial" w:cs="Arial"/>
                <w:color w:val="000000"/>
                <w:sz w:val="18"/>
                <w:szCs w:val="18"/>
              </w:rPr>
              <w:t>(15)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26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62"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26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264" w14:textId="77777777" w:rsidR="00A91885" w:rsidRDefault="009C4196">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26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66"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267"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268" w14:textId="77777777" w:rsidR="00A91885" w:rsidRDefault="009C4196">
            <w:pPr>
              <w:jc w:val="right"/>
              <w:textAlignment w:val="bottom"/>
            </w:pPr>
            <w:r>
              <w:rPr>
                <w:rFonts w:ascii="Arial" w:eastAsia="宋体" w:hAnsi="Arial" w:cs="Arial"/>
                <w:color w:val="000000"/>
                <w:sz w:val="18"/>
                <w:szCs w:val="18"/>
              </w:rPr>
              <w:t>547 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269"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6A"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26B"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26C" w14:textId="77777777" w:rsidR="00A91885" w:rsidRDefault="009C4196">
            <w:pPr>
              <w:jc w:val="right"/>
              <w:textAlignment w:val="bottom"/>
            </w:pPr>
            <w:r>
              <w:rPr>
                <w:rFonts w:ascii="Arial" w:eastAsia="宋体" w:hAnsi="Arial" w:cs="Arial"/>
                <w:color w:val="000000"/>
                <w:sz w:val="18"/>
                <w:szCs w:val="18"/>
              </w:rPr>
              <w:t>27 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26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6E"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26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270" w14:textId="77777777" w:rsidR="00A91885" w:rsidRDefault="009C4196">
            <w:pPr>
              <w:jc w:val="right"/>
              <w:textAlignment w:val="bottom"/>
            </w:pPr>
            <w:r>
              <w:rPr>
                <w:rFonts w:ascii="Arial" w:eastAsia="宋体" w:hAnsi="Arial" w:cs="Arial"/>
                <w:color w:val="000000"/>
                <w:sz w:val="18"/>
                <w:szCs w:val="18"/>
              </w:rPr>
              <w:t>560 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271" w14:textId="77777777" w:rsidR="00A91885" w:rsidRDefault="00A91885">
            <w:pPr>
              <w:jc w:val="right"/>
              <w:rPr>
                <w:rFonts w:ascii="宋体"/>
              </w:rPr>
            </w:pPr>
          </w:p>
        </w:tc>
      </w:tr>
    </w:tbl>
    <w:p w14:paraId="18601273" w14:textId="77777777" w:rsidR="00A91885" w:rsidRDefault="00A91885">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855"/>
        <w:gridCol w:w="37"/>
        <w:gridCol w:w="122"/>
        <w:gridCol w:w="928"/>
        <w:gridCol w:w="36"/>
        <w:gridCol w:w="36"/>
        <w:gridCol w:w="36"/>
        <w:gridCol w:w="36"/>
        <w:gridCol w:w="122"/>
        <w:gridCol w:w="943"/>
        <w:gridCol w:w="36"/>
        <w:gridCol w:w="36"/>
        <w:gridCol w:w="36"/>
        <w:gridCol w:w="36"/>
        <w:gridCol w:w="122"/>
        <w:gridCol w:w="863"/>
        <w:gridCol w:w="36"/>
        <w:gridCol w:w="36"/>
        <w:gridCol w:w="36"/>
        <w:gridCol w:w="36"/>
        <w:gridCol w:w="122"/>
        <w:gridCol w:w="775"/>
        <w:gridCol w:w="36"/>
        <w:gridCol w:w="36"/>
        <w:gridCol w:w="36"/>
        <w:gridCol w:w="36"/>
        <w:gridCol w:w="121"/>
        <w:gridCol w:w="672"/>
        <w:gridCol w:w="36"/>
      </w:tblGrid>
      <w:tr w:rsidR="00A91885" w14:paraId="18601292" w14:textId="77777777">
        <w:trPr>
          <w:jc w:val="center"/>
        </w:trPr>
        <w:tc>
          <w:tcPr>
            <w:tcW w:w="50" w:type="pct"/>
            <w:shd w:val="clear" w:color="auto" w:fill="auto"/>
            <w:vAlign w:val="bottom"/>
          </w:tcPr>
          <w:p w14:paraId="18601274" w14:textId="77777777" w:rsidR="00A91885" w:rsidRDefault="00A91885">
            <w:pPr>
              <w:rPr>
                <w:rFonts w:ascii="宋体"/>
              </w:rPr>
            </w:pPr>
          </w:p>
        </w:tc>
        <w:tc>
          <w:tcPr>
            <w:tcW w:w="1809" w:type="pct"/>
            <w:shd w:val="clear" w:color="auto" w:fill="auto"/>
            <w:vAlign w:val="bottom"/>
          </w:tcPr>
          <w:p w14:paraId="18601275" w14:textId="77777777" w:rsidR="00A91885" w:rsidRDefault="00A91885">
            <w:pPr>
              <w:rPr>
                <w:rFonts w:ascii="宋体"/>
              </w:rPr>
            </w:pPr>
          </w:p>
        </w:tc>
        <w:tc>
          <w:tcPr>
            <w:tcW w:w="5" w:type="pct"/>
            <w:shd w:val="clear" w:color="auto" w:fill="auto"/>
            <w:vAlign w:val="bottom"/>
          </w:tcPr>
          <w:p w14:paraId="18601276" w14:textId="77777777" w:rsidR="00A91885" w:rsidRDefault="00A91885">
            <w:pPr>
              <w:rPr>
                <w:rFonts w:ascii="宋体"/>
              </w:rPr>
            </w:pPr>
          </w:p>
        </w:tc>
        <w:tc>
          <w:tcPr>
            <w:tcW w:w="50" w:type="pct"/>
            <w:shd w:val="clear" w:color="auto" w:fill="auto"/>
            <w:vAlign w:val="bottom"/>
          </w:tcPr>
          <w:p w14:paraId="18601277" w14:textId="77777777" w:rsidR="00A91885" w:rsidRDefault="00A91885">
            <w:pPr>
              <w:rPr>
                <w:rFonts w:ascii="宋体"/>
              </w:rPr>
            </w:pPr>
          </w:p>
        </w:tc>
        <w:tc>
          <w:tcPr>
            <w:tcW w:w="595" w:type="pct"/>
            <w:shd w:val="clear" w:color="auto" w:fill="auto"/>
            <w:vAlign w:val="bottom"/>
          </w:tcPr>
          <w:p w14:paraId="18601278" w14:textId="77777777" w:rsidR="00A91885" w:rsidRDefault="00A91885">
            <w:pPr>
              <w:rPr>
                <w:rFonts w:ascii="宋体"/>
              </w:rPr>
            </w:pPr>
          </w:p>
        </w:tc>
        <w:tc>
          <w:tcPr>
            <w:tcW w:w="5" w:type="pct"/>
            <w:shd w:val="clear" w:color="auto" w:fill="auto"/>
            <w:vAlign w:val="bottom"/>
          </w:tcPr>
          <w:p w14:paraId="18601279" w14:textId="77777777" w:rsidR="00A91885" w:rsidRDefault="00A91885">
            <w:pPr>
              <w:rPr>
                <w:rFonts w:ascii="宋体"/>
              </w:rPr>
            </w:pPr>
          </w:p>
        </w:tc>
        <w:tc>
          <w:tcPr>
            <w:tcW w:w="5" w:type="pct"/>
            <w:shd w:val="clear" w:color="auto" w:fill="auto"/>
            <w:vAlign w:val="bottom"/>
          </w:tcPr>
          <w:p w14:paraId="1860127A" w14:textId="77777777" w:rsidR="00A91885" w:rsidRDefault="00A91885">
            <w:pPr>
              <w:rPr>
                <w:rFonts w:ascii="宋体"/>
              </w:rPr>
            </w:pPr>
          </w:p>
        </w:tc>
        <w:tc>
          <w:tcPr>
            <w:tcW w:w="19" w:type="pct"/>
            <w:shd w:val="clear" w:color="auto" w:fill="auto"/>
            <w:vAlign w:val="bottom"/>
          </w:tcPr>
          <w:p w14:paraId="1860127B" w14:textId="77777777" w:rsidR="00A91885" w:rsidRDefault="00A91885">
            <w:pPr>
              <w:rPr>
                <w:rFonts w:ascii="宋体"/>
              </w:rPr>
            </w:pPr>
          </w:p>
        </w:tc>
        <w:tc>
          <w:tcPr>
            <w:tcW w:w="5" w:type="pct"/>
            <w:shd w:val="clear" w:color="auto" w:fill="auto"/>
            <w:vAlign w:val="bottom"/>
          </w:tcPr>
          <w:p w14:paraId="1860127C" w14:textId="77777777" w:rsidR="00A91885" w:rsidRDefault="00A91885">
            <w:pPr>
              <w:rPr>
                <w:rFonts w:ascii="宋体"/>
              </w:rPr>
            </w:pPr>
          </w:p>
        </w:tc>
        <w:tc>
          <w:tcPr>
            <w:tcW w:w="50" w:type="pct"/>
            <w:shd w:val="clear" w:color="auto" w:fill="auto"/>
            <w:vAlign w:val="bottom"/>
          </w:tcPr>
          <w:p w14:paraId="1860127D" w14:textId="77777777" w:rsidR="00A91885" w:rsidRDefault="00A91885">
            <w:pPr>
              <w:rPr>
                <w:rFonts w:ascii="宋体"/>
              </w:rPr>
            </w:pPr>
          </w:p>
        </w:tc>
        <w:tc>
          <w:tcPr>
            <w:tcW w:w="580" w:type="pct"/>
            <w:shd w:val="clear" w:color="auto" w:fill="auto"/>
            <w:vAlign w:val="bottom"/>
          </w:tcPr>
          <w:p w14:paraId="1860127E" w14:textId="77777777" w:rsidR="00A91885" w:rsidRDefault="00A91885">
            <w:pPr>
              <w:rPr>
                <w:rFonts w:ascii="宋体"/>
              </w:rPr>
            </w:pPr>
          </w:p>
        </w:tc>
        <w:tc>
          <w:tcPr>
            <w:tcW w:w="5" w:type="pct"/>
            <w:shd w:val="clear" w:color="auto" w:fill="auto"/>
            <w:vAlign w:val="bottom"/>
          </w:tcPr>
          <w:p w14:paraId="1860127F" w14:textId="77777777" w:rsidR="00A91885" w:rsidRDefault="00A91885">
            <w:pPr>
              <w:rPr>
                <w:rFonts w:ascii="宋体"/>
              </w:rPr>
            </w:pPr>
          </w:p>
        </w:tc>
        <w:tc>
          <w:tcPr>
            <w:tcW w:w="5" w:type="pct"/>
            <w:shd w:val="clear" w:color="auto" w:fill="auto"/>
            <w:vAlign w:val="bottom"/>
          </w:tcPr>
          <w:p w14:paraId="18601280" w14:textId="77777777" w:rsidR="00A91885" w:rsidRDefault="00A91885">
            <w:pPr>
              <w:rPr>
                <w:rFonts w:ascii="宋体"/>
              </w:rPr>
            </w:pPr>
          </w:p>
        </w:tc>
        <w:tc>
          <w:tcPr>
            <w:tcW w:w="19" w:type="pct"/>
            <w:shd w:val="clear" w:color="auto" w:fill="auto"/>
            <w:vAlign w:val="bottom"/>
          </w:tcPr>
          <w:p w14:paraId="18601281" w14:textId="77777777" w:rsidR="00A91885" w:rsidRDefault="00A91885">
            <w:pPr>
              <w:rPr>
                <w:rFonts w:ascii="宋体"/>
              </w:rPr>
            </w:pPr>
          </w:p>
        </w:tc>
        <w:tc>
          <w:tcPr>
            <w:tcW w:w="5" w:type="pct"/>
            <w:shd w:val="clear" w:color="auto" w:fill="auto"/>
            <w:vAlign w:val="bottom"/>
          </w:tcPr>
          <w:p w14:paraId="18601282" w14:textId="77777777" w:rsidR="00A91885" w:rsidRDefault="00A91885">
            <w:pPr>
              <w:rPr>
                <w:rFonts w:ascii="宋体"/>
              </w:rPr>
            </w:pPr>
          </w:p>
        </w:tc>
        <w:tc>
          <w:tcPr>
            <w:tcW w:w="50" w:type="pct"/>
            <w:shd w:val="clear" w:color="auto" w:fill="auto"/>
            <w:vAlign w:val="bottom"/>
          </w:tcPr>
          <w:p w14:paraId="18601283" w14:textId="77777777" w:rsidR="00A91885" w:rsidRDefault="00A91885">
            <w:pPr>
              <w:rPr>
                <w:rFonts w:ascii="宋体"/>
              </w:rPr>
            </w:pPr>
          </w:p>
        </w:tc>
        <w:tc>
          <w:tcPr>
            <w:tcW w:w="507" w:type="pct"/>
            <w:shd w:val="clear" w:color="auto" w:fill="auto"/>
            <w:vAlign w:val="bottom"/>
          </w:tcPr>
          <w:p w14:paraId="18601284" w14:textId="77777777" w:rsidR="00A91885" w:rsidRDefault="00A91885">
            <w:pPr>
              <w:rPr>
                <w:rFonts w:ascii="宋体"/>
              </w:rPr>
            </w:pPr>
          </w:p>
        </w:tc>
        <w:tc>
          <w:tcPr>
            <w:tcW w:w="5" w:type="pct"/>
            <w:shd w:val="clear" w:color="auto" w:fill="auto"/>
            <w:vAlign w:val="bottom"/>
          </w:tcPr>
          <w:p w14:paraId="18601285" w14:textId="77777777" w:rsidR="00A91885" w:rsidRDefault="00A91885">
            <w:pPr>
              <w:rPr>
                <w:rFonts w:ascii="宋体"/>
              </w:rPr>
            </w:pPr>
          </w:p>
        </w:tc>
        <w:tc>
          <w:tcPr>
            <w:tcW w:w="5" w:type="pct"/>
            <w:shd w:val="clear" w:color="auto" w:fill="auto"/>
            <w:vAlign w:val="bottom"/>
          </w:tcPr>
          <w:p w14:paraId="18601286" w14:textId="77777777" w:rsidR="00A91885" w:rsidRDefault="00A91885">
            <w:pPr>
              <w:rPr>
                <w:rFonts w:ascii="宋体"/>
              </w:rPr>
            </w:pPr>
          </w:p>
        </w:tc>
        <w:tc>
          <w:tcPr>
            <w:tcW w:w="19" w:type="pct"/>
            <w:shd w:val="clear" w:color="auto" w:fill="auto"/>
            <w:vAlign w:val="bottom"/>
          </w:tcPr>
          <w:p w14:paraId="18601287" w14:textId="77777777" w:rsidR="00A91885" w:rsidRDefault="00A91885">
            <w:pPr>
              <w:rPr>
                <w:rFonts w:ascii="宋体"/>
              </w:rPr>
            </w:pPr>
          </w:p>
        </w:tc>
        <w:tc>
          <w:tcPr>
            <w:tcW w:w="5" w:type="pct"/>
            <w:shd w:val="clear" w:color="auto" w:fill="auto"/>
            <w:vAlign w:val="bottom"/>
          </w:tcPr>
          <w:p w14:paraId="18601288" w14:textId="77777777" w:rsidR="00A91885" w:rsidRDefault="00A91885">
            <w:pPr>
              <w:rPr>
                <w:rFonts w:ascii="宋体"/>
              </w:rPr>
            </w:pPr>
          </w:p>
        </w:tc>
        <w:tc>
          <w:tcPr>
            <w:tcW w:w="50" w:type="pct"/>
            <w:shd w:val="clear" w:color="auto" w:fill="auto"/>
            <w:vAlign w:val="bottom"/>
          </w:tcPr>
          <w:p w14:paraId="18601289" w14:textId="77777777" w:rsidR="00A91885" w:rsidRDefault="00A91885">
            <w:pPr>
              <w:rPr>
                <w:rFonts w:ascii="宋体"/>
              </w:rPr>
            </w:pPr>
          </w:p>
        </w:tc>
        <w:tc>
          <w:tcPr>
            <w:tcW w:w="551" w:type="pct"/>
            <w:shd w:val="clear" w:color="auto" w:fill="auto"/>
            <w:vAlign w:val="bottom"/>
          </w:tcPr>
          <w:p w14:paraId="1860128A" w14:textId="77777777" w:rsidR="00A91885" w:rsidRDefault="00A91885">
            <w:pPr>
              <w:rPr>
                <w:rFonts w:ascii="宋体"/>
              </w:rPr>
            </w:pPr>
          </w:p>
        </w:tc>
        <w:tc>
          <w:tcPr>
            <w:tcW w:w="5" w:type="pct"/>
            <w:shd w:val="clear" w:color="auto" w:fill="auto"/>
            <w:vAlign w:val="bottom"/>
          </w:tcPr>
          <w:p w14:paraId="1860128B" w14:textId="77777777" w:rsidR="00A91885" w:rsidRDefault="00A91885">
            <w:pPr>
              <w:rPr>
                <w:rFonts w:ascii="宋体"/>
              </w:rPr>
            </w:pPr>
          </w:p>
        </w:tc>
        <w:tc>
          <w:tcPr>
            <w:tcW w:w="5" w:type="pct"/>
            <w:shd w:val="clear" w:color="auto" w:fill="auto"/>
            <w:vAlign w:val="bottom"/>
          </w:tcPr>
          <w:p w14:paraId="1860128C" w14:textId="77777777" w:rsidR="00A91885" w:rsidRDefault="00A91885">
            <w:pPr>
              <w:rPr>
                <w:rFonts w:ascii="宋体"/>
              </w:rPr>
            </w:pPr>
          </w:p>
        </w:tc>
        <w:tc>
          <w:tcPr>
            <w:tcW w:w="19" w:type="pct"/>
            <w:shd w:val="clear" w:color="auto" w:fill="auto"/>
            <w:vAlign w:val="bottom"/>
          </w:tcPr>
          <w:p w14:paraId="1860128D" w14:textId="77777777" w:rsidR="00A91885" w:rsidRDefault="00A91885">
            <w:pPr>
              <w:rPr>
                <w:rFonts w:ascii="宋体"/>
              </w:rPr>
            </w:pPr>
          </w:p>
        </w:tc>
        <w:tc>
          <w:tcPr>
            <w:tcW w:w="5" w:type="pct"/>
            <w:shd w:val="clear" w:color="auto" w:fill="auto"/>
            <w:vAlign w:val="bottom"/>
          </w:tcPr>
          <w:p w14:paraId="1860128E" w14:textId="77777777" w:rsidR="00A91885" w:rsidRDefault="00A91885">
            <w:pPr>
              <w:rPr>
                <w:rFonts w:ascii="宋体"/>
              </w:rPr>
            </w:pPr>
          </w:p>
        </w:tc>
        <w:tc>
          <w:tcPr>
            <w:tcW w:w="50" w:type="pct"/>
            <w:shd w:val="clear" w:color="auto" w:fill="auto"/>
            <w:vAlign w:val="bottom"/>
          </w:tcPr>
          <w:p w14:paraId="1860128F" w14:textId="77777777" w:rsidR="00A91885" w:rsidRDefault="00A91885">
            <w:pPr>
              <w:rPr>
                <w:rFonts w:ascii="宋体"/>
              </w:rPr>
            </w:pPr>
          </w:p>
        </w:tc>
        <w:tc>
          <w:tcPr>
            <w:tcW w:w="508" w:type="pct"/>
            <w:shd w:val="clear" w:color="auto" w:fill="auto"/>
            <w:vAlign w:val="bottom"/>
          </w:tcPr>
          <w:p w14:paraId="18601290" w14:textId="77777777" w:rsidR="00A91885" w:rsidRDefault="00A91885">
            <w:pPr>
              <w:rPr>
                <w:rFonts w:ascii="宋体"/>
              </w:rPr>
            </w:pPr>
          </w:p>
        </w:tc>
        <w:tc>
          <w:tcPr>
            <w:tcW w:w="5" w:type="pct"/>
            <w:shd w:val="clear" w:color="auto" w:fill="auto"/>
            <w:vAlign w:val="bottom"/>
          </w:tcPr>
          <w:p w14:paraId="18601291" w14:textId="77777777" w:rsidR="00A91885" w:rsidRDefault="00A91885">
            <w:pPr>
              <w:rPr>
                <w:rFonts w:ascii="宋体"/>
              </w:rPr>
            </w:pPr>
          </w:p>
        </w:tc>
      </w:tr>
      <w:tr w:rsidR="00A91885" w14:paraId="1860129D" w14:textId="77777777">
        <w:trPr>
          <w:jc w:val="center"/>
        </w:trPr>
        <w:tc>
          <w:tcPr>
            <w:tcW w:w="0" w:type="auto"/>
            <w:gridSpan w:val="3"/>
            <w:shd w:val="clear" w:color="auto" w:fill="auto"/>
            <w:tcMar>
              <w:top w:w="0" w:type="dxa"/>
              <w:left w:w="20" w:type="dxa"/>
              <w:bottom w:w="0" w:type="dxa"/>
              <w:right w:w="20" w:type="dxa"/>
            </w:tcMar>
            <w:vAlign w:val="bottom"/>
          </w:tcPr>
          <w:p w14:paraId="18601293"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294" w14:textId="77777777" w:rsidR="00A91885" w:rsidRDefault="009C4196">
            <w:pPr>
              <w:jc w:val="center"/>
              <w:textAlignment w:val="bottom"/>
            </w:pPr>
            <w:r>
              <w:rPr>
                <w:rFonts w:ascii="Arial" w:eastAsia="宋体" w:hAnsi="Arial" w:cs="Arial"/>
                <w:b/>
                <w:bCs/>
                <w:color w:val="000000"/>
                <w:sz w:val="17"/>
                <w:szCs w:val="17"/>
              </w:rPr>
              <w:t>Unrealized Gains (Losses) on Derivative Instruments</w:t>
            </w:r>
          </w:p>
        </w:tc>
        <w:tc>
          <w:tcPr>
            <w:tcW w:w="0" w:type="auto"/>
            <w:gridSpan w:val="3"/>
            <w:shd w:val="clear" w:color="auto" w:fill="auto"/>
            <w:tcMar>
              <w:top w:w="0" w:type="dxa"/>
              <w:left w:w="20" w:type="dxa"/>
              <w:bottom w:w="0" w:type="dxa"/>
              <w:right w:w="20" w:type="dxa"/>
            </w:tcMar>
            <w:vAlign w:val="bottom"/>
          </w:tcPr>
          <w:p w14:paraId="18601295"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296" w14:textId="77777777" w:rsidR="00A91885" w:rsidRDefault="009C4196">
            <w:pPr>
              <w:jc w:val="center"/>
              <w:textAlignment w:val="bottom"/>
            </w:pPr>
            <w:r>
              <w:rPr>
                <w:rFonts w:ascii="Arial" w:eastAsia="宋体" w:hAnsi="Arial" w:cs="Arial"/>
                <w:b/>
                <w:bCs/>
                <w:color w:val="000000"/>
                <w:sz w:val="17"/>
                <w:szCs w:val="17"/>
              </w:rPr>
              <w:t>Unrealized</w:t>
            </w:r>
            <w:r>
              <w:rPr>
                <w:rFonts w:ascii="Arial" w:eastAsia="宋体" w:hAnsi="Arial" w:cs="Arial"/>
                <w:b/>
                <w:bCs/>
                <w:color w:val="000000"/>
                <w:sz w:val="17"/>
                <w:szCs w:val="17"/>
              </w:rPr>
              <w:br/>
              <w:t>Gains (Losses) on</w:t>
            </w:r>
            <w:r>
              <w:rPr>
                <w:rFonts w:ascii="Arial" w:eastAsia="宋体" w:hAnsi="Arial" w:cs="Arial"/>
                <w:b/>
                <w:bCs/>
                <w:color w:val="000000"/>
                <w:sz w:val="17"/>
                <w:szCs w:val="17"/>
              </w:rPr>
              <w:br/>
              <w:t>Investments</w:t>
            </w:r>
          </w:p>
        </w:tc>
        <w:tc>
          <w:tcPr>
            <w:tcW w:w="0" w:type="auto"/>
            <w:gridSpan w:val="3"/>
            <w:shd w:val="clear" w:color="auto" w:fill="auto"/>
            <w:tcMar>
              <w:top w:w="0" w:type="dxa"/>
              <w:left w:w="20" w:type="dxa"/>
              <w:bottom w:w="0" w:type="dxa"/>
              <w:right w:w="20" w:type="dxa"/>
            </w:tcMar>
            <w:vAlign w:val="bottom"/>
          </w:tcPr>
          <w:p w14:paraId="18601297"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298" w14:textId="77777777" w:rsidR="00A91885" w:rsidRDefault="009C4196">
            <w:pPr>
              <w:jc w:val="center"/>
              <w:textAlignment w:val="bottom"/>
            </w:pPr>
            <w:r>
              <w:rPr>
                <w:rFonts w:ascii="Arial" w:eastAsia="宋体" w:hAnsi="Arial" w:cs="Arial"/>
                <w:b/>
                <w:bCs/>
                <w:color w:val="000000"/>
                <w:sz w:val="17"/>
                <w:szCs w:val="17"/>
              </w:rPr>
              <w:t>Foreign</w:t>
            </w:r>
            <w:r>
              <w:rPr>
                <w:rFonts w:ascii="Arial" w:eastAsia="宋体" w:hAnsi="Arial" w:cs="Arial"/>
                <w:b/>
                <w:bCs/>
                <w:color w:val="000000"/>
                <w:sz w:val="17"/>
                <w:szCs w:val="17"/>
              </w:rPr>
              <w:br/>
              <w:t>Currency</w:t>
            </w:r>
            <w:r>
              <w:rPr>
                <w:rFonts w:ascii="Arial" w:eastAsia="宋体" w:hAnsi="Arial" w:cs="Arial"/>
                <w:b/>
                <w:bCs/>
                <w:color w:val="000000"/>
                <w:sz w:val="17"/>
                <w:szCs w:val="17"/>
              </w:rPr>
              <w:br/>
              <w:t>Translation</w:t>
            </w:r>
          </w:p>
        </w:tc>
        <w:tc>
          <w:tcPr>
            <w:tcW w:w="0" w:type="auto"/>
            <w:gridSpan w:val="3"/>
            <w:shd w:val="clear" w:color="auto" w:fill="auto"/>
            <w:tcMar>
              <w:top w:w="0" w:type="dxa"/>
              <w:left w:w="20" w:type="dxa"/>
              <w:bottom w:w="0" w:type="dxa"/>
              <w:right w:w="20" w:type="dxa"/>
            </w:tcMar>
            <w:vAlign w:val="bottom"/>
          </w:tcPr>
          <w:p w14:paraId="18601299"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29A" w14:textId="77777777" w:rsidR="00A91885" w:rsidRDefault="009C4196">
            <w:pPr>
              <w:jc w:val="center"/>
              <w:textAlignment w:val="bottom"/>
            </w:pPr>
            <w:r>
              <w:rPr>
                <w:rFonts w:ascii="Arial" w:eastAsia="宋体" w:hAnsi="Arial" w:cs="Arial"/>
                <w:b/>
                <w:bCs/>
                <w:color w:val="000000"/>
                <w:sz w:val="17"/>
                <w:szCs w:val="17"/>
              </w:rPr>
              <w:t>Estimated Tax (Expense) Benefit</w:t>
            </w:r>
          </w:p>
        </w:tc>
        <w:tc>
          <w:tcPr>
            <w:tcW w:w="0" w:type="auto"/>
            <w:gridSpan w:val="3"/>
            <w:shd w:val="clear" w:color="auto" w:fill="auto"/>
            <w:tcMar>
              <w:top w:w="0" w:type="dxa"/>
              <w:left w:w="20" w:type="dxa"/>
              <w:bottom w:w="0" w:type="dxa"/>
              <w:right w:w="20" w:type="dxa"/>
            </w:tcMar>
            <w:vAlign w:val="bottom"/>
          </w:tcPr>
          <w:p w14:paraId="1860129B"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29C" w14:textId="77777777" w:rsidR="00A91885" w:rsidRDefault="009C4196">
            <w:pPr>
              <w:jc w:val="center"/>
              <w:textAlignment w:val="bottom"/>
            </w:pPr>
            <w:r>
              <w:rPr>
                <w:rFonts w:ascii="Arial" w:eastAsia="宋体" w:hAnsi="Arial" w:cs="Arial"/>
                <w:b/>
                <w:bCs/>
                <w:color w:val="000000"/>
                <w:sz w:val="17"/>
                <w:szCs w:val="17"/>
              </w:rPr>
              <w:t>Total</w:t>
            </w:r>
          </w:p>
        </w:tc>
      </w:tr>
      <w:tr w:rsidR="00A91885" w14:paraId="186012B2" w14:textId="77777777">
        <w:trPr>
          <w:jc w:val="center"/>
        </w:trPr>
        <w:tc>
          <w:tcPr>
            <w:tcW w:w="0" w:type="auto"/>
            <w:gridSpan w:val="3"/>
            <w:shd w:val="clear" w:color="auto" w:fill="E2E2E2"/>
            <w:tcMar>
              <w:top w:w="40" w:type="dxa"/>
              <w:left w:w="20" w:type="dxa"/>
              <w:bottom w:w="40" w:type="dxa"/>
              <w:right w:w="20" w:type="dxa"/>
            </w:tcMar>
            <w:vAlign w:val="bottom"/>
          </w:tcPr>
          <w:p w14:paraId="1860129E" w14:textId="77777777" w:rsidR="00A91885" w:rsidRDefault="009C4196">
            <w:pPr>
              <w:textAlignment w:val="bottom"/>
            </w:pPr>
            <w:r>
              <w:rPr>
                <w:rFonts w:ascii="Arial" w:eastAsia="宋体" w:hAnsi="Arial" w:cs="Arial"/>
                <w:color w:val="000000"/>
                <w:sz w:val="18"/>
                <w:szCs w:val="18"/>
              </w:rPr>
              <w:t>Balance as of December 31, 2021</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129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2A0" w14:textId="77777777" w:rsidR="00A91885" w:rsidRDefault="009C4196">
            <w:pPr>
              <w:jc w:val="right"/>
              <w:textAlignment w:val="bottom"/>
            </w:pPr>
            <w:r>
              <w:rPr>
                <w:rFonts w:ascii="Arial" w:eastAsia="宋体" w:hAnsi="Arial" w:cs="Arial"/>
                <w:color w:val="000000"/>
                <w:sz w:val="18"/>
                <w:szCs w:val="18"/>
              </w:rPr>
              <w:t>65 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2A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A2"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2A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2A4" w14:textId="77777777" w:rsidR="00A91885" w:rsidRDefault="009C4196">
            <w:pPr>
              <w:jc w:val="right"/>
              <w:textAlignment w:val="bottom"/>
            </w:pPr>
            <w:r>
              <w:rPr>
                <w:rFonts w:ascii="Arial" w:eastAsia="宋体" w:hAnsi="Arial" w:cs="Arial"/>
                <w:color w:val="000000"/>
                <w:sz w:val="18"/>
                <w:szCs w:val="18"/>
              </w:rPr>
              <w:t>(7)</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2A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A6"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2A7"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2A8" w14:textId="77777777" w:rsidR="00A91885" w:rsidRDefault="009C4196">
            <w:pPr>
              <w:jc w:val="right"/>
              <w:textAlignment w:val="bottom"/>
            </w:pPr>
            <w:r>
              <w:rPr>
                <w:rFonts w:ascii="Arial" w:eastAsia="宋体" w:hAnsi="Arial" w:cs="Arial"/>
                <w:color w:val="000000"/>
                <w:sz w:val="18"/>
                <w:szCs w:val="18"/>
              </w:rPr>
              <w:t>328 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2A9"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AA"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2AB"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2AC" w14:textId="77777777" w:rsidR="00A91885" w:rsidRDefault="009C4196">
            <w:pPr>
              <w:jc w:val="right"/>
              <w:textAlignment w:val="bottom"/>
            </w:pPr>
            <w:r>
              <w:rPr>
                <w:rFonts w:ascii="Arial" w:eastAsia="宋体" w:hAnsi="Arial" w:cs="Arial"/>
                <w:color w:val="000000"/>
                <w:sz w:val="18"/>
                <w:szCs w:val="18"/>
              </w:rPr>
              <w:t>12 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2A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AE"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2A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2B0" w14:textId="77777777" w:rsidR="00A91885" w:rsidRDefault="009C4196">
            <w:pPr>
              <w:jc w:val="right"/>
              <w:textAlignment w:val="bottom"/>
            </w:pPr>
            <w:r>
              <w:rPr>
                <w:rFonts w:ascii="Arial" w:eastAsia="宋体" w:hAnsi="Arial" w:cs="Arial"/>
                <w:color w:val="000000"/>
                <w:sz w:val="18"/>
                <w:szCs w:val="18"/>
              </w:rPr>
              <w:t>398 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2B1" w14:textId="77777777" w:rsidR="00A91885" w:rsidRDefault="00A91885">
            <w:pPr>
              <w:jc w:val="right"/>
              <w:rPr>
                <w:rFonts w:ascii="宋体"/>
              </w:rPr>
            </w:pPr>
          </w:p>
        </w:tc>
      </w:tr>
      <w:tr w:rsidR="00A91885" w14:paraId="186012C2" w14:textId="77777777">
        <w:trPr>
          <w:jc w:val="center"/>
        </w:trPr>
        <w:tc>
          <w:tcPr>
            <w:tcW w:w="0" w:type="auto"/>
            <w:gridSpan w:val="3"/>
            <w:shd w:val="clear" w:color="auto" w:fill="FFFFFF"/>
            <w:tcMar>
              <w:top w:w="40" w:type="dxa"/>
              <w:left w:w="245" w:type="dxa"/>
              <w:bottom w:w="40" w:type="dxa"/>
              <w:right w:w="20" w:type="dxa"/>
            </w:tcMar>
            <w:vAlign w:val="bottom"/>
          </w:tcPr>
          <w:p w14:paraId="186012B3" w14:textId="77777777" w:rsidR="00A91885" w:rsidRDefault="009C4196">
            <w:pPr>
              <w:textAlignment w:val="bottom"/>
            </w:pPr>
            <w:r>
              <w:rPr>
                <w:rFonts w:ascii="Arial" w:eastAsia="宋体" w:hAnsi="Arial" w:cs="Arial"/>
                <w:color w:val="000000"/>
                <w:sz w:val="18"/>
                <w:szCs w:val="18"/>
              </w:rPr>
              <w:t>Other comprehensive income (loss) before reclassifica</w:t>
            </w:r>
            <w:r>
              <w:rPr>
                <w:rFonts w:ascii="Arial" w:eastAsia="宋体" w:hAnsi="Arial" w:cs="Arial"/>
                <w:color w:val="000000"/>
                <w:sz w:val="18"/>
                <w:szCs w:val="18"/>
              </w:rPr>
              <w:t>tions</w:t>
            </w:r>
          </w:p>
        </w:tc>
        <w:tc>
          <w:tcPr>
            <w:tcW w:w="0" w:type="auto"/>
            <w:gridSpan w:val="2"/>
            <w:shd w:val="clear" w:color="auto" w:fill="FFFFFF"/>
            <w:tcMar>
              <w:top w:w="40" w:type="dxa"/>
              <w:left w:w="20" w:type="dxa"/>
              <w:bottom w:w="40" w:type="dxa"/>
              <w:right w:w="0" w:type="dxa"/>
            </w:tcMar>
            <w:vAlign w:val="bottom"/>
          </w:tcPr>
          <w:p w14:paraId="186012B4" w14:textId="77777777" w:rsidR="00A91885" w:rsidRDefault="009C4196">
            <w:pPr>
              <w:jc w:val="right"/>
              <w:textAlignment w:val="bottom"/>
            </w:pPr>
            <w:r>
              <w:rPr>
                <w:rFonts w:ascii="Arial" w:eastAsia="宋体" w:hAnsi="Arial" w:cs="Arial"/>
                <w:color w:val="000000"/>
                <w:sz w:val="18"/>
                <w:szCs w:val="18"/>
              </w:rPr>
              <w:t>141 </w:t>
            </w:r>
          </w:p>
        </w:tc>
        <w:tc>
          <w:tcPr>
            <w:tcW w:w="0" w:type="auto"/>
            <w:shd w:val="clear" w:color="auto" w:fill="FFFFFF"/>
            <w:tcMar>
              <w:top w:w="40" w:type="dxa"/>
              <w:left w:w="0" w:type="dxa"/>
              <w:bottom w:w="40" w:type="dxa"/>
              <w:right w:w="20" w:type="dxa"/>
            </w:tcMar>
            <w:vAlign w:val="bottom"/>
          </w:tcPr>
          <w:p w14:paraId="186012B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2B6"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2B7" w14:textId="77777777" w:rsidR="00A91885" w:rsidRDefault="009C4196">
            <w:pPr>
              <w:jc w:val="right"/>
              <w:textAlignment w:val="bottom"/>
            </w:pPr>
            <w:r>
              <w:rPr>
                <w:rFonts w:ascii="Arial" w:eastAsia="宋体" w:hAnsi="Arial" w:cs="Arial"/>
                <w:color w:val="000000"/>
                <w:sz w:val="18"/>
                <w:szCs w:val="18"/>
              </w:rPr>
              <w:t>(70)</w:t>
            </w:r>
          </w:p>
        </w:tc>
        <w:tc>
          <w:tcPr>
            <w:tcW w:w="0" w:type="auto"/>
            <w:shd w:val="clear" w:color="auto" w:fill="FFFFFF"/>
            <w:tcMar>
              <w:top w:w="40" w:type="dxa"/>
              <w:left w:w="0" w:type="dxa"/>
              <w:bottom w:w="40" w:type="dxa"/>
              <w:right w:w="20" w:type="dxa"/>
            </w:tcMar>
            <w:vAlign w:val="bottom"/>
          </w:tcPr>
          <w:p w14:paraId="186012B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2B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2BA" w14:textId="77777777" w:rsidR="00A91885" w:rsidRDefault="009C4196">
            <w:pPr>
              <w:jc w:val="right"/>
              <w:textAlignment w:val="bottom"/>
            </w:pPr>
            <w:r>
              <w:rPr>
                <w:rFonts w:ascii="Arial" w:eastAsia="宋体" w:hAnsi="Arial" w:cs="Arial"/>
                <w:color w:val="000000"/>
                <w:sz w:val="18"/>
                <w:szCs w:val="18"/>
              </w:rPr>
              <w:t>(119)</w:t>
            </w:r>
          </w:p>
        </w:tc>
        <w:tc>
          <w:tcPr>
            <w:tcW w:w="0" w:type="auto"/>
            <w:shd w:val="clear" w:color="auto" w:fill="FFFFFF"/>
            <w:tcMar>
              <w:top w:w="40" w:type="dxa"/>
              <w:left w:w="0" w:type="dxa"/>
              <w:bottom w:w="40" w:type="dxa"/>
              <w:right w:w="20" w:type="dxa"/>
            </w:tcMar>
            <w:vAlign w:val="bottom"/>
          </w:tcPr>
          <w:p w14:paraId="186012B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2B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2BD" w14:textId="77777777" w:rsidR="00A91885" w:rsidRDefault="009C4196">
            <w:pPr>
              <w:jc w:val="right"/>
              <w:textAlignment w:val="bottom"/>
            </w:pPr>
            <w:r>
              <w:rPr>
                <w:rFonts w:ascii="Arial" w:eastAsia="宋体" w:hAnsi="Arial" w:cs="Arial"/>
                <w:color w:val="000000"/>
                <w:sz w:val="18"/>
                <w:szCs w:val="18"/>
              </w:rPr>
              <w:t>(16)</w:t>
            </w:r>
          </w:p>
        </w:tc>
        <w:tc>
          <w:tcPr>
            <w:tcW w:w="0" w:type="auto"/>
            <w:shd w:val="clear" w:color="auto" w:fill="FFFFFF"/>
            <w:tcMar>
              <w:top w:w="40" w:type="dxa"/>
              <w:left w:w="0" w:type="dxa"/>
              <w:bottom w:w="40" w:type="dxa"/>
              <w:right w:w="20" w:type="dxa"/>
            </w:tcMar>
            <w:vAlign w:val="bottom"/>
          </w:tcPr>
          <w:p w14:paraId="186012B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2B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2C0" w14:textId="77777777" w:rsidR="00A91885" w:rsidRDefault="009C4196">
            <w:pPr>
              <w:jc w:val="right"/>
              <w:textAlignment w:val="bottom"/>
            </w:pPr>
            <w:r>
              <w:rPr>
                <w:rFonts w:ascii="Arial" w:eastAsia="宋体" w:hAnsi="Arial" w:cs="Arial"/>
                <w:color w:val="000000"/>
                <w:sz w:val="18"/>
                <w:szCs w:val="18"/>
              </w:rPr>
              <w:t>(64)</w:t>
            </w:r>
          </w:p>
        </w:tc>
        <w:tc>
          <w:tcPr>
            <w:tcW w:w="0" w:type="auto"/>
            <w:shd w:val="clear" w:color="auto" w:fill="FFFFFF"/>
            <w:tcMar>
              <w:top w:w="40" w:type="dxa"/>
              <w:left w:w="0" w:type="dxa"/>
              <w:bottom w:w="40" w:type="dxa"/>
              <w:right w:w="20" w:type="dxa"/>
            </w:tcMar>
            <w:vAlign w:val="bottom"/>
          </w:tcPr>
          <w:p w14:paraId="186012C1" w14:textId="77777777" w:rsidR="00A91885" w:rsidRDefault="00A91885">
            <w:pPr>
              <w:jc w:val="right"/>
              <w:rPr>
                <w:rFonts w:ascii="宋体"/>
              </w:rPr>
            </w:pPr>
          </w:p>
        </w:tc>
      </w:tr>
      <w:tr w:rsidR="00A91885" w14:paraId="186012D2" w14:textId="77777777">
        <w:trPr>
          <w:jc w:val="center"/>
        </w:trPr>
        <w:tc>
          <w:tcPr>
            <w:tcW w:w="0" w:type="auto"/>
            <w:gridSpan w:val="3"/>
            <w:shd w:val="clear" w:color="auto" w:fill="E2E2E2"/>
            <w:tcMar>
              <w:top w:w="40" w:type="dxa"/>
              <w:left w:w="245" w:type="dxa"/>
              <w:bottom w:w="40" w:type="dxa"/>
              <w:right w:w="20" w:type="dxa"/>
            </w:tcMar>
            <w:vAlign w:val="bottom"/>
          </w:tcPr>
          <w:p w14:paraId="186012C3" w14:textId="77777777" w:rsidR="00A91885" w:rsidRDefault="009C4196">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186012C4" w14:textId="77777777" w:rsidR="00A91885" w:rsidRDefault="009C4196">
            <w:pPr>
              <w:jc w:val="right"/>
              <w:textAlignment w:val="bottom"/>
            </w:pPr>
            <w:r>
              <w:rPr>
                <w:rFonts w:ascii="Arial" w:eastAsia="宋体" w:hAnsi="Arial" w:cs="Arial"/>
                <w:color w:val="000000"/>
                <w:sz w:val="18"/>
                <w:szCs w:val="18"/>
              </w:rPr>
              <w:t>16 </w:t>
            </w:r>
          </w:p>
        </w:tc>
        <w:tc>
          <w:tcPr>
            <w:tcW w:w="0" w:type="auto"/>
            <w:shd w:val="clear" w:color="auto" w:fill="E2E2E2"/>
            <w:tcMar>
              <w:top w:w="40" w:type="dxa"/>
              <w:left w:w="0" w:type="dxa"/>
              <w:bottom w:w="40" w:type="dxa"/>
              <w:right w:w="20" w:type="dxa"/>
            </w:tcMar>
            <w:vAlign w:val="bottom"/>
          </w:tcPr>
          <w:p w14:paraId="186012C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C6"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2C7"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E2E2E2"/>
            <w:tcMar>
              <w:top w:w="40" w:type="dxa"/>
              <w:left w:w="0" w:type="dxa"/>
              <w:bottom w:w="40" w:type="dxa"/>
              <w:right w:w="20" w:type="dxa"/>
            </w:tcMar>
            <w:vAlign w:val="bottom"/>
          </w:tcPr>
          <w:p w14:paraId="186012C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C9"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2CA"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12C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CC"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2CD" w14:textId="77777777" w:rsidR="00A91885" w:rsidRDefault="009C4196">
            <w:pPr>
              <w:jc w:val="right"/>
              <w:textAlignment w:val="bottom"/>
            </w:pPr>
            <w:r>
              <w:rPr>
                <w:rFonts w:ascii="Arial" w:eastAsia="宋体" w:hAnsi="Arial" w:cs="Arial"/>
                <w:color w:val="000000"/>
                <w:sz w:val="18"/>
                <w:szCs w:val="18"/>
              </w:rPr>
              <w:t>(3)</w:t>
            </w:r>
          </w:p>
        </w:tc>
        <w:tc>
          <w:tcPr>
            <w:tcW w:w="0" w:type="auto"/>
            <w:shd w:val="clear" w:color="auto" w:fill="E2E2E2"/>
            <w:tcMar>
              <w:top w:w="40" w:type="dxa"/>
              <w:left w:w="0" w:type="dxa"/>
              <w:bottom w:w="40" w:type="dxa"/>
              <w:right w:w="20" w:type="dxa"/>
            </w:tcMar>
            <w:vAlign w:val="bottom"/>
          </w:tcPr>
          <w:p w14:paraId="186012C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CF"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2D0" w14:textId="77777777" w:rsidR="00A91885" w:rsidRDefault="009C4196">
            <w:pPr>
              <w:jc w:val="right"/>
              <w:textAlignment w:val="bottom"/>
            </w:pPr>
            <w:r>
              <w:rPr>
                <w:rFonts w:ascii="Arial" w:eastAsia="宋体" w:hAnsi="Arial" w:cs="Arial"/>
                <w:color w:val="000000"/>
                <w:sz w:val="18"/>
                <w:szCs w:val="18"/>
              </w:rPr>
              <w:t>11 </w:t>
            </w:r>
          </w:p>
        </w:tc>
        <w:tc>
          <w:tcPr>
            <w:tcW w:w="0" w:type="auto"/>
            <w:shd w:val="clear" w:color="auto" w:fill="E2E2E2"/>
            <w:tcMar>
              <w:top w:w="40" w:type="dxa"/>
              <w:left w:w="0" w:type="dxa"/>
              <w:bottom w:w="40" w:type="dxa"/>
              <w:right w:w="20" w:type="dxa"/>
            </w:tcMar>
            <w:vAlign w:val="bottom"/>
          </w:tcPr>
          <w:p w14:paraId="186012D1" w14:textId="77777777" w:rsidR="00A91885" w:rsidRDefault="00A91885">
            <w:pPr>
              <w:jc w:val="right"/>
              <w:rPr>
                <w:rFonts w:ascii="宋体"/>
              </w:rPr>
            </w:pPr>
          </w:p>
        </w:tc>
      </w:tr>
      <w:tr w:rsidR="00A91885" w14:paraId="186012E2" w14:textId="77777777">
        <w:trPr>
          <w:jc w:val="center"/>
        </w:trPr>
        <w:tc>
          <w:tcPr>
            <w:tcW w:w="0" w:type="auto"/>
            <w:gridSpan w:val="3"/>
            <w:shd w:val="clear" w:color="auto" w:fill="FFFFFF"/>
            <w:tcMar>
              <w:top w:w="40" w:type="dxa"/>
              <w:left w:w="20" w:type="dxa"/>
              <w:bottom w:w="40" w:type="dxa"/>
              <w:right w:w="20" w:type="dxa"/>
            </w:tcMar>
            <w:vAlign w:val="bottom"/>
          </w:tcPr>
          <w:p w14:paraId="186012D3" w14:textId="77777777" w:rsidR="00A91885" w:rsidRDefault="009C4196">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2D4" w14:textId="77777777" w:rsidR="00A91885" w:rsidRDefault="009C4196">
            <w:pPr>
              <w:jc w:val="right"/>
              <w:textAlignment w:val="bottom"/>
            </w:pPr>
            <w:r>
              <w:rPr>
                <w:rFonts w:ascii="Arial" w:eastAsia="宋体" w:hAnsi="Arial" w:cs="Arial"/>
                <w:color w:val="000000"/>
                <w:sz w:val="18"/>
                <w:szCs w:val="18"/>
              </w:rPr>
              <w:t>125 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2D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2D6"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2D7" w14:textId="77777777" w:rsidR="00A91885" w:rsidRDefault="009C4196">
            <w:pPr>
              <w:jc w:val="right"/>
              <w:textAlignment w:val="bottom"/>
            </w:pPr>
            <w:r>
              <w:rPr>
                <w:rFonts w:ascii="Arial" w:eastAsia="宋体" w:hAnsi="Arial" w:cs="Arial"/>
                <w:color w:val="000000"/>
                <w:sz w:val="18"/>
                <w:szCs w:val="18"/>
              </w:rPr>
              <w:t>(68)</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2D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2D9"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2DA" w14:textId="77777777" w:rsidR="00A91885" w:rsidRDefault="009C4196">
            <w:pPr>
              <w:jc w:val="right"/>
              <w:textAlignment w:val="bottom"/>
            </w:pPr>
            <w:r>
              <w:rPr>
                <w:rFonts w:ascii="Arial" w:eastAsia="宋体" w:hAnsi="Arial" w:cs="Arial"/>
                <w:color w:val="000000"/>
                <w:sz w:val="18"/>
                <w:szCs w:val="18"/>
              </w:rPr>
              <w:t>(119)</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2D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2DC"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2DD" w14:textId="77777777" w:rsidR="00A91885" w:rsidRDefault="009C4196">
            <w:pPr>
              <w:jc w:val="right"/>
              <w:textAlignment w:val="bottom"/>
            </w:pPr>
            <w:r>
              <w:rPr>
                <w:rFonts w:ascii="Arial" w:eastAsia="宋体" w:hAnsi="Arial" w:cs="Arial"/>
                <w:color w:val="000000"/>
                <w:sz w:val="18"/>
                <w:szCs w:val="18"/>
              </w:rPr>
              <w:t>(13)</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2D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2DF"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2E0" w14:textId="77777777" w:rsidR="00A91885" w:rsidRDefault="009C4196">
            <w:pPr>
              <w:jc w:val="right"/>
              <w:textAlignment w:val="bottom"/>
            </w:pPr>
            <w:r>
              <w:rPr>
                <w:rFonts w:ascii="Arial" w:eastAsia="宋体" w:hAnsi="Arial" w:cs="Arial"/>
                <w:color w:val="000000"/>
                <w:sz w:val="18"/>
                <w:szCs w:val="18"/>
              </w:rPr>
              <w:t>(75)</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2E1" w14:textId="77777777" w:rsidR="00A91885" w:rsidRDefault="00A91885">
            <w:pPr>
              <w:jc w:val="right"/>
              <w:rPr>
                <w:rFonts w:ascii="宋体"/>
              </w:rPr>
            </w:pPr>
          </w:p>
        </w:tc>
      </w:tr>
      <w:tr w:rsidR="00A91885" w14:paraId="186012F7" w14:textId="77777777">
        <w:trPr>
          <w:jc w:val="center"/>
        </w:trPr>
        <w:tc>
          <w:tcPr>
            <w:tcW w:w="0" w:type="auto"/>
            <w:gridSpan w:val="3"/>
            <w:shd w:val="clear" w:color="auto" w:fill="E2E2E2"/>
            <w:tcMar>
              <w:top w:w="40" w:type="dxa"/>
              <w:left w:w="20" w:type="dxa"/>
              <w:bottom w:w="40" w:type="dxa"/>
              <w:right w:w="20" w:type="dxa"/>
            </w:tcMar>
            <w:vAlign w:val="bottom"/>
          </w:tcPr>
          <w:p w14:paraId="186012E3" w14:textId="77777777" w:rsidR="00A91885" w:rsidRDefault="009C4196">
            <w:pPr>
              <w:textAlignment w:val="bottom"/>
            </w:pPr>
            <w:r>
              <w:rPr>
                <w:rFonts w:ascii="Arial" w:eastAsia="宋体" w:hAnsi="Arial" w:cs="Arial"/>
                <w:color w:val="000000"/>
                <w:sz w:val="18"/>
                <w:szCs w:val="18"/>
              </w:rPr>
              <w:t>Balance as of June 30, 2022</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2E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2E5" w14:textId="77777777" w:rsidR="00A91885" w:rsidRDefault="009C4196">
            <w:pPr>
              <w:jc w:val="right"/>
              <w:textAlignment w:val="bottom"/>
            </w:pPr>
            <w:r>
              <w:rPr>
                <w:rFonts w:ascii="Arial" w:eastAsia="宋体" w:hAnsi="Arial" w:cs="Arial"/>
                <w:color w:val="000000"/>
                <w:sz w:val="18"/>
                <w:szCs w:val="18"/>
              </w:rPr>
              <w:t>190 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2E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E7"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2E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2E9" w14:textId="77777777" w:rsidR="00A91885" w:rsidRDefault="009C4196">
            <w:pPr>
              <w:jc w:val="right"/>
              <w:textAlignment w:val="bottom"/>
            </w:pPr>
            <w:r>
              <w:rPr>
                <w:rFonts w:ascii="Arial" w:eastAsia="宋体" w:hAnsi="Arial" w:cs="Arial"/>
                <w:color w:val="000000"/>
                <w:sz w:val="18"/>
                <w:szCs w:val="18"/>
              </w:rPr>
              <w:t>(75)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2E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EB"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2E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2ED" w14:textId="77777777" w:rsidR="00A91885" w:rsidRDefault="009C4196">
            <w:pPr>
              <w:jc w:val="right"/>
              <w:textAlignment w:val="bottom"/>
            </w:pPr>
            <w:r>
              <w:rPr>
                <w:rFonts w:ascii="Arial" w:eastAsia="宋体" w:hAnsi="Arial" w:cs="Arial"/>
                <w:color w:val="000000"/>
                <w:sz w:val="18"/>
                <w:szCs w:val="18"/>
              </w:rPr>
              <w:t>209 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2E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EF"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2F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2F1" w14:textId="77777777" w:rsidR="00A91885" w:rsidRDefault="009C4196">
            <w:pPr>
              <w:jc w:val="right"/>
              <w:textAlignment w:val="bottom"/>
            </w:pPr>
            <w:r>
              <w:rPr>
                <w:rFonts w:ascii="Arial" w:eastAsia="宋体" w:hAnsi="Arial" w:cs="Arial"/>
                <w:color w:val="000000"/>
                <w:sz w:val="18"/>
                <w:szCs w:val="18"/>
              </w:rPr>
              <w:t>(1)</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2F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2F3"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2F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2F5" w14:textId="77777777" w:rsidR="00A91885" w:rsidRDefault="009C4196">
            <w:pPr>
              <w:jc w:val="right"/>
              <w:textAlignment w:val="bottom"/>
            </w:pPr>
            <w:r>
              <w:rPr>
                <w:rFonts w:ascii="Arial" w:eastAsia="宋体" w:hAnsi="Arial" w:cs="Arial"/>
                <w:color w:val="000000"/>
                <w:sz w:val="18"/>
                <w:szCs w:val="18"/>
              </w:rPr>
              <w:t>323 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2F6" w14:textId="77777777" w:rsidR="00A91885" w:rsidRDefault="00A91885">
            <w:pPr>
              <w:jc w:val="right"/>
              <w:rPr>
                <w:rFonts w:ascii="宋体"/>
              </w:rPr>
            </w:pPr>
          </w:p>
        </w:tc>
      </w:tr>
    </w:tbl>
    <w:p w14:paraId="186012F8" w14:textId="77777777" w:rsidR="00A91885" w:rsidRDefault="00A918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2855"/>
        <w:gridCol w:w="37"/>
        <w:gridCol w:w="122"/>
        <w:gridCol w:w="928"/>
        <w:gridCol w:w="36"/>
        <w:gridCol w:w="36"/>
        <w:gridCol w:w="36"/>
        <w:gridCol w:w="36"/>
        <w:gridCol w:w="122"/>
        <w:gridCol w:w="943"/>
        <w:gridCol w:w="36"/>
        <w:gridCol w:w="36"/>
        <w:gridCol w:w="36"/>
        <w:gridCol w:w="36"/>
        <w:gridCol w:w="122"/>
        <w:gridCol w:w="863"/>
        <w:gridCol w:w="36"/>
        <w:gridCol w:w="36"/>
        <w:gridCol w:w="36"/>
        <w:gridCol w:w="36"/>
        <w:gridCol w:w="122"/>
        <w:gridCol w:w="775"/>
        <w:gridCol w:w="36"/>
        <w:gridCol w:w="36"/>
        <w:gridCol w:w="36"/>
        <w:gridCol w:w="36"/>
        <w:gridCol w:w="121"/>
        <w:gridCol w:w="672"/>
        <w:gridCol w:w="36"/>
      </w:tblGrid>
      <w:tr w:rsidR="00A91885" w14:paraId="18601317" w14:textId="77777777">
        <w:tc>
          <w:tcPr>
            <w:tcW w:w="50" w:type="pct"/>
            <w:shd w:val="clear" w:color="auto" w:fill="auto"/>
            <w:vAlign w:val="bottom"/>
          </w:tcPr>
          <w:p w14:paraId="186012F9" w14:textId="77777777" w:rsidR="00A91885" w:rsidRDefault="00A91885">
            <w:pPr>
              <w:rPr>
                <w:rFonts w:ascii="宋体"/>
              </w:rPr>
            </w:pPr>
          </w:p>
        </w:tc>
        <w:tc>
          <w:tcPr>
            <w:tcW w:w="1809" w:type="pct"/>
            <w:shd w:val="clear" w:color="auto" w:fill="auto"/>
            <w:vAlign w:val="bottom"/>
          </w:tcPr>
          <w:p w14:paraId="186012FA" w14:textId="77777777" w:rsidR="00A91885" w:rsidRDefault="00A91885">
            <w:pPr>
              <w:rPr>
                <w:rFonts w:ascii="宋体"/>
              </w:rPr>
            </w:pPr>
          </w:p>
        </w:tc>
        <w:tc>
          <w:tcPr>
            <w:tcW w:w="5" w:type="pct"/>
            <w:shd w:val="clear" w:color="auto" w:fill="auto"/>
            <w:vAlign w:val="bottom"/>
          </w:tcPr>
          <w:p w14:paraId="186012FB" w14:textId="77777777" w:rsidR="00A91885" w:rsidRDefault="00A91885">
            <w:pPr>
              <w:rPr>
                <w:rFonts w:ascii="宋体"/>
              </w:rPr>
            </w:pPr>
          </w:p>
        </w:tc>
        <w:tc>
          <w:tcPr>
            <w:tcW w:w="50" w:type="pct"/>
            <w:shd w:val="clear" w:color="auto" w:fill="auto"/>
            <w:vAlign w:val="bottom"/>
          </w:tcPr>
          <w:p w14:paraId="186012FC" w14:textId="77777777" w:rsidR="00A91885" w:rsidRDefault="00A91885">
            <w:pPr>
              <w:rPr>
                <w:rFonts w:ascii="宋体"/>
              </w:rPr>
            </w:pPr>
          </w:p>
        </w:tc>
        <w:tc>
          <w:tcPr>
            <w:tcW w:w="595" w:type="pct"/>
            <w:shd w:val="clear" w:color="auto" w:fill="auto"/>
            <w:vAlign w:val="bottom"/>
          </w:tcPr>
          <w:p w14:paraId="186012FD" w14:textId="77777777" w:rsidR="00A91885" w:rsidRDefault="00A91885">
            <w:pPr>
              <w:rPr>
                <w:rFonts w:ascii="宋体"/>
              </w:rPr>
            </w:pPr>
          </w:p>
        </w:tc>
        <w:tc>
          <w:tcPr>
            <w:tcW w:w="5" w:type="pct"/>
            <w:shd w:val="clear" w:color="auto" w:fill="auto"/>
            <w:vAlign w:val="bottom"/>
          </w:tcPr>
          <w:p w14:paraId="186012FE" w14:textId="77777777" w:rsidR="00A91885" w:rsidRDefault="00A91885">
            <w:pPr>
              <w:rPr>
                <w:rFonts w:ascii="宋体"/>
              </w:rPr>
            </w:pPr>
          </w:p>
        </w:tc>
        <w:tc>
          <w:tcPr>
            <w:tcW w:w="5" w:type="pct"/>
            <w:shd w:val="clear" w:color="auto" w:fill="auto"/>
            <w:vAlign w:val="bottom"/>
          </w:tcPr>
          <w:p w14:paraId="186012FF" w14:textId="77777777" w:rsidR="00A91885" w:rsidRDefault="00A91885">
            <w:pPr>
              <w:rPr>
                <w:rFonts w:ascii="宋体"/>
              </w:rPr>
            </w:pPr>
          </w:p>
        </w:tc>
        <w:tc>
          <w:tcPr>
            <w:tcW w:w="19" w:type="pct"/>
            <w:shd w:val="clear" w:color="auto" w:fill="auto"/>
            <w:vAlign w:val="bottom"/>
          </w:tcPr>
          <w:p w14:paraId="18601300" w14:textId="77777777" w:rsidR="00A91885" w:rsidRDefault="00A91885">
            <w:pPr>
              <w:rPr>
                <w:rFonts w:ascii="宋体"/>
              </w:rPr>
            </w:pPr>
          </w:p>
        </w:tc>
        <w:tc>
          <w:tcPr>
            <w:tcW w:w="5" w:type="pct"/>
            <w:shd w:val="clear" w:color="auto" w:fill="auto"/>
            <w:vAlign w:val="bottom"/>
          </w:tcPr>
          <w:p w14:paraId="18601301" w14:textId="77777777" w:rsidR="00A91885" w:rsidRDefault="00A91885">
            <w:pPr>
              <w:rPr>
                <w:rFonts w:ascii="宋体"/>
              </w:rPr>
            </w:pPr>
          </w:p>
        </w:tc>
        <w:tc>
          <w:tcPr>
            <w:tcW w:w="50" w:type="pct"/>
            <w:shd w:val="clear" w:color="auto" w:fill="auto"/>
            <w:vAlign w:val="bottom"/>
          </w:tcPr>
          <w:p w14:paraId="18601302" w14:textId="77777777" w:rsidR="00A91885" w:rsidRDefault="00A91885">
            <w:pPr>
              <w:rPr>
                <w:rFonts w:ascii="宋体"/>
              </w:rPr>
            </w:pPr>
          </w:p>
        </w:tc>
        <w:tc>
          <w:tcPr>
            <w:tcW w:w="580" w:type="pct"/>
            <w:shd w:val="clear" w:color="auto" w:fill="auto"/>
            <w:vAlign w:val="bottom"/>
          </w:tcPr>
          <w:p w14:paraId="18601303" w14:textId="77777777" w:rsidR="00A91885" w:rsidRDefault="00A91885">
            <w:pPr>
              <w:rPr>
                <w:rFonts w:ascii="宋体"/>
              </w:rPr>
            </w:pPr>
          </w:p>
        </w:tc>
        <w:tc>
          <w:tcPr>
            <w:tcW w:w="5" w:type="pct"/>
            <w:shd w:val="clear" w:color="auto" w:fill="auto"/>
            <w:vAlign w:val="bottom"/>
          </w:tcPr>
          <w:p w14:paraId="18601304" w14:textId="77777777" w:rsidR="00A91885" w:rsidRDefault="00A91885">
            <w:pPr>
              <w:rPr>
                <w:rFonts w:ascii="宋体"/>
              </w:rPr>
            </w:pPr>
          </w:p>
        </w:tc>
        <w:tc>
          <w:tcPr>
            <w:tcW w:w="5" w:type="pct"/>
            <w:shd w:val="clear" w:color="auto" w:fill="auto"/>
            <w:vAlign w:val="bottom"/>
          </w:tcPr>
          <w:p w14:paraId="18601305" w14:textId="77777777" w:rsidR="00A91885" w:rsidRDefault="00A91885">
            <w:pPr>
              <w:rPr>
                <w:rFonts w:ascii="宋体"/>
              </w:rPr>
            </w:pPr>
          </w:p>
        </w:tc>
        <w:tc>
          <w:tcPr>
            <w:tcW w:w="19" w:type="pct"/>
            <w:shd w:val="clear" w:color="auto" w:fill="auto"/>
            <w:vAlign w:val="bottom"/>
          </w:tcPr>
          <w:p w14:paraId="18601306" w14:textId="77777777" w:rsidR="00A91885" w:rsidRDefault="00A91885">
            <w:pPr>
              <w:rPr>
                <w:rFonts w:ascii="宋体"/>
              </w:rPr>
            </w:pPr>
          </w:p>
        </w:tc>
        <w:tc>
          <w:tcPr>
            <w:tcW w:w="5" w:type="pct"/>
            <w:shd w:val="clear" w:color="auto" w:fill="auto"/>
            <w:vAlign w:val="bottom"/>
          </w:tcPr>
          <w:p w14:paraId="18601307" w14:textId="77777777" w:rsidR="00A91885" w:rsidRDefault="00A91885">
            <w:pPr>
              <w:rPr>
                <w:rFonts w:ascii="宋体"/>
              </w:rPr>
            </w:pPr>
          </w:p>
        </w:tc>
        <w:tc>
          <w:tcPr>
            <w:tcW w:w="50" w:type="pct"/>
            <w:shd w:val="clear" w:color="auto" w:fill="auto"/>
            <w:vAlign w:val="bottom"/>
          </w:tcPr>
          <w:p w14:paraId="18601308" w14:textId="77777777" w:rsidR="00A91885" w:rsidRDefault="00A91885">
            <w:pPr>
              <w:rPr>
                <w:rFonts w:ascii="宋体"/>
              </w:rPr>
            </w:pPr>
          </w:p>
        </w:tc>
        <w:tc>
          <w:tcPr>
            <w:tcW w:w="507" w:type="pct"/>
            <w:shd w:val="clear" w:color="auto" w:fill="auto"/>
            <w:vAlign w:val="bottom"/>
          </w:tcPr>
          <w:p w14:paraId="18601309" w14:textId="77777777" w:rsidR="00A91885" w:rsidRDefault="00A91885">
            <w:pPr>
              <w:rPr>
                <w:rFonts w:ascii="宋体"/>
              </w:rPr>
            </w:pPr>
          </w:p>
        </w:tc>
        <w:tc>
          <w:tcPr>
            <w:tcW w:w="5" w:type="pct"/>
            <w:shd w:val="clear" w:color="auto" w:fill="auto"/>
            <w:vAlign w:val="bottom"/>
          </w:tcPr>
          <w:p w14:paraId="1860130A" w14:textId="77777777" w:rsidR="00A91885" w:rsidRDefault="00A91885">
            <w:pPr>
              <w:rPr>
                <w:rFonts w:ascii="宋体"/>
              </w:rPr>
            </w:pPr>
          </w:p>
        </w:tc>
        <w:tc>
          <w:tcPr>
            <w:tcW w:w="5" w:type="pct"/>
            <w:shd w:val="clear" w:color="auto" w:fill="auto"/>
            <w:vAlign w:val="bottom"/>
          </w:tcPr>
          <w:p w14:paraId="1860130B" w14:textId="77777777" w:rsidR="00A91885" w:rsidRDefault="00A91885">
            <w:pPr>
              <w:rPr>
                <w:rFonts w:ascii="宋体"/>
              </w:rPr>
            </w:pPr>
          </w:p>
        </w:tc>
        <w:tc>
          <w:tcPr>
            <w:tcW w:w="19" w:type="pct"/>
            <w:shd w:val="clear" w:color="auto" w:fill="auto"/>
            <w:vAlign w:val="bottom"/>
          </w:tcPr>
          <w:p w14:paraId="1860130C" w14:textId="77777777" w:rsidR="00A91885" w:rsidRDefault="00A91885">
            <w:pPr>
              <w:rPr>
                <w:rFonts w:ascii="宋体"/>
              </w:rPr>
            </w:pPr>
          </w:p>
        </w:tc>
        <w:tc>
          <w:tcPr>
            <w:tcW w:w="5" w:type="pct"/>
            <w:shd w:val="clear" w:color="auto" w:fill="auto"/>
            <w:vAlign w:val="bottom"/>
          </w:tcPr>
          <w:p w14:paraId="1860130D" w14:textId="77777777" w:rsidR="00A91885" w:rsidRDefault="00A91885">
            <w:pPr>
              <w:rPr>
                <w:rFonts w:ascii="宋体"/>
              </w:rPr>
            </w:pPr>
          </w:p>
        </w:tc>
        <w:tc>
          <w:tcPr>
            <w:tcW w:w="50" w:type="pct"/>
            <w:shd w:val="clear" w:color="auto" w:fill="auto"/>
            <w:vAlign w:val="bottom"/>
          </w:tcPr>
          <w:p w14:paraId="1860130E" w14:textId="77777777" w:rsidR="00A91885" w:rsidRDefault="00A91885">
            <w:pPr>
              <w:rPr>
                <w:rFonts w:ascii="宋体"/>
              </w:rPr>
            </w:pPr>
          </w:p>
        </w:tc>
        <w:tc>
          <w:tcPr>
            <w:tcW w:w="551" w:type="pct"/>
            <w:shd w:val="clear" w:color="auto" w:fill="auto"/>
            <w:vAlign w:val="bottom"/>
          </w:tcPr>
          <w:p w14:paraId="1860130F" w14:textId="77777777" w:rsidR="00A91885" w:rsidRDefault="00A91885">
            <w:pPr>
              <w:rPr>
                <w:rFonts w:ascii="宋体"/>
              </w:rPr>
            </w:pPr>
          </w:p>
        </w:tc>
        <w:tc>
          <w:tcPr>
            <w:tcW w:w="5" w:type="pct"/>
            <w:shd w:val="clear" w:color="auto" w:fill="auto"/>
            <w:vAlign w:val="bottom"/>
          </w:tcPr>
          <w:p w14:paraId="18601310" w14:textId="77777777" w:rsidR="00A91885" w:rsidRDefault="00A91885">
            <w:pPr>
              <w:rPr>
                <w:rFonts w:ascii="宋体"/>
              </w:rPr>
            </w:pPr>
          </w:p>
        </w:tc>
        <w:tc>
          <w:tcPr>
            <w:tcW w:w="5" w:type="pct"/>
            <w:shd w:val="clear" w:color="auto" w:fill="auto"/>
            <w:vAlign w:val="bottom"/>
          </w:tcPr>
          <w:p w14:paraId="18601311" w14:textId="77777777" w:rsidR="00A91885" w:rsidRDefault="00A91885">
            <w:pPr>
              <w:rPr>
                <w:rFonts w:ascii="宋体"/>
              </w:rPr>
            </w:pPr>
          </w:p>
        </w:tc>
        <w:tc>
          <w:tcPr>
            <w:tcW w:w="19" w:type="pct"/>
            <w:shd w:val="clear" w:color="auto" w:fill="auto"/>
            <w:vAlign w:val="bottom"/>
          </w:tcPr>
          <w:p w14:paraId="18601312" w14:textId="77777777" w:rsidR="00A91885" w:rsidRDefault="00A91885">
            <w:pPr>
              <w:rPr>
                <w:rFonts w:ascii="宋体"/>
              </w:rPr>
            </w:pPr>
          </w:p>
        </w:tc>
        <w:tc>
          <w:tcPr>
            <w:tcW w:w="5" w:type="pct"/>
            <w:shd w:val="clear" w:color="auto" w:fill="auto"/>
            <w:vAlign w:val="bottom"/>
          </w:tcPr>
          <w:p w14:paraId="18601313" w14:textId="77777777" w:rsidR="00A91885" w:rsidRDefault="00A91885">
            <w:pPr>
              <w:rPr>
                <w:rFonts w:ascii="宋体"/>
              </w:rPr>
            </w:pPr>
          </w:p>
        </w:tc>
        <w:tc>
          <w:tcPr>
            <w:tcW w:w="50" w:type="pct"/>
            <w:shd w:val="clear" w:color="auto" w:fill="auto"/>
            <w:vAlign w:val="bottom"/>
          </w:tcPr>
          <w:p w14:paraId="18601314" w14:textId="77777777" w:rsidR="00A91885" w:rsidRDefault="00A91885">
            <w:pPr>
              <w:rPr>
                <w:rFonts w:ascii="宋体"/>
              </w:rPr>
            </w:pPr>
          </w:p>
        </w:tc>
        <w:tc>
          <w:tcPr>
            <w:tcW w:w="508" w:type="pct"/>
            <w:shd w:val="clear" w:color="auto" w:fill="auto"/>
            <w:vAlign w:val="bottom"/>
          </w:tcPr>
          <w:p w14:paraId="18601315" w14:textId="77777777" w:rsidR="00A91885" w:rsidRDefault="00A91885">
            <w:pPr>
              <w:rPr>
                <w:rFonts w:ascii="宋体"/>
              </w:rPr>
            </w:pPr>
          </w:p>
        </w:tc>
        <w:tc>
          <w:tcPr>
            <w:tcW w:w="5" w:type="pct"/>
            <w:shd w:val="clear" w:color="auto" w:fill="auto"/>
            <w:vAlign w:val="bottom"/>
          </w:tcPr>
          <w:p w14:paraId="18601316" w14:textId="77777777" w:rsidR="00A91885" w:rsidRDefault="00A91885">
            <w:pPr>
              <w:rPr>
                <w:rFonts w:ascii="宋体"/>
              </w:rPr>
            </w:pPr>
          </w:p>
        </w:tc>
      </w:tr>
      <w:tr w:rsidR="00A91885" w14:paraId="18601322" w14:textId="77777777">
        <w:tc>
          <w:tcPr>
            <w:tcW w:w="0" w:type="auto"/>
            <w:gridSpan w:val="3"/>
            <w:shd w:val="clear" w:color="auto" w:fill="auto"/>
            <w:tcMar>
              <w:top w:w="0" w:type="dxa"/>
              <w:left w:w="20" w:type="dxa"/>
              <w:bottom w:w="0" w:type="dxa"/>
              <w:right w:w="20" w:type="dxa"/>
            </w:tcMar>
            <w:vAlign w:val="bottom"/>
          </w:tcPr>
          <w:p w14:paraId="18601318"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319" w14:textId="77777777" w:rsidR="00A91885" w:rsidRDefault="009C4196">
            <w:pPr>
              <w:jc w:val="center"/>
              <w:textAlignment w:val="bottom"/>
            </w:pPr>
            <w:r>
              <w:rPr>
                <w:rFonts w:ascii="Arial" w:eastAsia="宋体" w:hAnsi="Arial" w:cs="Arial"/>
                <w:b/>
                <w:bCs/>
                <w:color w:val="000000"/>
                <w:sz w:val="17"/>
                <w:szCs w:val="17"/>
              </w:rPr>
              <w:t>Unrealized Gains (Losses) on Derivative Instruments</w:t>
            </w:r>
          </w:p>
        </w:tc>
        <w:tc>
          <w:tcPr>
            <w:tcW w:w="0" w:type="auto"/>
            <w:gridSpan w:val="3"/>
            <w:shd w:val="clear" w:color="auto" w:fill="auto"/>
            <w:tcMar>
              <w:top w:w="0" w:type="dxa"/>
              <w:left w:w="20" w:type="dxa"/>
              <w:bottom w:w="0" w:type="dxa"/>
              <w:right w:w="20" w:type="dxa"/>
            </w:tcMar>
            <w:vAlign w:val="bottom"/>
          </w:tcPr>
          <w:p w14:paraId="1860131A"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31B" w14:textId="77777777" w:rsidR="00A91885" w:rsidRDefault="009C4196">
            <w:pPr>
              <w:jc w:val="center"/>
              <w:textAlignment w:val="bottom"/>
            </w:pPr>
            <w:r>
              <w:rPr>
                <w:rFonts w:ascii="Arial" w:eastAsia="宋体" w:hAnsi="Arial" w:cs="Arial"/>
                <w:b/>
                <w:bCs/>
                <w:color w:val="000000"/>
                <w:sz w:val="17"/>
                <w:szCs w:val="17"/>
              </w:rPr>
              <w:t>Unrealized</w:t>
            </w:r>
            <w:r>
              <w:rPr>
                <w:rFonts w:ascii="Arial" w:eastAsia="宋体" w:hAnsi="Arial" w:cs="Arial"/>
                <w:b/>
                <w:bCs/>
                <w:color w:val="000000"/>
                <w:sz w:val="17"/>
                <w:szCs w:val="17"/>
              </w:rPr>
              <w:br/>
              <w:t>Gains (Losses) on</w:t>
            </w:r>
            <w:r>
              <w:rPr>
                <w:rFonts w:ascii="Arial" w:eastAsia="宋体" w:hAnsi="Arial" w:cs="Arial"/>
                <w:b/>
                <w:bCs/>
                <w:color w:val="000000"/>
                <w:sz w:val="17"/>
                <w:szCs w:val="17"/>
              </w:rPr>
              <w:br/>
              <w:t>Investments</w:t>
            </w:r>
          </w:p>
        </w:tc>
        <w:tc>
          <w:tcPr>
            <w:tcW w:w="0" w:type="auto"/>
            <w:gridSpan w:val="3"/>
            <w:shd w:val="clear" w:color="auto" w:fill="auto"/>
            <w:tcMar>
              <w:top w:w="0" w:type="dxa"/>
              <w:left w:w="20" w:type="dxa"/>
              <w:bottom w:w="0" w:type="dxa"/>
              <w:right w:w="20" w:type="dxa"/>
            </w:tcMar>
            <w:vAlign w:val="bottom"/>
          </w:tcPr>
          <w:p w14:paraId="1860131C"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31D" w14:textId="77777777" w:rsidR="00A91885" w:rsidRDefault="009C4196">
            <w:pPr>
              <w:jc w:val="center"/>
              <w:textAlignment w:val="bottom"/>
            </w:pPr>
            <w:r>
              <w:rPr>
                <w:rFonts w:ascii="Arial" w:eastAsia="宋体" w:hAnsi="Arial" w:cs="Arial"/>
                <w:b/>
                <w:bCs/>
                <w:color w:val="000000"/>
                <w:sz w:val="17"/>
                <w:szCs w:val="17"/>
              </w:rPr>
              <w:t>Foreign</w:t>
            </w:r>
            <w:r>
              <w:rPr>
                <w:rFonts w:ascii="Arial" w:eastAsia="宋体" w:hAnsi="Arial" w:cs="Arial"/>
                <w:b/>
                <w:bCs/>
                <w:color w:val="000000"/>
                <w:sz w:val="17"/>
                <w:szCs w:val="17"/>
              </w:rPr>
              <w:br/>
              <w:t>Currency</w:t>
            </w:r>
            <w:r>
              <w:rPr>
                <w:rFonts w:ascii="Arial" w:eastAsia="宋体" w:hAnsi="Arial" w:cs="Arial"/>
                <w:b/>
                <w:bCs/>
                <w:color w:val="000000"/>
                <w:sz w:val="17"/>
                <w:szCs w:val="17"/>
              </w:rPr>
              <w:br/>
              <w:t>Translation</w:t>
            </w:r>
          </w:p>
        </w:tc>
        <w:tc>
          <w:tcPr>
            <w:tcW w:w="0" w:type="auto"/>
            <w:gridSpan w:val="3"/>
            <w:shd w:val="clear" w:color="auto" w:fill="auto"/>
            <w:tcMar>
              <w:top w:w="0" w:type="dxa"/>
              <w:left w:w="20" w:type="dxa"/>
              <w:bottom w:w="0" w:type="dxa"/>
              <w:right w:w="20" w:type="dxa"/>
            </w:tcMar>
            <w:vAlign w:val="bottom"/>
          </w:tcPr>
          <w:p w14:paraId="1860131E"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31F" w14:textId="77777777" w:rsidR="00A91885" w:rsidRDefault="009C4196">
            <w:pPr>
              <w:jc w:val="center"/>
              <w:textAlignment w:val="bottom"/>
            </w:pPr>
            <w:r>
              <w:rPr>
                <w:rFonts w:ascii="Arial" w:eastAsia="宋体" w:hAnsi="Arial" w:cs="Arial"/>
                <w:b/>
                <w:bCs/>
                <w:color w:val="000000"/>
                <w:sz w:val="17"/>
                <w:szCs w:val="17"/>
              </w:rPr>
              <w:t>Estimated Tax (Expense) Benefit</w:t>
            </w:r>
          </w:p>
        </w:tc>
        <w:tc>
          <w:tcPr>
            <w:tcW w:w="0" w:type="auto"/>
            <w:gridSpan w:val="3"/>
            <w:shd w:val="clear" w:color="auto" w:fill="auto"/>
            <w:tcMar>
              <w:top w:w="0" w:type="dxa"/>
              <w:left w:w="20" w:type="dxa"/>
              <w:bottom w:w="0" w:type="dxa"/>
              <w:right w:w="20" w:type="dxa"/>
            </w:tcMar>
            <w:vAlign w:val="bottom"/>
          </w:tcPr>
          <w:p w14:paraId="18601320"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321" w14:textId="77777777" w:rsidR="00A91885" w:rsidRDefault="009C4196">
            <w:pPr>
              <w:jc w:val="center"/>
              <w:textAlignment w:val="bottom"/>
            </w:pPr>
            <w:r>
              <w:rPr>
                <w:rFonts w:ascii="Arial" w:eastAsia="宋体" w:hAnsi="Arial" w:cs="Arial"/>
                <w:b/>
                <w:bCs/>
                <w:color w:val="000000"/>
                <w:sz w:val="17"/>
                <w:szCs w:val="17"/>
              </w:rPr>
              <w:t>Total</w:t>
            </w:r>
          </w:p>
        </w:tc>
      </w:tr>
      <w:tr w:rsidR="00A91885" w14:paraId="18601337" w14:textId="77777777">
        <w:tc>
          <w:tcPr>
            <w:tcW w:w="0" w:type="auto"/>
            <w:gridSpan w:val="3"/>
            <w:shd w:val="clear" w:color="auto" w:fill="E2E2E2"/>
            <w:tcMar>
              <w:top w:w="40" w:type="dxa"/>
              <w:left w:w="20" w:type="dxa"/>
              <w:bottom w:w="40" w:type="dxa"/>
              <w:right w:w="20" w:type="dxa"/>
            </w:tcMar>
            <w:vAlign w:val="bottom"/>
          </w:tcPr>
          <w:p w14:paraId="18601323" w14:textId="77777777" w:rsidR="00A91885" w:rsidRDefault="009C4196">
            <w:pPr>
              <w:textAlignment w:val="bottom"/>
            </w:pPr>
            <w:r>
              <w:rPr>
                <w:rFonts w:ascii="Arial" w:eastAsia="宋体" w:hAnsi="Arial" w:cs="Arial"/>
                <w:color w:val="000000"/>
                <w:sz w:val="18"/>
                <w:szCs w:val="18"/>
              </w:rPr>
              <w:t>Balance as of December 31, 2020</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132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325" w14:textId="77777777" w:rsidR="00A91885" w:rsidRDefault="009C4196">
            <w:pPr>
              <w:jc w:val="right"/>
              <w:textAlignment w:val="bottom"/>
            </w:pPr>
            <w:r>
              <w:rPr>
                <w:rFonts w:ascii="Arial" w:eastAsia="宋体" w:hAnsi="Arial" w:cs="Arial"/>
                <w:color w:val="000000"/>
                <w:sz w:val="18"/>
                <w:szCs w:val="18"/>
              </w:rPr>
              <w:t>(85)</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32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327"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32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329" w14:textId="77777777" w:rsidR="00A91885" w:rsidRDefault="009C4196">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32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32B"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32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32D" w14:textId="77777777" w:rsidR="00A91885" w:rsidRDefault="009C4196">
            <w:pPr>
              <w:jc w:val="right"/>
              <w:textAlignment w:val="bottom"/>
            </w:pPr>
            <w:r>
              <w:rPr>
                <w:rFonts w:ascii="Arial" w:eastAsia="宋体" w:hAnsi="Arial" w:cs="Arial"/>
                <w:color w:val="000000"/>
                <w:sz w:val="18"/>
                <w:szCs w:val="18"/>
              </w:rPr>
              <w:t>654 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32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32F"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33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331" w14:textId="77777777" w:rsidR="00A91885" w:rsidRDefault="009C4196">
            <w:pPr>
              <w:jc w:val="right"/>
              <w:textAlignment w:val="bottom"/>
            </w:pPr>
            <w:r>
              <w:rPr>
                <w:rFonts w:ascii="Arial" w:eastAsia="宋体" w:hAnsi="Arial" w:cs="Arial"/>
                <w:color w:val="000000"/>
                <w:sz w:val="18"/>
                <w:szCs w:val="18"/>
              </w:rPr>
              <w:t>42 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33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333"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33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335" w14:textId="77777777" w:rsidR="00A91885" w:rsidRDefault="009C4196">
            <w:pPr>
              <w:jc w:val="right"/>
              <w:textAlignment w:val="bottom"/>
            </w:pPr>
            <w:r>
              <w:rPr>
                <w:rFonts w:ascii="Arial" w:eastAsia="宋体" w:hAnsi="Arial" w:cs="Arial"/>
                <w:color w:val="000000"/>
                <w:sz w:val="18"/>
                <w:szCs w:val="18"/>
              </w:rPr>
              <w:t>616 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336" w14:textId="77777777" w:rsidR="00A91885" w:rsidRDefault="00A91885">
            <w:pPr>
              <w:jc w:val="right"/>
              <w:rPr>
                <w:rFonts w:ascii="宋体"/>
              </w:rPr>
            </w:pPr>
          </w:p>
        </w:tc>
      </w:tr>
      <w:tr w:rsidR="00A91885" w14:paraId="18601347" w14:textId="77777777">
        <w:tc>
          <w:tcPr>
            <w:tcW w:w="0" w:type="auto"/>
            <w:gridSpan w:val="3"/>
            <w:shd w:val="clear" w:color="auto" w:fill="FFFFFF"/>
            <w:tcMar>
              <w:top w:w="40" w:type="dxa"/>
              <w:left w:w="245" w:type="dxa"/>
              <w:bottom w:w="40" w:type="dxa"/>
              <w:right w:w="20" w:type="dxa"/>
            </w:tcMar>
            <w:vAlign w:val="bottom"/>
          </w:tcPr>
          <w:p w14:paraId="18601338" w14:textId="77777777" w:rsidR="00A91885" w:rsidRDefault="009C4196">
            <w:pPr>
              <w:textAlignment w:val="bottom"/>
            </w:pPr>
            <w:r>
              <w:rPr>
                <w:rFonts w:ascii="Arial" w:eastAsia="宋体" w:hAnsi="Arial" w:cs="Arial"/>
                <w:color w:val="000000"/>
                <w:sz w:val="18"/>
                <w:szCs w:val="18"/>
              </w:rPr>
              <w:t>Other comprehensive income (loss) before reclassificati</w:t>
            </w:r>
            <w:r>
              <w:rPr>
                <w:rFonts w:ascii="Arial" w:eastAsia="宋体" w:hAnsi="Arial" w:cs="Arial"/>
                <w:color w:val="000000"/>
                <w:sz w:val="18"/>
                <w:szCs w:val="18"/>
              </w:rPr>
              <w:t>ons</w:t>
            </w:r>
          </w:p>
        </w:tc>
        <w:tc>
          <w:tcPr>
            <w:tcW w:w="0" w:type="auto"/>
            <w:gridSpan w:val="2"/>
            <w:shd w:val="clear" w:color="auto" w:fill="FFFFFF"/>
            <w:tcMar>
              <w:top w:w="40" w:type="dxa"/>
              <w:left w:w="20" w:type="dxa"/>
              <w:bottom w:w="40" w:type="dxa"/>
              <w:right w:w="0" w:type="dxa"/>
            </w:tcMar>
            <w:vAlign w:val="bottom"/>
          </w:tcPr>
          <w:p w14:paraId="18601339" w14:textId="77777777" w:rsidR="00A91885" w:rsidRDefault="009C4196">
            <w:pPr>
              <w:jc w:val="right"/>
              <w:textAlignment w:val="bottom"/>
            </w:pPr>
            <w:r>
              <w:rPr>
                <w:rFonts w:ascii="Arial" w:eastAsia="宋体" w:hAnsi="Arial" w:cs="Arial"/>
                <w:color w:val="000000"/>
                <w:sz w:val="18"/>
                <w:szCs w:val="18"/>
              </w:rPr>
              <w:t>26 </w:t>
            </w:r>
          </w:p>
        </w:tc>
        <w:tc>
          <w:tcPr>
            <w:tcW w:w="0" w:type="auto"/>
            <w:shd w:val="clear" w:color="auto" w:fill="FFFFFF"/>
            <w:tcMar>
              <w:top w:w="40" w:type="dxa"/>
              <w:left w:w="0" w:type="dxa"/>
              <w:bottom w:w="40" w:type="dxa"/>
              <w:right w:w="20" w:type="dxa"/>
            </w:tcMar>
            <w:vAlign w:val="bottom"/>
          </w:tcPr>
          <w:p w14:paraId="1860133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33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33C" w14:textId="77777777" w:rsidR="00A91885" w:rsidRDefault="009C4196">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1860133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33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33F" w14:textId="77777777" w:rsidR="00A91885" w:rsidRDefault="009C4196">
            <w:pPr>
              <w:jc w:val="right"/>
              <w:textAlignment w:val="bottom"/>
            </w:pPr>
            <w:r>
              <w:rPr>
                <w:rFonts w:ascii="Arial" w:eastAsia="宋体" w:hAnsi="Arial" w:cs="Arial"/>
                <w:color w:val="000000"/>
                <w:sz w:val="18"/>
                <w:szCs w:val="18"/>
              </w:rPr>
              <w:t>(107)</w:t>
            </w:r>
          </w:p>
        </w:tc>
        <w:tc>
          <w:tcPr>
            <w:tcW w:w="0" w:type="auto"/>
            <w:shd w:val="clear" w:color="auto" w:fill="FFFFFF"/>
            <w:tcMar>
              <w:top w:w="40" w:type="dxa"/>
              <w:left w:w="0" w:type="dxa"/>
              <w:bottom w:w="40" w:type="dxa"/>
              <w:right w:w="20" w:type="dxa"/>
            </w:tcMar>
            <w:vAlign w:val="bottom"/>
          </w:tcPr>
          <w:p w14:paraId="1860134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34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342" w14:textId="77777777" w:rsidR="00A91885" w:rsidRDefault="009C4196">
            <w:pPr>
              <w:jc w:val="right"/>
              <w:textAlignment w:val="bottom"/>
            </w:pPr>
            <w:r>
              <w:rPr>
                <w:rFonts w:ascii="Arial" w:eastAsia="宋体" w:hAnsi="Arial" w:cs="Arial"/>
                <w:color w:val="000000"/>
                <w:sz w:val="18"/>
                <w:szCs w:val="18"/>
              </w:rPr>
              <w:t>(5)</w:t>
            </w:r>
          </w:p>
        </w:tc>
        <w:tc>
          <w:tcPr>
            <w:tcW w:w="0" w:type="auto"/>
            <w:shd w:val="clear" w:color="auto" w:fill="FFFFFF"/>
            <w:tcMar>
              <w:top w:w="40" w:type="dxa"/>
              <w:left w:w="0" w:type="dxa"/>
              <w:bottom w:w="40" w:type="dxa"/>
              <w:right w:w="20" w:type="dxa"/>
            </w:tcMar>
            <w:vAlign w:val="bottom"/>
          </w:tcPr>
          <w:p w14:paraId="1860134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34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345" w14:textId="77777777" w:rsidR="00A91885" w:rsidRDefault="009C4196">
            <w:pPr>
              <w:jc w:val="right"/>
              <w:textAlignment w:val="bottom"/>
            </w:pPr>
            <w:r>
              <w:rPr>
                <w:rFonts w:ascii="Arial" w:eastAsia="宋体" w:hAnsi="Arial" w:cs="Arial"/>
                <w:color w:val="000000"/>
                <w:sz w:val="18"/>
                <w:szCs w:val="18"/>
              </w:rPr>
              <w:t>(90)</w:t>
            </w:r>
          </w:p>
        </w:tc>
        <w:tc>
          <w:tcPr>
            <w:tcW w:w="0" w:type="auto"/>
            <w:shd w:val="clear" w:color="auto" w:fill="FFFFFF"/>
            <w:tcMar>
              <w:top w:w="40" w:type="dxa"/>
              <w:left w:w="0" w:type="dxa"/>
              <w:bottom w:w="40" w:type="dxa"/>
              <w:right w:w="20" w:type="dxa"/>
            </w:tcMar>
            <w:vAlign w:val="bottom"/>
          </w:tcPr>
          <w:p w14:paraId="18601346" w14:textId="77777777" w:rsidR="00A91885" w:rsidRDefault="00A91885">
            <w:pPr>
              <w:jc w:val="right"/>
              <w:rPr>
                <w:rFonts w:ascii="宋体"/>
              </w:rPr>
            </w:pPr>
          </w:p>
        </w:tc>
      </w:tr>
      <w:tr w:rsidR="00A91885" w14:paraId="18601357" w14:textId="77777777">
        <w:tc>
          <w:tcPr>
            <w:tcW w:w="0" w:type="auto"/>
            <w:gridSpan w:val="3"/>
            <w:shd w:val="clear" w:color="auto" w:fill="E2E2E2"/>
            <w:tcMar>
              <w:top w:w="40" w:type="dxa"/>
              <w:left w:w="245" w:type="dxa"/>
              <w:bottom w:w="40" w:type="dxa"/>
              <w:right w:w="20" w:type="dxa"/>
            </w:tcMar>
            <w:vAlign w:val="bottom"/>
          </w:tcPr>
          <w:p w14:paraId="18601348" w14:textId="77777777" w:rsidR="00A91885" w:rsidRDefault="009C4196">
            <w:pPr>
              <w:textAlignment w:val="bottom"/>
            </w:pPr>
            <w:r>
              <w:rPr>
                <w:rFonts w:ascii="Arial" w:eastAsia="宋体" w:hAnsi="Arial" w:cs="Arial"/>
                <w:color w:val="000000"/>
                <w:sz w:val="18"/>
                <w:szCs w:val="18"/>
              </w:rPr>
              <w:t>Less: Amount of gain (loss) reclassified from AOCI</w:t>
            </w:r>
          </w:p>
        </w:tc>
        <w:tc>
          <w:tcPr>
            <w:tcW w:w="0" w:type="auto"/>
            <w:gridSpan w:val="2"/>
            <w:shd w:val="clear" w:color="auto" w:fill="E2E2E2"/>
            <w:tcMar>
              <w:top w:w="40" w:type="dxa"/>
              <w:left w:w="20" w:type="dxa"/>
              <w:bottom w:w="40" w:type="dxa"/>
              <w:right w:w="0" w:type="dxa"/>
            </w:tcMar>
            <w:vAlign w:val="bottom"/>
          </w:tcPr>
          <w:p w14:paraId="18601349" w14:textId="77777777" w:rsidR="00A91885" w:rsidRDefault="009C4196">
            <w:pPr>
              <w:jc w:val="right"/>
              <w:textAlignment w:val="bottom"/>
            </w:pPr>
            <w:r>
              <w:rPr>
                <w:rFonts w:ascii="Arial" w:eastAsia="宋体" w:hAnsi="Arial" w:cs="Arial"/>
                <w:color w:val="000000"/>
                <w:sz w:val="18"/>
                <w:szCs w:val="18"/>
              </w:rPr>
              <w:t>(44)</w:t>
            </w:r>
          </w:p>
        </w:tc>
        <w:tc>
          <w:tcPr>
            <w:tcW w:w="0" w:type="auto"/>
            <w:shd w:val="clear" w:color="auto" w:fill="E2E2E2"/>
            <w:tcMar>
              <w:top w:w="40" w:type="dxa"/>
              <w:left w:w="0" w:type="dxa"/>
              <w:bottom w:w="40" w:type="dxa"/>
              <w:right w:w="20" w:type="dxa"/>
            </w:tcMar>
            <w:vAlign w:val="bottom"/>
          </w:tcPr>
          <w:p w14:paraId="1860134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34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34C"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134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34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34F"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135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35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352" w14:textId="77777777" w:rsidR="00A91885" w:rsidRDefault="009C4196">
            <w:pPr>
              <w:jc w:val="right"/>
              <w:textAlignment w:val="bottom"/>
            </w:pPr>
            <w:r>
              <w:rPr>
                <w:rFonts w:ascii="Arial" w:eastAsia="宋体" w:hAnsi="Arial" w:cs="Arial"/>
                <w:color w:val="000000"/>
                <w:sz w:val="18"/>
                <w:szCs w:val="18"/>
              </w:rPr>
              <w:t>10 </w:t>
            </w:r>
          </w:p>
        </w:tc>
        <w:tc>
          <w:tcPr>
            <w:tcW w:w="0" w:type="auto"/>
            <w:shd w:val="clear" w:color="auto" w:fill="E2E2E2"/>
            <w:tcMar>
              <w:top w:w="40" w:type="dxa"/>
              <w:left w:w="0" w:type="dxa"/>
              <w:bottom w:w="40" w:type="dxa"/>
              <w:right w:w="20" w:type="dxa"/>
            </w:tcMar>
            <w:vAlign w:val="bottom"/>
          </w:tcPr>
          <w:p w14:paraId="1860135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354"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355" w14:textId="77777777" w:rsidR="00A91885" w:rsidRDefault="009C4196">
            <w:pPr>
              <w:jc w:val="right"/>
              <w:textAlignment w:val="bottom"/>
            </w:pPr>
            <w:r>
              <w:rPr>
                <w:rFonts w:ascii="Arial" w:eastAsia="宋体" w:hAnsi="Arial" w:cs="Arial"/>
                <w:color w:val="000000"/>
                <w:sz w:val="18"/>
                <w:szCs w:val="18"/>
              </w:rPr>
              <w:t>(34)</w:t>
            </w:r>
          </w:p>
        </w:tc>
        <w:tc>
          <w:tcPr>
            <w:tcW w:w="0" w:type="auto"/>
            <w:shd w:val="clear" w:color="auto" w:fill="E2E2E2"/>
            <w:tcMar>
              <w:top w:w="40" w:type="dxa"/>
              <w:left w:w="0" w:type="dxa"/>
              <w:bottom w:w="40" w:type="dxa"/>
              <w:right w:w="20" w:type="dxa"/>
            </w:tcMar>
            <w:vAlign w:val="bottom"/>
          </w:tcPr>
          <w:p w14:paraId="18601356" w14:textId="77777777" w:rsidR="00A91885" w:rsidRDefault="00A91885">
            <w:pPr>
              <w:jc w:val="right"/>
              <w:rPr>
                <w:rFonts w:ascii="宋体"/>
              </w:rPr>
            </w:pPr>
          </w:p>
        </w:tc>
      </w:tr>
      <w:tr w:rsidR="00A91885" w14:paraId="18601367" w14:textId="77777777">
        <w:tc>
          <w:tcPr>
            <w:tcW w:w="0" w:type="auto"/>
            <w:gridSpan w:val="3"/>
            <w:shd w:val="clear" w:color="auto" w:fill="FFFFFF"/>
            <w:tcMar>
              <w:top w:w="40" w:type="dxa"/>
              <w:left w:w="20" w:type="dxa"/>
              <w:bottom w:w="40" w:type="dxa"/>
              <w:right w:w="20" w:type="dxa"/>
            </w:tcMar>
            <w:vAlign w:val="bottom"/>
          </w:tcPr>
          <w:p w14:paraId="18601358" w14:textId="77777777" w:rsidR="00A91885" w:rsidRDefault="009C4196">
            <w:pPr>
              <w:textAlignment w:val="bottom"/>
            </w:pPr>
            <w:r>
              <w:rPr>
                <w:rFonts w:ascii="Arial" w:eastAsia="宋体" w:hAnsi="Arial" w:cs="Arial"/>
                <w:color w:val="000000"/>
                <w:sz w:val="18"/>
                <w:szCs w:val="18"/>
              </w:rPr>
              <w:t>Net current period 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359" w14:textId="77777777" w:rsidR="00A91885" w:rsidRDefault="009C4196">
            <w:pPr>
              <w:jc w:val="right"/>
              <w:textAlignment w:val="bottom"/>
            </w:pPr>
            <w:r>
              <w:rPr>
                <w:rFonts w:ascii="Arial" w:eastAsia="宋体" w:hAnsi="Arial" w:cs="Arial"/>
                <w:color w:val="000000"/>
                <w:sz w:val="18"/>
                <w:szCs w:val="18"/>
              </w:rPr>
              <w:t>70 </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35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35B"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35C" w14:textId="77777777" w:rsidR="00A91885" w:rsidRDefault="009C4196">
            <w:pPr>
              <w:jc w:val="right"/>
              <w:textAlignment w:val="bottom"/>
            </w:pPr>
            <w:r>
              <w:rPr>
                <w:rFonts w:ascii="Arial" w:eastAsia="宋体" w:hAnsi="Arial" w:cs="Arial"/>
                <w:color w:val="000000"/>
                <w:sz w:val="18"/>
                <w:szCs w:val="18"/>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35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35E"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35F" w14:textId="77777777" w:rsidR="00A91885" w:rsidRDefault="009C4196">
            <w:pPr>
              <w:jc w:val="right"/>
              <w:textAlignment w:val="bottom"/>
            </w:pPr>
            <w:r>
              <w:rPr>
                <w:rFonts w:ascii="Arial" w:eastAsia="宋体" w:hAnsi="Arial" w:cs="Arial"/>
                <w:color w:val="000000"/>
                <w:sz w:val="18"/>
                <w:szCs w:val="18"/>
              </w:rPr>
              <w:t>(107)</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36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361"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362" w14:textId="77777777" w:rsidR="00A91885" w:rsidRDefault="009C4196">
            <w:pPr>
              <w:jc w:val="right"/>
              <w:textAlignment w:val="bottom"/>
            </w:pPr>
            <w:r>
              <w:rPr>
                <w:rFonts w:ascii="Arial" w:eastAsia="宋体" w:hAnsi="Arial" w:cs="Arial"/>
                <w:color w:val="000000"/>
                <w:sz w:val="18"/>
                <w:szCs w:val="18"/>
              </w:rPr>
              <w:t>(15)</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36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364" w14:textId="77777777" w:rsidR="00A91885" w:rsidRDefault="00A91885">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18601365" w14:textId="77777777" w:rsidR="00A91885" w:rsidRDefault="009C4196">
            <w:pPr>
              <w:jc w:val="right"/>
              <w:textAlignment w:val="bottom"/>
            </w:pPr>
            <w:r>
              <w:rPr>
                <w:rFonts w:ascii="Arial" w:eastAsia="宋体" w:hAnsi="Arial" w:cs="Arial"/>
                <w:color w:val="000000"/>
                <w:sz w:val="18"/>
                <w:szCs w:val="18"/>
              </w:rPr>
              <w:t>(56)</w:t>
            </w:r>
          </w:p>
        </w:tc>
        <w:tc>
          <w:tcPr>
            <w:tcW w:w="0" w:type="auto"/>
            <w:tcBorders>
              <w:top w:val="single" w:sz="8" w:space="0" w:color="000000"/>
            </w:tcBorders>
            <w:shd w:val="clear" w:color="auto" w:fill="FFFFFF"/>
            <w:tcMar>
              <w:top w:w="40" w:type="dxa"/>
              <w:left w:w="0" w:type="dxa"/>
              <w:bottom w:w="40" w:type="dxa"/>
              <w:right w:w="20" w:type="dxa"/>
            </w:tcMar>
            <w:vAlign w:val="bottom"/>
          </w:tcPr>
          <w:p w14:paraId="18601366" w14:textId="77777777" w:rsidR="00A91885" w:rsidRDefault="00A91885">
            <w:pPr>
              <w:jc w:val="right"/>
              <w:rPr>
                <w:rFonts w:ascii="宋体"/>
              </w:rPr>
            </w:pPr>
          </w:p>
        </w:tc>
      </w:tr>
      <w:tr w:rsidR="00A91885" w14:paraId="1860137C" w14:textId="77777777">
        <w:tc>
          <w:tcPr>
            <w:tcW w:w="0" w:type="auto"/>
            <w:gridSpan w:val="3"/>
            <w:shd w:val="clear" w:color="auto" w:fill="E2E2E2"/>
            <w:tcMar>
              <w:top w:w="40" w:type="dxa"/>
              <w:left w:w="20" w:type="dxa"/>
              <w:bottom w:w="40" w:type="dxa"/>
              <w:right w:w="20" w:type="dxa"/>
            </w:tcMar>
            <w:vAlign w:val="bottom"/>
          </w:tcPr>
          <w:p w14:paraId="18601368" w14:textId="77777777" w:rsidR="00A91885" w:rsidRDefault="009C4196">
            <w:pPr>
              <w:textAlignment w:val="bottom"/>
            </w:pPr>
            <w:r>
              <w:rPr>
                <w:rFonts w:ascii="Arial" w:eastAsia="宋体" w:hAnsi="Arial" w:cs="Arial"/>
                <w:color w:val="000000"/>
                <w:sz w:val="18"/>
                <w:szCs w:val="18"/>
              </w:rPr>
              <w:t>Balance as of June 30, 2021</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36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36A" w14:textId="77777777" w:rsidR="00A91885" w:rsidRDefault="009C4196">
            <w:pPr>
              <w:jc w:val="right"/>
              <w:textAlignment w:val="bottom"/>
            </w:pPr>
            <w:r>
              <w:rPr>
                <w:rFonts w:ascii="Arial" w:eastAsia="宋体" w:hAnsi="Arial" w:cs="Arial"/>
                <w:color w:val="000000"/>
                <w:sz w:val="18"/>
                <w:szCs w:val="18"/>
              </w:rPr>
              <w:t>(15)</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36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36C"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36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36E" w14:textId="77777777" w:rsidR="00A91885" w:rsidRDefault="009C4196">
            <w:pPr>
              <w:jc w:val="right"/>
              <w:textAlignment w:val="bottom"/>
            </w:pPr>
            <w:r>
              <w:rPr>
                <w:rFonts w:ascii="Arial" w:eastAsia="宋体" w:hAnsi="Arial" w:cs="Arial"/>
                <w:color w:val="000000"/>
                <w:sz w:val="18"/>
                <w:szCs w:val="18"/>
              </w:rPr>
              <w:t>1 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36F"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370"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37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372" w14:textId="77777777" w:rsidR="00A91885" w:rsidRDefault="009C4196">
            <w:pPr>
              <w:jc w:val="right"/>
              <w:textAlignment w:val="bottom"/>
            </w:pPr>
            <w:r>
              <w:rPr>
                <w:rFonts w:ascii="Arial" w:eastAsia="宋体" w:hAnsi="Arial" w:cs="Arial"/>
                <w:color w:val="000000"/>
                <w:sz w:val="18"/>
                <w:szCs w:val="18"/>
              </w:rPr>
              <w:t>547 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37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374"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37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376" w14:textId="77777777" w:rsidR="00A91885" w:rsidRDefault="009C4196">
            <w:pPr>
              <w:jc w:val="right"/>
              <w:textAlignment w:val="bottom"/>
            </w:pPr>
            <w:r>
              <w:rPr>
                <w:rFonts w:ascii="Arial" w:eastAsia="宋体" w:hAnsi="Arial" w:cs="Arial"/>
                <w:color w:val="000000"/>
                <w:sz w:val="18"/>
                <w:szCs w:val="18"/>
              </w:rPr>
              <w:t>27 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37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378"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37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37A" w14:textId="77777777" w:rsidR="00A91885" w:rsidRDefault="009C4196">
            <w:pPr>
              <w:jc w:val="right"/>
              <w:textAlignment w:val="bottom"/>
            </w:pPr>
            <w:r>
              <w:rPr>
                <w:rFonts w:ascii="Arial" w:eastAsia="宋体" w:hAnsi="Arial" w:cs="Arial"/>
                <w:color w:val="000000"/>
                <w:sz w:val="18"/>
                <w:szCs w:val="18"/>
              </w:rPr>
              <w:t>560 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37B" w14:textId="77777777" w:rsidR="00A91885" w:rsidRDefault="00A91885">
            <w:pPr>
              <w:jc w:val="right"/>
              <w:rPr>
                <w:rFonts w:ascii="宋体"/>
              </w:rPr>
            </w:pPr>
          </w:p>
        </w:tc>
      </w:tr>
    </w:tbl>
    <w:p w14:paraId="1860137D" w14:textId="77777777" w:rsidR="00A91885" w:rsidRDefault="00A91885">
      <w:pPr>
        <w:spacing w:after="120"/>
        <w:jc w:val="both"/>
      </w:pPr>
    </w:p>
    <w:p w14:paraId="1860137E" w14:textId="77777777" w:rsidR="00A91885" w:rsidRDefault="00A91885">
      <w:pPr>
        <w:jc w:val="center"/>
      </w:pPr>
    </w:p>
    <w:p w14:paraId="1860137F" w14:textId="77777777" w:rsidR="00A91885" w:rsidRDefault="009C4196">
      <w:pPr>
        <w:jc w:val="center"/>
      </w:pPr>
      <w:r>
        <w:rPr>
          <w:rFonts w:ascii="Arial" w:eastAsia="宋体" w:hAnsi="Arial" w:cs="Arial"/>
          <w:color w:val="000000"/>
          <w:sz w:val="20"/>
          <w:szCs w:val="20"/>
        </w:rPr>
        <w:t>44</w:t>
      </w:r>
    </w:p>
    <w:p w14:paraId="18601380" w14:textId="77777777" w:rsidR="00A91885" w:rsidRDefault="009C4196">
      <w:r>
        <w:pict w14:anchorId="186021AF">
          <v:rect id="_x0000_i1068" style="width:415.3pt;height:1.5pt" o:hralign="center" o:hrstd="t" o:hr="t" fillcolor="#a0a0a0" stroked="f"/>
        </w:pict>
      </w:r>
    </w:p>
    <w:p w14:paraId="18601381" w14:textId="77777777" w:rsidR="00A91885" w:rsidRDefault="009C4196">
      <w:hyperlink r:id="rId128" w:anchor="ieb971428a625452486c65ae24899afca_7" w:history="1">
        <w:r>
          <w:rPr>
            <w:rStyle w:val="a5"/>
            <w:rFonts w:ascii="Arial" w:eastAsia="宋体" w:hAnsi="Arial" w:cs="Arial"/>
            <w:sz w:val="18"/>
            <w:szCs w:val="18"/>
          </w:rPr>
          <w:t>Table of Contents</w:t>
        </w:r>
      </w:hyperlink>
    </w:p>
    <w:p w14:paraId="18601382" w14:textId="77777777" w:rsidR="00A91885" w:rsidRDefault="009C4196">
      <w:pPr>
        <w:jc w:val="center"/>
      </w:pPr>
      <w:r>
        <w:rPr>
          <w:rFonts w:ascii="Arial" w:eastAsia="宋体" w:hAnsi="Arial" w:cs="Arial"/>
          <w:b/>
          <w:bCs/>
          <w:color w:val="000000"/>
          <w:sz w:val="20"/>
          <w:szCs w:val="20"/>
        </w:rPr>
        <w:t>eBay Inc.</w:t>
      </w:r>
    </w:p>
    <w:p w14:paraId="18601383" w14:textId="77777777" w:rsidR="00A91885" w:rsidRDefault="009C4196">
      <w:pPr>
        <w:spacing w:before="80"/>
        <w:jc w:val="center"/>
      </w:pPr>
      <w:r>
        <w:rPr>
          <w:rFonts w:ascii="Arial" w:eastAsia="宋体" w:hAnsi="Arial" w:cs="Arial"/>
          <w:b/>
          <w:bCs/>
          <w:color w:val="000000"/>
          <w:sz w:val="20"/>
          <w:szCs w:val="20"/>
        </w:rPr>
        <w:t xml:space="preserve">NOTES TO CONDENSED CONSOLIDATED FINANCIAL </w:t>
      </w:r>
      <w:r>
        <w:rPr>
          <w:rFonts w:ascii="Arial" w:eastAsia="宋体" w:hAnsi="Arial" w:cs="Arial"/>
          <w:b/>
          <w:bCs/>
          <w:color w:val="000000"/>
          <w:sz w:val="20"/>
          <w:szCs w:val="20"/>
        </w:rPr>
        <w:t>STATEMENTS—(Continued)</w:t>
      </w:r>
    </w:p>
    <w:p w14:paraId="18601384" w14:textId="77777777" w:rsidR="00A91885" w:rsidRDefault="009C4196">
      <w:pPr>
        <w:spacing w:after="120"/>
        <w:ind w:firstLine="540"/>
        <w:jc w:val="both"/>
      </w:pPr>
      <w:r>
        <w:rPr>
          <w:rFonts w:ascii="Arial" w:eastAsia="宋体" w:hAnsi="Arial" w:cs="Arial"/>
          <w:color w:val="000000"/>
          <w:sz w:val="20"/>
          <w:szCs w:val="20"/>
        </w:rPr>
        <w:t xml:space="preserve">The following table summarizes the reclassifications out of AOCI for the periods indicated (in millions):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2217"/>
        <w:gridCol w:w="37"/>
        <w:gridCol w:w="36"/>
        <w:gridCol w:w="36"/>
        <w:gridCol w:w="36"/>
        <w:gridCol w:w="37"/>
        <w:gridCol w:w="1909"/>
        <w:gridCol w:w="36"/>
        <w:gridCol w:w="36"/>
        <w:gridCol w:w="36"/>
        <w:gridCol w:w="36"/>
        <w:gridCol w:w="122"/>
        <w:gridCol w:w="720"/>
        <w:gridCol w:w="37"/>
        <w:gridCol w:w="36"/>
        <w:gridCol w:w="36"/>
        <w:gridCol w:w="36"/>
        <w:gridCol w:w="121"/>
        <w:gridCol w:w="720"/>
        <w:gridCol w:w="36"/>
        <w:gridCol w:w="36"/>
        <w:gridCol w:w="36"/>
        <w:gridCol w:w="36"/>
        <w:gridCol w:w="122"/>
        <w:gridCol w:w="721"/>
        <w:gridCol w:w="37"/>
        <w:gridCol w:w="36"/>
        <w:gridCol w:w="36"/>
        <w:gridCol w:w="36"/>
        <w:gridCol w:w="121"/>
        <w:gridCol w:w="721"/>
        <w:gridCol w:w="36"/>
      </w:tblGrid>
      <w:tr w:rsidR="00A91885" w14:paraId="186013A6" w14:textId="77777777">
        <w:trPr>
          <w:jc w:val="center"/>
        </w:trPr>
        <w:tc>
          <w:tcPr>
            <w:tcW w:w="50" w:type="pct"/>
            <w:shd w:val="clear" w:color="auto" w:fill="auto"/>
            <w:vAlign w:val="bottom"/>
          </w:tcPr>
          <w:p w14:paraId="18601385" w14:textId="77777777" w:rsidR="00A91885" w:rsidRDefault="00A91885">
            <w:pPr>
              <w:rPr>
                <w:rFonts w:ascii="宋体"/>
              </w:rPr>
            </w:pPr>
          </w:p>
        </w:tc>
        <w:tc>
          <w:tcPr>
            <w:tcW w:w="1399" w:type="pct"/>
            <w:shd w:val="clear" w:color="auto" w:fill="auto"/>
            <w:vAlign w:val="bottom"/>
          </w:tcPr>
          <w:p w14:paraId="18601386" w14:textId="77777777" w:rsidR="00A91885" w:rsidRDefault="00A91885">
            <w:pPr>
              <w:rPr>
                <w:rFonts w:ascii="宋体"/>
              </w:rPr>
            </w:pPr>
          </w:p>
        </w:tc>
        <w:tc>
          <w:tcPr>
            <w:tcW w:w="5" w:type="pct"/>
            <w:shd w:val="clear" w:color="auto" w:fill="auto"/>
            <w:vAlign w:val="bottom"/>
          </w:tcPr>
          <w:p w14:paraId="18601387" w14:textId="77777777" w:rsidR="00A91885" w:rsidRDefault="00A91885">
            <w:pPr>
              <w:rPr>
                <w:rFonts w:ascii="宋体"/>
              </w:rPr>
            </w:pPr>
          </w:p>
        </w:tc>
        <w:tc>
          <w:tcPr>
            <w:tcW w:w="5" w:type="pct"/>
            <w:shd w:val="clear" w:color="auto" w:fill="auto"/>
            <w:vAlign w:val="bottom"/>
          </w:tcPr>
          <w:p w14:paraId="18601388" w14:textId="77777777" w:rsidR="00A91885" w:rsidRDefault="00A91885">
            <w:pPr>
              <w:rPr>
                <w:rFonts w:ascii="宋体"/>
              </w:rPr>
            </w:pPr>
          </w:p>
        </w:tc>
        <w:tc>
          <w:tcPr>
            <w:tcW w:w="19" w:type="pct"/>
            <w:shd w:val="clear" w:color="auto" w:fill="auto"/>
            <w:vAlign w:val="bottom"/>
          </w:tcPr>
          <w:p w14:paraId="18601389" w14:textId="77777777" w:rsidR="00A91885" w:rsidRDefault="00A91885">
            <w:pPr>
              <w:rPr>
                <w:rFonts w:ascii="宋体"/>
              </w:rPr>
            </w:pPr>
          </w:p>
        </w:tc>
        <w:tc>
          <w:tcPr>
            <w:tcW w:w="5" w:type="pct"/>
            <w:shd w:val="clear" w:color="auto" w:fill="auto"/>
            <w:vAlign w:val="bottom"/>
          </w:tcPr>
          <w:p w14:paraId="1860138A" w14:textId="77777777" w:rsidR="00A91885" w:rsidRDefault="00A91885">
            <w:pPr>
              <w:rPr>
                <w:rFonts w:ascii="宋体"/>
              </w:rPr>
            </w:pPr>
          </w:p>
        </w:tc>
        <w:tc>
          <w:tcPr>
            <w:tcW w:w="50" w:type="pct"/>
            <w:shd w:val="clear" w:color="auto" w:fill="auto"/>
            <w:vAlign w:val="bottom"/>
          </w:tcPr>
          <w:p w14:paraId="1860138B" w14:textId="77777777" w:rsidR="00A91885" w:rsidRDefault="00A91885">
            <w:pPr>
              <w:rPr>
                <w:rFonts w:ascii="宋体"/>
              </w:rPr>
            </w:pPr>
          </w:p>
        </w:tc>
        <w:tc>
          <w:tcPr>
            <w:tcW w:w="1209" w:type="pct"/>
            <w:shd w:val="clear" w:color="auto" w:fill="auto"/>
            <w:vAlign w:val="bottom"/>
          </w:tcPr>
          <w:p w14:paraId="1860138C" w14:textId="77777777" w:rsidR="00A91885" w:rsidRDefault="00A91885">
            <w:pPr>
              <w:rPr>
                <w:rFonts w:ascii="宋体"/>
              </w:rPr>
            </w:pPr>
          </w:p>
        </w:tc>
        <w:tc>
          <w:tcPr>
            <w:tcW w:w="5" w:type="pct"/>
            <w:shd w:val="clear" w:color="auto" w:fill="auto"/>
            <w:vAlign w:val="bottom"/>
          </w:tcPr>
          <w:p w14:paraId="1860138D" w14:textId="77777777" w:rsidR="00A91885" w:rsidRDefault="00A91885">
            <w:pPr>
              <w:rPr>
                <w:rFonts w:ascii="宋体"/>
              </w:rPr>
            </w:pPr>
          </w:p>
        </w:tc>
        <w:tc>
          <w:tcPr>
            <w:tcW w:w="5" w:type="pct"/>
            <w:shd w:val="clear" w:color="auto" w:fill="auto"/>
            <w:vAlign w:val="bottom"/>
          </w:tcPr>
          <w:p w14:paraId="1860138E" w14:textId="77777777" w:rsidR="00A91885" w:rsidRDefault="00A91885">
            <w:pPr>
              <w:rPr>
                <w:rFonts w:ascii="宋体"/>
              </w:rPr>
            </w:pPr>
          </w:p>
        </w:tc>
        <w:tc>
          <w:tcPr>
            <w:tcW w:w="19" w:type="pct"/>
            <w:shd w:val="clear" w:color="auto" w:fill="auto"/>
            <w:vAlign w:val="bottom"/>
          </w:tcPr>
          <w:p w14:paraId="1860138F" w14:textId="77777777" w:rsidR="00A91885" w:rsidRDefault="00A91885">
            <w:pPr>
              <w:rPr>
                <w:rFonts w:ascii="宋体"/>
              </w:rPr>
            </w:pPr>
          </w:p>
        </w:tc>
        <w:tc>
          <w:tcPr>
            <w:tcW w:w="5" w:type="pct"/>
            <w:shd w:val="clear" w:color="auto" w:fill="auto"/>
            <w:vAlign w:val="bottom"/>
          </w:tcPr>
          <w:p w14:paraId="18601390" w14:textId="77777777" w:rsidR="00A91885" w:rsidRDefault="00A91885">
            <w:pPr>
              <w:rPr>
                <w:rFonts w:ascii="宋体"/>
              </w:rPr>
            </w:pPr>
          </w:p>
        </w:tc>
        <w:tc>
          <w:tcPr>
            <w:tcW w:w="50" w:type="pct"/>
            <w:shd w:val="clear" w:color="auto" w:fill="auto"/>
            <w:vAlign w:val="bottom"/>
          </w:tcPr>
          <w:p w14:paraId="18601391" w14:textId="77777777" w:rsidR="00A91885" w:rsidRDefault="00A91885">
            <w:pPr>
              <w:rPr>
                <w:rFonts w:ascii="宋体"/>
              </w:rPr>
            </w:pPr>
          </w:p>
        </w:tc>
        <w:tc>
          <w:tcPr>
            <w:tcW w:w="478" w:type="pct"/>
            <w:shd w:val="clear" w:color="auto" w:fill="auto"/>
            <w:vAlign w:val="bottom"/>
          </w:tcPr>
          <w:p w14:paraId="18601392" w14:textId="77777777" w:rsidR="00A91885" w:rsidRDefault="00A91885">
            <w:pPr>
              <w:rPr>
                <w:rFonts w:ascii="宋体"/>
              </w:rPr>
            </w:pPr>
          </w:p>
        </w:tc>
        <w:tc>
          <w:tcPr>
            <w:tcW w:w="5" w:type="pct"/>
            <w:shd w:val="clear" w:color="auto" w:fill="auto"/>
            <w:vAlign w:val="bottom"/>
          </w:tcPr>
          <w:p w14:paraId="18601393" w14:textId="77777777" w:rsidR="00A91885" w:rsidRDefault="00A91885">
            <w:pPr>
              <w:rPr>
                <w:rFonts w:ascii="宋体"/>
              </w:rPr>
            </w:pPr>
          </w:p>
        </w:tc>
        <w:tc>
          <w:tcPr>
            <w:tcW w:w="5" w:type="pct"/>
            <w:shd w:val="clear" w:color="auto" w:fill="auto"/>
            <w:vAlign w:val="bottom"/>
          </w:tcPr>
          <w:p w14:paraId="18601394" w14:textId="77777777" w:rsidR="00A91885" w:rsidRDefault="00A91885">
            <w:pPr>
              <w:rPr>
                <w:rFonts w:ascii="宋体"/>
              </w:rPr>
            </w:pPr>
          </w:p>
        </w:tc>
        <w:tc>
          <w:tcPr>
            <w:tcW w:w="19" w:type="pct"/>
            <w:shd w:val="clear" w:color="auto" w:fill="auto"/>
            <w:vAlign w:val="bottom"/>
          </w:tcPr>
          <w:p w14:paraId="18601395" w14:textId="77777777" w:rsidR="00A91885" w:rsidRDefault="00A91885">
            <w:pPr>
              <w:rPr>
                <w:rFonts w:ascii="宋体"/>
              </w:rPr>
            </w:pPr>
          </w:p>
        </w:tc>
        <w:tc>
          <w:tcPr>
            <w:tcW w:w="5" w:type="pct"/>
            <w:shd w:val="clear" w:color="auto" w:fill="auto"/>
            <w:vAlign w:val="bottom"/>
          </w:tcPr>
          <w:p w14:paraId="18601396" w14:textId="77777777" w:rsidR="00A91885" w:rsidRDefault="00A91885">
            <w:pPr>
              <w:rPr>
                <w:rFonts w:ascii="宋体"/>
              </w:rPr>
            </w:pPr>
          </w:p>
        </w:tc>
        <w:tc>
          <w:tcPr>
            <w:tcW w:w="50" w:type="pct"/>
            <w:shd w:val="clear" w:color="auto" w:fill="auto"/>
            <w:vAlign w:val="bottom"/>
          </w:tcPr>
          <w:p w14:paraId="18601397" w14:textId="77777777" w:rsidR="00A91885" w:rsidRDefault="00A91885">
            <w:pPr>
              <w:rPr>
                <w:rFonts w:ascii="宋体"/>
              </w:rPr>
            </w:pPr>
          </w:p>
        </w:tc>
        <w:tc>
          <w:tcPr>
            <w:tcW w:w="478" w:type="pct"/>
            <w:shd w:val="clear" w:color="auto" w:fill="auto"/>
            <w:vAlign w:val="bottom"/>
          </w:tcPr>
          <w:p w14:paraId="18601398" w14:textId="77777777" w:rsidR="00A91885" w:rsidRDefault="00A91885">
            <w:pPr>
              <w:rPr>
                <w:rFonts w:ascii="宋体"/>
              </w:rPr>
            </w:pPr>
          </w:p>
        </w:tc>
        <w:tc>
          <w:tcPr>
            <w:tcW w:w="5" w:type="pct"/>
            <w:shd w:val="clear" w:color="auto" w:fill="auto"/>
            <w:vAlign w:val="bottom"/>
          </w:tcPr>
          <w:p w14:paraId="18601399" w14:textId="77777777" w:rsidR="00A91885" w:rsidRDefault="00A91885">
            <w:pPr>
              <w:rPr>
                <w:rFonts w:ascii="宋体"/>
              </w:rPr>
            </w:pPr>
          </w:p>
        </w:tc>
        <w:tc>
          <w:tcPr>
            <w:tcW w:w="5" w:type="pct"/>
            <w:shd w:val="clear" w:color="auto" w:fill="auto"/>
            <w:vAlign w:val="bottom"/>
          </w:tcPr>
          <w:p w14:paraId="1860139A" w14:textId="77777777" w:rsidR="00A91885" w:rsidRDefault="00A91885">
            <w:pPr>
              <w:rPr>
                <w:rFonts w:ascii="宋体"/>
              </w:rPr>
            </w:pPr>
          </w:p>
        </w:tc>
        <w:tc>
          <w:tcPr>
            <w:tcW w:w="19" w:type="pct"/>
            <w:shd w:val="clear" w:color="auto" w:fill="auto"/>
            <w:vAlign w:val="bottom"/>
          </w:tcPr>
          <w:p w14:paraId="1860139B" w14:textId="77777777" w:rsidR="00A91885" w:rsidRDefault="00A91885">
            <w:pPr>
              <w:rPr>
                <w:rFonts w:ascii="宋体"/>
              </w:rPr>
            </w:pPr>
          </w:p>
        </w:tc>
        <w:tc>
          <w:tcPr>
            <w:tcW w:w="5" w:type="pct"/>
            <w:shd w:val="clear" w:color="auto" w:fill="auto"/>
            <w:vAlign w:val="bottom"/>
          </w:tcPr>
          <w:p w14:paraId="1860139C" w14:textId="77777777" w:rsidR="00A91885" w:rsidRDefault="00A91885">
            <w:pPr>
              <w:rPr>
                <w:rFonts w:ascii="宋体"/>
              </w:rPr>
            </w:pPr>
          </w:p>
        </w:tc>
        <w:tc>
          <w:tcPr>
            <w:tcW w:w="50" w:type="pct"/>
            <w:shd w:val="clear" w:color="auto" w:fill="auto"/>
            <w:vAlign w:val="bottom"/>
          </w:tcPr>
          <w:p w14:paraId="1860139D" w14:textId="77777777" w:rsidR="00A91885" w:rsidRDefault="00A91885">
            <w:pPr>
              <w:rPr>
                <w:rFonts w:ascii="宋体"/>
              </w:rPr>
            </w:pPr>
          </w:p>
        </w:tc>
        <w:tc>
          <w:tcPr>
            <w:tcW w:w="478" w:type="pct"/>
            <w:shd w:val="clear" w:color="auto" w:fill="auto"/>
            <w:vAlign w:val="bottom"/>
          </w:tcPr>
          <w:p w14:paraId="1860139E" w14:textId="77777777" w:rsidR="00A91885" w:rsidRDefault="00A91885">
            <w:pPr>
              <w:rPr>
                <w:rFonts w:ascii="宋体"/>
              </w:rPr>
            </w:pPr>
          </w:p>
        </w:tc>
        <w:tc>
          <w:tcPr>
            <w:tcW w:w="5" w:type="pct"/>
            <w:shd w:val="clear" w:color="auto" w:fill="auto"/>
            <w:vAlign w:val="bottom"/>
          </w:tcPr>
          <w:p w14:paraId="1860139F" w14:textId="77777777" w:rsidR="00A91885" w:rsidRDefault="00A91885">
            <w:pPr>
              <w:rPr>
                <w:rFonts w:ascii="宋体"/>
              </w:rPr>
            </w:pPr>
          </w:p>
        </w:tc>
        <w:tc>
          <w:tcPr>
            <w:tcW w:w="5" w:type="pct"/>
            <w:shd w:val="clear" w:color="auto" w:fill="auto"/>
            <w:vAlign w:val="bottom"/>
          </w:tcPr>
          <w:p w14:paraId="186013A0" w14:textId="77777777" w:rsidR="00A91885" w:rsidRDefault="00A91885">
            <w:pPr>
              <w:rPr>
                <w:rFonts w:ascii="宋体"/>
              </w:rPr>
            </w:pPr>
          </w:p>
        </w:tc>
        <w:tc>
          <w:tcPr>
            <w:tcW w:w="19" w:type="pct"/>
            <w:shd w:val="clear" w:color="auto" w:fill="auto"/>
            <w:vAlign w:val="bottom"/>
          </w:tcPr>
          <w:p w14:paraId="186013A1" w14:textId="77777777" w:rsidR="00A91885" w:rsidRDefault="00A91885">
            <w:pPr>
              <w:rPr>
                <w:rFonts w:ascii="宋体"/>
              </w:rPr>
            </w:pPr>
          </w:p>
        </w:tc>
        <w:tc>
          <w:tcPr>
            <w:tcW w:w="5" w:type="pct"/>
            <w:shd w:val="clear" w:color="auto" w:fill="auto"/>
            <w:vAlign w:val="bottom"/>
          </w:tcPr>
          <w:p w14:paraId="186013A2" w14:textId="77777777" w:rsidR="00A91885" w:rsidRDefault="00A91885">
            <w:pPr>
              <w:rPr>
                <w:rFonts w:ascii="宋体"/>
              </w:rPr>
            </w:pPr>
          </w:p>
        </w:tc>
        <w:tc>
          <w:tcPr>
            <w:tcW w:w="50" w:type="pct"/>
            <w:shd w:val="clear" w:color="auto" w:fill="auto"/>
            <w:vAlign w:val="bottom"/>
          </w:tcPr>
          <w:p w14:paraId="186013A3" w14:textId="77777777" w:rsidR="00A91885" w:rsidRDefault="00A91885">
            <w:pPr>
              <w:rPr>
                <w:rFonts w:ascii="宋体"/>
              </w:rPr>
            </w:pPr>
          </w:p>
        </w:tc>
        <w:tc>
          <w:tcPr>
            <w:tcW w:w="478" w:type="pct"/>
            <w:shd w:val="clear" w:color="auto" w:fill="auto"/>
            <w:vAlign w:val="bottom"/>
          </w:tcPr>
          <w:p w14:paraId="186013A4" w14:textId="77777777" w:rsidR="00A91885" w:rsidRDefault="00A91885">
            <w:pPr>
              <w:rPr>
                <w:rFonts w:ascii="宋体"/>
              </w:rPr>
            </w:pPr>
          </w:p>
        </w:tc>
        <w:tc>
          <w:tcPr>
            <w:tcW w:w="5" w:type="pct"/>
            <w:shd w:val="clear" w:color="auto" w:fill="auto"/>
            <w:vAlign w:val="bottom"/>
          </w:tcPr>
          <w:p w14:paraId="186013A5" w14:textId="77777777" w:rsidR="00A91885" w:rsidRDefault="00A91885">
            <w:pPr>
              <w:rPr>
                <w:rFonts w:ascii="宋体"/>
              </w:rPr>
            </w:pPr>
          </w:p>
        </w:tc>
      </w:tr>
      <w:tr w:rsidR="00A91885" w14:paraId="186013AC" w14:textId="77777777">
        <w:trPr>
          <w:jc w:val="center"/>
        </w:trPr>
        <w:tc>
          <w:tcPr>
            <w:tcW w:w="0" w:type="auto"/>
            <w:gridSpan w:val="3"/>
            <w:shd w:val="clear" w:color="auto" w:fill="auto"/>
            <w:tcMar>
              <w:top w:w="40" w:type="dxa"/>
              <w:left w:w="20" w:type="dxa"/>
              <w:bottom w:w="40" w:type="dxa"/>
              <w:right w:w="20" w:type="dxa"/>
            </w:tcMar>
            <w:vAlign w:val="bottom"/>
          </w:tcPr>
          <w:p w14:paraId="186013A7" w14:textId="77777777" w:rsidR="00A91885" w:rsidRDefault="009C4196">
            <w:pPr>
              <w:jc w:val="center"/>
              <w:textAlignment w:val="bottom"/>
            </w:pPr>
            <w:r>
              <w:rPr>
                <w:rFonts w:ascii="Arial" w:eastAsia="宋体" w:hAnsi="Arial" w:cs="Arial"/>
                <w:b/>
                <w:bCs/>
                <w:color w:val="000000"/>
                <w:sz w:val="17"/>
                <w:szCs w:val="17"/>
              </w:rPr>
              <w:t>Details about AOCI Components</w:t>
            </w:r>
          </w:p>
        </w:tc>
        <w:tc>
          <w:tcPr>
            <w:tcW w:w="0" w:type="auto"/>
            <w:gridSpan w:val="3"/>
            <w:shd w:val="clear" w:color="auto" w:fill="auto"/>
            <w:tcMar>
              <w:top w:w="40" w:type="dxa"/>
              <w:left w:w="20" w:type="dxa"/>
              <w:bottom w:w="40" w:type="dxa"/>
              <w:right w:w="20" w:type="dxa"/>
            </w:tcMar>
            <w:vAlign w:val="bottom"/>
          </w:tcPr>
          <w:p w14:paraId="186013A8" w14:textId="77777777" w:rsidR="00A91885" w:rsidRDefault="009C4196">
            <w:pPr>
              <w:jc w:val="center"/>
              <w:textAlignment w:val="bottom"/>
            </w:pPr>
            <w:r>
              <w:rPr>
                <w:rFonts w:ascii="Arial" w:eastAsia="宋体" w:hAnsi="Arial" w:cs="Arial"/>
                <w:b/>
                <w:bCs/>
                <w:color w:val="000000"/>
                <w:sz w:val="17"/>
                <w:szCs w:val="17"/>
              </w:rPr>
              <w:t> </w:t>
            </w:r>
          </w:p>
        </w:tc>
        <w:tc>
          <w:tcPr>
            <w:tcW w:w="0" w:type="auto"/>
            <w:gridSpan w:val="3"/>
            <w:shd w:val="clear" w:color="auto" w:fill="auto"/>
            <w:tcMar>
              <w:top w:w="40" w:type="dxa"/>
              <w:left w:w="20" w:type="dxa"/>
              <w:bottom w:w="40" w:type="dxa"/>
              <w:right w:w="20" w:type="dxa"/>
            </w:tcMar>
            <w:vAlign w:val="bottom"/>
          </w:tcPr>
          <w:p w14:paraId="186013A9" w14:textId="77777777" w:rsidR="00A91885" w:rsidRDefault="009C4196">
            <w:pPr>
              <w:jc w:val="center"/>
              <w:textAlignment w:val="bottom"/>
            </w:pPr>
            <w:r>
              <w:rPr>
                <w:rFonts w:ascii="Arial" w:eastAsia="宋体" w:hAnsi="Arial" w:cs="Arial"/>
                <w:b/>
                <w:bCs/>
                <w:color w:val="000000"/>
                <w:sz w:val="17"/>
                <w:szCs w:val="17"/>
              </w:rPr>
              <w:t>Affected Line Item in the Statement of Income</w:t>
            </w:r>
          </w:p>
        </w:tc>
        <w:tc>
          <w:tcPr>
            <w:tcW w:w="0" w:type="auto"/>
            <w:gridSpan w:val="3"/>
            <w:shd w:val="clear" w:color="auto" w:fill="auto"/>
            <w:tcMar>
              <w:top w:w="0" w:type="dxa"/>
              <w:left w:w="20" w:type="dxa"/>
              <w:bottom w:w="0" w:type="dxa"/>
              <w:right w:w="20" w:type="dxa"/>
            </w:tcMar>
            <w:vAlign w:val="bottom"/>
          </w:tcPr>
          <w:p w14:paraId="186013AA" w14:textId="77777777" w:rsidR="00A91885" w:rsidRDefault="00A91885">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186013AB" w14:textId="77777777" w:rsidR="00A91885" w:rsidRDefault="009C4196">
            <w:pPr>
              <w:jc w:val="center"/>
              <w:textAlignment w:val="bottom"/>
            </w:pPr>
            <w:r>
              <w:rPr>
                <w:rFonts w:ascii="Arial" w:eastAsia="宋体" w:hAnsi="Arial" w:cs="Arial"/>
                <w:b/>
                <w:bCs/>
                <w:color w:val="000000"/>
                <w:sz w:val="17"/>
                <w:szCs w:val="17"/>
              </w:rPr>
              <w:t>Amount of Gain (Loss) Reclassified From AOCI</w:t>
            </w:r>
          </w:p>
        </w:tc>
      </w:tr>
      <w:tr w:rsidR="00A91885" w14:paraId="186013B4" w14:textId="77777777">
        <w:trPr>
          <w:jc w:val="center"/>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3AD"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3AE" w14:textId="77777777" w:rsidR="00A91885" w:rsidRDefault="00A91885">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3AF"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3B0" w14:textId="77777777" w:rsidR="00A91885" w:rsidRDefault="00A9188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6013B1" w14:textId="77777777" w:rsidR="00A91885" w:rsidRDefault="009C4196">
            <w:pPr>
              <w:jc w:val="center"/>
              <w:textAlignment w:val="bottom"/>
            </w:pPr>
            <w:r>
              <w:rPr>
                <w:rFonts w:ascii="Arial" w:eastAsia="宋体" w:hAnsi="Arial" w:cs="Arial"/>
                <w:b/>
                <w:bCs/>
                <w:color w:val="000000"/>
                <w:sz w:val="17"/>
                <w:szCs w:val="17"/>
              </w:rPr>
              <w:t xml:space="preserve">Three Months </w:t>
            </w:r>
            <w:r>
              <w:rPr>
                <w:rFonts w:ascii="Arial" w:eastAsia="宋体" w:hAnsi="Arial" w:cs="Arial"/>
                <w:b/>
                <w:bCs/>
                <w:color w:val="000000"/>
                <w:sz w:val="17"/>
                <w:szCs w:val="17"/>
              </w:rPr>
              <w:t>Ended</w:t>
            </w:r>
            <w:r>
              <w:rPr>
                <w:rFonts w:ascii="Arial" w:eastAsia="宋体" w:hAnsi="Arial" w:cs="Arial"/>
                <w:b/>
                <w:bCs/>
                <w:color w:val="000000"/>
                <w:sz w:val="17"/>
                <w:szCs w:val="17"/>
              </w:rPr>
              <w:br/>
              <w:t>June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3B2" w14:textId="77777777" w:rsidR="00A91885" w:rsidRDefault="00A9188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6013B3"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6013C0" w14:textId="77777777">
        <w:trPr>
          <w:jc w:val="center"/>
        </w:trPr>
        <w:tc>
          <w:tcPr>
            <w:tcW w:w="0" w:type="auto"/>
            <w:gridSpan w:val="3"/>
            <w:shd w:val="clear" w:color="auto" w:fill="auto"/>
            <w:tcMar>
              <w:top w:w="0" w:type="dxa"/>
              <w:left w:w="20" w:type="dxa"/>
              <w:bottom w:w="0" w:type="dxa"/>
              <w:right w:w="20" w:type="dxa"/>
            </w:tcMar>
            <w:vAlign w:val="bottom"/>
          </w:tcPr>
          <w:p w14:paraId="186013B5"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3B6"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3B7"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3B8"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3B9"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3BA"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3BB"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3BC"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3BD"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3BE"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3BF"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6013CB" w14:textId="77777777">
        <w:trPr>
          <w:jc w:val="center"/>
        </w:trPr>
        <w:tc>
          <w:tcPr>
            <w:tcW w:w="0" w:type="auto"/>
            <w:gridSpan w:val="6"/>
            <w:shd w:val="clear" w:color="auto" w:fill="E1E1E1"/>
            <w:tcMar>
              <w:top w:w="40" w:type="dxa"/>
              <w:left w:w="20" w:type="dxa"/>
              <w:bottom w:w="40" w:type="dxa"/>
              <w:right w:w="20" w:type="dxa"/>
            </w:tcMar>
            <w:vAlign w:val="bottom"/>
          </w:tcPr>
          <w:p w14:paraId="186013C1" w14:textId="77777777" w:rsidR="00A91885" w:rsidRDefault="009C4196">
            <w:pPr>
              <w:textAlignment w:val="bottom"/>
            </w:pPr>
            <w:r>
              <w:rPr>
                <w:rFonts w:ascii="Arial" w:eastAsia="宋体" w:hAnsi="Arial" w:cs="Arial"/>
                <w:color w:val="000000"/>
                <w:sz w:val="18"/>
                <w:szCs w:val="18"/>
              </w:rPr>
              <w:t xml:space="preserve">Gains (losses) on cash flow hedges: </w:t>
            </w:r>
          </w:p>
        </w:tc>
        <w:tc>
          <w:tcPr>
            <w:tcW w:w="0" w:type="auto"/>
            <w:gridSpan w:val="3"/>
            <w:shd w:val="clear" w:color="auto" w:fill="E1E1E1"/>
            <w:tcMar>
              <w:top w:w="0" w:type="dxa"/>
              <w:left w:w="20" w:type="dxa"/>
              <w:bottom w:w="0" w:type="dxa"/>
              <w:right w:w="20" w:type="dxa"/>
            </w:tcMar>
            <w:vAlign w:val="bottom"/>
          </w:tcPr>
          <w:p w14:paraId="186013C2"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3C3" w14:textId="77777777" w:rsidR="00A91885" w:rsidRDefault="00A91885">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86013C4"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3C5" w14:textId="77777777" w:rsidR="00A91885" w:rsidRDefault="00A91885">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86013C6"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3C7" w14:textId="77777777" w:rsidR="00A91885" w:rsidRDefault="00A91885">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86013C8"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3C9" w14:textId="77777777" w:rsidR="00A91885" w:rsidRDefault="00A91885">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86013CA" w14:textId="77777777" w:rsidR="00A91885" w:rsidRDefault="00A91885">
            <w:pPr>
              <w:rPr>
                <w:rFonts w:ascii="宋体"/>
              </w:rPr>
            </w:pPr>
          </w:p>
        </w:tc>
      </w:tr>
      <w:tr w:rsidR="00A91885" w14:paraId="186013DF" w14:textId="77777777">
        <w:trPr>
          <w:jc w:val="center"/>
        </w:trPr>
        <w:tc>
          <w:tcPr>
            <w:tcW w:w="0" w:type="auto"/>
            <w:gridSpan w:val="3"/>
            <w:shd w:val="clear" w:color="auto" w:fill="FFFFFF"/>
            <w:tcMar>
              <w:top w:w="40" w:type="dxa"/>
              <w:left w:w="20" w:type="dxa"/>
              <w:bottom w:w="40" w:type="dxa"/>
              <w:right w:w="20" w:type="dxa"/>
            </w:tcMar>
            <w:vAlign w:val="bottom"/>
          </w:tcPr>
          <w:p w14:paraId="186013CC" w14:textId="77777777" w:rsidR="00A91885" w:rsidRDefault="009C4196">
            <w:pPr>
              <w:textAlignment w:val="bottom"/>
            </w:pPr>
            <w:r>
              <w:rPr>
                <w:rFonts w:ascii="Arial" w:eastAsia="宋体" w:hAnsi="Arial" w:cs="Arial"/>
                <w:color w:val="000000"/>
                <w:sz w:val="18"/>
                <w:szCs w:val="18"/>
              </w:rPr>
              <w:t>Foreign exchange contracts</w:t>
            </w:r>
          </w:p>
        </w:tc>
        <w:tc>
          <w:tcPr>
            <w:tcW w:w="0" w:type="auto"/>
            <w:gridSpan w:val="3"/>
            <w:shd w:val="clear" w:color="auto" w:fill="FFFFFF"/>
            <w:tcMar>
              <w:top w:w="0" w:type="dxa"/>
              <w:left w:w="20" w:type="dxa"/>
              <w:bottom w:w="0" w:type="dxa"/>
              <w:right w:w="20" w:type="dxa"/>
            </w:tcMar>
            <w:vAlign w:val="bottom"/>
          </w:tcPr>
          <w:p w14:paraId="186013CD"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13CE" w14:textId="77777777" w:rsidR="00A91885" w:rsidRDefault="009C4196">
            <w:pPr>
              <w:textAlignment w:val="bottom"/>
            </w:pPr>
            <w:r>
              <w:rPr>
                <w:rFonts w:ascii="Arial" w:eastAsia="宋体" w:hAnsi="Arial" w:cs="Arial"/>
                <w:color w:val="000000"/>
                <w:sz w:val="18"/>
                <w:szCs w:val="18"/>
              </w:rPr>
              <w:t>Net revenues</w:t>
            </w:r>
          </w:p>
        </w:tc>
        <w:tc>
          <w:tcPr>
            <w:tcW w:w="0" w:type="auto"/>
            <w:gridSpan w:val="3"/>
            <w:shd w:val="clear" w:color="auto" w:fill="FFFFFF"/>
            <w:tcMar>
              <w:top w:w="0" w:type="dxa"/>
              <w:left w:w="20" w:type="dxa"/>
              <w:bottom w:w="0" w:type="dxa"/>
              <w:right w:w="20" w:type="dxa"/>
            </w:tcMar>
            <w:vAlign w:val="bottom"/>
          </w:tcPr>
          <w:p w14:paraId="186013CF"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3D0"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3D1" w14:textId="77777777" w:rsidR="00A91885" w:rsidRDefault="009C4196">
            <w:pPr>
              <w:jc w:val="right"/>
              <w:textAlignment w:val="bottom"/>
            </w:pPr>
            <w:r>
              <w:rPr>
                <w:rFonts w:ascii="Arial" w:eastAsia="宋体" w:hAnsi="Arial" w:cs="Arial"/>
                <w:color w:val="000000"/>
                <w:sz w:val="18"/>
                <w:szCs w:val="18"/>
              </w:rPr>
              <w:t>9 </w:t>
            </w:r>
          </w:p>
        </w:tc>
        <w:tc>
          <w:tcPr>
            <w:tcW w:w="0" w:type="auto"/>
            <w:shd w:val="clear" w:color="auto" w:fill="FFFFFF"/>
            <w:tcMar>
              <w:top w:w="40" w:type="dxa"/>
              <w:left w:w="0" w:type="dxa"/>
              <w:bottom w:w="40" w:type="dxa"/>
              <w:right w:w="20" w:type="dxa"/>
            </w:tcMar>
            <w:vAlign w:val="bottom"/>
          </w:tcPr>
          <w:p w14:paraId="186013D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3D3"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3D4"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3D5" w14:textId="77777777" w:rsidR="00A91885" w:rsidRDefault="009C4196">
            <w:pPr>
              <w:jc w:val="right"/>
              <w:textAlignment w:val="bottom"/>
            </w:pPr>
            <w:r>
              <w:rPr>
                <w:rFonts w:ascii="Arial" w:eastAsia="宋体" w:hAnsi="Arial" w:cs="Arial"/>
                <w:color w:val="000000"/>
                <w:sz w:val="18"/>
                <w:szCs w:val="18"/>
              </w:rPr>
              <w:t>(18)</w:t>
            </w:r>
          </w:p>
        </w:tc>
        <w:tc>
          <w:tcPr>
            <w:tcW w:w="0" w:type="auto"/>
            <w:shd w:val="clear" w:color="auto" w:fill="FFFFFF"/>
            <w:tcMar>
              <w:top w:w="40" w:type="dxa"/>
              <w:left w:w="0" w:type="dxa"/>
              <w:bottom w:w="40" w:type="dxa"/>
              <w:right w:w="20" w:type="dxa"/>
            </w:tcMar>
            <w:vAlign w:val="bottom"/>
          </w:tcPr>
          <w:p w14:paraId="186013D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3D7"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3D8"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3D9" w14:textId="77777777" w:rsidR="00A91885" w:rsidRDefault="009C4196">
            <w:pPr>
              <w:jc w:val="right"/>
              <w:textAlignment w:val="bottom"/>
            </w:pPr>
            <w:r>
              <w:rPr>
                <w:rFonts w:ascii="Arial" w:eastAsia="宋体" w:hAnsi="Arial" w:cs="Arial"/>
                <w:color w:val="000000"/>
                <w:sz w:val="18"/>
                <w:szCs w:val="18"/>
              </w:rPr>
              <w:t>15 </w:t>
            </w:r>
          </w:p>
        </w:tc>
        <w:tc>
          <w:tcPr>
            <w:tcW w:w="0" w:type="auto"/>
            <w:shd w:val="clear" w:color="auto" w:fill="FFFFFF"/>
            <w:tcMar>
              <w:top w:w="40" w:type="dxa"/>
              <w:left w:w="0" w:type="dxa"/>
              <w:bottom w:w="40" w:type="dxa"/>
              <w:right w:w="20" w:type="dxa"/>
            </w:tcMar>
            <w:vAlign w:val="bottom"/>
          </w:tcPr>
          <w:p w14:paraId="186013D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3DB"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3DC"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3DD" w14:textId="77777777" w:rsidR="00A91885" w:rsidRDefault="009C4196">
            <w:pPr>
              <w:jc w:val="right"/>
              <w:textAlignment w:val="bottom"/>
            </w:pPr>
            <w:r>
              <w:rPr>
                <w:rFonts w:ascii="Arial" w:eastAsia="宋体" w:hAnsi="Arial" w:cs="Arial"/>
                <w:color w:val="000000"/>
                <w:sz w:val="18"/>
                <w:szCs w:val="18"/>
              </w:rPr>
              <w:t>(46)</w:t>
            </w:r>
          </w:p>
        </w:tc>
        <w:tc>
          <w:tcPr>
            <w:tcW w:w="0" w:type="auto"/>
            <w:shd w:val="clear" w:color="auto" w:fill="FFFFFF"/>
            <w:tcMar>
              <w:top w:w="40" w:type="dxa"/>
              <w:left w:w="0" w:type="dxa"/>
              <w:bottom w:w="40" w:type="dxa"/>
              <w:right w:w="20" w:type="dxa"/>
            </w:tcMar>
            <w:vAlign w:val="bottom"/>
          </w:tcPr>
          <w:p w14:paraId="186013DE" w14:textId="77777777" w:rsidR="00A91885" w:rsidRDefault="00A91885">
            <w:pPr>
              <w:jc w:val="right"/>
              <w:rPr>
                <w:rFonts w:ascii="宋体"/>
              </w:rPr>
            </w:pPr>
          </w:p>
        </w:tc>
      </w:tr>
      <w:tr w:rsidR="00A91885" w14:paraId="186013EF" w14:textId="77777777">
        <w:trPr>
          <w:jc w:val="center"/>
        </w:trPr>
        <w:tc>
          <w:tcPr>
            <w:tcW w:w="0" w:type="auto"/>
            <w:gridSpan w:val="3"/>
            <w:shd w:val="clear" w:color="auto" w:fill="E1E1E1"/>
            <w:tcMar>
              <w:top w:w="40" w:type="dxa"/>
              <w:left w:w="20" w:type="dxa"/>
              <w:bottom w:w="40" w:type="dxa"/>
              <w:right w:w="20" w:type="dxa"/>
            </w:tcMar>
            <w:vAlign w:val="bottom"/>
          </w:tcPr>
          <w:p w14:paraId="186013E0" w14:textId="77777777" w:rsidR="00A91885" w:rsidRDefault="009C4196">
            <w:pPr>
              <w:textAlignment w:val="bottom"/>
            </w:pPr>
            <w:r>
              <w:rPr>
                <w:rFonts w:ascii="Arial" w:eastAsia="宋体" w:hAnsi="Arial" w:cs="Arial"/>
                <w:color w:val="000000"/>
                <w:sz w:val="18"/>
                <w:szCs w:val="18"/>
              </w:rPr>
              <w:t>Foreign exchange contracts</w:t>
            </w:r>
          </w:p>
        </w:tc>
        <w:tc>
          <w:tcPr>
            <w:tcW w:w="0" w:type="auto"/>
            <w:gridSpan w:val="3"/>
            <w:shd w:val="clear" w:color="auto" w:fill="E1E1E1"/>
            <w:tcMar>
              <w:top w:w="0" w:type="dxa"/>
              <w:left w:w="20" w:type="dxa"/>
              <w:bottom w:w="0" w:type="dxa"/>
              <w:right w:w="20" w:type="dxa"/>
            </w:tcMar>
            <w:vAlign w:val="bottom"/>
          </w:tcPr>
          <w:p w14:paraId="186013E1" w14:textId="77777777" w:rsidR="00A91885" w:rsidRDefault="00A91885">
            <w:pPr>
              <w:rPr>
                <w:rFonts w:ascii="宋体"/>
              </w:rPr>
            </w:pPr>
          </w:p>
        </w:tc>
        <w:tc>
          <w:tcPr>
            <w:tcW w:w="0" w:type="auto"/>
            <w:gridSpan w:val="3"/>
            <w:shd w:val="clear" w:color="auto" w:fill="E1E1E1"/>
            <w:tcMar>
              <w:top w:w="40" w:type="dxa"/>
              <w:left w:w="20" w:type="dxa"/>
              <w:bottom w:w="40" w:type="dxa"/>
              <w:right w:w="20" w:type="dxa"/>
            </w:tcMar>
            <w:vAlign w:val="bottom"/>
          </w:tcPr>
          <w:p w14:paraId="186013E2" w14:textId="77777777" w:rsidR="00A91885" w:rsidRDefault="009C4196">
            <w:pPr>
              <w:textAlignment w:val="bottom"/>
            </w:pPr>
            <w:r>
              <w:rPr>
                <w:rFonts w:ascii="Arial" w:eastAsia="宋体" w:hAnsi="Arial" w:cs="Arial"/>
                <w:color w:val="000000"/>
                <w:sz w:val="18"/>
                <w:szCs w:val="18"/>
              </w:rPr>
              <w:t>Cost of net revenues</w:t>
            </w:r>
          </w:p>
        </w:tc>
        <w:tc>
          <w:tcPr>
            <w:tcW w:w="0" w:type="auto"/>
            <w:gridSpan w:val="3"/>
            <w:shd w:val="clear" w:color="auto" w:fill="E1E1E1"/>
            <w:tcMar>
              <w:top w:w="0" w:type="dxa"/>
              <w:left w:w="20" w:type="dxa"/>
              <w:bottom w:w="0" w:type="dxa"/>
              <w:right w:w="20" w:type="dxa"/>
            </w:tcMar>
            <w:vAlign w:val="bottom"/>
          </w:tcPr>
          <w:p w14:paraId="186013E3"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3E4"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6013E5"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3E6"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3E7"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E1E1E1"/>
            <w:tcMar>
              <w:top w:w="40" w:type="dxa"/>
              <w:left w:w="0" w:type="dxa"/>
              <w:bottom w:w="40" w:type="dxa"/>
              <w:right w:w="20" w:type="dxa"/>
            </w:tcMar>
            <w:vAlign w:val="bottom"/>
          </w:tcPr>
          <w:p w14:paraId="186013E8"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3E9"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3EA"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1E1E1"/>
            <w:tcMar>
              <w:top w:w="40" w:type="dxa"/>
              <w:left w:w="0" w:type="dxa"/>
              <w:bottom w:w="40" w:type="dxa"/>
              <w:right w:w="20" w:type="dxa"/>
            </w:tcMar>
            <w:vAlign w:val="bottom"/>
          </w:tcPr>
          <w:p w14:paraId="186013EB"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3EC"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3ED"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E1E1E1"/>
            <w:tcMar>
              <w:top w:w="40" w:type="dxa"/>
              <w:left w:w="0" w:type="dxa"/>
              <w:bottom w:w="40" w:type="dxa"/>
              <w:right w:w="20" w:type="dxa"/>
            </w:tcMar>
            <w:vAlign w:val="bottom"/>
          </w:tcPr>
          <w:p w14:paraId="186013EE" w14:textId="77777777" w:rsidR="00A91885" w:rsidRDefault="00A91885">
            <w:pPr>
              <w:jc w:val="right"/>
              <w:rPr>
                <w:rFonts w:ascii="宋体"/>
              </w:rPr>
            </w:pPr>
          </w:p>
        </w:tc>
      </w:tr>
      <w:tr w:rsidR="00A91885" w14:paraId="186013FB" w14:textId="77777777">
        <w:trPr>
          <w:jc w:val="center"/>
          <w:hidden/>
        </w:trPr>
        <w:tc>
          <w:tcPr>
            <w:tcW w:w="0" w:type="auto"/>
            <w:gridSpan w:val="3"/>
            <w:shd w:val="clear" w:color="auto" w:fill="auto"/>
            <w:vAlign w:val="bottom"/>
          </w:tcPr>
          <w:p w14:paraId="186013F0" w14:textId="77777777" w:rsidR="00A91885" w:rsidRDefault="00A91885">
            <w:pPr>
              <w:rPr>
                <w:rFonts w:ascii="宋体"/>
                <w:vanish/>
              </w:rPr>
            </w:pPr>
          </w:p>
        </w:tc>
        <w:tc>
          <w:tcPr>
            <w:tcW w:w="0" w:type="auto"/>
            <w:gridSpan w:val="3"/>
            <w:shd w:val="clear" w:color="auto" w:fill="auto"/>
            <w:vAlign w:val="bottom"/>
          </w:tcPr>
          <w:p w14:paraId="186013F1" w14:textId="77777777" w:rsidR="00A91885" w:rsidRDefault="00A91885">
            <w:pPr>
              <w:rPr>
                <w:rFonts w:ascii="宋体"/>
                <w:vanish/>
              </w:rPr>
            </w:pPr>
          </w:p>
        </w:tc>
        <w:tc>
          <w:tcPr>
            <w:tcW w:w="0" w:type="auto"/>
            <w:gridSpan w:val="3"/>
            <w:shd w:val="clear" w:color="auto" w:fill="auto"/>
            <w:vAlign w:val="bottom"/>
          </w:tcPr>
          <w:p w14:paraId="186013F2" w14:textId="77777777" w:rsidR="00A91885" w:rsidRDefault="00A91885">
            <w:pPr>
              <w:rPr>
                <w:rFonts w:ascii="宋体"/>
                <w:vanish/>
              </w:rPr>
            </w:pPr>
          </w:p>
        </w:tc>
        <w:tc>
          <w:tcPr>
            <w:tcW w:w="0" w:type="auto"/>
            <w:gridSpan w:val="3"/>
            <w:shd w:val="clear" w:color="auto" w:fill="auto"/>
            <w:vAlign w:val="bottom"/>
          </w:tcPr>
          <w:p w14:paraId="186013F3" w14:textId="77777777" w:rsidR="00A91885" w:rsidRDefault="00A91885">
            <w:pPr>
              <w:rPr>
                <w:rFonts w:ascii="宋体"/>
                <w:vanish/>
              </w:rPr>
            </w:pPr>
          </w:p>
        </w:tc>
        <w:tc>
          <w:tcPr>
            <w:tcW w:w="0" w:type="auto"/>
            <w:gridSpan w:val="3"/>
            <w:shd w:val="clear" w:color="auto" w:fill="auto"/>
            <w:vAlign w:val="bottom"/>
          </w:tcPr>
          <w:p w14:paraId="186013F4" w14:textId="77777777" w:rsidR="00A91885" w:rsidRDefault="00A91885">
            <w:pPr>
              <w:rPr>
                <w:rFonts w:ascii="宋体"/>
                <w:vanish/>
              </w:rPr>
            </w:pPr>
          </w:p>
        </w:tc>
        <w:tc>
          <w:tcPr>
            <w:tcW w:w="0" w:type="auto"/>
            <w:gridSpan w:val="3"/>
            <w:shd w:val="clear" w:color="auto" w:fill="auto"/>
            <w:vAlign w:val="bottom"/>
          </w:tcPr>
          <w:p w14:paraId="186013F5" w14:textId="77777777" w:rsidR="00A91885" w:rsidRDefault="00A91885">
            <w:pPr>
              <w:rPr>
                <w:rFonts w:ascii="宋体"/>
                <w:vanish/>
              </w:rPr>
            </w:pPr>
          </w:p>
        </w:tc>
        <w:tc>
          <w:tcPr>
            <w:tcW w:w="0" w:type="auto"/>
            <w:gridSpan w:val="3"/>
            <w:shd w:val="clear" w:color="auto" w:fill="auto"/>
            <w:vAlign w:val="bottom"/>
          </w:tcPr>
          <w:p w14:paraId="186013F6" w14:textId="77777777" w:rsidR="00A91885" w:rsidRDefault="00A91885">
            <w:pPr>
              <w:rPr>
                <w:rFonts w:ascii="宋体"/>
                <w:vanish/>
              </w:rPr>
            </w:pPr>
          </w:p>
        </w:tc>
        <w:tc>
          <w:tcPr>
            <w:tcW w:w="0" w:type="auto"/>
            <w:gridSpan w:val="3"/>
            <w:shd w:val="clear" w:color="auto" w:fill="auto"/>
            <w:vAlign w:val="bottom"/>
          </w:tcPr>
          <w:p w14:paraId="186013F7" w14:textId="77777777" w:rsidR="00A91885" w:rsidRDefault="00A91885">
            <w:pPr>
              <w:rPr>
                <w:rFonts w:ascii="宋体"/>
                <w:vanish/>
              </w:rPr>
            </w:pPr>
          </w:p>
        </w:tc>
        <w:tc>
          <w:tcPr>
            <w:tcW w:w="0" w:type="auto"/>
            <w:gridSpan w:val="3"/>
            <w:shd w:val="clear" w:color="auto" w:fill="auto"/>
            <w:vAlign w:val="bottom"/>
          </w:tcPr>
          <w:p w14:paraId="186013F8" w14:textId="77777777" w:rsidR="00A91885" w:rsidRDefault="00A91885">
            <w:pPr>
              <w:rPr>
                <w:rFonts w:ascii="宋体"/>
                <w:vanish/>
              </w:rPr>
            </w:pPr>
          </w:p>
        </w:tc>
        <w:tc>
          <w:tcPr>
            <w:tcW w:w="0" w:type="auto"/>
            <w:gridSpan w:val="3"/>
            <w:shd w:val="clear" w:color="auto" w:fill="auto"/>
            <w:vAlign w:val="bottom"/>
          </w:tcPr>
          <w:p w14:paraId="186013F9" w14:textId="77777777" w:rsidR="00A91885" w:rsidRDefault="00A91885">
            <w:pPr>
              <w:rPr>
                <w:rFonts w:ascii="宋体"/>
                <w:vanish/>
              </w:rPr>
            </w:pPr>
          </w:p>
        </w:tc>
        <w:tc>
          <w:tcPr>
            <w:tcW w:w="0" w:type="auto"/>
            <w:gridSpan w:val="3"/>
            <w:shd w:val="clear" w:color="auto" w:fill="auto"/>
            <w:vAlign w:val="bottom"/>
          </w:tcPr>
          <w:p w14:paraId="186013FA" w14:textId="77777777" w:rsidR="00A91885" w:rsidRDefault="00A91885">
            <w:pPr>
              <w:rPr>
                <w:rFonts w:ascii="宋体"/>
                <w:vanish/>
              </w:rPr>
            </w:pPr>
          </w:p>
        </w:tc>
      </w:tr>
      <w:tr w:rsidR="00A91885" w14:paraId="18601407" w14:textId="77777777">
        <w:trPr>
          <w:jc w:val="center"/>
          <w:hidden/>
        </w:trPr>
        <w:tc>
          <w:tcPr>
            <w:tcW w:w="0" w:type="auto"/>
            <w:gridSpan w:val="3"/>
            <w:shd w:val="clear" w:color="auto" w:fill="auto"/>
            <w:vAlign w:val="bottom"/>
          </w:tcPr>
          <w:p w14:paraId="186013FC" w14:textId="77777777" w:rsidR="00A91885" w:rsidRDefault="00A91885">
            <w:pPr>
              <w:rPr>
                <w:rFonts w:ascii="宋体"/>
                <w:vanish/>
              </w:rPr>
            </w:pPr>
          </w:p>
        </w:tc>
        <w:tc>
          <w:tcPr>
            <w:tcW w:w="0" w:type="auto"/>
            <w:gridSpan w:val="3"/>
            <w:shd w:val="clear" w:color="auto" w:fill="auto"/>
            <w:vAlign w:val="bottom"/>
          </w:tcPr>
          <w:p w14:paraId="186013FD" w14:textId="77777777" w:rsidR="00A91885" w:rsidRDefault="00A91885">
            <w:pPr>
              <w:rPr>
                <w:rFonts w:ascii="宋体"/>
                <w:vanish/>
              </w:rPr>
            </w:pPr>
          </w:p>
        </w:tc>
        <w:tc>
          <w:tcPr>
            <w:tcW w:w="0" w:type="auto"/>
            <w:gridSpan w:val="3"/>
            <w:shd w:val="clear" w:color="auto" w:fill="auto"/>
            <w:vAlign w:val="bottom"/>
          </w:tcPr>
          <w:p w14:paraId="186013FE" w14:textId="77777777" w:rsidR="00A91885" w:rsidRDefault="00A91885">
            <w:pPr>
              <w:rPr>
                <w:rFonts w:ascii="宋体"/>
                <w:vanish/>
              </w:rPr>
            </w:pPr>
          </w:p>
        </w:tc>
        <w:tc>
          <w:tcPr>
            <w:tcW w:w="0" w:type="auto"/>
            <w:gridSpan w:val="3"/>
            <w:shd w:val="clear" w:color="auto" w:fill="auto"/>
            <w:vAlign w:val="bottom"/>
          </w:tcPr>
          <w:p w14:paraId="186013FF" w14:textId="77777777" w:rsidR="00A91885" w:rsidRDefault="00A91885">
            <w:pPr>
              <w:rPr>
                <w:rFonts w:ascii="宋体"/>
                <w:vanish/>
              </w:rPr>
            </w:pPr>
          </w:p>
        </w:tc>
        <w:tc>
          <w:tcPr>
            <w:tcW w:w="0" w:type="auto"/>
            <w:gridSpan w:val="3"/>
            <w:shd w:val="clear" w:color="auto" w:fill="auto"/>
            <w:vAlign w:val="bottom"/>
          </w:tcPr>
          <w:p w14:paraId="18601400" w14:textId="77777777" w:rsidR="00A91885" w:rsidRDefault="00A91885">
            <w:pPr>
              <w:rPr>
                <w:rFonts w:ascii="宋体"/>
                <w:vanish/>
              </w:rPr>
            </w:pPr>
          </w:p>
        </w:tc>
        <w:tc>
          <w:tcPr>
            <w:tcW w:w="0" w:type="auto"/>
            <w:gridSpan w:val="3"/>
            <w:shd w:val="clear" w:color="auto" w:fill="auto"/>
            <w:vAlign w:val="bottom"/>
          </w:tcPr>
          <w:p w14:paraId="18601401" w14:textId="77777777" w:rsidR="00A91885" w:rsidRDefault="00A91885">
            <w:pPr>
              <w:rPr>
                <w:rFonts w:ascii="宋体"/>
                <w:vanish/>
              </w:rPr>
            </w:pPr>
          </w:p>
        </w:tc>
        <w:tc>
          <w:tcPr>
            <w:tcW w:w="0" w:type="auto"/>
            <w:gridSpan w:val="3"/>
            <w:shd w:val="clear" w:color="auto" w:fill="auto"/>
            <w:vAlign w:val="bottom"/>
          </w:tcPr>
          <w:p w14:paraId="18601402" w14:textId="77777777" w:rsidR="00A91885" w:rsidRDefault="00A91885">
            <w:pPr>
              <w:rPr>
                <w:rFonts w:ascii="宋体"/>
                <w:vanish/>
              </w:rPr>
            </w:pPr>
          </w:p>
        </w:tc>
        <w:tc>
          <w:tcPr>
            <w:tcW w:w="0" w:type="auto"/>
            <w:gridSpan w:val="3"/>
            <w:shd w:val="clear" w:color="auto" w:fill="auto"/>
            <w:vAlign w:val="bottom"/>
          </w:tcPr>
          <w:p w14:paraId="18601403" w14:textId="77777777" w:rsidR="00A91885" w:rsidRDefault="00A91885">
            <w:pPr>
              <w:rPr>
                <w:rFonts w:ascii="宋体"/>
                <w:vanish/>
              </w:rPr>
            </w:pPr>
          </w:p>
        </w:tc>
        <w:tc>
          <w:tcPr>
            <w:tcW w:w="0" w:type="auto"/>
            <w:gridSpan w:val="3"/>
            <w:shd w:val="clear" w:color="auto" w:fill="auto"/>
            <w:vAlign w:val="bottom"/>
          </w:tcPr>
          <w:p w14:paraId="18601404" w14:textId="77777777" w:rsidR="00A91885" w:rsidRDefault="00A91885">
            <w:pPr>
              <w:rPr>
                <w:rFonts w:ascii="宋体"/>
                <w:vanish/>
              </w:rPr>
            </w:pPr>
          </w:p>
        </w:tc>
        <w:tc>
          <w:tcPr>
            <w:tcW w:w="0" w:type="auto"/>
            <w:gridSpan w:val="3"/>
            <w:shd w:val="clear" w:color="auto" w:fill="auto"/>
            <w:vAlign w:val="bottom"/>
          </w:tcPr>
          <w:p w14:paraId="18601405" w14:textId="77777777" w:rsidR="00A91885" w:rsidRDefault="00A91885">
            <w:pPr>
              <w:rPr>
                <w:rFonts w:ascii="宋体"/>
                <w:vanish/>
              </w:rPr>
            </w:pPr>
          </w:p>
        </w:tc>
        <w:tc>
          <w:tcPr>
            <w:tcW w:w="0" w:type="auto"/>
            <w:gridSpan w:val="3"/>
            <w:shd w:val="clear" w:color="auto" w:fill="auto"/>
            <w:vAlign w:val="bottom"/>
          </w:tcPr>
          <w:p w14:paraId="18601406" w14:textId="77777777" w:rsidR="00A91885" w:rsidRDefault="00A91885">
            <w:pPr>
              <w:rPr>
                <w:rFonts w:ascii="宋体"/>
                <w:vanish/>
              </w:rPr>
            </w:pPr>
          </w:p>
        </w:tc>
      </w:tr>
      <w:tr w:rsidR="00A91885" w14:paraId="18601413" w14:textId="77777777">
        <w:trPr>
          <w:jc w:val="center"/>
          <w:hidden/>
        </w:trPr>
        <w:tc>
          <w:tcPr>
            <w:tcW w:w="0" w:type="auto"/>
            <w:gridSpan w:val="3"/>
            <w:shd w:val="clear" w:color="auto" w:fill="auto"/>
            <w:vAlign w:val="bottom"/>
          </w:tcPr>
          <w:p w14:paraId="18601408" w14:textId="77777777" w:rsidR="00A91885" w:rsidRDefault="00A91885">
            <w:pPr>
              <w:rPr>
                <w:rFonts w:ascii="宋体"/>
                <w:vanish/>
              </w:rPr>
            </w:pPr>
          </w:p>
        </w:tc>
        <w:tc>
          <w:tcPr>
            <w:tcW w:w="0" w:type="auto"/>
            <w:gridSpan w:val="3"/>
            <w:shd w:val="clear" w:color="auto" w:fill="auto"/>
            <w:vAlign w:val="bottom"/>
          </w:tcPr>
          <w:p w14:paraId="18601409" w14:textId="77777777" w:rsidR="00A91885" w:rsidRDefault="00A91885">
            <w:pPr>
              <w:rPr>
                <w:rFonts w:ascii="宋体"/>
                <w:vanish/>
              </w:rPr>
            </w:pPr>
          </w:p>
        </w:tc>
        <w:tc>
          <w:tcPr>
            <w:tcW w:w="0" w:type="auto"/>
            <w:gridSpan w:val="3"/>
            <w:shd w:val="clear" w:color="auto" w:fill="auto"/>
            <w:vAlign w:val="bottom"/>
          </w:tcPr>
          <w:p w14:paraId="1860140A" w14:textId="77777777" w:rsidR="00A91885" w:rsidRDefault="00A91885">
            <w:pPr>
              <w:rPr>
                <w:rFonts w:ascii="宋体"/>
                <w:vanish/>
              </w:rPr>
            </w:pPr>
          </w:p>
        </w:tc>
        <w:tc>
          <w:tcPr>
            <w:tcW w:w="0" w:type="auto"/>
            <w:gridSpan w:val="3"/>
            <w:shd w:val="clear" w:color="auto" w:fill="auto"/>
            <w:vAlign w:val="bottom"/>
          </w:tcPr>
          <w:p w14:paraId="1860140B" w14:textId="77777777" w:rsidR="00A91885" w:rsidRDefault="00A91885">
            <w:pPr>
              <w:rPr>
                <w:rFonts w:ascii="宋体"/>
                <w:vanish/>
              </w:rPr>
            </w:pPr>
          </w:p>
        </w:tc>
        <w:tc>
          <w:tcPr>
            <w:tcW w:w="0" w:type="auto"/>
            <w:gridSpan w:val="3"/>
            <w:shd w:val="clear" w:color="auto" w:fill="auto"/>
            <w:vAlign w:val="bottom"/>
          </w:tcPr>
          <w:p w14:paraId="1860140C" w14:textId="77777777" w:rsidR="00A91885" w:rsidRDefault="00A91885">
            <w:pPr>
              <w:rPr>
                <w:rFonts w:ascii="宋体"/>
                <w:vanish/>
              </w:rPr>
            </w:pPr>
          </w:p>
        </w:tc>
        <w:tc>
          <w:tcPr>
            <w:tcW w:w="0" w:type="auto"/>
            <w:gridSpan w:val="3"/>
            <w:shd w:val="clear" w:color="auto" w:fill="auto"/>
            <w:vAlign w:val="bottom"/>
          </w:tcPr>
          <w:p w14:paraId="1860140D" w14:textId="77777777" w:rsidR="00A91885" w:rsidRDefault="00A91885">
            <w:pPr>
              <w:rPr>
                <w:rFonts w:ascii="宋体"/>
                <w:vanish/>
              </w:rPr>
            </w:pPr>
          </w:p>
        </w:tc>
        <w:tc>
          <w:tcPr>
            <w:tcW w:w="0" w:type="auto"/>
            <w:gridSpan w:val="3"/>
            <w:shd w:val="clear" w:color="auto" w:fill="auto"/>
            <w:vAlign w:val="bottom"/>
          </w:tcPr>
          <w:p w14:paraId="1860140E" w14:textId="77777777" w:rsidR="00A91885" w:rsidRDefault="00A91885">
            <w:pPr>
              <w:rPr>
                <w:rFonts w:ascii="宋体"/>
                <w:vanish/>
              </w:rPr>
            </w:pPr>
          </w:p>
        </w:tc>
        <w:tc>
          <w:tcPr>
            <w:tcW w:w="0" w:type="auto"/>
            <w:gridSpan w:val="3"/>
            <w:shd w:val="clear" w:color="auto" w:fill="auto"/>
            <w:vAlign w:val="bottom"/>
          </w:tcPr>
          <w:p w14:paraId="1860140F" w14:textId="77777777" w:rsidR="00A91885" w:rsidRDefault="00A91885">
            <w:pPr>
              <w:rPr>
                <w:rFonts w:ascii="宋体"/>
                <w:vanish/>
              </w:rPr>
            </w:pPr>
          </w:p>
        </w:tc>
        <w:tc>
          <w:tcPr>
            <w:tcW w:w="0" w:type="auto"/>
            <w:gridSpan w:val="3"/>
            <w:shd w:val="clear" w:color="auto" w:fill="auto"/>
            <w:vAlign w:val="bottom"/>
          </w:tcPr>
          <w:p w14:paraId="18601410" w14:textId="77777777" w:rsidR="00A91885" w:rsidRDefault="00A91885">
            <w:pPr>
              <w:rPr>
                <w:rFonts w:ascii="宋体"/>
                <w:vanish/>
              </w:rPr>
            </w:pPr>
          </w:p>
        </w:tc>
        <w:tc>
          <w:tcPr>
            <w:tcW w:w="0" w:type="auto"/>
            <w:gridSpan w:val="3"/>
            <w:shd w:val="clear" w:color="auto" w:fill="auto"/>
            <w:vAlign w:val="bottom"/>
          </w:tcPr>
          <w:p w14:paraId="18601411" w14:textId="77777777" w:rsidR="00A91885" w:rsidRDefault="00A91885">
            <w:pPr>
              <w:rPr>
                <w:rFonts w:ascii="宋体"/>
                <w:vanish/>
              </w:rPr>
            </w:pPr>
          </w:p>
        </w:tc>
        <w:tc>
          <w:tcPr>
            <w:tcW w:w="0" w:type="auto"/>
            <w:gridSpan w:val="3"/>
            <w:shd w:val="clear" w:color="auto" w:fill="auto"/>
            <w:vAlign w:val="bottom"/>
          </w:tcPr>
          <w:p w14:paraId="18601412" w14:textId="77777777" w:rsidR="00A91885" w:rsidRDefault="00A91885">
            <w:pPr>
              <w:rPr>
                <w:rFonts w:ascii="宋体"/>
                <w:vanish/>
              </w:rPr>
            </w:pPr>
          </w:p>
        </w:tc>
      </w:tr>
      <w:tr w:rsidR="00A91885" w14:paraId="18601423" w14:textId="77777777">
        <w:trPr>
          <w:jc w:val="center"/>
        </w:trPr>
        <w:tc>
          <w:tcPr>
            <w:tcW w:w="0" w:type="auto"/>
            <w:gridSpan w:val="3"/>
            <w:shd w:val="clear" w:color="auto" w:fill="FFFFFF"/>
            <w:tcMar>
              <w:top w:w="40" w:type="dxa"/>
              <w:left w:w="20" w:type="dxa"/>
              <w:bottom w:w="40" w:type="dxa"/>
              <w:right w:w="20" w:type="dxa"/>
            </w:tcMar>
            <w:vAlign w:val="bottom"/>
          </w:tcPr>
          <w:p w14:paraId="18601414" w14:textId="77777777" w:rsidR="00A91885" w:rsidRDefault="009C4196">
            <w:pPr>
              <w:textAlignment w:val="bottom"/>
            </w:pPr>
            <w:r>
              <w:rPr>
                <w:rFonts w:ascii="Arial" w:eastAsia="宋体" w:hAnsi="Arial" w:cs="Arial"/>
                <w:color w:val="000000"/>
                <w:sz w:val="18"/>
                <w:szCs w:val="18"/>
              </w:rPr>
              <w:t>Interest rate contracts</w:t>
            </w:r>
          </w:p>
        </w:tc>
        <w:tc>
          <w:tcPr>
            <w:tcW w:w="0" w:type="auto"/>
            <w:gridSpan w:val="3"/>
            <w:shd w:val="clear" w:color="auto" w:fill="FFFFFF"/>
            <w:tcMar>
              <w:top w:w="0" w:type="dxa"/>
              <w:left w:w="20" w:type="dxa"/>
              <w:bottom w:w="0" w:type="dxa"/>
              <w:right w:w="20" w:type="dxa"/>
            </w:tcMar>
            <w:vAlign w:val="bottom"/>
          </w:tcPr>
          <w:p w14:paraId="18601415"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1416" w14:textId="77777777" w:rsidR="00A91885" w:rsidRDefault="009C4196">
            <w:pPr>
              <w:textAlignment w:val="bottom"/>
            </w:pPr>
            <w:r>
              <w:rPr>
                <w:rFonts w:ascii="Arial" w:eastAsia="宋体" w:hAnsi="Arial" w:cs="Arial"/>
                <w:color w:val="000000"/>
                <w:sz w:val="18"/>
                <w:szCs w:val="18"/>
              </w:rPr>
              <w:t>Interest and other, net</w:t>
            </w:r>
          </w:p>
        </w:tc>
        <w:tc>
          <w:tcPr>
            <w:tcW w:w="0" w:type="auto"/>
            <w:gridSpan w:val="3"/>
            <w:shd w:val="clear" w:color="auto" w:fill="FFFFFF"/>
            <w:tcMar>
              <w:top w:w="0" w:type="dxa"/>
              <w:left w:w="20" w:type="dxa"/>
              <w:bottom w:w="0" w:type="dxa"/>
              <w:right w:w="20" w:type="dxa"/>
            </w:tcMar>
            <w:vAlign w:val="bottom"/>
          </w:tcPr>
          <w:p w14:paraId="1860141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418"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1860141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41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41B"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FFFFFF"/>
            <w:tcMar>
              <w:top w:w="40" w:type="dxa"/>
              <w:left w:w="0" w:type="dxa"/>
              <w:bottom w:w="40" w:type="dxa"/>
              <w:right w:w="20" w:type="dxa"/>
            </w:tcMar>
            <w:vAlign w:val="bottom"/>
          </w:tcPr>
          <w:p w14:paraId="1860141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41D"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41E" w14:textId="77777777" w:rsidR="00A91885" w:rsidRDefault="009C4196">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1860141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420"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421"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1422" w14:textId="77777777" w:rsidR="00A91885" w:rsidRDefault="00A91885">
            <w:pPr>
              <w:jc w:val="right"/>
              <w:rPr>
                <w:rFonts w:ascii="宋体"/>
              </w:rPr>
            </w:pPr>
          </w:p>
        </w:tc>
      </w:tr>
      <w:tr w:rsidR="00A91885" w14:paraId="18601433" w14:textId="77777777">
        <w:trPr>
          <w:jc w:val="center"/>
        </w:trPr>
        <w:tc>
          <w:tcPr>
            <w:tcW w:w="0" w:type="auto"/>
            <w:gridSpan w:val="3"/>
            <w:shd w:val="clear" w:color="auto" w:fill="E1E1E1"/>
            <w:tcMar>
              <w:top w:w="0" w:type="dxa"/>
              <w:left w:w="20" w:type="dxa"/>
              <w:bottom w:w="0" w:type="dxa"/>
              <w:right w:w="20" w:type="dxa"/>
            </w:tcMar>
            <w:vAlign w:val="bottom"/>
          </w:tcPr>
          <w:p w14:paraId="18601424"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425" w14:textId="77777777" w:rsidR="00A91885" w:rsidRDefault="00A91885">
            <w:pPr>
              <w:rPr>
                <w:rFonts w:ascii="宋体"/>
              </w:rPr>
            </w:pPr>
          </w:p>
        </w:tc>
        <w:tc>
          <w:tcPr>
            <w:tcW w:w="0" w:type="auto"/>
            <w:gridSpan w:val="3"/>
            <w:shd w:val="clear" w:color="auto" w:fill="E1E1E1"/>
            <w:tcMar>
              <w:top w:w="40" w:type="dxa"/>
              <w:left w:w="20" w:type="dxa"/>
              <w:bottom w:w="40" w:type="dxa"/>
              <w:right w:w="20" w:type="dxa"/>
            </w:tcMar>
            <w:vAlign w:val="bottom"/>
          </w:tcPr>
          <w:p w14:paraId="18601426" w14:textId="77777777" w:rsidR="00A91885" w:rsidRDefault="009C4196">
            <w:pPr>
              <w:textAlignment w:val="bottom"/>
            </w:pPr>
            <w:r>
              <w:rPr>
                <w:rFonts w:ascii="Arial" w:eastAsia="宋体" w:hAnsi="Arial" w:cs="Arial"/>
                <w:color w:val="000000"/>
                <w:sz w:val="18"/>
                <w:szCs w:val="18"/>
              </w:rPr>
              <w:t>Total, from continuing operations before income taxes</w:t>
            </w:r>
          </w:p>
        </w:tc>
        <w:tc>
          <w:tcPr>
            <w:tcW w:w="0" w:type="auto"/>
            <w:gridSpan w:val="3"/>
            <w:shd w:val="clear" w:color="auto" w:fill="E1E1E1"/>
            <w:tcMar>
              <w:top w:w="0" w:type="dxa"/>
              <w:left w:w="20" w:type="dxa"/>
              <w:bottom w:w="0" w:type="dxa"/>
              <w:right w:w="20" w:type="dxa"/>
            </w:tcMar>
            <w:vAlign w:val="bottom"/>
          </w:tcPr>
          <w:p w14:paraId="18601427"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601428" w14:textId="77777777" w:rsidR="00A91885" w:rsidRDefault="009C4196">
            <w:pPr>
              <w:jc w:val="right"/>
              <w:textAlignment w:val="bottom"/>
            </w:pPr>
            <w:r>
              <w:rPr>
                <w:rFonts w:ascii="Arial" w:eastAsia="宋体" w:hAnsi="Arial" w:cs="Arial"/>
                <w:color w:val="000000"/>
                <w:sz w:val="18"/>
                <w:szCs w:val="18"/>
              </w:rPr>
              <w:t>7 </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429"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42A"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60142B" w14:textId="77777777" w:rsidR="00A91885" w:rsidRDefault="009C4196">
            <w:pPr>
              <w:jc w:val="right"/>
              <w:textAlignment w:val="bottom"/>
            </w:pPr>
            <w:r>
              <w:rPr>
                <w:rFonts w:ascii="Arial" w:eastAsia="宋体" w:hAnsi="Arial" w:cs="Arial"/>
                <w:color w:val="000000"/>
                <w:sz w:val="18"/>
                <w:szCs w:val="18"/>
              </w:rPr>
              <w:t>(16)</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42C"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42D"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60142E" w14:textId="77777777" w:rsidR="00A91885" w:rsidRDefault="009C4196">
            <w:pPr>
              <w:jc w:val="right"/>
              <w:textAlignment w:val="bottom"/>
            </w:pPr>
            <w:r>
              <w:rPr>
                <w:rFonts w:ascii="Arial" w:eastAsia="宋体" w:hAnsi="Arial" w:cs="Arial"/>
                <w:color w:val="000000"/>
                <w:sz w:val="18"/>
                <w:szCs w:val="18"/>
              </w:rPr>
              <w:t>14 </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42F"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430"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601431" w14:textId="77777777" w:rsidR="00A91885" w:rsidRDefault="009C4196">
            <w:pPr>
              <w:jc w:val="right"/>
              <w:textAlignment w:val="bottom"/>
            </w:pPr>
            <w:r>
              <w:rPr>
                <w:rFonts w:ascii="Arial" w:eastAsia="宋体" w:hAnsi="Arial" w:cs="Arial"/>
                <w:color w:val="000000"/>
                <w:sz w:val="18"/>
                <w:szCs w:val="18"/>
              </w:rPr>
              <w:t>(44)</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432" w14:textId="77777777" w:rsidR="00A91885" w:rsidRDefault="00A91885">
            <w:pPr>
              <w:jc w:val="right"/>
              <w:rPr>
                <w:rFonts w:ascii="宋体"/>
              </w:rPr>
            </w:pPr>
          </w:p>
        </w:tc>
      </w:tr>
      <w:tr w:rsidR="00A91885" w14:paraId="18601443" w14:textId="77777777">
        <w:trPr>
          <w:jc w:val="center"/>
        </w:trPr>
        <w:tc>
          <w:tcPr>
            <w:tcW w:w="0" w:type="auto"/>
            <w:gridSpan w:val="3"/>
            <w:shd w:val="clear" w:color="auto" w:fill="FFFFFF"/>
            <w:tcMar>
              <w:top w:w="0" w:type="dxa"/>
              <w:left w:w="20" w:type="dxa"/>
              <w:bottom w:w="0" w:type="dxa"/>
              <w:right w:w="20" w:type="dxa"/>
            </w:tcMar>
            <w:vAlign w:val="bottom"/>
          </w:tcPr>
          <w:p w14:paraId="18601434"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435"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1436" w14:textId="77777777" w:rsidR="00A91885" w:rsidRDefault="009C4196">
            <w:pPr>
              <w:textAlignment w:val="bottom"/>
            </w:pPr>
            <w:r>
              <w:rPr>
                <w:rFonts w:ascii="Arial" w:eastAsia="宋体" w:hAnsi="Arial" w:cs="Arial"/>
                <w:color w:val="000000"/>
                <w:sz w:val="18"/>
                <w:szCs w:val="18"/>
              </w:rPr>
              <w:t>Provision for income taxes</w:t>
            </w:r>
          </w:p>
        </w:tc>
        <w:tc>
          <w:tcPr>
            <w:tcW w:w="0" w:type="auto"/>
            <w:gridSpan w:val="3"/>
            <w:shd w:val="clear" w:color="auto" w:fill="FFFFFF"/>
            <w:tcMar>
              <w:top w:w="0" w:type="dxa"/>
              <w:left w:w="20" w:type="dxa"/>
              <w:bottom w:w="0" w:type="dxa"/>
              <w:right w:w="20" w:type="dxa"/>
            </w:tcMar>
            <w:vAlign w:val="bottom"/>
          </w:tcPr>
          <w:p w14:paraId="1860143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438"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1860143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43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43B" w14:textId="77777777" w:rsidR="00A91885" w:rsidRDefault="009C4196">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1860143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43D"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43E" w14:textId="77777777" w:rsidR="00A91885" w:rsidRDefault="009C4196">
            <w:pPr>
              <w:jc w:val="right"/>
              <w:textAlignment w:val="bottom"/>
            </w:pPr>
            <w:r>
              <w:rPr>
                <w:rFonts w:ascii="Arial" w:eastAsia="宋体" w:hAnsi="Arial" w:cs="Arial"/>
                <w:color w:val="000000"/>
                <w:sz w:val="18"/>
                <w:szCs w:val="18"/>
              </w:rPr>
              <w:t>(3)</w:t>
            </w:r>
          </w:p>
        </w:tc>
        <w:tc>
          <w:tcPr>
            <w:tcW w:w="0" w:type="auto"/>
            <w:shd w:val="clear" w:color="auto" w:fill="FFFFFF"/>
            <w:tcMar>
              <w:top w:w="40" w:type="dxa"/>
              <w:left w:w="0" w:type="dxa"/>
              <w:bottom w:w="40" w:type="dxa"/>
              <w:right w:w="20" w:type="dxa"/>
            </w:tcMar>
            <w:vAlign w:val="bottom"/>
          </w:tcPr>
          <w:p w14:paraId="1860143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440"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441" w14:textId="77777777" w:rsidR="00A91885" w:rsidRDefault="009C4196">
            <w:pPr>
              <w:jc w:val="right"/>
              <w:textAlignment w:val="bottom"/>
            </w:pPr>
            <w:r>
              <w:rPr>
                <w:rFonts w:ascii="Arial" w:eastAsia="宋体" w:hAnsi="Arial" w:cs="Arial"/>
                <w:color w:val="000000"/>
                <w:sz w:val="18"/>
                <w:szCs w:val="18"/>
              </w:rPr>
              <w:t>10 </w:t>
            </w:r>
          </w:p>
        </w:tc>
        <w:tc>
          <w:tcPr>
            <w:tcW w:w="0" w:type="auto"/>
            <w:shd w:val="clear" w:color="auto" w:fill="FFFFFF"/>
            <w:tcMar>
              <w:top w:w="40" w:type="dxa"/>
              <w:left w:w="0" w:type="dxa"/>
              <w:bottom w:w="40" w:type="dxa"/>
              <w:right w:w="20" w:type="dxa"/>
            </w:tcMar>
            <w:vAlign w:val="bottom"/>
          </w:tcPr>
          <w:p w14:paraId="18601442" w14:textId="77777777" w:rsidR="00A91885" w:rsidRDefault="00A91885">
            <w:pPr>
              <w:jc w:val="right"/>
              <w:rPr>
                <w:rFonts w:ascii="宋体"/>
              </w:rPr>
            </w:pPr>
          </w:p>
        </w:tc>
      </w:tr>
      <w:tr w:rsidR="00A91885" w14:paraId="18601453" w14:textId="77777777">
        <w:trPr>
          <w:jc w:val="center"/>
        </w:trPr>
        <w:tc>
          <w:tcPr>
            <w:tcW w:w="0" w:type="auto"/>
            <w:gridSpan w:val="3"/>
            <w:shd w:val="clear" w:color="auto" w:fill="E1E1E1"/>
            <w:tcMar>
              <w:top w:w="0" w:type="dxa"/>
              <w:left w:w="20" w:type="dxa"/>
              <w:bottom w:w="0" w:type="dxa"/>
              <w:right w:w="20" w:type="dxa"/>
            </w:tcMar>
            <w:vAlign w:val="bottom"/>
          </w:tcPr>
          <w:p w14:paraId="18601444"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445" w14:textId="77777777" w:rsidR="00A91885" w:rsidRDefault="00A91885">
            <w:pPr>
              <w:rPr>
                <w:rFonts w:ascii="宋体"/>
              </w:rPr>
            </w:pPr>
          </w:p>
        </w:tc>
        <w:tc>
          <w:tcPr>
            <w:tcW w:w="0" w:type="auto"/>
            <w:gridSpan w:val="3"/>
            <w:shd w:val="clear" w:color="auto" w:fill="E1E1E1"/>
            <w:tcMar>
              <w:top w:w="40" w:type="dxa"/>
              <w:left w:w="20" w:type="dxa"/>
              <w:bottom w:w="40" w:type="dxa"/>
              <w:right w:w="20" w:type="dxa"/>
            </w:tcMar>
            <w:vAlign w:val="bottom"/>
          </w:tcPr>
          <w:p w14:paraId="18601446" w14:textId="77777777" w:rsidR="00A91885" w:rsidRDefault="009C4196">
            <w:pPr>
              <w:textAlignment w:val="bottom"/>
            </w:pPr>
            <w:r>
              <w:rPr>
                <w:rFonts w:ascii="Arial" w:eastAsia="宋体" w:hAnsi="Arial" w:cs="Arial"/>
                <w:color w:val="000000"/>
                <w:sz w:val="18"/>
                <w:szCs w:val="18"/>
              </w:rPr>
              <w:t>Total, from continuing operations net of income taxes</w:t>
            </w:r>
          </w:p>
        </w:tc>
        <w:tc>
          <w:tcPr>
            <w:tcW w:w="0" w:type="auto"/>
            <w:gridSpan w:val="3"/>
            <w:shd w:val="clear" w:color="auto" w:fill="E1E1E1"/>
            <w:tcMar>
              <w:top w:w="0" w:type="dxa"/>
              <w:left w:w="20" w:type="dxa"/>
              <w:bottom w:w="0" w:type="dxa"/>
              <w:right w:w="20" w:type="dxa"/>
            </w:tcMar>
            <w:vAlign w:val="bottom"/>
          </w:tcPr>
          <w:p w14:paraId="18601447"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601448" w14:textId="77777777" w:rsidR="00A91885" w:rsidRDefault="009C4196">
            <w:pPr>
              <w:jc w:val="right"/>
              <w:textAlignment w:val="bottom"/>
            </w:pPr>
            <w:r>
              <w:rPr>
                <w:rFonts w:ascii="Arial" w:eastAsia="宋体" w:hAnsi="Arial" w:cs="Arial"/>
                <w:color w:val="000000"/>
                <w:sz w:val="18"/>
                <w:szCs w:val="18"/>
              </w:rPr>
              <w:t>5 </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449"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44A"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60144B" w14:textId="77777777" w:rsidR="00A91885" w:rsidRDefault="009C4196">
            <w:pPr>
              <w:jc w:val="right"/>
              <w:textAlignment w:val="bottom"/>
            </w:pPr>
            <w:r>
              <w:rPr>
                <w:rFonts w:ascii="Arial" w:eastAsia="宋体" w:hAnsi="Arial" w:cs="Arial"/>
                <w:color w:val="000000"/>
                <w:sz w:val="18"/>
                <w:szCs w:val="18"/>
              </w:rPr>
              <w:t>(12)</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44C"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44D"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60144E" w14:textId="77777777" w:rsidR="00A91885" w:rsidRDefault="009C4196">
            <w:pPr>
              <w:jc w:val="right"/>
              <w:textAlignment w:val="bottom"/>
            </w:pPr>
            <w:r>
              <w:rPr>
                <w:rFonts w:ascii="Arial" w:eastAsia="宋体" w:hAnsi="Arial" w:cs="Arial"/>
                <w:color w:val="000000"/>
                <w:sz w:val="18"/>
                <w:szCs w:val="18"/>
              </w:rPr>
              <w:t>11 </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44F"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450"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601451" w14:textId="77777777" w:rsidR="00A91885" w:rsidRDefault="009C4196">
            <w:pPr>
              <w:jc w:val="right"/>
              <w:textAlignment w:val="bottom"/>
            </w:pPr>
            <w:r>
              <w:rPr>
                <w:rFonts w:ascii="Arial" w:eastAsia="宋体" w:hAnsi="Arial" w:cs="Arial"/>
                <w:color w:val="000000"/>
                <w:sz w:val="18"/>
                <w:szCs w:val="18"/>
              </w:rPr>
              <w:t>(34)</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452" w14:textId="77777777" w:rsidR="00A91885" w:rsidRDefault="00A91885">
            <w:pPr>
              <w:jc w:val="right"/>
              <w:rPr>
                <w:rFonts w:ascii="宋体"/>
              </w:rPr>
            </w:pPr>
          </w:p>
        </w:tc>
      </w:tr>
      <w:tr w:rsidR="00A91885" w14:paraId="1860145F" w14:textId="77777777">
        <w:trPr>
          <w:jc w:val="center"/>
          <w:hidden/>
        </w:trPr>
        <w:tc>
          <w:tcPr>
            <w:tcW w:w="0" w:type="auto"/>
            <w:gridSpan w:val="3"/>
            <w:shd w:val="clear" w:color="auto" w:fill="auto"/>
            <w:vAlign w:val="bottom"/>
          </w:tcPr>
          <w:p w14:paraId="18601454" w14:textId="77777777" w:rsidR="00A91885" w:rsidRDefault="00A91885">
            <w:pPr>
              <w:rPr>
                <w:rFonts w:ascii="宋体"/>
                <w:vanish/>
              </w:rPr>
            </w:pPr>
          </w:p>
        </w:tc>
        <w:tc>
          <w:tcPr>
            <w:tcW w:w="0" w:type="auto"/>
            <w:gridSpan w:val="3"/>
            <w:shd w:val="clear" w:color="auto" w:fill="auto"/>
            <w:vAlign w:val="bottom"/>
          </w:tcPr>
          <w:p w14:paraId="18601455" w14:textId="77777777" w:rsidR="00A91885" w:rsidRDefault="00A91885">
            <w:pPr>
              <w:rPr>
                <w:rFonts w:ascii="宋体"/>
                <w:vanish/>
              </w:rPr>
            </w:pPr>
          </w:p>
        </w:tc>
        <w:tc>
          <w:tcPr>
            <w:tcW w:w="0" w:type="auto"/>
            <w:gridSpan w:val="3"/>
            <w:shd w:val="clear" w:color="auto" w:fill="auto"/>
            <w:vAlign w:val="bottom"/>
          </w:tcPr>
          <w:p w14:paraId="18601456" w14:textId="77777777" w:rsidR="00A91885" w:rsidRDefault="00A91885">
            <w:pPr>
              <w:rPr>
                <w:rFonts w:ascii="宋体"/>
                <w:vanish/>
              </w:rPr>
            </w:pPr>
          </w:p>
        </w:tc>
        <w:tc>
          <w:tcPr>
            <w:tcW w:w="0" w:type="auto"/>
            <w:gridSpan w:val="3"/>
            <w:shd w:val="clear" w:color="auto" w:fill="auto"/>
            <w:vAlign w:val="bottom"/>
          </w:tcPr>
          <w:p w14:paraId="18601457" w14:textId="77777777" w:rsidR="00A91885" w:rsidRDefault="00A91885">
            <w:pPr>
              <w:rPr>
                <w:rFonts w:ascii="宋体"/>
                <w:vanish/>
              </w:rPr>
            </w:pPr>
          </w:p>
        </w:tc>
        <w:tc>
          <w:tcPr>
            <w:tcW w:w="0" w:type="auto"/>
            <w:gridSpan w:val="3"/>
            <w:shd w:val="clear" w:color="auto" w:fill="auto"/>
            <w:vAlign w:val="bottom"/>
          </w:tcPr>
          <w:p w14:paraId="18601458" w14:textId="77777777" w:rsidR="00A91885" w:rsidRDefault="00A91885">
            <w:pPr>
              <w:rPr>
                <w:rFonts w:ascii="宋体"/>
                <w:vanish/>
              </w:rPr>
            </w:pPr>
          </w:p>
        </w:tc>
        <w:tc>
          <w:tcPr>
            <w:tcW w:w="0" w:type="auto"/>
            <w:gridSpan w:val="3"/>
            <w:shd w:val="clear" w:color="auto" w:fill="auto"/>
            <w:vAlign w:val="bottom"/>
          </w:tcPr>
          <w:p w14:paraId="18601459" w14:textId="77777777" w:rsidR="00A91885" w:rsidRDefault="00A91885">
            <w:pPr>
              <w:rPr>
                <w:rFonts w:ascii="宋体"/>
                <w:vanish/>
              </w:rPr>
            </w:pPr>
          </w:p>
        </w:tc>
        <w:tc>
          <w:tcPr>
            <w:tcW w:w="0" w:type="auto"/>
            <w:gridSpan w:val="3"/>
            <w:shd w:val="clear" w:color="auto" w:fill="auto"/>
            <w:vAlign w:val="bottom"/>
          </w:tcPr>
          <w:p w14:paraId="1860145A" w14:textId="77777777" w:rsidR="00A91885" w:rsidRDefault="00A91885">
            <w:pPr>
              <w:rPr>
                <w:rFonts w:ascii="宋体"/>
                <w:vanish/>
              </w:rPr>
            </w:pPr>
          </w:p>
        </w:tc>
        <w:tc>
          <w:tcPr>
            <w:tcW w:w="0" w:type="auto"/>
            <w:gridSpan w:val="3"/>
            <w:shd w:val="clear" w:color="auto" w:fill="auto"/>
            <w:vAlign w:val="bottom"/>
          </w:tcPr>
          <w:p w14:paraId="1860145B" w14:textId="77777777" w:rsidR="00A91885" w:rsidRDefault="00A91885">
            <w:pPr>
              <w:rPr>
                <w:rFonts w:ascii="宋体"/>
                <w:vanish/>
              </w:rPr>
            </w:pPr>
          </w:p>
        </w:tc>
        <w:tc>
          <w:tcPr>
            <w:tcW w:w="0" w:type="auto"/>
            <w:gridSpan w:val="3"/>
            <w:shd w:val="clear" w:color="auto" w:fill="auto"/>
            <w:vAlign w:val="bottom"/>
          </w:tcPr>
          <w:p w14:paraId="1860145C" w14:textId="77777777" w:rsidR="00A91885" w:rsidRDefault="00A91885">
            <w:pPr>
              <w:rPr>
                <w:rFonts w:ascii="宋体"/>
                <w:vanish/>
              </w:rPr>
            </w:pPr>
          </w:p>
        </w:tc>
        <w:tc>
          <w:tcPr>
            <w:tcW w:w="0" w:type="auto"/>
            <w:gridSpan w:val="3"/>
            <w:shd w:val="clear" w:color="auto" w:fill="auto"/>
            <w:vAlign w:val="bottom"/>
          </w:tcPr>
          <w:p w14:paraId="1860145D" w14:textId="77777777" w:rsidR="00A91885" w:rsidRDefault="00A91885">
            <w:pPr>
              <w:rPr>
                <w:rFonts w:ascii="宋体"/>
                <w:vanish/>
              </w:rPr>
            </w:pPr>
          </w:p>
        </w:tc>
        <w:tc>
          <w:tcPr>
            <w:tcW w:w="0" w:type="auto"/>
            <w:gridSpan w:val="3"/>
            <w:shd w:val="clear" w:color="auto" w:fill="auto"/>
            <w:vAlign w:val="bottom"/>
          </w:tcPr>
          <w:p w14:paraId="1860145E" w14:textId="77777777" w:rsidR="00A91885" w:rsidRDefault="00A91885">
            <w:pPr>
              <w:rPr>
                <w:rFonts w:ascii="宋体"/>
                <w:vanish/>
              </w:rPr>
            </w:pPr>
          </w:p>
        </w:tc>
      </w:tr>
      <w:tr w:rsidR="00A91885" w14:paraId="1860146B" w14:textId="77777777">
        <w:trPr>
          <w:jc w:val="center"/>
          <w:hidden/>
        </w:trPr>
        <w:tc>
          <w:tcPr>
            <w:tcW w:w="0" w:type="auto"/>
            <w:gridSpan w:val="3"/>
            <w:shd w:val="clear" w:color="auto" w:fill="auto"/>
            <w:vAlign w:val="bottom"/>
          </w:tcPr>
          <w:p w14:paraId="18601460" w14:textId="77777777" w:rsidR="00A91885" w:rsidRDefault="00A91885">
            <w:pPr>
              <w:rPr>
                <w:rFonts w:ascii="宋体"/>
                <w:vanish/>
              </w:rPr>
            </w:pPr>
          </w:p>
        </w:tc>
        <w:tc>
          <w:tcPr>
            <w:tcW w:w="0" w:type="auto"/>
            <w:gridSpan w:val="3"/>
            <w:shd w:val="clear" w:color="auto" w:fill="auto"/>
            <w:vAlign w:val="bottom"/>
          </w:tcPr>
          <w:p w14:paraId="18601461" w14:textId="77777777" w:rsidR="00A91885" w:rsidRDefault="00A91885">
            <w:pPr>
              <w:rPr>
                <w:rFonts w:ascii="宋体"/>
                <w:vanish/>
              </w:rPr>
            </w:pPr>
          </w:p>
        </w:tc>
        <w:tc>
          <w:tcPr>
            <w:tcW w:w="0" w:type="auto"/>
            <w:gridSpan w:val="3"/>
            <w:shd w:val="clear" w:color="auto" w:fill="auto"/>
            <w:vAlign w:val="bottom"/>
          </w:tcPr>
          <w:p w14:paraId="18601462" w14:textId="77777777" w:rsidR="00A91885" w:rsidRDefault="00A91885">
            <w:pPr>
              <w:rPr>
                <w:rFonts w:ascii="宋体"/>
                <w:vanish/>
              </w:rPr>
            </w:pPr>
          </w:p>
        </w:tc>
        <w:tc>
          <w:tcPr>
            <w:tcW w:w="0" w:type="auto"/>
            <w:gridSpan w:val="3"/>
            <w:shd w:val="clear" w:color="auto" w:fill="auto"/>
            <w:vAlign w:val="bottom"/>
          </w:tcPr>
          <w:p w14:paraId="18601463" w14:textId="77777777" w:rsidR="00A91885" w:rsidRDefault="00A91885">
            <w:pPr>
              <w:rPr>
                <w:rFonts w:ascii="宋体"/>
                <w:vanish/>
              </w:rPr>
            </w:pPr>
          </w:p>
        </w:tc>
        <w:tc>
          <w:tcPr>
            <w:tcW w:w="0" w:type="auto"/>
            <w:gridSpan w:val="3"/>
            <w:shd w:val="clear" w:color="auto" w:fill="auto"/>
            <w:vAlign w:val="bottom"/>
          </w:tcPr>
          <w:p w14:paraId="18601464" w14:textId="77777777" w:rsidR="00A91885" w:rsidRDefault="00A91885">
            <w:pPr>
              <w:rPr>
                <w:rFonts w:ascii="宋体"/>
                <w:vanish/>
              </w:rPr>
            </w:pPr>
          </w:p>
        </w:tc>
        <w:tc>
          <w:tcPr>
            <w:tcW w:w="0" w:type="auto"/>
            <w:gridSpan w:val="3"/>
            <w:shd w:val="clear" w:color="auto" w:fill="auto"/>
            <w:vAlign w:val="bottom"/>
          </w:tcPr>
          <w:p w14:paraId="18601465" w14:textId="77777777" w:rsidR="00A91885" w:rsidRDefault="00A91885">
            <w:pPr>
              <w:rPr>
                <w:rFonts w:ascii="宋体"/>
                <w:vanish/>
              </w:rPr>
            </w:pPr>
          </w:p>
        </w:tc>
        <w:tc>
          <w:tcPr>
            <w:tcW w:w="0" w:type="auto"/>
            <w:gridSpan w:val="3"/>
            <w:shd w:val="clear" w:color="auto" w:fill="auto"/>
            <w:vAlign w:val="bottom"/>
          </w:tcPr>
          <w:p w14:paraId="18601466" w14:textId="77777777" w:rsidR="00A91885" w:rsidRDefault="00A91885">
            <w:pPr>
              <w:rPr>
                <w:rFonts w:ascii="宋体"/>
                <w:vanish/>
              </w:rPr>
            </w:pPr>
          </w:p>
        </w:tc>
        <w:tc>
          <w:tcPr>
            <w:tcW w:w="0" w:type="auto"/>
            <w:gridSpan w:val="3"/>
            <w:shd w:val="clear" w:color="auto" w:fill="auto"/>
            <w:vAlign w:val="bottom"/>
          </w:tcPr>
          <w:p w14:paraId="18601467" w14:textId="77777777" w:rsidR="00A91885" w:rsidRDefault="00A91885">
            <w:pPr>
              <w:rPr>
                <w:rFonts w:ascii="宋体"/>
                <w:vanish/>
              </w:rPr>
            </w:pPr>
          </w:p>
        </w:tc>
        <w:tc>
          <w:tcPr>
            <w:tcW w:w="0" w:type="auto"/>
            <w:gridSpan w:val="3"/>
            <w:shd w:val="clear" w:color="auto" w:fill="auto"/>
            <w:vAlign w:val="bottom"/>
          </w:tcPr>
          <w:p w14:paraId="18601468" w14:textId="77777777" w:rsidR="00A91885" w:rsidRDefault="00A91885">
            <w:pPr>
              <w:rPr>
                <w:rFonts w:ascii="宋体"/>
                <w:vanish/>
              </w:rPr>
            </w:pPr>
          </w:p>
        </w:tc>
        <w:tc>
          <w:tcPr>
            <w:tcW w:w="0" w:type="auto"/>
            <w:gridSpan w:val="3"/>
            <w:shd w:val="clear" w:color="auto" w:fill="auto"/>
            <w:vAlign w:val="bottom"/>
          </w:tcPr>
          <w:p w14:paraId="18601469" w14:textId="77777777" w:rsidR="00A91885" w:rsidRDefault="00A91885">
            <w:pPr>
              <w:rPr>
                <w:rFonts w:ascii="宋体"/>
                <w:vanish/>
              </w:rPr>
            </w:pPr>
          </w:p>
        </w:tc>
        <w:tc>
          <w:tcPr>
            <w:tcW w:w="0" w:type="auto"/>
            <w:gridSpan w:val="3"/>
            <w:shd w:val="clear" w:color="auto" w:fill="auto"/>
            <w:vAlign w:val="bottom"/>
          </w:tcPr>
          <w:p w14:paraId="1860146A" w14:textId="77777777" w:rsidR="00A91885" w:rsidRDefault="00A91885">
            <w:pPr>
              <w:rPr>
                <w:rFonts w:ascii="宋体"/>
                <w:vanish/>
              </w:rPr>
            </w:pPr>
          </w:p>
        </w:tc>
      </w:tr>
      <w:tr w:rsidR="00A91885" w14:paraId="18601477" w14:textId="77777777">
        <w:trPr>
          <w:jc w:val="center"/>
          <w:hidden/>
        </w:trPr>
        <w:tc>
          <w:tcPr>
            <w:tcW w:w="0" w:type="auto"/>
            <w:gridSpan w:val="3"/>
            <w:shd w:val="clear" w:color="auto" w:fill="auto"/>
            <w:vAlign w:val="bottom"/>
          </w:tcPr>
          <w:p w14:paraId="1860146C" w14:textId="77777777" w:rsidR="00A91885" w:rsidRDefault="00A91885">
            <w:pPr>
              <w:rPr>
                <w:rFonts w:ascii="宋体"/>
                <w:vanish/>
              </w:rPr>
            </w:pPr>
          </w:p>
        </w:tc>
        <w:tc>
          <w:tcPr>
            <w:tcW w:w="0" w:type="auto"/>
            <w:gridSpan w:val="3"/>
            <w:shd w:val="clear" w:color="auto" w:fill="auto"/>
            <w:vAlign w:val="bottom"/>
          </w:tcPr>
          <w:p w14:paraId="1860146D" w14:textId="77777777" w:rsidR="00A91885" w:rsidRDefault="00A91885">
            <w:pPr>
              <w:rPr>
                <w:rFonts w:ascii="宋体"/>
                <w:vanish/>
              </w:rPr>
            </w:pPr>
          </w:p>
        </w:tc>
        <w:tc>
          <w:tcPr>
            <w:tcW w:w="0" w:type="auto"/>
            <w:gridSpan w:val="3"/>
            <w:shd w:val="clear" w:color="auto" w:fill="auto"/>
            <w:vAlign w:val="bottom"/>
          </w:tcPr>
          <w:p w14:paraId="1860146E" w14:textId="77777777" w:rsidR="00A91885" w:rsidRDefault="00A91885">
            <w:pPr>
              <w:rPr>
                <w:rFonts w:ascii="宋体"/>
                <w:vanish/>
              </w:rPr>
            </w:pPr>
          </w:p>
        </w:tc>
        <w:tc>
          <w:tcPr>
            <w:tcW w:w="0" w:type="auto"/>
            <w:gridSpan w:val="3"/>
            <w:shd w:val="clear" w:color="auto" w:fill="auto"/>
            <w:vAlign w:val="bottom"/>
          </w:tcPr>
          <w:p w14:paraId="1860146F" w14:textId="77777777" w:rsidR="00A91885" w:rsidRDefault="00A91885">
            <w:pPr>
              <w:rPr>
                <w:rFonts w:ascii="宋体"/>
                <w:vanish/>
              </w:rPr>
            </w:pPr>
          </w:p>
        </w:tc>
        <w:tc>
          <w:tcPr>
            <w:tcW w:w="0" w:type="auto"/>
            <w:gridSpan w:val="3"/>
            <w:shd w:val="clear" w:color="auto" w:fill="auto"/>
            <w:vAlign w:val="bottom"/>
          </w:tcPr>
          <w:p w14:paraId="18601470" w14:textId="77777777" w:rsidR="00A91885" w:rsidRDefault="00A91885">
            <w:pPr>
              <w:rPr>
                <w:rFonts w:ascii="宋体"/>
                <w:vanish/>
              </w:rPr>
            </w:pPr>
          </w:p>
        </w:tc>
        <w:tc>
          <w:tcPr>
            <w:tcW w:w="0" w:type="auto"/>
            <w:gridSpan w:val="3"/>
            <w:shd w:val="clear" w:color="auto" w:fill="auto"/>
            <w:vAlign w:val="bottom"/>
          </w:tcPr>
          <w:p w14:paraId="18601471" w14:textId="77777777" w:rsidR="00A91885" w:rsidRDefault="00A91885">
            <w:pPr>
              <w:rPr>
                <w:rFonts w:ascii="宋体"/>
                <w:vanish/>
              </w:rPr>
            </w:pPr>
          </w:p>
        </w:tc>
        <w:tc>
          <w:tcPr>
            <w:tcW w:w="0" w:type="auto"/>
            <w:gridSpan w:val="3"/>
            <w:shd w:val="clear" w:color="auto" w:fill="auto"/>
            <w:vAlign w:val="bottom"/>
          </w:tcPr>
          <w:p w14:paraId="18601472" w14:textId="77777777" w:rsidR="00A91885" w:rsidRDefault="00A91885">
            <w:pPr>
              <w:rPr>
                <w:rFonts w:ascii="宋体"/>
                <w:vanish/>
              </w:rPr>
            </w:pPr>
          </w:p>
        </w:tc>
        <w:tc>
          <w:tcPr>
            <w:tcW w:w="0" w:type="auto"/>
            <w:gridSpan w:val="3"/>
            <w:shd w:val="clear" w:color="auto" w:fill="auto"/>
            <w:vAlign w:val="bottom"/>
          </w:tcPr>
          <w:p w14:paraId="18601473" w14:textId="77777777" w:rsidR="00A91885" w:rsidRDefault="00A91885">
            <w:pPr>
              <w:rPr>
                <w:rFonts w:ascii="宋体"/>
                <w:vanish/>
              </w:rPr>
            </w:pPr>
          </w:p>
        </w:tc>
        <w:tc>
          <w:tcPr>
            <w:tcW w:w="0" w:type="auto"/>
            <w:gridSpan w:val="3"/>
            <w:shd w:val="clear" w:color="auto" w:fill="auto"/>
            <w:vAlign w:val="bottom"/>
          </w:tcPr>
          <w:p w14:paraId="18601474" w14:textId="77777777" w:rsidR="00A91885" w:rsidRDefault="00A91885">
            <w:pPr>
              <w:rPr>
                <w:rFonts w:ascii="宋体"/>
                <w:vanish/>
              </w:rPr>
            </w:pPr>
          </w:p>
        </w:tc>
        <w:tc>
          <w:tcPr>
            <w:tcW w:w="0" w:type="auto"/>
            <w:gridSpan w:val="3"/>
            <w:shd w:val="clear" w:color="auto" w:fill="auto"/>
            <w:vAlign w:val="bottom"/>
          </w:tcPr>
          <w:p w14:paraId="18601475" w14:textId="77777777" w:rsidR="00A91885" w:rsidRDefault="00A91885">
            <w:pPr>
              <w:rPr>
                <w:rFonts w:ascii="宋体"/>
                <w:vanish/>
              </w:rPr>
            </w:pPr>
          </w:p>
        </w:tc>
        <w:tc>
          <w:tcPr>
            <w:tcW w:w="0" w:type="auto"/>
            <w:gridSpan w:val="3"/>
            <w:shd w:val="clear" w:color="auto" w:fill="auto"/>
            <w:vAlign w:val="bottom"/>
          </w:tcPr>
          <w:p w14:paraId="18601476" w14:textId="77777777" w:rsidR="00A91885" w:rsidRDefault="00A91885">
            <w:pPr>
              <w:rPr>
                <w:rFonts w:ascii="宋体"/>
                <w:vanish/>
              </w:rPr>
            </w:pPr>
          </w:p>
        </w:tc>
      </w:tr>
      <w:tr w:rsidR="00A91885" w14:paraId="18601483" w14:textId="77777777">
        <w:trPr>
          <w:jc w:val="center"/>
          <w:hidden/>
        </w:trPr>
        <w:tc>
          <w:tcPr>
            <w:tcW w:w="0" w:type="auto"/>
            <w:gridSpan w:val="3"/>
            <w:shd w:val="clear" w:color="auto" w:fill="auto"/>
            <w:vAlign w:val="bottom"/>
          </w:tcPr>
          <w:p w14:paraId="18601478" w14:textId="77777777" w:rsidR="00A91885" w:rsidRDefault="00A91885">
            <w:pPr>
              <w:rPr>
                <w:rFonts w:ascii="宋体"/>
                <w:vanish/>
              </w:rPr>
            </w:pPr>
          </w:p>
        </w:tc>
        <w:tc>
          <w:tcPr>
            <w:tcW w:w="0" w:type="auto"/>
            <w:gridSpan w:val="3"/>
            <w:shd w:val="clear" w:color="auto" w:fill="auto"/>
            <w:vAlign w:val="bottom"/>
          </w:tcPr>
          <w:p w14:paraId="18601479" w14:textId="77777777" w:rsidR="00A91885" w:rsidRDefault="00A91885">
            <w:pPr>
              <w:rPr>
                <w:rFonts w:ascii="宋体"/>
                <w:vanish/>
              </w:rPr>
            </w:pPr>
          </w:p>
        </w:tc>
        <w:tc>
          <w:tcPr>
            <w:tcW w:w="0" w:type="auto"/>
            <w:gridSpan w:val="3"/>
            <w:shd w:val="clear" w:color="auto" w:fill="auto"/>
            <w:vAlign w:val="bottom"/>
          </w:tcPr>
          <w:p w14:paraId="1860147A" w14:textId="77777777" w:rsidR="00A91885" w:rsidRDefault="00A91885">
            <w:pPr>
              <w:rPr>
                <w:rFonts w:ascii="宋体"/>
                <w:vanish/>
              </w:rPr>
            </w:pPr>
          </w:p>
        </w:tc>
        <w:tc>
          <w:tcPr>
            <w:tcW w:w="0" w:type="auto"/>
            <w:gridSpan w:val="3"/>
            <w:shd w:val="clear" w:color="auto" w:fill="auto"/>
            <w:vAlign w:val="bottom"/>
          </w:tcPr>
          <w:p w14:paraId="1860147B" w14:textId="77777777" w:rsidR="00A91885" w:rsidRDefault="00A91885">
            <w:pPr>
              <w:rPr>
                <w:rFonts w:ascii="宋体"/>
                <w:vanish/>
              </w:rPr>
            </w:pPr>
          </w:p>
        </w:tc>
        <w:tc>
          <w:tcPr>
            <w:tcW w:w="0" w:type="auto"/>
            <w:gridSpan w:val="3"/>
            <w:shd w:val="clear" w:color="auto" w:fill="auto"/>
            <w:vAlign w:val="bottom"/>
          </w:tcPr>
          <w:p w14:paraId="1860147C" w14:textId="77777777" w:rsidR="00A91885" w:rsidRDefault="00A91885">
            <w:pPr>
              <w:rPr>
                <w:rFonts w:ascii="宋体"/>
                <w:vanish/>
              </w:rPr>
            </w:pPr>
          </w:p>
        </w:tc>
        <w:tc>
          <w:tcPr>
            <w:tcW w:w="0" w:type="auto"/>
            <w:gridSpan w:val="3"/>
            <w:shd w:val="clear" w:color="auto" w:fill="auto"/>
            <w:vAlign w:val="bottom"/>
          </w:tcPr>
          <w:p w14:paraId="1860147D" w14:textId="77777777" w:rsidR="00A91885" w:rsidRDefault="00A91885">
            <w:pPr>
              <w:rPr>
                <w:rFonts w:ascii="宋体"/>
                <w:vanish/>
              </w:rPr>
            </w:pPr>
          </w:p>
        </w:tc>
        <w:tc>
          <w:tcPr>
            <w:tcW w:w="0" w:type="auto"/>
            <w:gridSpan w:val="3"/>
            <w:shd w:val="clear" w:color="auto" w:fill="auto"/>
            <w:vAlign w:val="bottom"/>
          </w:tcPr>
          <w:p w14:paraId="1860147E" w14:textId="77777777" w:rsidR="00A91885" w:rsidRDefault="00A91885">
            <w:pPr>
              <w:rPr>
                <w:rFonts w:ascii="宋体"/>
                <w:vanish/>
              </w:rPr>
            </w:pPr>
          </w:p>
        </w:tc>
        <w:tc>
          <w:tcPr>
            <w:tcW w:w="0" w:type="auto"/>
            <w:gridSpan w:val="3"/>
            <w:shd w:val="clear" w:color="auto" w:fill="auto"/>
            <w:vAlign w:val="bottom"/>
          </w:tcPr>
          <w:p w14:paraId="1860147F" w14:textId="77777777" w:rsidR="00A91885" w:rsidRDefault="00A91885">
            <w:pPr>
              <w:rPr>
                <w:rFonts w:ascii="宋体"/>
                <w:vanish/>
              </w:rPr>
            </w:pPr>
          </w:p>
        </w:tc>
        <w:tc>
          <w:tcPr>
            <w:tcW w:w="0" w:type="auto"/>
            <w:gridSpan w:val="3"/>
            <w:shd w:val="clear" w:color="auto" w:fill="auto"/>
            <w:vAlign w:val="bottom"/>
          </w:tcPr>
          <w:p w14:paraId="18601480" w14:textId="77777777" w:rsidR="00A91885" w:rsidRDefault="00A91885">
            <w:pPr>
              <w:rPr>
                <w:rFonts w:ascii="宋体"/>
                <w:vanish/>
              </w:rPr>
            </w:pPr>
          </w:p>
        </w:tc>
        <w:tc>
          <w:tcPr>
            <w:tcW w:w="0" w:type="auto"/>
            <w:gridSpan w:val="3"/>
            <w:shd w:val="clear" w:color="auto" w:fill="auto"/>
            <w:vAlign w:val="bottom"/>
          </w:tcPr>
          <w:p w14:paraId="18601481" w14:textId="77777777" w:rsidR="00A91885" w:rsidRDefault="00A91885">
            <w:pPr>
              <w:rPr>
                <w:rFonts w:ascii="宋体"/>
                <w:vanish/>
              </w:rPr>
            </w:pPr>
          </w:p>
        </w:tc>
        <w:tc>
          <w:tcPr>
            <w:tcW w:w="0" w:type="auto"/>
            <w:gridSpan w:val="3"/>
            <w:shd w:val="clear" w:color="auto" w:fill="auto"/>
            <w:vAlign w:val="bottom"/>
          </w:tcPr>
          <w:p w14:paraId="18601482" w14:textId="77777777" w:rsidR="00A91885" w:rsidRDefault="00A91885">
            <w:pPr>
              <w:rPr>
                <w:rFonts w:ascii="宋体"/>
                <w:vanish/>
              </w:rPr>
            </w:pPr>
          </w:p>
        </w:tc>
      </w:tr>
      <w:tr w:rsidR="00A91885" w14:paraId="1860148F" w14:textId="77777777">
        <w:trPr>
          <w:jc w:val="center"/>
          <w:hidden/>
        </w:trPr>
        <w:tc>
          <w:tcPr>
            <w:tcW w:w="0" w:type="auto"/>
            <w:gridSpan w:val="3"/>
            <w:shd w:val="clear" w:color="auto" w:fill="auto"/>
            <w:vAlign w:val="bottom"/>
          </w:tcPr>
          <w:p w14:paraId="18601484" w14:textId="77777777" w:rsidR="00A91885" w:rsidRDefault="00A91885">
            <w:pPr>
              <w:rPr>
                <w:rFonts w:ascii="宋体"/>
                <w:vanish/>
              </w:rPr>
            </w:pPr>
          </w:p>
        </w:tc>
        <w:tc>
          <w:tcPr>
            <w:tcW w:w="0" w:type="auto"/>
            <w:gridSpan w:val="3"/>
            <w:shd w:val="clear" w:color="auto" w:fill="auto"/>
            <w:vAlign w:val="bottom"/>
          </w:tcPr>
          <w:p w14:paraId="18601485" w14:textId="77777777" w:rsidR="00A91885" w:rsidRDefault="00A91885">
            <w:pPr>
              <w:rPr>
                <w:rFonts w:ascii="宋体"/>
                <w:vanish/>
              </w:rPr>
            </w:pPr>
          </w:p>
        </w:tc>
        <w:tc>
          <w:tcPr>
            <w:tcW w:w="0" w:type="auto"/>
            <w:gridSpan w:val="3"/>
            <w:shd w:val="clear" w:color="auto" w:fill="auto"/>
            <w:vAlign w:val="bottom"/>
          </w:tcPr>
          <w:p w14:paraId="18601486" w14:textId="77777777" w:rsidR="00A91885" w:rsidRDefault="00A91885">
            <w:pPr>
              <w:rPr>
                <w:rFonts w:ascii="宋体"/>
                <w:vanish/>
              </w:rPr>
            </w:pPr>
          </w:p>
        </w:tc>
        <w:tc>
          <w:tcPr>
            <w:tcW w:w="0" w:type="auto"/>
            <w:gridSpan w:val="3"/>
            <w:shd w:val="clear" w:color="auto" w:fill="auto"/>
            <w:vAlign w:val="bottom"/>
          </w:tcPr>
          <w:p w14:paraId="18601487" w14:textId="77777777" w:rsidR="00A91885" w:rsidRDefault="00A91885">
            <w:pPr>
              <w:rPr>
                <w:rFonts w:ascii="宋体"/>
                <w:vanish/>
              </w:rPr>
            </w:pPr>
          </w:p>
        </w:tc>
        <w:tc>
          <w:tcPr>
            <w:tcW w:w="0" w:type="auto"/>
            <w:gridSpan w:val="3"/>
            <w:shd w:val="clear" w:color="auto" w:fill="auto"/>
            <w:vAlign w:val="bottom"/>
          </w:tcPr>
          <w:p w14:paraId="18601488" w14:textId="77777777" w:rsidR="00A91885" w:rsidRDefault="00A91885">
            <w:pPr>
              <w:rPr>
                <w:rFonts w:ascii="宋体"/>
                <w:vanish/>
              </w:rPr>
            </w:pPr>
          </w:p>
        </w:tc>
        <w:tc>
          <w:tcPr>
            <w:tcW w:w="0" w:type="auto"/>
            <w:gridSpan w:val="3"/>
            <w:shd w:val="clear" w:color="auto" w:fill="auto"/>
            <w:vAlign w:val="bottom"/>
          </w:tcPr>
          <w:p w14:paraId="18601489" w14:textId="77777777" w:rsidR="00A91885" w:rsidRDefault="00A91885">
            <w:pPr>
              <w:rPr>
                <w:rFonts w:ascii="宋体"/>
                <w:vanish/>
              </w:rPr>
            </w:pPr>
          </w:p>
        </w:tc>
        <w:tc>
          <w:tcPr>
            <w:tcW w:w="0" w:type="auto"/>
            <w:gridSpan w:val="3"/>
            <w:shd w:val="clear" w:color="auto" w:fill="auto"/>
            <w:vAlign w:val="bottom"/>
          </w:tcPr>
          <w:p w14:paraId="1860148A" w14:textId="77777777" w:rsidR="00A91885" w:rsidRDefault="00A91885">
            <w:pPr>
              <w:rPr>
                <w:rFonts w:ascii="宋体"/>
                <w:vanish/>
              </w:rPr>
            </w:pPr>
          </w:p>
        </w:tc>
        <w:tc>
          <w:tcPr>
            <w:tcW w:w="0" w:type="auto"/>
            <w:gridSpan w:val="3"/>
            <w:shd w:val="clear" w:color="auto" w:fill="auto"/>
            <w:vAlign w:val="bottom"/>
          </w:tcPr>
          <w:p w14:paraId="1860148B" w14:textId="77777777" w:rsidR="00A91885" w:rsidRDefault="00A91885">
            <w:pPr>
              <w:rPr>
                <w:rFonts w:ascii="宋体"/>
                <w:vanish/>
              </w:rPr>
            </w:pPr>
          </w:p>
        </w:tc>
        <w:tc>
          <w:tcPr>
            <w:tcW w:w="0" w:type="auto"/>
            <w:gridSpan w:val="3"/>
            <w:shd w:val="clear" w:color="auto" w:fill="auto"/>
            <w:vAlign w:val="bottom"/>
          </w:tcPr>
          <w:p w14:paraId="1860148C" w14:textId="77777777" w:rsidR="00A91885" w:rsidRDefault="00A91885">
            <w:pPr>
              <w:rPr>
                <w:rFonts w:ascii="宋体"/>
                <w:vanish/>
              </w:rPr>
            </w:pPr>
          </w:p>
        </w:tc>
        <w:tc>
          <w:tcPr>
            <w:tcW w:w="0" w:type="auto"/>
            <w:gridSpan w:val="3"/>
            <w:shd w:val="clear" w:color="auto" w:fill="auto"/>
            <w:vAlign w:val="bottom"/>
          </w:tcPr>
          <w:p w14:paraId="1860148D" w14:textId="77777777" w:rsidR="00A91885" w:rsidRDefault="00A91885">
            <w:pPr>
              <w:rPr>
                <w:rFonts w:ascii="宋体"/>
                <w:vanish/>
              </w:rPr>
            </w:pPr>
          </w:p>
        </w:tc>
        <w:tc>
          <w:tcPr>
            <w:tcW w:w="0" w:type="auto"/>
            <w:gridSpan w:val="3"/>
            <w:shd w:val="clear" w:color="auto" w:fill="auto"/>
            <w:vAlign w:val="bottom"/>
          </w:tcPr>
          <w:p w14:paraId="1860148E" w14:textId="77777777" w:rsidR="00A91885" w:rsidRDefault="00A91885">
            <w:pPr>
              <w:rPr>
                <w:rFonts w:ascii="宋体"/>
                <w:vanish/>
              </w:rPr>
            </w:pPr>
          </w:p>
        </w:tc>
      </w:tr>
      <w:tr w:rsidR="00A91885" w14:paraId="1860149B" w14:textId="77777777">
        <w:trPr>
          <w:jc w:val="center"/>
          <w:hidden/>
        </w:trPr>
        <w:tc>
          <w:tcPr>
            <w:tcW w:w="0" w:type="auto"/>
            <w:gridSpan w:val="3"/>
            <w:shd w:val="clear" w:color="auto" w:fill="auto"/>
            <w:vAlign w:val="bottom"/>
          </w:tcPr>
          <w:p w14:paraId="18601490" w14:textId="77777777" w:rsidR="00A91885" w:rsidRDefault="00A91885">
            <w:pPr>
              <w:rPr>
                <w:rFonts w:ascii="宋体"/>
                <w:vanish/>
              </w:rPr>
            </w:pPr>
          </w:p>
        </w:tc>
        <w:tc>
          <w:tcPr>
            <w:tcW w:w="0" w:type="auto"/>
            <w:gridSpan w:val="3"/>
            <w:shd w:val="clear" w:color="auto" w:fill="auto"/>
            <w:vAlign w:val="bottom"/>
          </w:tcPr>
          <w:p w14:paraId="18601491" w14:textId="77777777" w:rsidR="00A91885" w:rsidRDefault="00A91885">
            <w:pPr>
              <w:rPr>
                <w:rFonts w:ascii="宋体"/>
                <w:vanish/>
              </w:rPr>
            </w:pPr>
          </w:p>
        </w:tc>
        <w:tc>
          <w:tcPr>
            <w:tcW w:w="0" w:type="auto"/>
            <w:gridSpan w:val="3"/>
            <w:shd w:val="clear" w:color="auto" w:fill="auto"/>
            <w:vAlign w:val="bottom"/>
          </w:tcPr>
          <w:p w14:paraId="18601492" w14:textId="77777777" w:rsidR="00A91885" w:rsidRDefault="00A91885">
            <w:pPr>
              <w:rPr>
                <w:rFonts w:ascii="宋体"/>
                <w:vanish/>
              </w:rPr>
            </w:pPr>
          </w:p>
        </w:tc>
        <w:tc>
          <w:tcPr>
            <w:tcW w:w="0" w:type="auto"/>
            <w:gridSpan w:val="3"/>
            <w:shd w:val="clear" w:color="auto" w:fill="auto"/>
            <w:vAlign w:val="bottom"/>
          </w:tcPr>
          <w:p w14:paraId="18601493" w14:textId="77777777" w:rsidR="00A91885" w:rsidRDefault="00A91885">
            <w:pPr>
              <w:rPr>
                <w:rFonts w:ascii="宋体"/>
                <w:vanish/>
              </w:rPr>
            </w:pPr>
          </w:p>
        </w:tc>
        <w:tc>
          <w:tcPr>
            <w:tcW w:w="0" w:type="auto"/>
            <w:gridSpan w:val="3"/>
            <w:shd w:val="clear" w:color="auto" w:fill="auto"/>
            <w:vAlign w:val="bottom"/>
          </w:tcPr>
          <w:p w14:paraId="18601494" w14:textId="77777777" w:rsidR="00A91885" w:rsidRDefault="00A91885">
            <w:pPr>
              <w:rPr>
                <w:rFonts w:ascii="宋体"/>
                <w:vanish/>
              </w:rPr>
            </w:pPr>
          </w:p>
        </w:tc>
        <w:tc>
          <w:tcPr>
            <w:tcW w:w="0" w:type="auto"/>
            <w:gridSpan w:val="3"/>
            <w:shd w:val="clear" w:color="auto" w:fill="auto"/>
            <w:vAlign w:val="bottom"/>
          </w:tcPr>
          <w:p w14:paraId="18601495" w14:textId="77777777" w:rsidR="00A91885" w:rsidRDefault="00A91885">
            <w:pPr>
              <w:rPr>
                <w:rFonts w:ascii="宋体"/>
                <w:vanish/>
              </w:rPr>
            </w:pPr>
          </w:p>
        </w:tc>
        <w:tc>
          <w:tcPr>
            <w:tcW w:w="0" w:type="auto"/>
            <w:gridSpan w:val="3"/>
            <w:shd w:val="clear" w:color="auto" w:fill="auto"/>
            <w:vAlign w:val="bottom"/>
          </w:tcPr>
          <w:p w14:paraId="18601496" w14:textId="77777777" w:rsidR="00A91885" w:rsidRDefault="00A91885">
            <w:pPr>
              <w:rPr>
                <w:rFonts w:ascii="宋体"/>
                <w:vanish/>
              </w:rPr>
            </w:pPr>
          </w:p>
        </w:tc>
        <w:tc>
          <w:tcPr>
            <w:tcW w:w="0" w:type="auto"/>
            <w:gridSpan w:val="3"/>
            <w:shd w:val="clear" w:color="auto" w:fill="auto"/>
            <w:vAlign w:val="bottom"/>
          </w:tcPr>
          <w:p w14:paraId="18601497" w14:textId="77777777" w:rsidR="00A91885" w:rsidRDefault="00A91885">
            <w:pPr>
              <w:rPr>
                <w:rFonts w:ascii="宋体"/>
                <w:vanish/>
              </w:rPr>
            </w:pPr>
          </w:p>
        </w:tc>
        <w:tc>
          <w:tcPr>
            <w:tcW w:w="0" w:type="auto"/>
            <w:gridSpan w:val="3"/>
            <w:shd w:val="clear" w:color="auto" w:fill="auto"/>
            <w:vAlign w:val="bottom"/>
          </w:tcPr>
          <w:p w14:paraId="18601498" w14:textId="77777777" w:rsidR="00A91885" w:rsidRDefault="00A91885">
            <w:pPr>
              <w:rPr>
                <w:rFonts w:ascii="宋体"/>
                <w:vanish/>
              </w:rPr>
            </w:pPr>
          </w:p>
        </w:tc>
        <w:tc>
          <w:tcPr>
            <w:tcW w:w="0" w:type="auto"/>
            <w:gridSpan w:val="3"/>
            <w:shd w:val="clear" w:color="auto" w:fill="auto"/>
            <w:vAlign w:val="bottom"/>
          </w:tcPr>
          <w:p w14:paraId="18601499" w14:textId="77777777" w:rsidR="00A91885" w:rsidRDefault="00A91885">
            <w:pPr>
              <w:rPr>
                <w:rFonts w:ascii="宋体"/>
                <w:vanish/>
              </w:rPr>
            </w:pPr>
          </w:p>
        </w:tc>
        <w:tc>
          <w:tcPr>
            <w:tcW w:w="0" w:type="auto"/>
            <w:gridSpan w:val="3"/>
            <w:shd w:val="clear" w:color="auto" w:fill="auto"/>
            <w:vAlign w:val="bottom"/>
          </w:tcPr>
          <w:p w14:paraId="1860149A" w14:textId="77777777" w:rsidR="00A91885" w:rsidRDefault="00A91885">
            <w:pPr>
              <w:rPr>
                <w:rFonts w:ascii="宋体"/>
                <w:vanish/>
              </w:rPr>
            </w:pPr>
          </w:p>
        </w:tc>
      </w:tr>
      <w:tr w:rsidR="00A91885" w14:paraId="186014A7" w14:textId="77777777">
        <w:trPr>
          <w:jc w:val="center"/>
          <w:hidden/>
        </w:trPr>
        <w:tc>
          <w:tcPr>
            <w:tcW w:w="0" w:type="auto"/>
            <w:gridSpan w:val="3"/>
            <w:shd w:val="clear" w:color="auto" w:fill="auto"/>
            <w:vAlign w:val="bottom"/>
          </w:tcPr>
          <w:p w14:paraId="1860149C" w14:textId="77777777" w:rsidR="00A91885" w:rsidRDefault="00A91885">
            <w:pPr>
              <w:rPr>
                <w:rFonts w:ascii="宋体"/>
                <w:vanish/>
              </w:rPr>
            </w:pPr>
          </w:p>
        </w:tc>
        <w:tc>
          <w:tcPr>
            <w:tcW w:w="0" w:type="auto"/>
            <w:gridSpan w:val="3"/>
            <w:shd w:val="clear" w:color="auto" w:fill="auto"/>
            <w:vAlign w:val="bottom"/>
          </w:tcPr>
          <w:p w14:paraId="1860149D" w14:textId="77777777" w:rsidR="00A91885" w:rsidRDefault="00A91885">
            <w:pPr>
              <w:rPr>
                <w:rFonts w:ascii="宋体"/>
                <w:vanish/>
              </w:rPr>
            </w:pPr>
          </w:p>
        </w:tc>
        <w:tc>
          <w:tcPr>
            <w:tcW w:w="0" w:type="auto"/>
            <w:gridSpan w:val="3"/>
            <w:shd w:val="clear" w:color="auto" w:fill="auto"/>
            <w:vAlign w:val="bottom"/>
          </w:tcPr>
          <w:p w14:paraId="1860149E" w14:textId="77777777" w:rsidR="00A91885" w:rsidRDefault="00A91885">
            <w:pPr>
              <w:rPr>
                <w:rFonts w:ascii="宋体"/>
                <w:vanish/>
              </w:rPr>
            </w:pPr>
          </w:p>
        </w:tc>
        <w:tc>
          <w:tcPr>
            <w:tcW w:w="0" w:type="auto"/>
            <w:gridSpan w:val="3"/>
            <w:shd w:val="clear" w:color="auto" w:fill="auto"/>
            <w:vAlign w:val="bottom"/>
          </w:tcPr>
          <w:p w14:paraId="1860149F" w14:textId="77777777" w:rsidR="00A91885" w:rsidRDefault="00A91885">
            <w:pPr>
              <w:rPr>
                <w:rFonts w:ascii="宋体"/>
                <w:vanish/>
              </w:rPr>
            </w:pPr>
          </w:p>
        </w:tc>
        <w:tc>
          <w:tcPr>
            <w:tcW w:w="0" w:type="auto"/>
            <w:gridSpan w:val="3"/>
            <w:shd w:val="clear" w:color="auto" w:fill="auto"/>
            <w:vAlign w:val="bottom"/>
          </w:tcPr>
          <w:p w14:paraId="186014A0" w14:textId="77777777" w:rsidR="00A91885" w:rsidRDefault="00A91885">
            <w:pPr>
              <w:rPr>
                <w:rFonts w:ascii="宋体"/>
                <w:vanish/>
              </w:rPr>
            </w:pPr>
          </w:p>
        </w:tc>
        <w:tc>
          <w:tcPr>
            <w:tcW w:w="0" w:type="auto"/>
            <w:gridSpan w:val="3"/>
            <w:shd w:val="clear" w:color="auto" w:fill="auto"/>
            <w:vAlign w:val="bottom"/>
          </w:tcPr>
          <w:p w14:paraId="186014A1" w14:textId="77777777" w:rsidR="00A91885" w:rsidRDefault="00A91885">
            <w:pPr>
              <w:rPr>
                <w:rFonts w:ascii="宋体"/>
                <w:vanish/>
              </w:rPr>
            </w:pPr>
          </w:p>
        </w:tc>
        <w:tc>
          <w:tcPr>
            <w:tcW w:w="0" w:type="auto"/>
            <w:gridSpan w:val="3"/>
            <w:shd w:val="clear" w:color="auto" w:fill="auto"/>
            <w:vAlign w:val="bottom"/>
          </w:tcPr>
          <w:p w14:paraId="186014A2" w14:textId="77777777" w:rsidR="00A91885" w:rsidRDefault="00A91885">
            <w:pPr>
              <w:rPr>
                <w:rFonts w:ascii="宋体"/>
                <w:vanish/>
              </w:rPr>
            </w:pPr>
          </w:p>
        </w:tc>
        <w:tc>
          <w:tcPr>
            <w:tcW w:w="0" w:type="auto"/>
            <w:gridSpan w:val="3"/>
            <w:shd w:val="clear" w:color="auto" w:fill="auto"/>
            <w:vAlign w:val="bottom"/>
          </w:tcPr>
          <w:p w14:paraId="186014A3" w14:textId="77777777" w:rsidR="00A91885" w:rsidRDefault="00A91885">
            <w:pPr>
              <w:rPr>
                <w:rFonts w:ascii="宋体"/>
                <w:vanish/>
              </w:rPr>
            </w:pPr>
          </w:p>
        </w:tc>
        <w:tc>
          <w:tcPr>
            <w:tcW w:w="0" w:type="auto"/>
            <w:gridSpan w:val="3"/>
            <w:shd w:val="clear" w:color="auto" w:fill="auto"/>
            <w:vAlign w:val="bottom"/>
          </w:tcPr>
          <w:p w14:paraId="186014A4" w14:textId="77777777" w:rsidR="00A91885" w:rsidRDefault="00A91885">
            <w:pPr>
              <w:rPr>
                <w:rFonts w:ascii="宋体"/>
                <w:vanish/>
              </w:rPr>
            </w:pPr>
          </w:p>
        </w:tc>
        <w:tc>
          <w:tcPr>
            <w:tcW w:w="0" w:type="auto"/>
            <w:gridSpan w:val="3"/>
            <w:shd w:val="clear" w:color="auto" w:fill="auto"/>
            <w:vAlign w:val="bottom"/>
          </w:tcPr>
          <w:p w14:paraId="186014A5" w14:textId="77777777" w:rsidR="00A91885" w:rsidRDefault="00A91885">
            <w:pPr>
              <w:rPr>
                <w:rFonts w:ascii="宋体"/>
                <w:vanish/>
              </w:rPr>
            </w:pPr>
          </w:p>
        </w:tc>
        <w:tc>
          <w:tcPr>
            <w:tcW w:w="0" w:type="auto"/>
            <w:gridSpan w:val="3"/>
            <w:shd w:val="clear" w:color="auto" w:fill="auto"/>
            <w:vAlign w:val="bottom"/>
          </w:tcPr>
          <w:p w14:paraId="186014A6" w14:textId="77777777" w:rsidR="00A91885" w:rsidRDefault="00A91885">
            <w:pPr>
              <w:rPr>
                <w:rFonts w:ascii="宋体"/>
                <w:vanish/>
              </w:rPr>
            </w:pPr>
          </w:p>
        </w:tc>
      </w:tr>
      <w:tr w:rsidR="00A91885" w14:paraId="186014B3" w14:textId="77777777">
        <w:trPr>
          <w:trHeight w:val="280"/>
          <w:jc w:val="center"/>
        </w:trPr>
        <w:tc>
          <w:tcPr>
            <w:tcW w:w="0" w:type="auto"/>
            <w:gridSpan w:val="3"/>
            <w:shd w:val="clear" w:color="auto" w:fill="FFFFFF"/>
            <w:tcMar>
              <w:top w:w="0" w:type="dxa"/>
              <w:left w:w="20" w:type="dxa"/>
              <w:bottom w:w="0" w:type="dxa"/>
              <w:right w:w="20" w:type="dxa"/>
            </w:tcMar>
            <w:vAlign w:val="bottom"/>
          </w:tcPr>
          <w:p w14:paraId="186014A8"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4A9"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4A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4A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4AC"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4A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4A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4A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4B0"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4B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4B2" w14:textId="77777777" w:rsidR="00A91885" w:rsidRDefault="00A91885">
            <w:pPr>
              <w:rPr>
                <w:rFonts w:ascii="宋体"/>
              </w:rPr>
            </w:pPr>
          </w:p>
        </w:tc>
      </w:tr>
      <w:tr w:rsidR="00A91885" w14:paraId="186014C7" w14:textId="77777777">
        <w:trPr>
          <w:jc w:val="center"/>
        </w:trPr>
        <w:tc>
          <w:tcPr>
            <w:tcW w:w="0" w:type="auto"/>
            <w:gridSpan w:val="3"/>
            <w:shd w:val="clear" w:color="auto" w:fill="E1E1E1"/>
            <w:tcMar>
              <w:top w:w="40" w:type="dxa"/>
              <w:left w:w="20" w:type="dxa"/>
              <w:bottom w:w="40" w:type="dxa"/>
              <w:right w:w="20" w:type="dxa"/>
            </w:tcMar>
            <w:vAlign w:val="bottom"/>
          </w:tcPr>
          <w:p w14:paraId="186014B4" w14:textId="77777777" w:rsidR="00A91885" w:rsidRDefault="009C4196">
            <w:pPr>
              <w:textAlignment w:val="bottom"/>
            </w:pPr>
            <w:r>
              <w:rPr>
                <w:rFonts w:ascii="Arial" w:eastAsia="宋体" w:hAnsi="Arial" w:cs="Arial"/>
                <w:color w:val="000000"/>
                <w:sz w:val="18"/>
                <w:szCs w:val="18"/>
              </w:rPr>
              <w:t>Total reclassifications for the period</w:t>
            </w:r>
          </w:p>
        </w:tc>
        <w:tc>
          <w:tcPr>
            <w:tcW w:w="0" w:type="auto"/>
            <w:gridSpan w:val="3"/>
            <w:shd w:val="clear" w:color="auto" w:fill="E1E1E1"/>
            <w:tcMar>
              <w:top w:w="0" w:type="dxa"/>
              <w:left w:w="20" w:type="dxa"/>
              <w:bottom w:w="0" w:type="dxa"/>
              <w:right w:w="20" w:type="dxa"/>
            </w:tcMar>
            <w:vAlign w:val="bottom"/>
          </w:tcPr>
          <w:p w14:paraId="186014B5" w14:textId="77777777" w:rsidR="00A91885" w:rsidRDefault="00A91885">
            <w:pPr>
              <w:rPr>
                <w:rFonts w:ascii="宋体"/>
              </w:rPr>
            </w:pPr>
          </w:p>
        </w:tc>
        <w:tc>
          <w:tcPr>
            <w:tcW w:w="0" w:type="auto"/>
            <w:gridSpan w:val="3"/>
            <w:shd w:val="clear" w:color="auto" w:fill="E1E1E1"/>
            <w:tcMar>
              <w:top w:w="40" w:type="dxa"/>
              <w:left w:w="20" w:type="dxa"/>
              <w:bottom w:w="40" w:type="dxa"/>
              <w:right w:w="20" w:type="dxa"/>
            </w:tcMar>
            <w:vAlign w:val="bottom"/>
          </w:tcPr>
          <w:p w14:paraId="186014B6" w14:textId="77777777" w:rsidR="00A91885" w:rsidRDefault="009C4196">
            <w:pPr>
              <w:textAlignment w:val="bottom"/>
            </w:pPr>
            <w:r>
              <w:rPr>
                <w:rFonts w:ascii="Arial" w:eastAsia="宋体" w:hAnsi="Arial" w:cs="Arial"/>
                <w:color w:val="000000"/>
                <w:sz w:val="18"/>
                <w:szCs w:val="18"/>
              </w:rPr>
              <w:t>Total, net of income taxes</w:t>
            </w:r>
          </w:p>
        </w:tc>
        <w:tc>
          <w:tcPr>
            <w:tcW w:w="0" w:type="auto"/>
            <w:gridSpan w:val="3"/>
            <w:shd w:val="clear" w:color="auto" w:fill="E1E1E1"/>
            <w:tcMar>
              <w:top w:w="0" w:type="dxa"/>
              <w:left w:w="20" w:type="dxa"/>
              <w:bottom w:w="0" w:type="dxa"/>
              <w:right w:w="20" w:type="dxa"/>
            </w:tcMar>
            <w:vAlign w:val="bottom"/>
          </w:tcPr>
          <w:p w14:paraId="186014B7" w14:textId="77777777" w:rsidR="00A91885" w:rsidRDefault="00A91885">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6014B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6014B9" w14:textId="77777777" w:rsidR="00A91885" w:rsidRDefault="009C4196">
            <w:pPr>
              <w:jc w:val="right"/>
              <w:textAlignment w:val="bottom"/>
            </w:pPr>
            <w:r>
              <w:rPr>
                <w:rFonts w:ascii="Arial" w:eastAsia="宋体" w:hAnsi="Arial" w:cs="Arial"/>
                <w:color w:val="000000"/>
                <w:sz w:val="18"/>
                <w:szCs w:val="18"/>
              </w:rPr>
              <w:t>5 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6014BA"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4BB" w14:textId="77777777" w:rsidR="00A91885" w:rsidRDefault="00A91885">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6014B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6014BD" w14:textId="77777777" w:rsidR="00A91885" w:rsidRDefault="009C4196">
            <w:pPr>
              <w:jc w:val="right"/>
              <w:textAlignment w:val="bottom"/>
            </w:pPr>
            <w:r>
              <w:rPr>
                <w:rFonts w:ascii="Arial" w:eastAsia="宋体" w:hAnsi="Arial" w:cs="Arial"/>
                <w:color w:val="000000"/>
                <w:sz w:val="18"/>
                <w:szCs w:val="18"/>
              </w:rPr>
              <w:t>(12)</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6014BE"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4BF" w14:textId="77777777" w:rsidR="00A91885" w:rsidRDefault="00A91885">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6014C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6014C1" w14:textId="77777777" w:rsidR="00A91885" w:rsidRDefault="009C4196">
            <w:pPr>
              <w:jc w:val="right"/>
              <w:textAlignment w:val="bottom"/>
            </w:pPr>
            <w:r>
              <w:rPr>
                <w:rFonts w:ascii="Arial" w:eastAsia="宋体" w:hAnsi="Arial" w:cs="Arial"/>
                <w:color w:val="000000"/>
                <w:sz w:val="18"/>
                <w:szCs w:val="18"/>
              </w:rPr>
              <w:t>11 </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6014C2"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4C3" w14:textId="77777777" w:rsidR="00A91885" w:rsidRDefault="00A91885">
            <w:pPr>
              <w:rPr>
                <w:rFonts w:ascii="宋体"/>
              </w:rPr>
            </w:pPr>
          </w:p>
        </w:tc>
        <w:tc>
          <w:tcPr>
            <w:tcW w:w="0" w:type="auto"/>
            <w:tcBorders>
              <w:top w:val="single" w:sz="8" w:space="0" w:color="000000"/>
              <w:bottom w:val="double" w:sz="6" w:space="0" w:color="000000"/>
            </w:tcBorders>
            <w:shd w:val="clear" w:color="auto" w:fill="E1E1E1"/>
            <w:tcMar>
              <w:top w:w="40" w:type="dxa"/>
              <w:left w:w="20" w:type="dxa"/>
              <w:bottom w:w="40" w:type="dxa"/>
              <w:right w:w="0" w:type="dxa"/>
            </w:tcMar>
            <w:vAlign w:val="bottom"/>
          </w:tcPr>
          <w:p w14:paraId="186014C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1E1E1"/>
            <w:tcMar>
              <w:top w:w="40" w:type="dxa"/>
              <w:left w:w="0" w:type="dxa"/>
              <w:bottom w:w="40" w:type="dxa"/>
              <w:right w:w="0" w:type="dxa"/>
            </w:tcMar>
            <w:vAlign w:val="bottom"/>
          </w:tcPr>
          <w:p w14:paraId="186014C5" w14:textId="77777777" w:rsidR="00A91885" w:rsidRDefault="009C4196">
            <w:pPr>
              <w:jc w:val="right"/>
              <w:textAlignment w:val="bottom"/>
            </w:pPr>
            <w:r>
              <w:rPr>
                <w:rFonts w:ascii="Arial" w:eastAsia="宋体" w:hAnsi="Arial" w:cs="Arial"/>
                <w:color w:val="000000"/>
                <w:sz w:val="18"/>
                <w:szCs w:val="18"/>
              </w:rPr>
              <w:t>(34)</w:t>
            </w:r>
          </w:p>
        </w:tc>
        <w:tc>
          <w:tcPr>
            <w:tcW w:w="0" w:type="auto"/>
            <w:tcBorders>
              <w:top w:val="single" w:sz="8" w:space="0" w:color="000000"/>
              <w:bottom w:val="double" w:sz="6" w:space="0" w:color="000000"/>
            </w:tcBorders>
            <w:shd w:val="clear" w:color="auto" w:fill="E1E1E1"/>
            <w:tcMar>
              <w:top w:w="40" w:type="dxa"/>
              <w:left w:w="0" w:type="dxa"/>
              <w:bottom w:w="40" w:type="dxa"/>
              <w:right w:w="20" w:type="dxa"/>
            </w:tcMar>
            <w:vAlign w:val="bottom"/>
          </w:tcPr>
          <w:p w14:paraId="186014C6" w14:textId="77777777" w:rsidR="00A91885" w:rsidRDefault="00A91885">
            <w:pPr>
              <w:jc w:val="right"/>
              <w:rPr>
                <w:rFonts w:ascii="宋体"/>
              </w:rPr>
            </w:pPr>
          </w:p>
        </w:tc>
      </w:tr>
    </w:tbl>
    <w:p w14:paraId="186014C8" w14:textId="77777777" w:rsidR="00A91885" w:rsidRDefault="00A91885">
      <w:pPr>
        <w:jc w:val="center"/>
      </w:pPr>
    </w:p>
    <w:p w14:paraId="186014C9" w14:textId="77777777" w:rsidR="00A91885" w:rsidRDefault="009C4196">
      <w:pPr>
        <w:jc w:val="center"/>
      </w:pPr>
      <w:r>
        <w:rPr>
          <w:rFonts w:ascii="Arial" w:eastAsia="宋体" w:hAnsi="Arial" w:cs="Arial"/>
          <w:color w:val="000000"/>
          <w:sz w:val="20"/>
          <w:szCs w:val="20"/>
        </w:rPr>
        <w:t>45</w:t>
      </w:r>
    </w:p>
    <w:p w14:paraId="186014CA" w14:textId="77777777" w:rsidR="00A91885" w:rsidRDefault="009C4196">
      <w:r>
        <w:pict w14:anchorId="186021B0">
          <v:rect id="_x0000_i1069" style="width:415.3pt;height:1.5pt" o:hralign="center" o:hrstd="t" o:hr="t" fillcolor="#a0a0a0" stroked="f"/>
        </w:pict>
      </w:r>
    </w:p>
    <w:p w14:paraId="186014CB" w14:textId="77777777" w:rsidR="00A91885" w:rsidRDefault="009C4196">
      <w:hyperlink r:id="rId129" w:anchor="ieb971428a625452486c65ae24899afca_7" w:history="1">
        <w:r>
          <w:rPr>
            <w:rStyle w:val="a5"/>
            <w:rFonts w:ascii="Arial" w:eastAsia="宋体" w:hAnsi="Arial" w:cs="Arial"/>
            <w:sz w:val="18"/>
            <w:szCs w:val="18"/>
          </w:rPr>
          <w:t>Table of Contents</w:t>
        </w:r>
      </w:hyperlink>
    </w:p>
    <w:p w14:paraId="186014CC" w14:textId="77777777" w:rsidR="00A91885" w:rsidRDefault="009C4196">
      <w:pPr>
        <w:ind w:hanging="1080"/>
      </w:pPr>
      <w:r>
        <w:rPr>
          <w:rFonts w:ascii="Arial" w:eastAsia="宋体" w:hAnsi="Arial" w:cs="Arial"/>
          <w:b/>
          <w:bCs/>
          <w:color w:val="000000"/>
          <w:sz w:val="20"/>
          <w:szCs w:val="20"/>
        </w:rPr>
        <w:t>ITEM 2:    </w:t>
      </w:r>
      <w:r>
        <w:rPr>
          <w:rFonts w:ascii="Arial" w:eastAsia="宋体" w:hAnsi="Arial" w:cs="Arial"/>
          <w:b/>
          <w:bCs/>
          <w:i/>
          <w:iCs/>
          <w:color w:val="000000"/>
          <w:sz w:val="20"/>
          <w:szCs w:val="20"/>
        </w:rPr>
        <w:t>MANAGEMENT’S DISCUSSION AND ANALYSIS OF FINANCIAL CONDITION AND RESULTS OF</w:t>
      </w:r>
      <w:r>
        <w:rPr>
          <w:rFonts w:ascii="Arial" w:eastAsia="宋体" w:hAnsi="Arial" w:cs="Arial"/>
          <w:b/>
          <w:bCs/>
          <w:i/>
          <w:iCs/>
          <w:color w:val="000000"/>
          <w:sz w:val="20"/>
          <w:szCs w:val="20"/>
        </w:rPr>
        <w:t xml:space="preserve"> OPERATIONS</w:t>
      </w:r>
    </w:p>
    <w:p w14:paraId="186014CD" w14:textId="77777777" w:rsidR="00A91885" w:rsidRDefault="00A91885">
      <w:pPr>
        <w:ind w:hanging="1080"/>
      </w:pPr>
    </w:p>
    <w:p w14:paraId="186014CE" w14:textId="77777777" w:rsidR="00A91885" w:rsidRDefault="009C4196">
      <w:r>
        <w:rPr>
          <w:rFonts w:ascii="Arial" w:eastAsia="宋体" w:hAnsi="Arial" w:cs="Arial"/>
          <w:b/>
          <w:bCs/>
          <w:color w:val="000000"/>
          <w:sz w:val="20"/>
          <w:szCs w:val="20"/>
        </w:rPr>
        <w:t>FORWARD-LOOKING STATEMENTS</w:t>
      </w:r>
    </w:p>
    <w:p w14:paraId="186014CF" w14:textId="77777777" w:rsidR="00A91885" w:rsidRDefault="00A91885"/>
    <w:p w14:paraId="186014D0" w14:textId="77777777" w:rsidR="00A91885" w:rsidRDefault="009C4196">
      <w:pPr>
        <w:ind w:firstLine="540"/>
        <w:jc w:val="both"/>
      </w:pPr>
      <w:r>
        <w:rPr>
          <w:rFonts w:ascii="Arial" w:eastAsia="宋体" w:hAnsi="Arial" w:cs="Arial"/>
          <w:i/>
          <w:iCs/>
          <w:color w:val="000000"/>
          <w:sz w:val="20"/>
          <w:szCs w:val="20"/>
        </w:rPr>
        <w:t>This Quarterly Report on Form 10-Q contains forward-looking statements within the meaning of Section 27A of the Securities Act of 1933 and Section 21E of the Securities Exchange Act of 1934, including statements that involve expectations, plans or intentio</w:t>
      </w:r>
      <w:r>
        <w:rPr>
          <w:rFonts w:ascii="Arial" w:eastAsia="宋体" w:hAnsi="Arial" w:cs="Arial"/>
          <w:i/>
          <w:iCs/>
          <w:color w:val="000000"/>
          <w:sz w:val="20"/>
          <w:szCs w:val="20"/>
        </w:rPr>
        <w:t>ns (such as those relating to future business, future results of operations or financial condition, including with respect to the effects of COVID-19, impacts from the ongoing war in Ukraine, new or planned features or services, or management strategies, i</w:t>
      </w:r>
      <w:r>
        <w:rPr>
          <w:rFonts w:ascii="Arial" w:eastAsia="宋体" w:hAnsi="Arial" w:cs="Arial"/>
          <w:i/>
          <w:iCs/>
          <w:color w:val="000000"/>
          <w:sz w:val="20"/>
          <w:szCs w:val="20"/>
        </w:rPr>
        <w:t>ncluding our portfolio review). You can generally identify these forward-looking statements by words such as “may,” “will,” “would,” “should,” “could,” “expect,” “anticipate,” “believe,” “estimate,” “intend,” “plan” and other similar expressions. These for</w:t>
      </w:r>
      <w:r>
        <w:rPr>
          <w:rFonts w:ascii="Arial" w:eastAsia="宋体" w:hAnsi="Arial" w:cs="Arial"/>
          <w:i/>
          <w:iCs/>
          <w:color w:val="000000"/>
          <w:sz w:val="20"/>
          <w:szCs w:val="20"/>
        </w:rPr>
        <w:t>ward-looking statements involve risks and uncertainties that could cause our actual results to differ materially from those expressed or implied in our forward-looking statements. Such risks and uncertainties include, among others, those discussed in “Part</w:t>
      </w:r>
      <w:r>
        <w:rPr>
          <w:rFonts w:ascii="Arial" w:eastAsia="宋体" w:hAnsi="Arial" w:cs="Arial"/>
          <w:i/>
          <w:iCs/>
          <w:color w:val="000000"/>
          <w:sz w:val="20"/>
          <w:szCs w:val="20"/>
        </w:rPr>
        <w:t xml:space="preserve"> I – Item 1A: Risk Factors” of the Company’s Annual Report on Form 10-K for the year ended December 31, 2021 (the “2021 Form 10-K”), as well as in our unaudited condensed consolidated financial statements, related notes, and the other information appearing</w:t>
      </w:r>
      <w:r>
        <w:rPr>
          <w:rFonts w:ascii="Arial" w:eastAsia="宋体" w:hAnsi="Arial" w:cs="Arial"/>
          <w:i/>
          <w:iCs/>
          <w:color w:val="000000"/>
          <w:sz w:val="20"/>
          <w:szCs w:val="20"/>
        </w:rPr>
        <w:t xml:space="preserve"> elsewhere in this report and our other filings with the Securities and Exchange Commission (“SEC”). We do not intend, and undertake no obligation, to update any of our forward-looking statements after the date of this report to reflect actual results or f</w:t>
      </w:r>
      <w:r>
        <w:rPr>
          <w:rFonts w:ascii="Arial" w:eastAsia="宋体" w:hAnsi="Arial" w:cs="Arial"/>
          <w:i/>
          <w:iCs/>
          <w:color w:val="000000"/>
          <w:sz w:val="20"/>
          <w:szCs w:val="20"/>
        </w:rPr>
        <w:t xml:space="preserve">uture events or circumstances. Given these risks and uncertainties, readers are cautioned not to place undue reliance on such forward-looking statements. You should read the following Management’s Discussion and Analysis of Financial Condition and Results </w:t>
      </w:r>
      <w:r>
        <w:rPr>
          <w:rFonts w:ascii="Arial" w:eastAsia="宋体" w:hAnsi="Arial" w:cs="Arial"/>
          <w:i/>
          <w:iCs/>
          <w:color w:val="000000"/>
          <w:sz w:val="20"/>
          <w:szCs w:val="20"/>
        </w:rPr>
        <w:t xml:space="preserve">of Operations in conjunction with the unaudited condensed consolidated financial statements and the related notes included in this report. </w:t>
      </w:r>
    </w:p>
    <w:p w14:paraId="186014D1" w14:textId="77777777" w:rsidR="00A91885" w:rsidRDefault="00A91885">
      <w:pPr>
        <w:ind w:firstLine="540"/>
        <w:jc w:val="both"/>
      </w:pPr>
    </w:p>
    <w:p w14:paraId="186014D2" w14:textId="77777777" w:rsidR="00A91885" w:rsidRDefault="009C4196">
      <w:pPr>
        <w:ind w:firstLine="540"/>
        <w:jc w:val="both"/>
      </w:pPr>
      <w:r>
        <w:rPr>
          <w:rFonts w:ascii="Arial" w:eastAsia="宋体" w:hAnsi="Arial" w:cs="Arial"/>
          <w:color w:val="000000"/>
          <w:sz w:val="20"/>
          <w:szCs w:val="20"/>
        </w:rPr>
        <w:t>When we refer to “we,” “our,” “us” or “eBay” in this Quarterly Report on Form 10-Q, we mean the current Delaware co</w:t>
      </w:r>
      <w:r>
        <w:rPr>
          <w:rFonts w:ascii="Arial" w:eastAsia="宋体" w:hAnsi="Arial" w:cs="Arial"/>
          <w:color w:val="000000"/>
          <w:sz w:val="20"/>
          <w:szCs w:val="20"/>
        </w:rPr>
        <w:t xml:space="preserve">rporation (eBay Inc.) and its consolidated subsidiaries, unless otherwise expressly stated or the context otherwise requires. </w:t>
      </w:r>
    </w:p>
    <w:p w14:paraId="186014D3" w14:textId="77777777" w:rsidR="00A91885" w:rsidRDefault="00A91885"/>
    <w:p w14:paraId="186014D4" w14:textId="77777777" w:rsidR="00A91885" w:rsidRDefault="009C4196">
      <w:pPr>
        <w:jc w:val="both"/>
      </w:pPr>
      <w:r>
        <w:rPr>
          <w:rFonts w:ascii="Arial" w:eastAsia="宋体" w:hAnsi="Arial" w:cs="Arial"/>
          <w:b/>
          <w:bCs/>
          <w:color w:val="000000"/>
          <w:sz w:val="20"/>
          <w:szCs w:val="20"/>
        </w:rPr>
        <w:t>OVERVIEW</w:t>
      </w:r>
    </w:p>
    <w:p w14:paraId="186014D5" w14:textId="77777777" w:rsidR="00A91885" w:rsidRDefault="009C4196">
      <w:pPr>
        <w:ind w:firstLine="540"/>
        <w:jc w:val="both"/>
      </w:pPr>
      <w:r>
        <w:rPr>
          <w:rFonts w:ascii="Arial" w:eastAsia="宋体" w:hAnsi="Arial" w:cs="Arial"/>
          <w:color w:val="000000"/>
          <w:sz w:val="20"/>
          <w:szCs w:val="20"/>
        </w:rPr>
        <w:t> </w:t>
      </w:r>
    </w:p>
    <w:p w14:paraId="186014D6" w14:textId="77777777" w:rsidR="00A91885" w:rsidRDefault="009C4196">
      <w:pPr>
        <w:jc w:val="both"/>
      </w:pPr>
      <w:r>
        <w:rPr>
          <w:rFonts w:ascii="Arial" w:eastAsia="宋体" w:hAnsi="Arial" w:cs="Arial"/>
          <w:b/>
          <w:bCs/>
          <w:color w:val="000000"/>
          <w:sz w:val="20"/>
          <w:szCs w:val="20"/>
        </w:rPr>
        <w:t>Business</w:t>
      </w:r>
    </w:p>
    <w:p w14:paraId="186014D7" w14:textId="77777777" w:rsidR="00A91885" w:rsidRDefault="00A91885">
      <w:pPr>
        <w:ind w:firstLine="540"/>
        <w:jc w:val="both"/>
      </w:pPr>
    </w:p>
    <w:p w14:paraId="186014D8" w14:textId="77777777" w:rsidR="00A91885" w:rsidRDefault="009C4196">
      <w:pPr>
        <w:ind w:firstLine="540"/>
        <w:jc w:val="both"/>
      </w:pPr>
      <w:r>
        <w:rPr>
          <w:rFonts w:ascii="Arial" w:eastAsia="宋体" w:hAnsi="Arial" w:cs="Arial"/>
          <w:color w:val="000000"/>
          <w:sz w:val="20"/>
          <w:szCs w:val="20"/>
        </w:rPr>
        <w:t>eBay Inc. is a global commerce leader, which includes our Marketplace platforms. Founded in 1995 in San Jos</w:t>
      </w:r>
      <w:r>
        <w:rPr>
          <w:rFonts w:ascii="Arial" w:eastAsia="宋体" w:hAnsi="Arial" w:cs="Arial"/>
          <w:color w:val="000000"/>
          <w:sz w:val="20"/>
          <w:szCs w:val="20"/>
        </w:rPr>
        <w:t>e, California, eBay is one of the world’s largest and most vibrant marketplaces for discovering great value and unique selection. Collectively, we connect millions of buyers and sellers around the world, empowering people and creating opportunity. Our tech</w:t>
      </w:r>
      <w:r>
        <w:rPr>
          <w:rFonts w:ascii="Arial" w:eastAsia="宋体" w:hAnsi="Arial" w:cs="Arial"/>
          <w:color w:val="000000"/>
          <w:sz w:val="20"/>
          <w:szCs w:val="20"/>
        </w:rPr>
        <w:t>nologies and services are designed to provide buyers choice and a breadth of relevant inventory and to enable sellers worldwide to organize and offer their inventory for sale, virtually anytime and anywhere. In 2022, we are focused on our strategic playboo</w:t>
      </w:r>
      <w:r>
        <w:rPr>
          <w:rFonts w:ascii="Arial" w:eastAsia="宋体" w:hAnsi="Arial" w:cs="Arial"/>
          <w:color w:val="000000"/>
          <w:sz w:val="20"/>
          <w:szCs w:val="20"/>
        </w:rPr>
        <w:t>k — to understand the customer and their needs; build experiences they will love, at scale; and tell our story in new and different ways.</w:t>
      </w:r>
    </w:p>
    <w:p w14:paraId="186014D9" w14:textId="77777777" w:rsidR="00A91885" w:rsidRDefault="00A91885">
      <w:pPr>
        <w:ind w:firstLine="540"/>
        <w:jc w:val="both"/>
      </w:pPr>
    </w:p>
    <w:p w14:paraId="186014DA" w14:textId="77777777" w:rsidR="00A91885" w:rsidRDefault="009C4196">
      <w:pPr>
        <w:ind w:firstLine="540"/>
        <w:jc w:val="both"/>
      </w:pPr>
      <w:r>
        <w:rPr>
          <w:rFonts w:ascii="Arial" w:eastAsia="宋体" w:hAnsi="Arial" w:cs="Arial"/>
          <w:color w:val="000000"/>
          <w:sz w:val="20"/>
          <w:szCs w:val="20"/>
        </w:rPr>
        <w:t>In 2020 and extending into 2021, there were changes in consumer behavior that resulted in more online shopping driven</w:t>
      </w:r>
      <w:r>
        <w:rPr>
          <w:rFonts w:ascii="Arial" w:eastAsia="宋体" w:hAnsi="Arial" w:cs="Arial"/>
          <w:color w:val="000000"/>
          <w:sz w:val="20"/>
          <w:szCs w:val="20"/>
        </w:rPr>
        <w:t xml:space="preserve"> by the outbreak of a coronavirus and its variants (“COVID-19”). Our Marketplace platforms experienced elevated traffic, acquisition of small sellers and buyer acquisition due to the impacts of measures taken globally to contain the spread of COVID-19, whi</w:t>
      </w:r>
      <w:r>
        <w:rPr>
          <w:rFonts w:ascii="Arial" w:eastAsia="宋体" w:hAnsi="Arial" w:cs="Arial"/>
          <w:color w:val="000000"/>
          <w:sz w:val="20"/>
          <w:szCs w:val="20"/>
        </w:rPr>
        <w:t>ch were unprecedented and are not expected to recur. In addition to the impact of COVID-19, we also experienced softness in most markets during the first half of 2022 resulting from geopolitical and macroeconomic events which are uncertain in duration. Thr</w:t>
      </w:r>
      <w:r>
        <w:rPr>
          <w:rFonts w:ascii="Arial" w:eastAsia="宋体" w:hAnsi="Arial" w:cs="Arial"/>
          <w:color w:val="000000"/>
          <w:sz w:val="20"/>
          <w:szCs w:val="20"/>
        </w:rPr>
        <w:t>ough the remainder of 2022, we expect lower traffic in most markets to continue as a result of geopolitical and macroeconomic events in addition to the year-over-year impacts of COVID-19.</w:t>
      </w:r>
    </w:p>
    <w:p w14:paraId="186014DB" w14:textId="77777777" w:rsidR="00A91885" w:rsidRDefault="00A91885">
      <w:pPr>
        <w:ind w:firstLine="540"/>
        <w:jc w:val="both"/>
      </w:pPr>
    </w:p>
    <w:p w14:paraId="186014DC" w14:textId="77777777" w:rsidR="00A91885" w:rsidRDefault="009C4196">
      <w:pPr>
        <w:ind w:firstLine="540"/>
        <w:jc w:val="both"/>
      </w:pPr>
      <w:r>
        <w:rPr>
          <w:rFonts w:ascii="Arial" w:eastAsia="宋体" w:hAnsi="Arial" w:cs="Arial"/>
          <w:color w:val="000000"/>
          <w:sz w:val="20"/>
          <w:szCs w:val="20"/>
        </w:rPr>
        <w:t>On June 24, 2021 we completed the transfer of our Classifieds busin</w:t>
      </w:r>
      <w:r>
        <w:rPr>
          <w:rFonts w:ascii="Arial" w:eastAsia="宋体" w:hAnsi="Arial" w:cs="Arial"/>
          <w:color w:val="000000"/>
          <w:sz w:val="20"/>
          <w:szCs w:val="20"/>
        </w:rPr>
        <w:t>ess to Adevinta ASA (“Adevinta”), and on November 14, 2021 we completed the sale of 80.01% of the outstanding equity interests of eBay Korea LLC, a limited liability company incorporated under the laws of Korea and a wholly owned subsidiary of eBay KTA (“e</w:t>
      </w:r>
      <w:r>
        <w:rPr>
          <w:rFonts w:ascii="Arial" w:eastAsia="宋体" w:hAnsi="Arial" w:cs="Arial"/>
          <w:color w:val="000000"/>
          <w:sz w:val="20"/>
          <w:szCs w:val="20"/>
        </w:rPr>
        <w:t>Bay Korea”) to E-mart Inc. and one of its wholly owned subsidiaries (together, “Emart”). The results of our eBay Korea and Classifieds businesses have been presented as discontinued operations in our condensed consolidated statement of income for all perio</w:t>
      </w:r>
      <w:r>
        <w:rPr>
          <w:rFonts w:ascii="Arial" w:eastAsia="宋体" w:hAnsi="Arial" w:cs="Arial"/>
          <w:color w:val="000000"/>
          <w:sz w:val="20"/>
          <w:szCs w:val="20"/>
        </w:rPr>
        <w:t>ds presented through the respective transaction close dates as the transactions represented a strategic shift in our business that had a major effect on our operations and financial results.</w:t>
      </w:r>
    </w:p>
    <w:p w14:paraId="186014DD" w14:textId="77777777" w:rsidR="00A91885" w:rsidRDefault="00A91885">
      <w:pPr>
        <w:ind w:firstLine="540"/>
        <w:jc w:val="both"/>
      </w:pPr>
    </w:p>
    <w:p w14:paraId="186014DE" w14:textId="77777777" w:rsidR="00A91885" w:rsidRDefault="00A91885">
      <w:pPr>
        <w:jc w:val="center"/>
      </w:pPr>
    </w:p>
    <w:p w14:paraId="186014DF" w14:textId="77777777" w:rsidR="00A91885" w:rsidRDefault="009C4196">
      <w:pPr>
        <w:jc w:val="center"/>
      </w:pPr>
      <w:r>
        <w:rPr>
          <w:rFonts w:ascii="Arial" w:eastAsia="宋体" w:hAnsi="Arial" w:cs="Arial"/>
          <w:color w:val="000000"/>
          <w:sz w:val="20"/>
          <w:szCs w:val="20"/>
        </w:rPr>
        <w:t>46</w:t>
      </w:r>
    </w:p>
    <w:p w14:paraId="186014E0" w14:textId="77777777" w:rsidR="00A91885" w:rsidRDefault="009C4196">
      <w:r>
        <w:pict w14:anchorId="186021B1">
          <v:rect id="_x0000_i1070" style="width:415.3pt;height:1.5pt" o:hralign="center" o:hrstd="t" o:hr="t" fillcolor="#a0a0a0" stroked="f"/>
        </w:pict>
      </w:r>
    </w:p>
    <w:p w14:paraId="186014E1" w14:textId="77777777" w:rsidR="00A91885" w:rsidRDefault="009C4196">
      <w:hyperlink r:id="rId130" w:anchor="ieb971428a625452486c65ae24899afca_7" w:history="1">
        <w:r>
          <w:rPr>
            <w:rStyle w:val="a5"/>
            <w:rFonts w:ascii="Arial" w:eastAsia="宋体" w:hAnsi="Arial" w:cs="Arial"/>
            <w:sz w:val="18"/>
            <w:szCs w:val="18"/>
          </w:rPr>
          <w:t>Table of Contents</w:t>
        </w:r>
      </w:hyperlink>
    </w:p>
    <w:p w14:paraId="186014E2" w14:textId="77777777" w:rsidR="00A91885" w:rsidRDefault="009C4196">
      <w:pPr>
        <w:ind w:firstLine="540"/>
        <w:jc w:val="both"/>
      </w:pPr>
      <w:r>
        <w:rPr>
          <w:rFonts w:ascii="Arial" w:eastAsia="宋体" w:hAnsi="Arial" w:cs="Arial"/>
          <w:color w:val="000000"/>
          <w:sz w:val="20"/>
          <w:szCs w:val="20"/>
        </w:rPr>
        <w:t xml:space="preserve">See “Note 3 — Discontinued Operations” in our condensed consolidated financial statements included elsewhere in this report for </w:t>
      </w:r>
      <w:r>
        <w:rPr>
          <w:rFonts w:ascii="Arial" w:eastAsia="宋体" w:hAnsi="Arial" w:cs="Arial"/>
          <w:color w:val="000000"/>
          <w:sz w:val="20"/>
          <w:szCs w:val="20"/>
        </w:rPr>
        <w:t>additional information.</w:t>
      </w:r>
    </w:p>
    <w:p w14:paraId="186014E3" w14:textId="77777777" w:rsidR="00A91885" w:rsidRDefault="00A91885">
      <w:pPr>
        <w:ind w:firstLine="540"/>
        <w:jc w:val="both"/>
      </w:pPr>
    </w:p>
    <w:p w14:paraId="186014E4" w14:textId="77777777" w:rsidR="00A91885" w:rsidRDefault="009C4196">
      <w:pPr>
        <w:jc w:val="both"/>
      </w:pPr>
      <w:r>
        <w:rPr>
          <w:rFonts w:ascii="Arial" w:eastAsia="宋体" w:hAnsi="Arial" w:cs="Arial"/>
          <w:b/>
          <w:bCs/>
          <w:color w:val="000000"/>
          <w:sz w:val="20"/>
          <w:szCs w:val="20"/>
        </w:rPr>
        <w:t>Presentation</w:t>
      </w:r>
    </w:p>
    <w:p w14:paraId="186014E5" w14:textId="77777777" w:rsidR="00A91885" w:rsidRDefault="00A91885">
      <w:pPr>
        <w:ind w:firstLine="540"/>
        <w:jc w:val="both"/>
      </w:pPr>
    </w:p>
    <w:p w14:paraId="186014E6" w14:textId="77777777" w:rsidR="00A91885" w:rsidRDefault="009C4196">
      <w:pPr>
        <w:ind w:firstLine="540"/>
        <w:jc w:val="both"/>
      </w:pPr>
      <w:r>
        <w:rPr>
          <w:rFonts w:ascii="Arial" w:eastAsia="宋体" w:hAnsi="Arial" w:cs="Arial"/>
          <w:color w:val="000000"/>
          <w:sz w:val="20"/>
          <w:szCs w:val="20"/>
        </w:rPr>
        <w:t xml:space="preserve">In addition to the corresponding measures under generally accepted accounting principles (“GAAP”), management uses non-GAAP measures in reviewing our financial results. The foreign exchange neutral (“FX-Neutral”), or </w:t>
      </w:r>
      <w:r>
        <w:rPr>
          <w:rFonts w:ascii="Arial" w:eastAsia="宋体" w:hAnsi="Arial" w:cs="Arial"/>
          <w:color w:val="000000"/>
          <w:sz w:val="20"/>
          <w:szCs w:val="20"/>
        </w:rPr>
        <w:t>constant currency, net revenue amounts discussed below are non-GAAP financial measures and are not in accordance with, or an alternative to, measures prepared in accordance with GAAP. Accordingly, the FX-Neutral information appearing in the following discu</w:t>
      </w:r>
      <w:r>
        <w:rPr>
          <w:rFonts w:ascii="Arial" w:eastAsia="宋体" w:hAnsi="Arial" w:cs="Arial"/>
          <w:color w:val="000000"/>
          <w:sz w:val="20"/>
          <w:szCs w:val="20"/>
        </w:rPr>
        <w:t>ssion of our results of operations should be read in conjunction with the information provided below in “</w:t>
      </w:r>
      <w:r>
        <w:rPr>
          <w:rFonts w:ascii="Arial" w:eastAsia="宋体" w:hAnsi="Arial" w:cs="Arial"/>
          <w:i/>
          <w:iCs/>
          <w:color w:val="000000"/>
          <w:sz w:val="20"/>
          <w:szCs w:val="20"/>
        </w:rPr>
        <w:t>Non-GAAP Measures of Financial Performance</w:t>
      </w:r>
      <w:r>
        <w:rPr>
          <w:rFonts w:ascii="Arial" w:eastAsia="宋体" w:hAnsi="Arial" w:cs="Arial"/>
          <w:color w:val="000000"/>
          <w:sz w:val="20"/>
          <w:szCs w:val="20"/>
        </w:rPr>
        <w:t>,” which includes reconciliations of FX-Neutral financial measures to the most directly comparable GAAP measu</w:t>
      </w:r>
      <w:r>
        <w:rPr>
          <w:rFonts w:ascii="Arial" w:eastAsia="宋体" w:hAnsi="Arial" w:cs="Arial"/>
          <w:color w:val="000000"/>
          <w:sz w:val="20"/>
          <w:szCs w:val="20"/>
        </w:rPr>
        <w:t xml:space="preserve">res. We calculate the year-over-year impact of foreign currency movements using prior period foreign currency rates applied to current year transactional currency amounts. </w:t>
      </w:r>
    </w:p>
    <w:p w14:paraId="186014E7" w14:textId="77777777" w:rsidR="00A91885" w:rsidRDefault="00A91885">
      <w:pPr>
        <w:jc w:val="both"/>
      </w:pPr>
    </w:p>
    <w:p w14:paraId="186014E8" w14:textId="77777777" w:rsidR="00A91885" w:rsidRDefault="009C4196">
      <w:r>
        <w:rPr>
          <w:rFonts w:ascii="Arial" w:eastAsia="宋体" w:hAnsi="Arial" w:cs="Arial"/>
          <w:b/>
          <w:bCs/>
          <w:color w:val="000000"/>
          <w:sz w:val="20"/>
          <w:szCs w:val="20"/>
        </w:rPr>
        <w:t>Quarter Highlights</w:t>
      </w:r>
    </w:p>
    <w:p w14:paraId="186014E9" w14:textId="77777777" w:rsidR="00A91885" w:rsidRDefault="00A91885">
      <w:pPr>
        <w:ind w:firstLine="540"/>
        <w:jc w:val="both"/>
      </w:pPr>
    </w:p>
    <w:p w14:paraId="186014EA" w14:textId="77777777" w:rsidR="00A91885" w:rsidRDefault="009C4196">
      <w:pPr>
        <w:ind w:firstLine="540"/>
        <w:jc w:val="both"/>
      </w:pPr>
      <w:r>
        <w:rPr>
          <w:rFonts w:ascii="Arial" w:eastAsia="宋体" w:hAnsi="Arial" w:cs="Arial"/>
          <w:color w:val="000000"/>
          <w:sz w:val="20"/>
          <w:szCs w:val="20"/>
        </w:rPr>
        <w:t>Net revenues decreased 9% to $2,422 million primarily due to a decline in traffic resulting from the normalization of consumer behavior during the three months ended June 30, 2022 compared to the elevated traffic from the impact of COVID-19 during the same</w:t>
      </w:r>
      <w:r>
        <w:rPr>
          <w:rFonts w:ascii="Arial" w:eastAsia="宋体" w:hAnsi="Arial" w:cs="Arial"/>
          <w:color w:val="000000"/>
          <w:sz w:val="20"/>
          <w:szCs w:val="20"/>
        </w:rPr>
        <w:t xml:space="preserve"> period in 2021. Net revenues were also impacted by softness in most markets resulting from geopolitical and macroeconomic events during the three months ended June 30, 2022 compared to the same period in 2021, which are uncertain in duration. These decrea</w:t>
      </w:r>
      <w:r>
        <w:rPr>
          <w:rFonts w:ascii="Arial" w:eastAsia="宋体" w:hAnsi="Arial" w:cs="Arial"/>
          <w:color w:val="000000"/>
          <w:sz w:val="20"/>
          <w:szCs w:val="20"/>
        </w:rPr>
        <w:t>ses were partially offset by an increase in net revenues due to the completion of the managed payments migration on a global basis by the end of 2021 and the associated higher take rate. FX-Neutral net revenues (as defined above) decreased 6% during the th</w:t>
      </w:r>
      <w:r>
        <w:rPr>
          <w:rFonts w:ascii="Arial" w:eastAsia="宋体" w:hAnsi="Arial" w:cs="Arial"/>
          <w:color w:val="000000"/>
          <w:sz w:val="20"/>
          <w:szCs w:val="20"/>
        </w:rPr>
        <w:t xml:space="preserve">ree months ended June 30, 2022 compared to the same period in 2021. Operating margin decreased to 21.7% for the three months ended June 30, 2022 compared to 27.4% for the same period in 2021. </w:t>
      </w:r>
    </w:p>
    <w:p w14:paraId="186014EB" w14:textId="77777777" w:rsidR="00A91885" w:rsidRDefault="00A91885">
      <w:pPr>
        <w:ind w:firstLine="540"/>
        <w:jc w:val="both"/>
      </w:pPr>
    </w:p>
    <w:p w14:paraId="186014EC" w14:textId="77777777" w:rsidR="00A91885" w:rsidRDefault="009C4196">
      <w:pPr>
        <w:ind w:firstLine="540"/>
        <w:jc w:val="both"/>
      </w:pPr>
      <w:r>
        <w:rPr>
          <w:rFonts w:ascii="Arial" w:eastAsia="宋体" w:hAnsi="Arial" w:cs="Arial"/>
          <w:color w:val="000000"/>
          <w:sz w:val="20"/>
          <w:szCs w:val="20"/>
        </w:rPr>
        <w:t>We generated cash flow from continuing operating activities of</w:t>
      </w:r>
      <w:r>
        <w:rPr>
          <w:rFonts w:ascii="Arial" w:eastAsia="宋体" w:hAnsi="Arial" w:cs="Arial"/>
          <w:color w:val="000000"/>
          <w:sz w:val="20"/>
          <w:szCs w:val="20"/>
        </w:rPr>
        <w:t xml:space="preserve"> $577 million during the three months ended June 30, 2022 compared to $1.0 billion in the same period in 2021. </w:t>
      </w:r>
    </w:p>
    <w:p w14:paraId="186014ED" w14:textId="77777777" w:rsidR="00A91885" w:rsidRDefault="00A91885">
      <w:pPr>
        <w:ind w:firstLine="540"/>
        <w:jc w:val="both"/>
      </w:pPr>
    </w:p>
    <w:p w14:paraId="186014EE" w14:textId="77777777" w:rsidR="00A91885" w:rsidRDefault="009C4196">
      <w:pPr>
        <w:ind w:firstLine="540"/>
        <w:jc w:val="both"/>
      </w:pPr>
      <w:r>
        <w:rPr>
          <w:rFonts w:ascii="Arial" w:eastAsia="宋体" w:hAnsi="Arial" w:cs="Arial"/>
          <w:color w:val="000000"/>
          <w:sz w:val="20"/>
          <w:szCs w:val="20"/>
        </w:rPr>
        <w:t>During the three months ended June 30, 2022 we received cash proceeds of $467 million in the aggregate from the sales of shares in Adyen and Ka</w:t>
      </w:r>
      <w:r>
        <w:rPr>
          <w:rFonts w:ascii="Arial" w:eastAsia="宋体" w:hAnsi="Arial" w:cs="Arial"/>
          <w:color w:val="000000"/>
          <w:sz w:val="20"/>
          <w:szCs w:val="20"/>
        </w:rPr>
        <w:t>kaoBank. We recorded realized losses on the change in fair value of shares sold of $68 million in the aggregate in gain (loss) on equity investments and warrant, net on our condensed consolidated statement of income for the three months ended June 30, 2022</w:t>
      </w:r>
      <w:r>
        <w:rPr>
          <w:rFonts w:ascii="Arial" w:eastAsia="宋体" w:hAnsi="Arial" w:cs="Arial"/>
          <w:color w:val="000000"/>
          <w:sz w:val="20"/>
          <w:szCs w:val="20"/>
        </w:rPr>
        <w:t xml:space="preserve">. </w:t>
      </w:r>
    </w:p>
    <w:p w14:paraId="186014EF" w14:textId="77777777" w:rsidR="00A91885" w:rsidRDefault="00A91885">
      <w:pPr>
        <w:ind w:firstLine="540"/>
        <w:jc w:val="both"/>
      </w:pPr>
    </w:p>
    <w:p w14:paraId="186014F0" w14:textId="77777777" w:rsidR="00A91885" w:rsidRDefault="009C4196">
      <w:pPr>
        <w:ind w:firstLine="540"/>
        <w:jc w:val="both"/>
      </w:pPr>
      <w:r>
        <w:rPr>
          <w:rFonts w:ascii="Arial" w:eastAsia="宋体" w:hAnsi="Arial" w:cs="Arial"/>
          <w:color w:val="000000"/>
          <w:sz w:val="20"/>
          <w:szCs w:val="20"/>
        </w:rPr>
        <w:t xml:space="preserve">During the three months ended June 30, 2022, we repaid debt of $605 million consisting of the 2.600% senior notes due 2022. We also repurchased $1.5 billion of common stock and paid $121 million in cash dividends. </w:t>
      </w:r>
    </w:p>
    <w:p w14:paraId="186014F1" w14:textId="77777777" w:rsidR="00A91885" w:rsidRDefault="00A91885">
      <w:pPr>
        <w:ind w:firstLine="540"/>
        <w:jc w:val="both"/>
      </w:pPr>
    </w:p>
    <w:p w14:paraId="186014F2" w14:textId="77777777" w:rsidR="00A91885" w:rsidRDefault="00A91885">
      <w:pPr>
        <w:jc w:val="center"/>
      </w:pPr>
    </w:p>
    <w:p w14:paraId="186014F3" w14:textId="77777777" w:rsidR="00A91885" w:rsidRDefault="009C4196">
      <w:pPr>
        <w:jc w:val="center"/>
      </w:pPr>
      <w:r>
        <w:rPr>
          <w:rFonts w:ascii="Arial" w:eastAsia="宋体" w:hAnsi="Arial" w:cs="Arial"/>
          <w:color w:val="000000"/>
          <w:sz w:val="20"/>
          <w:szCs w:val="20"/>
        </w:rPr>
        <w:t>47</w:t>
      </w:r>
    </w:p>
    <w:p w14:paraId="186014F4" w14:textId="77777777" w:rsidR="00A91885" w:rsidRDefault="009C4196">
      <w:r>
        <w:pict w14:anchorId="186021B2">
          <v:rect id="_x0000_i1071" style="width:415.3pt;height:1.5pt" o:hralign="center" o:hrstd="t" o:hr="t" fillcolor="#a0a0a0" stroked="f"/>
        </w:pict>
      </w:r>
    </w:p>
    <w:p w14:paraId="186014F5" w14:textId="77777777" w:rsidR="00A91885" w:rsidRDefault="009C4196">
      <w:hyperlink r:id="rId131" w:anchor="ieb971428a625452486c65ae24899afca_7" w:history="1">
        <w:r>
          <w:rPr>
            <w:rStyle w:val="a5"/>
            <w:rFonts w:ascii="Arial" w:eastAsia="宋体" w:hAnsi="Arial" w:cs="Arial"/>
            <w:sz w:val="18"/>
            <w:szCs w:val="18"/>
          </w:rPr>
          <w:t>Table of Contents</w:t>
        </w:r>
      </w:hyperlink>
    </w:p>
    <w:p w14:paraId="186014F6" w14:textId="77777777" w:rsidR="00A91885" w:rsidRDefault="009C4196">
      <w:pPr>
        <w:jc w:val="both"/>
      </w:pPr>
      <w:r>
        <w:rPr>
          <w:rFonts w:ascii="Arial" w:eastAsia="宋体" w:hAnsi="Arial" w:cs="Arial"/>
          <w:b/>
          <w:bCs/>
          <w:color w:val="000000"/>
          <w:sz w:val="20"/>
          <w:szCs w:val="20"/>
        </w:rPr>
        <w:t>RESULTS OF OPERATIONS</w:t>
      </w:r>
    </w:p>
    <w:p w14:paraId="186014F7" w14:textId="77777777" w:rsidR="00A91885" w:rsidRDefault="00A91885">
      <w:pPr>
        <w:ind w:firstLine="540"/>
        <w:jc w:val="both"/>
      </w:pPr>
    </w:p>
    <w:p w14:paraId="186014F8" w14:textId="77777777" w:rsidR="00A91885" w:rsidRDefault="009C4196">
      <w:pPr>
        <w:ind w:firstLine="540"/>
        <w:jc w:val="both"/>
      </w:pPr>
      <w:r>
        <w:rPr>
          <w:rFonts w:ascii="Arial" w:eastAsia="宋体" w:hAnsi="Arial" w:cs="Arial"/>
          <w:color w:val="000000"/>
          <w:sz w:val="20"/>
          <w:szCs w:val="20"/>
        </w:rPr>
        <w:t>We have one reportable segment to reflect the way management and our chief operating decisio</w:t>
      </w:r>
      <w:r>
        <w:rPr>
          <w:rFonts w:ascii="Arial" w:eastAsia="宋体" w:hAnsi="Arial" w:cs="Arial"/>
          <w:color w:val="000000"/>
          <w:sz w:val="20"/>
          <w:szCs w:val="20"/>
        </w:rPr>
        <w:t>n maker (“CODM”) review and assess performance of the business. Our reportable segment is Marketplace, which includes our online marketplace located at www.ebay.com, its localized counterparts and the eBay suite of mobile apps. The accounting policies of o</w:t>
      </w:r>
      <w:r>
        <w:rPr>
          <w:rFonts w:ascii="Arial" w:eastAsia="宋体" w:hAnsi="Arial" w:cs="Arial"/>
          <w:color w:val="000000"/>
          <w:sz w:val="20"/>
          <w:szCs w:val="20"/>
        </w:rPr>
        <w:t>ur segment are the same as those described in “Note 1 — The Company and Summary of Significant Accounting Policies” in our condensed consolidated financial statements included elsewhere in this report.</w:t>
      </w:r>
    </w:p>
    <w:p w14:paraId="186014F9" w14:textId="77777777" w:rsidR="00A91885" w:rsidRDefault="00A91885">
      <w:pPr>
        <w:jc w:val="both"/>
      </w:pPr>
    </w:p>
    <w:p w14:paraId="186014FA" w14:textId="77777777" w:rsidR="00A91885" w:rsidRDefault="009C4196">
      <w:pPr>
        <w:jc w:val="both"/>
      </w:pPr>
      <w:r>
        <w:rPr>
          <w:rFonts w:ascii="Arial" w:eastAsia="宋体" w:hAnsi="Arial" w:cs="Arial"/>
          <w:b/>
          <w:bCs/>
          <w:color w:val="000000"/>
          <w:sz w:val="20"/>
          <w:szCs w:val="20"/>
        </w:rPr>
        <w:t>Net Revenues</w:t>
      </w:r>
    </w:p>
    <w:p w14:paraId="186014FB" w14:textId="77777777" w:rsidR="00A91885" w:rsidRDefault="00A91885">
      <w:pPr>
        <w:ind w:firstLine="270"/>
        <w:jc w:val="both"/>
      </w:pPr>
    </w:p>
    <w:p w14:paraId="186014FC" w14:textId="77777777" w:rsidR="00A91885" w:rsidRDefault="009C4196">
      <w:pPr>
        <w:ind w:firstLine="270"/>
        <w:jc w:val="both"/>
      </w:pPr>
      <w:r>
        <w:rPr>
          <w:rFonts w:ascii="Arial" w:eastAsia="宋体" w:hAnsi="Arial" w:cs="Arial"/>
          <w:b/>
          <w:bCs/>
          <w:i/>
          <w:iCs/>
          <w:color w:val="000000"/>
          <w:sz w:val="20"/>
          <w:szCs w:val="20"/>
        </w:rPr>
        <w:t>Seasonality</w:t>
      </w:r>
    </w:p>
    <w:p w14:paraId="186014FD" w14:textId="77777777" w:rsidR="00A91885" w:rsidRDefault="00A91885">
      <w:pPr>
        <w:ind w:hanging="90"/>
        <w:jc w:val="both"/>
      </w:pPr>
    </w:p>
    <w:p w14:paraId="186014FE" w14:textId="77777777" w:rsidR="00A91885" w:rsidRDefault="009C4196">
      <w:pPr>
        <w:spacing w:after="120"/>
        <w:ind w:firstLine="540"/>
        <w:jc w:val="both"/>
      </w:pPr>
      <w:r>
        <w:rPr>
          <w:rFonts w:ascii="Arial" w:eastAsia="宋体" w:hAnsi="Arial" w:cs="Arial"/>
          <w:color w:val="000000"/>
          <w:sz w:val="20"/>
          <w:szCs w:val="20"/>
        </w:rPr>
        <w:t xml:space="preserve">We expect </w:t>
      </w:r>
      <w:r>
        <w:rPr>
          <w:rFonts w:ascii="Arial" w:eastAsia="宋体" w:hAnsi="Arial" w:cs="Arial"/>
          <w:color w:val="000000"/>
          <w:sz w:val="20"/>
          <w:szCs w:val="20"/>
        </w:rPr>
        <w:t>transaction activity patterns on our platforms to mirror general consumer buying patterns and expect that these trends will continue. As we introduce new products and platforms, such as managed payments which was completed by the end of 2021, we expect net</w:t>
      </w:r>
      <w:r>
        <w:rPr>
          <w:rFonts w:ascii="Arial" w:eastAsia="宋体" w:hAnsi="Arial" w:cs="Arial"/>
          <w:color w:val="000000"/>
          <w:sz w:val="20"/>
          <w:szCs w:val="20"/>
        </w:rPr>
        <w:t xml:space="preserve"> revenues to fluctuate. In addition, macroeconomic conditions including the impact of COVID-19, the war in Ukraine and global economic uncertainty also contributed to fluctuations in revenues and margins. The following table presents our total net revenues</w:t>
      </w:r>
      <w:r>
        <w:rPr>
          <w:rFonts w:ascii="Arial" w:eastAsia="宋体" w:hAnsi="Arial" w:cs="Arial"/>
          <w:color w:val="000000"/>
          <w:sz w:val="20"/>
          <w:szCs w:val="20"/>
        </w:rPr>
        <w:t xml:space="preserve"> and the sequential quarterly movements of these net revenues for the periods indicated (in millions, except percentages):</w:t>
      </w:r>
    </w:p>
    <w:tbl>
      <w:tblPr>
        <w:tblW w:w="4971" w:type="pct"/>
        <w:tblCellMar>
          <w:top w:w="15" w:type="dxa"/>
          <w:left w:w="15" w:type="dxa"/>
          <w:bottom w:w="15" w:type="dxa"/>
          <w:right w:w="15" w:type="dxa"/>
        </w:tblCellMar>
        <w:tblLook w:val="04A0" w:firstRow="1" w:lastRow="0" w:firstColumn="1" w:lastColumn="0" w:noHBand="0" w:noVBand="1"/>
      </w:tblPr>
      <w:tblGrid>
        <w:gridCol w:w="38"/>
        <w:gridCol w:w="3490"/>
        <w:gridCol w:w="36"/>
        <w:gridCol w:w="121"/>
        <w:gridCol w:w="780"/>
        <w:gridCol w:w="181"/>
        <w:gridCol w:w="36"/>
        <w:gridCol w:w="36"/>
        <w:gridCol w:w="36"/>
        <w:gridCol w:w="121"/>
        <w:gridCol w:w="781"/>
        <w:gridCol w:w="181"/>
        <w:gridCol w:w="36"/>
        <w:gridCol w:w="36"/>
        <w:gridCol w:w="36"/>
        <w:gridCol w:w="122"/>
        <w:gridCol w:w="840"/>
        <w:gridCol w:w="181"/>
        <w:gridCol w:w="36"/>
        <w:gridCol w:w="36"/>
        <w:gridCol w:w="36"/>
        <w:gridCol w:w="122"/>
        <w:gridCol w:w="789"/>
        <w:gridCol w:w="181"/>
      </w:tblGrid>
      <w:tr w:rsidR="00A91885" w14:paraId="18601517" w14:textId="77777777">
        <w:tc>
          <w:tcPr>
            <w:tcW w:w="50" w:type="pct"/>
            <w:shd w:val="clear" w:color="auto" w:fill="auto"/>
            <w:vAlign w:val="bottom"/>
          </w:tcPr>
          <w:p w14:paraId="186014FF" w14:textId="77777777" w:rsidR="00A91885" w:rsidRDefault="00A91885">
            <w:pPr>
              <w:rPr>
                <w:rFonts w:ascii="宋体"/>
              </w:rPr>
            </w:pPr>
          </w:p>
        </w:tc>
        <w:tc>
          <w:tcPr>
            <w:tcW w:w="2297" w:type="pct"/>
            <w:shd w:val="clear" w:color="auto" w:fill="auto"/>
            <w:vAlign w:val="bottom"/>
          </w:tcPr>
          <w:p w14:paraId="18601500" w14:textId="77777777" w:rsidR="00A91885" w:rsidRDefault="00A91885">
            <w:pPr>
              <w:rPr>
                <w:rFonts w:ascii="宋体"/>
              </w:rPr>
            </w:pPr>
          </w:p>
        </w:tc>
        <w:tc>
          <w:tcPr>
            <w:tcW w:w="5" w:type="pct"/>
            <w:shd w:val="clear" w:color="auto" w:fill="auto"/>
            <w:vAlign w:val="bottom"/>
          </w:tcPr>
          <w:p w14:paraId="18601501" w14:textId="77777777" w:rsidR="00A91885" w:rsidRDefault="00A91885">
            <w:pPr>
              <w:rPr>
                <w:rFonts w:ascii="宋体"/>
              </w:rPr>
            </w:pPr>
          </w:p>
        </w:tc>
        <w:tc>
          <w:tcPr>
            <w:tcW w:w="50" w:type="pct"/>
            <w:shd w:val="clear" w:color="auto" w:fill="auto"/>
            <w:vAlign w:val="bottom"/>
          </w:tcPr>
          <w:p w14:paraId="18601502" w14:textId="77777777" w:rsidR="00A91885" w:rsidRDefault="00A91885">
            <w:pPr>
              <w:rPr>
                <w:rFonts w:ascii="宋体"/>
              </w:rPr>
            </w:pPr>
          </w:p>
        </w:tc>
        <w:tc>
          <w:tcPr>
            <w:tcW w:w="584" w:type="pct"/>
            <w:shd w:val="clear" w:color="auto" w:fill="auto"/>
            <w:vAlign w:val="bottom"/>
          </w:tcPr>
          <w:p w14:paraId="18601503" w14:textId="77777777" w:rsidR="00A91885" w:rsidRDefault="00A91885">
            <w:pPr>
              <w:rPr>
                <w:rFonts w:ascii="宋体"/>
              </w:rPr>
            </w:pPr>
          </w:p>
        </w:tc>
        <w:tc>
          <w:tcPr>
            <w:tcW w:w="5" w:type="pct"/>
            <w:shd w:val="clear" w:color="auto" w:fill="auto"/>
            <w:vAlign w:val="bottom"/>
          </w:tcPr>
          <w:p w14:paraId="18601504" w14:textId="77777777" w:rsidR="00A91885" w:rsidRDefault="00A91885">
            <w:pPr>
              <w:rPr>
                <w:rFonts w:ascii="宋体"/>
              </w:rPr>
            </w:pPr>
          </w:p>
        </w:tc>
        <w:tc>
          <w:tcPr>
            <w:tcW w:w="5" w:type="pct"/>
            <w:shd w:val="clear" w:color="auto" w:fill="auto"/>
            <w:vAlign w:val="bottom"/>
          </w:tcPr>
          <w:p w14:paraId="18601505" w14:textId="77777777" w:rsidR="00A91885" w:rsidRDefault="00A91885">
            <w:pPr>
              <w:rPr>
                <w:rFonts w:ascii="宋体"/>
              </w:rPr>
            </w:pPr>
          </w:p>
        </w:tc>
        <w:tc>
          <w:tcPr>
            <w:tcW w:w="19" w:type="pct"/>
            <w:shd w:val="clear" w:color="auto" w:fill="auto"/>
            <w:vAlign w:val="bottom"/>
          </w:tcPr>
          <w:p w14:paraId="18601506" w14:textId="77777777" w:rsidR="00A91885" w:rsidRDefault="00A91885">
            <w:pPr>
              <w:rPr>
                <w:rFonts w:ascii="宋体"/>
              </w:rPr>
            </w:pPr>
          </w:p>
        </w:tc>
        <w:tc>
          <w:tcPr>
            <w:tcW w:w="5" w:type="pct"/>
            <w:shd w:val="clear" w:color="auto" w:fill="auto"/>
            <w:vAlign w:val="bottom"/>
          </w:tcPr>
          <w:p w14:paraId="18601507" w14:textId="77777777" w:rsidR="00A91885" w:rsidRDefault="00A91885">
            <w:pPr>
              <w:rPr>
                <w:rFonts w:ascii="宋体"/>
              </w:rPr>
            </w:pPr>
          </w:p>
        </w:tc>
        <w:tc>
          <w:tcPr>
            <w:tcW w:w="50" w:type="pct"/>
            <w:shd w:val="clear" w:color="auto" w:fill="auto"/>
            <w:vAlign w:val="bottom"/>
          </w:tcPr>
          <w:p w14:paraId="18601508" w14:textId="77777777" w:rsidR="00A91885" w:rsidRDefault="00A91885">
            <w:pPr>
              <w:rPr>
                <w:rFonts w:ascii="宋体"/>
              </w:rPr>
            </w:pPr>
          </w:p>
        </w:tc>
        <w:tc>
          <w:tcPr>
            <w:tcW w:w="584" w:type="pct"/>
            <w:shd w:val="clear" w:color="auto" w:fill="auto"/>
            <w:vAlign w:val="bottom"/>
          </w:tcPr>
          <w:p w14:paraId="18601509" w14:textId="77777777" w:rsidR="00A91885" w:rsidRDefault="00A91885">
            <w:pPr>
              <w:rPr>
                <w:rFonts w:ascii="宋体"/>
              </w:rPr>
            </w:pPr>
          </w:p>
        </w:tc>
        <w:tc>
          <w:tcPr>
            <w:tcW w:w="5" w:type="pct"/>
            <w:shd w:val="clear" w:color="auto" w:fill="auto"/>
            <w:vAlign w:val="bottom"/>
          </w:tcPr>
          <w:p w14:paraId="1860150A" w14:textId="77777777" w:rsidR="00A91885" w:rsidRDefault="00A91885">
            <w:pPr>
              <w:rPr>
                <w:rFonts w:ascii="宋体"/>
              </w:rPr>
            </w:pPr>
          </w:p>
        </w:tc>
        <w:tc>
          <w:tcPr>
            <w:tcW w:w="5" w:type="pct"/>
            <w:shd w:val="clear" w:color="auto" w:fill="auto"/>
            <w:vAlign w:val="bottom"/>
          </w:tcPr>
          <w:p w14:paraId="1860150B" w14:textId="77777777" w:rsidR="00A91885" w:rsidRDefault="00A91885">
            <w:pPr>
              <w:rPr>
                <w:rFonts w:ascii="宋体"/>
              </w:rPr>
            </w:pPr>
          </w:p>
        </w:tc>
        <w:tc>
          <w:tcPr>
            <w:tcW w:w="19" w:type="pct"/>
            <w:shd w:val="clear" w:color="auto" w:fill="auto"/>
            <w:vAlign w:val="bottom"/>
          </w:tcPr>
          <w:p w14:paraId="1860150C" w14:textId="77777777" w:rsidR="00A91885" w:rsidRDefault="00A91885">
            <w:pPr>
              <w:rPr>
                <w:rFonts w:ascii="宋体"/>
              </w:rPr>
            </w:pPr>
          </w:p>
        </w:tc>
        <w:tc>
          <w:tcPr>
            <w:tcW w:w="5" w:type="pct"/>
            <w:shd w:val="clear" w:color="auto" w:fill="auto"/>
            <w:vAlign w:val="bottom"/>
          </w:tcPr>
          <w:p w14:paraId="1860150D" w14:textId="77777777" w:rsidR="00A91885" w:rsidRDefault="00A91885">
            <w:pPr>
              <w:rPr>
                <w:rFonts w:ascii="宋体"/>
              </w:rPr>
            </w:pPr>
          </w:p>
        </w:tc>
        <w:tc>
          <w:tcPr>
            <w:tcW w:w="50" w:type="pct"/>
            <w:shd w:val="clear" w:color="auto" w:fill="auto"/>
            <w:vAlign w:val="bottom"/>
          </w:tcPr>
          <w:p w14:paraId="1860150E" w14:textId="77777777" w:rsidR="00A91885" w:rsidRDefault="00A91885">
            <w:pPr>
              <w:rPr>
                <w:rFonts w:ascii="宋体"/>
              </w:rPr>
            </w:pPr>
          </w:p>
        </w:tc>
        <w:tc>
          <w:tcPr>
            <w:tcW w:w="584" w:type="pct"/>
            <w:shd w:val="clear" w:color="auto" w:fill="auto"/>
            <w:vAlign w:val="bottom"/>
          </w:tcPr>
          <w:p w14:paraId="1860150F" w14:textId="77777777" w:rsidR="00A91885" w:rsidRDefault="00A91885">
            <w:pPr>
              <w:rPr>
                <w:rFonts w:ascii="宋体"/>
              </w:rPr>
            </w:pPr>
          </w:p>
        </w:tc>
        <w:tc>
          <w:tcPr>
            <w:tcW w:w="5" w:type="pct"/>
            <w:shd w:val="clear" w:color="auto" w:fill="auto"/>
            <w:vAlign w:val="bottom"/>
          </w:tcPr>
          <w:p w14:paraId="18601510" w14:textId="77777777" w:rsidR="00A91885" w:rsidRDefault="00A91885">
            <w:pPr>
              <w:rPr>
                <w:rFonts w:ascii="宋体"/>
              </w:rPr>
            </w:pPr>
          </w:p>
        </w:tc>
        <w:tc>
          <w:tcPr>
            <w:tcW w:w="5" w:type="pct"/>
            <w:shd w:val="clear" w:color="auto" w:fill="auto"/>
            <w:vAlign w:val="bottom"/>
          </w:tcPr>
          <w:p w14:paraId="18601511" w14:textId="77777777" w:rsidR="00A91885" w:rsidRDefault="00A91885">
            <w:pPr>
              <w:rPr>
                <w:rFonts w:ascii="宋体"/>
              </w:rPr>
            </w:pPr>
          </w:p>
        </w:tc>
        <w:tc>
          <w:tcPr>
            <w:tcW w:w="19" w:type="pct"/>
            <w:shd w:val="clear" w:color="auto" w:fill="auto"/>
            <w:vAlign w:val="bottom"/>
          </w:tcPr>
          <w:p w14:paraId="18601512" w14:textId="77777777" w:rsidR="00A91885" w:rsidRDefault="00A91885">
            <w:pPr>
              <w:rPr>
                <w:rFonts w:ascii="宋体"/>
              </w:rPr>
            </w:pPr>
          </w:p>
        </w:tc>
        <w:tc>
          <w:tcPr>
            <w:tcW w:w="5" w:type="pct"/>
            <w:shd w:val="clear" w:color="auto" w:fill="auto"/>
            <w:vAlign w:val="bottom"/>
          </w:tcPr>
          <w:p w14:paraId="18601513" w14:textId="77777777" w:rsidR="00A91885" w:rsidRDefault="00A91885">
            <w:pPr>
              <w:rPr>
                <w:rFonts w:ascii="宋体"/>
              </w:rPr>
            </w:pPr>
          </w:p>
        </w:tc>
        <w:tc>
          <w:tcPr>
            <w:tcW w:w="50" w:type="pct"/>
            <w:shd w:val="clear" w:color="auto" w:fill="auto"/>
            <w:vAlign w:val="bottom"/>
          </w:tcPr>
          <w:p w14:paraId="18601514" w14:textId="77777777" w:rsidR="00A91885" w:rsidRDefault="00A91885">
            <w:pPr>
              <w:rPr>
                <w:rFonts w:ascii="宋体"/>
              </w:rPr>
            </w:pPr>
          </w:p>
        </w:tc>
        <w:tc>
          <w:tcPr>
            <w:tcW w:w="584" w:type="pct"/>
            <w:shd w:val="clear" w:color="auto" w:fill="auto"/>
            <w:vAlign w:val="bottom"/>
          </w:tcPr>
          <w:p w14:paraId="18601515" w14:textId="77777777" w:rsidR="00A91885" w:rsidRDefault="00A91885">
            <w:pPr>
              <w:rPr>
                <w:rFonts w:ascii="宋体"/>
              </w:rPr>
            </w:pPr>
          </w:p>
        </w:tc>
        <w:tc>
          <w:tcPr>
            <w:tcW w:w="5" w:type="pct"/>
            <w:shd w:val="clear" w:color="auto" w:fill="auto"/>
            <w:vAlign w:val="bottom"/>
          </w:tcPr>
          <w:p w14:paraId="18601516" w14:textId="77777777" w:rsidR="00A91885" w:rsidRDefault="00A91885">
            <w:pPr>
              <w:rPr>
                <w:rFonts w:ascii="宋体"/>
              </w:rPr>
            </w:pPr>
          </w:p>
        </w:tc>
      </w:tr>
      <w:tr w:rsidR="00A91885" w14:paraId="1860151A" w14:textId="77777777">
        <w:tc>
          <w:tcPr>
            <w:tcW w:w="0" w:type="auto"/>
            <w:gridSpan w:val="3"/>
            <w:shd w:val="clear" w:color="auto" w:fill="auto"/>
            <w:tcMar>
              <w:top w:w="40" w:type="dxa"/>
              <w:left w:w="20" w:type="dxa"/>
              <w:bottom w:w="40" w:type="dxa"/>
              <w:right w:w="20" w:type="dxa"/>
            </w:tcMar>
            <w:vAlign w:val="bottom"/>
          </w:tcPr>
          <w:p w14:paraId="18601518" w14:textId="77777777" w:rsidR="00A91885" w:rsidRDefault="009C4196">
            <w:pPr>
              <w:textAlignment w:val="bottom"/>
            </w:pPr>
            <w:r>
              <w:rPr>
                <w:rFonts w:ascii="Arial" w:eastAsia="宋体" w:hAnsi="Arial" w:cs="Arial"/>
                <w:color w:val="000000"/>
                <w:sz w:val="14"/>
                <w:szCs w:val="14"/>
              </w:rPr>
              <w:t> </w:t>
            </w:r>
          </w:p>
        </w:tc>
        <w:tc>
          <w:tcPr>
            <w:tcW w:w="0" w:type="auto"/>
            <w:gridSpan w:val="21"/>
            <w:shd w:val="clear" w:color="auto" w:fill="auto"/>
            <w:tcMar>
              <w:top w:w="40" w:type="dxa"/>
              <w:left w:w="20" w:type="dxa"/>
              <w:bottom w:w="40" w:type="dxa"/>
              <w:right w:w="20" w:type="dxa"/>
            </w:tcMar>
            <w:vAlign w:val="bottom"/>
          </w:tcPr>
          <w:p w14:paraId="18601519" w14:textId="77777777" w:rsidR="00A91885" w:rsidRDefault="009C4196">
            <w:pPr>
              <w:jc w:val="center"/>
              <w:textAlignment w:val="bottom"/>
            </w:pPr>
            <w:r>
              <w:rPr>
                <w:rFonts w:ascii="Arial" w:eastAsia="宋体" w:hAnsi="Arial" w:cs="Arial"/>
                <w:b/>
                <w:bCs/>
                <w:color w:val="000000"/>
                <w:sz w:val="17"/>
                <w:szCs w:val="17"/>
              </w:rPr>
              <w:t>Quarter Ended</w:t>
            </w:r>
          </w:p>
        </w:tc>
      </w:tr>
      <w:tr w:rsidR="00A91885" w14:paraId="18601523" w14:textId="77777777">
        <w:tc>
          <w:tcPr>
            <w:tcW w:w="0" w:type="auto"/>
            <w:gridSpan w:val="3"/>
            <w:shd w:val="clear" w:color="auto" w:fill="auto"/>
            <w:tcMar>
              <w:top w:w="40" w:type="dxa"/>
              <w:left w:w="20" w:type="dxa"/>
              <w:bottom w:w="40" w:type="dxa"/>
              <w:right w:w="20" w:type="dxa"/>
            </w:tcMar>
            <w:vAlign w:val="bottom"/>
          </w:tcPr>
          <w:p w14:paraId="1860151B" w14:textId="77777777" w:rsidR="00A91885" w:rsidRDefault="009C4196">
            <w:pP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51C" w14:textId="77777777" w:rsidR="00A91885" w:rsidRDefault="009C4196">
            <w:pPr>
              <w:jc w:val="center"/>
              <w:textAlignment w:val="bottom"/>
            </w:pPr>
            <w:r>
              <w:rPr>
                <w:rFonts w:ascii="Arial" w:eastAsia="宋体" w:hAnsi="Arial" w:cs="Arial"/>
                <w:b/>
                <w:bCs/>
                <w:color w:val="000000"/>
                <w:sz w:val="17"/>
                <w:szCs w:val="17"/>
              </w:rPr>
              <w:t>March 31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51D"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51E" w14:textId="77777777" w:rsidR="00A91885" w:rsidRDefault="009C4196">
            <w:pPr>
              <w:jc w:val="center"/>
              <w:textAlignment w:val="bottom"/>
            </w:pPr>
            <w:r>
              <w:rPr>
                <w:rFonts w:ascii="Arial" w:eastAsia="宋体" w:hAnsi="Arial" w:cs="Arial"/>
                <w:b/>
                <w:bCs/>
                <w:color w:val="000000"/>
                <w:sz w:val="17"/>
                <w:szCs w:val="17"/>
              </w:rPr>
              <w:t>June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51F"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520" w14:textId="77777777" w:rsidR="00A91885" w:rsidRDefault="009C4196">
            <w:pPr>
              <w:jc w:val="center"/>
              <w:textAlignment w:val="bottom"/>
            </w:pPr>
            <w:r>
              <w:rPr>
                <w:rFonts w:ascii="Arial" w:eastAsia="宋体" w:hAnsi="Arial" w:cs="Arial"/>
                <w:b/>
                <w:bCs/>
                <w:color w:val="000000"/>
                <w:sz w:val="17"/>
                <w:szCs w:val="17"/>
              </w:rPr>
              <w:t>September 30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521"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522" w14:textId="77777777" w:rsidR="00A91885" w:rsidRDefault="009C4196">
            <w:pPr>
              <w:jc w:val="center"/>
              <w:textAlignment w:val="bottom"/>
            </w:pPr>
            <w:r>
              <w:rPr>
                <w:rFonts w:ascii="Arial" w:eastAsia="宋体" w:hAnsi="Arial" w:cs="Arial"/>
                <w:b/>
                <w:bCs/>
                <w:color w:val="000000"/>
                <w:sz w:val="17"/>
                <w:szCs w:val="17"/>
              </w:rPr>
              <w:t>December 31</w:t>
            </w:r>
          </w:p>
        </w:tc>
      </w:tr>
      <w:tr w:rsidR="00A91885" w14:paraId="1860152C" w14:textId="77777777">
        <w:trPr>
          <w:hidden/>
        </w:trPr>
        <w:tc>
          <w:tcPr>
            <w:tcW w:w="0" w:type="auto"/>
            <w:gridSpan w:val="3"/>
            <w:shd w:val="clear" w:color="auto" w:fill="auto"/>
            <w:vAlign w:val="bottom"/>
          </w:tcPr>
          <w:p w14:paraId="18601524" w14:textId="77777777" w:rsidR="00A91885" w:rsidRDefault="00A91885">
            <w:pPr>
              <w:rPr>
                <w:rFonts w:ascii="宋体"/>
                <w:vanish/>
              </w:rPr>
            </w:pPr>
          </w:p>
        </w:tc>
        <w:tc>
          <w:tcPr>
            <w:tcW w:w="0" w:type="auto"/>
            <w:gridSpan w:val="3"/>
            <w:shd w:val="clear" w:color="auto" w:fill="auto"/>
            <w:vAlign w:val="bottom"/>
          </w:tcPr>
          <w:p w14:paraId="18601525" w14:textId="77777777" w:rsidR="00A91885" w:rsidRDefault="00A91885">
            <w:pPr>
              <w:rPr>
                <w:rFonts w:ascii="宋体"/>
                <w:vanish/>
              </w:rPr>
            </w:pPr>
          </w:p>
        </w:tc>
        <w:tc>
          <w:tcPr>
            <w:tcW w:w="0" w:type="auto"/>
            <w:gridSpan w:val="3"/>
            <w:shd w:val="clear" w:color="auto" w:fill="auto"/>
            <w:vAlign w:val="bottom"/>
          </w:tcPr>
          <w:p w14:paraId="18601526" w14:textId="77777777" w:rsidR="00A91885" w:rsidRDefault="00A91885">
            <w:pPr>
              <w:rPr>
                <w:rFonts w:ascii="宋体"/>
                <w:vanish/>
              </w:rPr>
            </w:pPr>
          </w:p>
        </w:tc>
        <w:tc>
          <w:tcPr>
            <w:tcW w:w="0" w:type="auto"/>
            <w:gridSpan w:val="3"/>
            <w:shd w:val="clear" w:color="auto" w:fill="auto"/>
            <w:vAlign w:val="bottom"/>
          </w:tcPr>
          <w:p w14:paraId="18601527" w14:textId="77777777" w:rsidR="00A91885" w:rsidRDefault="00A91885">
            <w:pPr>
              <w:rPr>
                <w:rFonts w:ascii="宋体"/>
                <w:vanish/>
              </w:rPr>
            </w:pPr>
          </w:p>
        </w:tc>
        <w:tc>
          <w:tcPr>
            <w:tcW w:w="0" w:type="auto"/>
            <w:gridSpan w:val="3"/>
            <w:shd w:val="clear" w:color="auto" w:fill="auto"/>
            <w:vAlign w:val="bottom"/>
          </w:tcPr>
          <w:p w14:paraId="18601528" w14:textId="77777777" w:rsidR="00A91885" w:rsidRDefault="00A91885">
            <w:pPr>
              <w:rPr>
                <w:rFonts w:ascii="宋体"/>
                <w:vanish/>
              </w:rPr>
            </w:pPr>
          </w:p>
        </w:tc>
        <w:tc>
          <w:tcPr>
            <w:tcW w:w="0" w:type="auto"/>
            <w:gridSpan w:val="3"/>
            <w:shd w:val="clear" w:color="auto" w:fill="auto"/>
            <w:vAlign w:val="bottom"/>
          </w:tcPr>
          <w:p w14:paraId="18601529" w14:textId="77777777" w:rsidR="00A91885" w:rsidRDefault="00A91885">
            <w:pPr>
              <w:rPr>
                <w:rFonts w:ascii="宋体"/>
                <w:vanish/>
              </w:rPr>
            </w:pPr>
          </w:p>
        </w:tc>
        <w:tc>
          <w:tcPr>
            <w:tcW w:w="0" w:type="auto"/>
            <w:gridSpan w:val="3"/>
            <w:shd w:val="clear" w:color="auto" w:fill="auto"/>
            <w:vAlign w:val="bottom"/>
          </w:tcPr>
          <w:p w14:paraId="1860152A" w14:textId="77777777" w:rsidR="00A91885" w:rsidRDefault="00A91885">
            <w:pPr>
              <w:rPr>
                <w:rFonts w:ascii="宋体"/>
                <w:vanish/>
              </w:rPr>
            </w:pPr>
          </w:p>
        </w:tc>
        <w:tc>
          <w:tcPr>
            <w:tcW w:w="0" w:type="auto"/>
            <w:gridSpan w:val="3"/>
            <w:shd w:val="clear" w:color="auto" w:fill="auto"/>
            <w:vAlign w:val="bottom"/>
          </w:tcPr>
          <w:p w14:paraId="1860152B" w14:textId="77777777" w:rsidR="00A91885" w:rsidRDefault="00A91885">
            <w:pPr>
              <w:rPr>
                <w:rFonts w:ascii="宋体"/>
                <w:vanish/>
              </w:rPr>
            </w:pPr>
          </w:p>
        </w:tc>
      </w:tr>
      <w:tr w:rsidR="00A91885" w14:paraId="18601535" w14:textId="77777777">
        <w:trPr>
          <w:hidden/>
        </w:trPr>
        <w:tc>
          <w:tcPr>
            <w:tcW w:w="0" w:type="auto"/>
            <w:gridSpan w:val="3"/>
            <w:shd w:val="clear" w:color="auto" w:fill="auto"/>
            <w:vAlign w:val="bottom"/>
          </w:tcPr>
          <w:p w14:paraId="1860152D" w14:textId="77777777" w:rsidR="00A91885" w:rsidRDefault="00A91885">
            <w:pPr>
              <w:rPr>
                <w:rFonts w:ascii="宋体"/>
                <w:vanish/>
              </w:rPr>
            </w:pPr>
          </w:p>
        </w:tc>
        <w:tc>
          <w:tcPr>
            <w:tcW w:w="0" w:type="auto"/>
            <w:gridSpan w:val="3"/>
            <w:shd w:val="clear" w:color="auto" w:fill="auto"/>
            <w:vAlign w:val="bottom"/>
          </w:tcPr>
          <w:p w14:paraId="1860152E" w14:textId="77777777" w:rsidR="00A91885" w:rsidRDefault="00A91885">
            <w:pPr>
              <w:rPr>
                <w:rFonts w:ascii="宋体"/>
                <w:vanish/>
              </w:rPr>
            </w:pPr>
          </w:p>
        </w:tc>
        <w:tc>
          <w:tcPr>
            <w:tcW w:w="0" w:type="auto"/>
            <w:gridSpan w:val="3"/>
            <w:shd w:val="clear" w:color="auto" w:fill="auto"/>
            <w:vAlign w:val="bottom"/>
          </w:tcPr>
          <w:p w14:paraId="1860152F" w14:textId="77777777" w:rsidR="00A91885" w:rsidRDefault="00A91885">
            <w:pPr>
              <w:rPr>
                <w:rFonts w:ascii="宋体"/>
                <w:vanish/>
              </w:rPr>
            </w:pPr>
          </w:p>
        </w:tc>
        <w:tc>
          <w:tcPr>
            <w:tcW w:w="0" w:type="auto"/>
            <w:gridSpan w:val="3"/>
            <w:shd w:val="clear" w:color="auto" w:fill="auto"/>
            <w:vAlign w:val="bottom"/>
          </w:tcPr>
          <w:p w14:paraId="18601530" w14:textId="77777777" w:rsidR="00A91885" w:rsidRDefault="00A91885">
            <w:pPr>
              <w:rPr>
                <w:rFonts w:ascii="宋体"/>
                <w:vanish/>
              </w:rPr>
            </w:pPr>
          </w:p>
        </w:tc>
        <w:tc>
          <w:tcPr>
            <w:tcW w:w="0" w:type="auto"/>
            <w:gridSpan w:val="3"/>
            <w:shd w:val="clear" w:color="auto" w:fill="auto"/>
            <w:vAlign w:val="bottom"/>
          </w:tcPr>
          <w:p w14:paraId="18601531" w14:textId="77777777" w:rsidR="00A91885" w:rsidRDefault="00A91885">
            <w:pPr>
              <w:rPr>
                <w:rFonts w:ascii="宋体"/>
                <w:vanish/>
              </w:rPr>
            </w:pPr>
          </w:p>
        </w:tc>
        <w:tc>
          <w:tcPr>
            <w:tcW w:w="0" w:type="auto"/>
            <w:gridSpan w:val="3"/>
            <w:shd w:val="clear" w:color="auto" w:fill="auto"/>
            <w:vAlign w:val="bottom"/>
          </w:tcPr>
          <w:p w14:paraId="18601532" w14:textId="77777777" w:rsidR="00A91885" w:rsidRDefault="00A91885">
            <w:pPr>
              <w:rPr>
                <w:rFonts w:ascii="宋体"/>
                <w:vanish/>
              </w:rPr>
            </w:pPr>
          </w:p>
        </w:tc>
        <w:tc>
          <w:tcPr>
            <w:tcW w:w="0" w:type="auto"/>
            <w:gridSpan w:val="3"/>
            <w:shd w:val="clear" w:color="auto" w:fill="auto"/>
            <w:vAlign w:val="bottom"/>
          </w:tcPr>
          <w:p w14:paraId="18601533" w14:textId="77777777" w:rsidR="00A91885" w:rsidRDefault="00A91885">
            <w:pPr>
              <w:rPr>
                <w:rFonts w:ascii="宋体"/>
                <w:vanish/>
              </w:rPr>
            </w:pPr>
          </w:p>
        </w:tc>
        <w:tc>
          <w:tcPr>
            <w:tcW w:w="0" w:type="auto"/>
            <w:gridSpan w:val="3"/>
            <w:shd w:val="clear" w:color="auto" w:fill="auto"/>
            <w:vAlign w:val="bottom"/>
          </w:tcPr>
          <w:p w14:paraId="18601534" w14:textId="77777777" w:rsidR="00A91885" w:rsidRDefault="00A91885">
            <w:pPr>
              <w:rPr>
                <w:rFonts w:ascii="宋体"/>
                <w:vanish/>
              </w:rPr>
            </w:pPr>
          </w:p>
        </w:tc>
      </w:tr>
      <w:tr w:rsidR="00A91885" w14:paraId="1860153E" w14:textId="77777777">
        <w:trPr>
          <w:hidden/>
        </w:trPr>
        <w:tc>
          <w:tcPr>
            <w:tcW w:w="0" w:type="auto"/>
            <w:gridSpan w:val="3"/>
            <w:shd w:val="clear" w:color="auto" w:fill="auto"/>
            <w:vAlign w:val="bottom"/>
          </w:tcPr>
          <w:p w14:paraId="18601536" w14:textId="77777777" w:rsidR="00A91885" w:rsidRDefault="00A91885">
            <w:pPr>
              <w:rPr>
                <w:rFonts w:ascii="宋体"/>
                <w:vanish/>
              </w:rPr>
            </w:pPr>
          </w:p>
        </w:tc>
        <w:tc>
          <w:tcPr>
            <w:tcW w:w="0" w:type="auto"/>
            <w:gridSpan w:val="3"/>
            <w:shd w:val="clear" w:color="auto" w:fill="auto"/>
            <w:vAlign w:val="bottom"/>
          </w:tcPr>
          <w:p w14:paraId="18601537" w14:textId="77777777" w:rsidR="00A91885" w:rsidRDefault="00A91885">
            <w:pPr>
              <w:rPr>
                <w:rFonts w:ascii="宋体"/>
                <w:vanish/>
              </w:rPr>
            </w:pPr>
          </w:p>
        </w:tc>
        <w:tc>
          <w:tcPr>
            <w:tcW w:w="0" w:type="auto"/>
            <w:gridSpan w:val="3"/>
            <w:shd w:val="clear" w:color="auto" w:fill="auto"/>
            <w:vAlign w:val="bottom"/>
          </w:tcPr>
          <w:p w14:paraId="18601538" w14:textId="77777777" w:rsidR="00A91885" w:rsidRDefault="00A91885">
            <w:pPr>
              <w:rPr>
                <w:rFonts w:ascii="宋体"/>
                <w:vanish/>
              </w:rPr>
            </w:pPr>
          </w:p>
        </w:tc>
        <w:tc>
          <w:tcPr>
            <w:tcW w:w="0" w:type="auto"/>
            <w:gridSpan w:val="3"/>
            <w:shd w:val="clear" w:color="auto" w:fill="auto"/>
            <w:vAlign w:val="bottom"/>
          </w:tcPr>
          <w:p w14:paraId="18601539" w14:textId="77777777" w:rsidR="00A91885" w:rsidRDefault="00A91885">
            <w:pPr>
              <w:rPr>
                <w:rFonts w:ascii="宋体"/>
                <w:vanish/>
              </w:rPr>
            </w:pPr>
          </w:p>
        </w:tc>
        <w:tc>
          <w:tcPr>
            <w:tcW w:w="0" w:type="auto"/>
            <w:gridSpan w:val="3"/>
            <w:shd w:val="clear" w:color="auto" w:fill="auto"/>
            <w:vAlign w:val="bottom"/>
          </w:tcPr>
          <w:p w14:paraId="1860153A" w14:textId="77777777" w:rsidR="00A91885" w:rsidRDefault="00A91885">
            <w:pPr>
              <w:rPr>
                <w:rFonts w:ascii="宋体"/>
                <w:vanish/>
              </w:rPr>
            </w:pPr>
          </w:p>
        </w:tc>
        <w:tc>
          <w:tcPr>
            <w:tcW w:w="0" w:type="auto"/>
            <w:gridSpan w:val="3"/>
            <w:shd w:val="clear" w:color="auto" w:fill="auto"/>
            <w:vAlign w:val="bottom"/>
          </w:tcPr>
          <w:p w14:paraId="1860153B" w14:textId="77777777" w:rsidR="00A91885" w:rsidRDefault="00A91885">
            <w:pPr>
              <w:rPr>
                <w:rFonts w:ascii="宋体"/>
                <w:vanish/>
              </w:rPr>
            </w:pPr>
          </w:p>
        </w:tc>
        <w:tc>
          <w:tcPr>
            <w:tcW w:w="0" w:type="auto"/>
            <w:gridSpan w:val="3"/>
            <w:shd w:val="clear" w:color="auto" w:fill="auto"/>
            <w:vAlign w:val="bottom"/>
          </w:tcPr>
          <w:p w14:paraId="1860153C" w14:textId="77777777" w:rsidR="00A91885" w:rsidRDefault="00A91885">
            <w:pPr>
              <w:rPr>
                <w:rFonts w:ascii="宋体"/>
                <w:vanish/>
              </w:rPr>
            </w:pPr>
          </w:p>
        </w:tc>
        <w:tc>
          <w:tcPr>
            <w:tcW w:w="0" w:type="auto"/>
            <w:gridSpan w:val="3"/>
            <w:shd w:val="clear" w:color="auto" w:fill="auto"/>
            <w:vAlign w:val="bottom"/>
          </w:tcPr>
          <w:p w14:paraId="1860153D" w14:textId="77777777" w:rsidR="00A91885" w:rsidRDefault="00A91885">
            <w:pPr>
              <w:rPr>
                <w:rFonts w:ascii="宋体"/>
                <w:vanish/>
              </w:rPr>
            </w:pPr>
          </w:p>
        </w:tc>
      </w:tr>
      <w:tr w:rsidR="00A91885" w14:paraId="18601547" w14:textId="77777777">
        <w:tc>
          <w:tcPr>
            <w:tcW w:w="0" w:type="auto"/>
            <w:gridSpan w:val="3"/>
            <w:shd w:val="clear" w:color="auto" w:fill="E1E1E1"/>
            <w:tcMar>
              <w:top w:w="40" w:type="dxa"/>
              <w:left w:w="20" w:type="dxa"/>
              <w:bottom w:w="40" w:type="dxa"/>
              <w:right w:w="20" w:type="dxa"/>
            </w:tcMar>
            <w:vAlign w:val="bottom"/>
          </w:tcPr>
          <w:p w14:paraId="1860153F" w14:textId="77777777" w:rsidR="00A91885" w:rsidRDefault="009C4196">
            <w:pPr>
              <w:textAlignment w:val="bottom"/>
            </w:pPr>
            <w:r>
              <w:rPr>
                <w:rFonts w:ascii="Arial" w:eastAsia="宋体" w:hAnsi="Arial" w:cs="Arial"/>
                <w:b/>
                <w:bCs/>
                <w:color w:val="000000"/>
                <w:sz w:val="18"/>
                <w:szCs w:val="18"/>
              </w:rPr>
              <w:t>2020</w:t>
            </w: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8601540"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541" w14:textId="77777777" w:rsidR="00A91885" w:rsidRDefault="00A91885">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8601542"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543" w14:textId="77777777" w:rsidR="00A91885" w:rsidRDefault="00A91885">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8601544"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545" w14:textId="77777777" w:rsidR="00A91885" w:rsidRDefault="00A91885">
            <w:pPr>
              <w:rPr>
                <w:rFonts w:ascii="宋体"/>
              </w:rPr>
            </w:pPr>
          </w:p>
        </w:tc>
        <w:tc>
          <w:tcPr>
            <w:tcW w:w="0" w:type="auto"/>
            <w:gridSpan w:val="3"/>
            <w:tcBorders>
              <w:top w:val="single" w:sz="8" w:space="0" w:color="000000"/>
            </w:tcBorders>
            <w:shd w:val="clear" w:color="auto" w:fill="E1E1E1"/>
            <w:tcMar>
              <w:top w:w="0" w:type="dxa"/>
              <w:left w:w="20" w:type="dxa"/>
              <w:bottom w:w="0" w:type="dxa"/>
              <w:right w:w="20" w:type="dxa"/>
            </w:tcMar>
            <w:vAlign w:val="bottom"/>
          </w:tcPr>
          <w:p w14:paraId="18601546" w14:textId="77777777" w:rsidR="00A91885" w:rsidRDefault="00A91885">
            <w:pPr>
              <w:rPr>
                <w:rFonts w:ascii="宋体"/>
              </w:rPr>
            </w:pPr>
          </w:p>
        </w:tc>
      </w:tr>
      <w:tr w:rsidR="00A91885" w14:paraId="18601558" w14:textId="77777777">
        <w:tc>
          <w:tcPr>
            <w:tcW w:w="0" w:type="auto"/>
            <w:gridSpan w:val="3"/>
            <w:shd w:val="clear" w:color="auto" w:fill="FFFFFF"/>
            <w:tcMar>
              <w:top w:w="40" w:type="dxa"/>
              <w:left w:w="155" w:type="dxa"/>
              <w:bottom w:w="40" w:type="dxa"/>
              <w:right w:w="20" w:type="dxa"/>
            </w:tcMar>
            <w:vAlign w:val="bottom"/>
          </w:tcPr>
          <w:p w14:paraId="18601548" w14:textId="77777777" w:rsidR="00A91885" w:rsidRDefault="009C4196">
            <w:pPr>
              <w:textAlignment w:val="bottom"/>
            </w:pPr>
            <w:r>
              <w:rPr>
                <w:rFonts w:ascii="Arial" w:eastAsia="宋体" w:hAnsi="Arial" w:cs="Arial"/>
                <w:color w:val="000000"/>
                <w:sz w:val="18"/>
                <w:szCs w:val="18"/>
              </w:rPr>
              <w:t>Net revenues</w:t>
            </w:r>
          </w:p>
        </w:tc>
        <w:tc>
          <w:tcPr>
            <w:tcW w:w="0" w:type="auto"/>
            <w:shd w:val="clear" w:color="auto" w:fill="FFFFFF"/>
            <w:tcMar>
              <w:top w:w="40" w:type="dxa"/>
              <w:left w:w="20" w:type="dxa"/>
              <w:bottom w:w="40" w:type="dxa"/>
              <w:right w:w="0" w:type="dxa"/>
            </w:tcMar>
            <w:vAlign w:val="bottom"/>
          </w:tcPr>
          <w:p w14:paraId="18601549"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54A" w14:textId="77777777" w:rsidR="00A91885" w:rsidRDefault="009C4196">
            <w:pPr>
              <w:jc w:val="right"/>
              <w:textAlignment w:val="bottom"/>
            </w:pPr>
            <w:r>
              <w:rPr>
                <w:rFonts w:ascii="Arial" w:eastAsia="宋体" w:hAnsi="Arial" w:cs="Arial"/>
                <w:color w:val="000000"/>
                <w:sz w:val="18"/>
                <w:szCs w:val="18"/>
              </w:rPr>
              <w:t>1,821 </w:t>
            </w:r>
          </w:p>
        </w:tc>
        <w:tc>
          <w:tcPr>
            <w:tcW w:w="0" w:type="auto"/>
            <w:shd w:val="clear" w:color="auto" w:fill="FFFFFF"/>
            <w:tcMar>
              <w:top w:w="40" w:type="dxa"/>
              <w:left w:w="0" w:type="dxa"/>
              <w:bottom w:w="40" w:type="dxa"/>
              <w:right w:w="20" w:type="dxa"/>
            </w:tcMar>
            <w:vAlign w:val="bottom"/>
          </w:tcPr>
          <w:p w14:paraId="1860154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54C"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54D"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54E" w14:textId="77777777" w:rsidR="00A91885" w:rsidRDefault="009C4196">
            <w:pPr>
              <w:jc w:val="right"/>
              <w:textAlignment w:val="bottom"/>
            </w:pPr>
            <w:r>
              <w:rPr>
                <w:rFonts w:ascii="Arial" w:eastAsia="宋体" w:hAnsi="Arial" w:cs="Arial"/>
                <w:color w:val="000000"/>
                <w:sz w:val="18"/>
                <w:szCs w:val="18"/>
              </w:rPr>
              <w:t>2,337 </w:t>
            </w:r>
          </w:p>
        </w:tc>
        <w:tc>
          <w:tcPr>
            <w:tcW w:w="0" w:type="auto"/>
            <w:shd w:val="clear" w:color="auto" w:fill="FFFFFF"/>
            <w:tcMar>
              <w:top w:w="40" w:type="dxa"/>
              <w:left w:w="0" w:type="dxa"/>
              <w:bottom w:w="40" w:type="dxa"/>
              <w:right w:w="20" w:type="dxa"/>
            </w:tcMar>
            <w:vAlign w:val="bottom"/>
          </w:tcPr>
          <w:p w14:paraId="1860154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550"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551"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552" w14:textId="77777777" w:rsidR="00A91885" w:rsidRDefault="009C4196">
            <w:pPr>
              <w:jc w:val="right"/>
              <w:textAlignment w:val="bottom"/>
            </w:pPr>
            <w:r>
              <w:rPr>
                <w:rFonts w:ascii="Arial" w:eastAsia="宋体" w:hAnsi="Arial" w:cs="Arial"/>
                <w:color w:val="000000"/>
                <w:sz w:val="18"/>
                <w:szCs w:val="18"/>
              </w:rPr>
              <w:t>2,258 </w:t>
            </w:r>
          </w:p>
        </w:tc>
        <w:tc>
          <w:tcPr>
            <w:tcW w:w="0" w:type="auto"/>
            <w:shd w:val="clear" w:color="auto" w:fill="FFFFFF"/>
            <w:tcMar>
              <w:top w:w="40" w:type="dxa"/>
              <w:left w:w="0" w:type="dxa"/>
              <w:bottom w:w="40" w:type="dxa"/>
              <w:right w:w="20" w:type="dxa"/>
            </w:tcMar>
            <w:vAlign w:val="bottom"/>
          </w:tcPr>
          <w:p w14:paraId="1860155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554"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555"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556" w14:textId="77777777" w:rsidR="00A91885" w:rsidRDefault="009C4196">
            <w:pPr>
              <w:jc w:val="right"/>
              <w:textAlignment w:val="bottom"/>
            </w:pPr>
            <w:r>
              <w:rPr>
                <w:rFonts w:ascii="Arial" w:eastAsia="宋体" w:hAnsi="Arial" w:cs="Arial"/>
                <w:color w:val="000000"/>
                <w:sz w:val="18"/>
                <w:szCs w:val="18"/>
              </w:rPr>
              <w:t>2,478 </w:t>
            </w:r>
          </w:p>
        </w:tc>
        <w:tc>
          <w:tcPr>
            <w:tcW w:w="0" w:type="auto"/>
            <w:shd w:val="clear" w:color="auto" w:fill="FFFFFF"/>
            <w:tcMar>
              <w:top w:w="40" w:type="dxa"/>
              <w:left w:w="0" w:type="dxa"/>
              <w:bottom w:w="40" w:type="dxa"/>
              <w:right w:w="20" w:type="dxa"/>
            </w:tcMar>
            <w:vAlign w:val="bottom"/>
          </w:tcPr>
          <w:p w14:paraId="18601557" w14:textId="77777777" w:rsidR="00A91885" w:rsidRDefault="00A91885">
            <w:pPr>
              <w:jc w:val="right"/>
              <w:rPr>
                <w:rFonts w:ascii="宋体"/>
              </w:rPr>
            </w:pPr>
          </w:p>
        </w:tc>
      </w:tr>
      <w:tr w:rsidR="00A91885" w14:paraId="18601565" w14:textId="77777777">
        <w:tc>
          <w:tcPr>
            <w:tcW w:w="0" w:type="auto"/>
            <w:gridSpan w:val="3"/>
            <w:shd w:val="clear" w:color="auto" w:fill="E1E1E1"/>
            <w:tcMar>
              <w:top w:w="40" w:type="dxa"/>
              <w:left w:w="155" w:type="dxa"/>
              <w:bottom w:w="40" w:type="dxa"/>
              <w:right w:w="20" w:type="dxa"/>
            </w:tcMar>
            <w:vAlign w:val="bottom"/>
          </w:tcPr>
          <w:p w14:paraId="18601559" w14:textId="77777777" w:rsidR="00A91885" w:rsidRDefault="009C4196">
            <w:pPr>
              <w:textAlignment w:val="bottom"/>
            </w:pPr>
            <w:r>
              <w:rPr>
                <w:rFonts w:ascii="Arial" w:eastAsia="宋体" w:hAnsi="Arial" w:cs="Arial"/>
                <w:i/>
                <w:iCs/>
                <w:color w:val="000000"/>
                <w:sz w:val="18"/>
                <w:szCs w:val="18"/>
              </w:rPr>
              <w:t>% change from prior quarter</w:t>
            </w:r>
          </w:p>
        </w:tc>
        <w:tc>
          <w:tcPr>
            <w:tcW w:w="0" w:type="auto"/>
            <w:gridSpan w:val="2"/>
            <w:shd w:val="clear" w:color="auto" w:fill="E1E1E1"/>
            <w:tcMar>
              <w:top w:w="40" w:type="dxa"/>
              <w:left w:w="20" w:type="dxa"/>
              <w:bottom w:w="40" w:type="dxa"/>
              <w:right w:w="0" w:type="dxa"/>
            </w:tcMar>
            <w:vAlign w:val="bottom"/>
          </w:tcPr>
          <w:p w14:paraId="1860155A" w14:textId="77777777" w:rsidR="00A91885" w:rsidRDefault="009C4196">
            <w:pPr>
              <w:jc w:val="right"/>
              <w:textAlignment w:val="bottom"/>
            </w:pPr>
            <w:r>
              <w:rPr>
                <w:rFonts w:ascii="Arial" w:eastAsia="宋体" w:hAnsi="Arial" w:cs="Arial"/>
                <w:i/>
                <w:iCs/>
                <w:color w:val="000000"/>
                <w:sz w:val="18"/>
                <w:szCs w:val="18"/>
              </w:rPr>
              <w:t>(4)</w:t>
            </w:r>
          </w:p>
        </w:tc>
        <w:tc>
          <w:tcPr>
            <w:tcW w:w="0" w:type="auto"/>
            <w:shd w:val="clear" w:color="auto" w:fill="E1E1E1"/>
            <w:tcMar>
              <w:top w:w="40" w:type="dxa"/>
              <w:left w:w="0" w:type="dxa"/>
              <w:bottom w:w="40" w:type="dxa"/>
              <w:right w:w="20" w:type="dxa"/>
            </w:tcMar>
            <w:vAlign w:val="bottom"/>
          </w:tcPr>
          <w:p w14:paraId="1860155B"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E1E1E1"/>
            <w:tcMar>
              <w:top w:w="0" w:type="dxa"/>
              <w:left w:w="20" w:type="dxa"/>
              <w:bottom w:w="0" w:type="dxa"/>
              <w:right w:w="20" w:type="dxa"/>
            </w:tcMar>
            <w:vAlign w:val="bottom"/>
          </w:tcPr>
          <w:p w14:paraId="1860155C"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55D" w14:textId="77777777" w:rsidR="00A91885" w:rsidRDefault="009C4196">
            <w:pPr>
              <w:jc w:val="right"/>
              <w:textAlignment w:val="bottom"/>
            </w:pPr>
            <w:r>
              <w:rPr>
                <w:rFonts w:ascii="Arial" w:eastAsia="宋体" w:hAnsi="Arial" w:cs="Arial"/>
                <w:i/>
                <w:iCs/>
                <w:color w:val="000000"/>
                <w:sz w:val="18"/>
                <w:szCs w:val="18"/>
              </w:rPr>
              <w:t>28 </w:t>
            </w:r>
          </w:p>
        </w:tc>
        <w:tc>
          <w:tcPr>
            <w:tcW w:w="0" w:type="auto"/>
            <w:shd w:val="clear" w:color="auto" w:fill="E1E1E1"/>
            <w:tcMar>
              <w:top w:w="40" w:type="dxa"/>
              <w:left w:w="0" w:type="dxa"/>
              <w:bottom w:w="40" w:type="dxa"/>
              <w:right w:w="20" w:type="dxa"/>
            </w:tcMar>
            <w:vAlign w:val="bottom"/>
          </w:tcPr>
          <w:p w14:paraId="1860155E"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E1E1E1"/>
            <w:tcMar>
              <w:top w:w="0" w:type="dxa"/>
              <w:left w:w="20" w:type="dxa"/>
              <w:bottom w:w="0" w:type="dxa"/>
              <w:right w:w="20" w:type="dxa"/>
            </w:tcMar>
            <w:vAlign w:val="bottom"/>
          </w:tcPr>
          <w:p w14:paraId="1860155F"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560" w14:textId="77777777" w:rsidR="00A91885" w:rsidRDefault="009C4196">
            <w:pPr>
              <w:jc w:val="right"/>
              <w:textAlignment w:val="bottom"/>
            </w:pPr>
            <w:r>
              <w:rPr>
                <w:rFonts w:ascii="Arial" w:eastAsia="宋体" w:hAnsi="Arial" w:cs="Arial"/>
                <w:i/>
                <w:iCs/>
                <w:color w:val="000000"/>
                <w:sz w:val="18"/>
                <w:szCs w:val="18"/>
              </w:rPr>
              <w:t>(3)</w:t>
            </w:r>
          </w:p>
        </w:tc>
        <w:tc>
          <w:tcPr>
            <w:tcW w:w="0" w:type="auto"/>
            <w:shd w:val="clear" w:color="auto" w:fill="E1E1E1"/>
            <w:tcMar>
              <w:top w:w="40" w:type="dxa"/>
              <w:left w:w="0" w:type="dxa"/>
              <w:bottom w:w="40" w:type="dxa"/>
              <w:right w:w="20" w:type="dxa"/>
            </w:tcMar>
            <w:vAlign w:val="bottom"/>
          </w:tcPr>
          <w:p w14:paraId="18601561"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E1E1E1"/>
            <w:tcMar>
              <w:top w:w="0" w:type="dxa"/>
              <w:left w:w="20" w:type="dxa"/>
              <w:bottom w:w="0" w:type="dxa"/>
              <w:right w:w="20" w:type="dxa"/>
            </w:tcMar>
            <w:vAlign w:val="bottom"/>
          </w:tcPr>
          <w:p w14:paraId="18601562"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563" w14:textId="77777777" w:rsidR="00A91885" w:rsidRDefault="009C4196">
            <w:pPr>
              <w:jc w:val="right"/>
              <w:textAlignment w:val="bottom"/>
            </w:pPr>
            <w:r>
              <w:rPr>
                <w:rFonts w:ascii="Arial" w:eastAsia="宋体" w:hAnsi="Arial" w:cs="Arial"/>
                <w:i/>
                <w:iCs/>
                <w:color w:val="000000"/>
                <w:sz w:val="18"/>
                <w:szCs w:val="18"/>
              </w:rPr>
              <w:t>10 </w:t>
            </w:r>
          </w:p>
        </w:tc>
        <w:tc>
          <w:tcPr>
            <w:tcW w:w="0" w:type="auto"/>
            <w:shd w:val="clear" w:color="auto" w:fill="E1E1E1"/>
            <w:tcMar>
              <w:top w:w="40" w:type="dxa"/>
              <w:left w:w="0" w:type="dxa"/>
              <w:bottom w:w="40" w:type="dxa"/>
              <w:right w:w="20" w:type="dxa"/>
            </w:tcMar>
            <w:vAlign w:val="bottom"/>
          </w:tcPr>
          <w:p w14:paraId="18601564" w14:textId="77777777" w:rsidR="00A91885" w:rsidRDefault="009C4196">
            <w:pPr>
              <w:jc w:val="right"/>
              <w:textAlignment w:val="bottom"/>
            </w:pPr>
            <w:r>
              <w:rPr>
                <w:rFonts w:ascii="Arial" w:eastAsia="宋体" w:hAnsi="Arial" w:cs="Arial"/>
                <w:i/>
                <w:iCs/>
                <w:color w:val="000000"/>
                <w:sz w:val="18"/>
                <w:szCs w:val="18"/>
              </w:rPr>
              <w:t>%</w:t>
            </w:r>
          </w:p>
        </w:tc>
      </w:tr>
      <w:tr w:rsidR="00A91885" w14:paraId="1860156E" w14:textId="77777777">
        <w:tc>
          <w:tcPr>
            <w:tcW w:w="0" w:type="auto"/>
            <w:gridSpan w:val="3"/>
            <w:shd w:val="clear" w:color="auto" w:fill="FFFFFF"/>
            <w:tcMar>
              <w:top w:w="40" w:type="dxa"/>
              <w:left w:w="20" w:type="dxa"/>
              <w:bottom w:w="40" w:type="dxa"/>
              <w:right w:w="20" w:type="dxa"/>
            </w:tcMar>
            <w:vAlign w:val="bottom"/>
          </w:tcPr>
          <w:p w14:paraId="18601566" w14:textId="77777777" w:rsidR="00A91885" w:rsidRDefault="009C4196">
            <w:pPr>
              <w:textAlignment w:val="bottom"/>
            </w:pPr>
            <w:r>
              <w:rPr>
                <w:rFonts w:ascii="Arial" w:eastAsia="宋体" w:hAnsi="Arial" w:cs="Arial"/>
                <w:b/>
                <w:bCs/>
                <w:color w:val="000000"/>
                <w:sz w:val="18"/>
                <w:szCs w:val="18"/>
              </w:rPr>
              <w:t>2021</w:t>
            </w:r>
          </w:p>
        </w:tc>
        <w:tc>
          <w:tcPr>
            <w:tcW w:w="0" w:type="auto"/>
            <w:gridSpan w:val="3"/>
            <w:shd w:val="clear" w:color="auto" w:fill="FFFFFF"/>
            <w:tcMar>
              <w:top w:w="0" w:type="dxa"/>
              <w:left w:w="20" w:type="dxa"/>
              <w:bottom w:w="0" w:type="dxa"/>
              <w:right w:w="20" w:type="dxa"/>
            </w:tcMar>
            <w:vAlign w:val="bottom"/>
          </w:tcPr>
          <w:p w14:paraId="18601567"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568"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569"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56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56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56C"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56D" w14:textId="77777777" w:rsidR="00A91885" w:rsidRDefault="00A91885">
            <w:pPr>
              <w:rPr>
                <w:rFonts w:ascii="宋体"/>
              </w:rPr>
            </w:pPr>
          </w:p>
        </w:tc>
      </w:tr>
      <w:tr w:rsidR="00A91885" w14:paraId="1860157F" w14:textId="77777777">
        <w:tc>
          <w:tcPr>
            <w:tcW w:w="0" w:type="auto"/>
            <w:gridSpan w:val="3"/>
            <w:shd w:val="clear" w:color="auto" w:fill="E1E1E1"/>
            <w:tcMar>
              <w:top w:w="40" w:type="dxa"/>
              <w:left w:w="155" w:type="dxa"/>
              <w:bottom w:w="40" w:type="dxa"/>
              <w:right w:w="20" w:type="dxa"/>
            </w:tcMar>
            <w:vAlign w:val="bottom"/>
          </w:tcPr>
          <w:p w14:paraId="1860156F" w14:textId="77777777" w:rsidR="00A91885" w:rsidRDefault="009C4196">
            <w:pPr>
              <w:textAlignment w:val="bottom"/>
            </w:pPr>
            <w:r>
              <w:rPr>
                <w:rFonts w:ascii="Arial" w:eastAsia="宋体" w:hAnsi="Arial" w:cs="Arial"/>
                <w:color w:val="000000"/>
                <w:sz w:val="18"/>
                <w:szCs w:val="18"/>
              </w:rPr>
              <w:t>Net revenues</w:t>
            </w:r>
          </w:p>
        </w:tc>
        <w:tc>
          <w:tcPr>
            <w:tcW w:w="0" w:type="auto"/>
            <w:shd w:val="clear" w:color="auto" w:fill="E1E1E1"/>
            <w:tcMar>
              <w:top w:w="40" w:type="dxa"/>
              <w:left w:w="20" w:type="dxa"/>
              <w:bottom w:w="40" w:type="dxa"/>
              <w:right w:w="0" w:type="dxa"/>
            </w:tcMar>
            <w:vAlign w:val="bottom"/>
          </w:tcPr>
          <w:p w14:paraId="18601570"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8601571" w14:textId="77777777" w:rsidR="00A91885" w:rsidRDefault="009C4196">
            <w:pPr>
              <w:jc w:val="right"/>
              <w:textAlignment w:val="bottom"/>
            </w:pPr>
            <w:r>
              <w:rPr>
                <w:rFonts w:ascii="Arial" w:eastAsia="宋体" w:hAnsi="Arial" w:cs="Arial"/>
                <w:color w:val="000000"/>
                <w:sz w:val="18"/>
                <w:szCs w:val="18"/>
              </w:rPr>
              <w:t>2,638 </w:t>
            </w:r>
          </w:p>
        </w:tc>
        <w:tc>
          <w:tcPr>
            <w:tcW w:w="0" w:type="auto"/>
            <w:shd w:val="clear" w:color="auto" w:fill="E1E1E1"/>
            <w:tcMar>
              <w:top w:w="40" w:type="dxa"/>
              <w:left w:w="0" w:type="dxa"/>
              <w:bottom w:w="40" w:type="dxa"/>
              <w:right w:w="20" w:type="dxa"/>
            </w:tcMar>
            <w:vAlign w:val="bottom"/>
          </w:tcPr>
          <w:p w14:paraId="18601572"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573" w14:textId="77777777" w:rsidR="00A91885" w:rsidRDefault="00A91885">
            <w:pPr>
              <w:rPr>
                <w:rFonts w:ascii="宋体"/>
              </w:rPr>
            </w:pPr>
          </w:p>
        </w:tc>
        <w:tc>
          <w:tcPr>
            <w:tcW w:w="0" w:type="auto"/>
            <w:shd w:val="clear" w:color="auto" w:fill="E1E1E1"/>
            <w:tcMar>
              <w:top w:w="40" w:type="dxa"/>
              <w:left w:w="20" w:type="dxa"/>
              <w:bottom w:w="40" w:type="dxa"/>
              <w:right w:w="0" w:type="dxa"/>
            </w:tcMar>
            <w:vAlign w:val="bottom"/>
          </w:tcPr>
          <w:p w14:paraId="18601574"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8601575" w14:textId="77777777" w:rsidR="00A91885" w:rsidRDefault="009C4196">
            <w:pPr>
              <w:jc w:val="right"/>
              <w:textAlignment w:val="bottom"/>
            </w:pPr>
            <w:r>
              <w:rPr>
                <w:rFonts w:ascii="Arial" w:eastAsia="宋体" w:hAnsi="Arial" w:cs="Arial"/>
                <w:color w:val="000000"/>
                <w:sz w:val="18"/>
                <w:szCs w:val="18"/>
              </w:rPr>
              <w:t>2,668 </w:t>
            </w:r>
          </w:p>
        </w:tc>
        <w:tc>
          <w:tcPr>
            <w:tcW w:w="0" w:type="auto"/>
            <w:shd w:val="clear" w:color="auto" w:fill="E1E1E1"/>
            <w:tcMar>
              <w:top w:w="40" w:type="dxa"/>
              <w:left w:w="0" w:type="dxa"/>
              <w:bottom w:w="40" w:type="dxa"/>
              <w:right w:w="20" w:type="dxa"/>
            </w:tcMar>
            <w:vAlign w:val="bottom"/>
          </w:tcPr>
          <w:p w14:paraId="18601576"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577" w14:textId="77777777" w:rsidR="00A91885" w:rsidRDefault="00A91885">
            <w:pPr>
              <w:rPr>
                <w:rFonts w:ascii="宋体"/>
              </w:rPr>
            </w:pPr>
          </w:p>
        </w:tc>
        <w:tc>
          <w:tcPr>
            <w:tcW w:w="0" w:type="auto"/>
            <w:shd w:val="clear" w:color="auto" w:fill="E1E1E1"/>
            <w:tcMar>
              <w:top w:w="40" w:type="dxa"/>
              <w:left w:w="20" w:type="dxa"/>
              <w:bottom w:w="40" w:type="dxa"/>
              <w:right w:w="0" w:type="dxa"/>
            </w:tcMar>
            <w:vAlign w:val="bottom"/>
          </w:tcPr>
          <w:p w14:paraId="18601578"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8601579" w14:textId="77777777" w:rsidR="00A91885" w:rsidRDefault="009C4196">
            <w:pPr>
              <w:jc w:val="right"/>
              <w:textAlignment w:val="bottom"/>
            </w:pPr>
            <w:r>
              <w:rPr>
                <w:rFonts w:ascii="Arial" w:eastAsia="宋体" w:hAnsi="Arial" w:cs="Arial"/>
                <w:color w:val="000000"/>
                <w:sz w:val="18"/>
                <w:szCs w:val="18"/>
              </w:rPr>
              <w:t>2,501 </w:t>
            </w:r>
          </w:p>
        </w:tc>
        <w:tc>
          <w:tcPr>
            <w:tcW w:w="0" w:type="auto"/>
            <w:shd w:val="clear" w:color="auto" w:fill="E1E1E1"/>
            <w:tcMar>
              <w:top w:w="40" w:type="dxa"/>
              <w:left w:w="0" w:type="dxa"/>
              <w:bottom w:w="40" w:type="dxa"/>
              <w:right w:w="20" w:type="dxa"/>
            </w:tcMar>
            <w:vAlign w:val="bottom"/>
          </w:tcPr>
          <w:p w14:paraId="1860157A"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57B" w14:textId="77777777" w:rsidR="00A91885" w:rsidRDefault="00A91885">
            <w:pPr>
              <w:rPr>
                <w:rFonts w:ascii="宋体"/>
              </w:rPr>
            </w:pPr>
          </w:p>
        </w:tc>
        <w:tc>
          <w:tcPr>
            <w:tcW w:w="0" w:type="auto"/>
            <w:shd w:val="clear" w:color="auto" w:fill="E1E1E1"/>
            <w:tcMar>
              <w:top w:w="40" w:type="dxa"/>
              <w:left w:w="20" w:type="dxa"/>
              <w:bottom w:w="40" w:type="dxa"/>
              <w:right w:w="0" w:type="dxa"/>
            </w:tcMar>
            <w:vAlign w:val="bottom"/>
          </w:tcPr>
          <w:p w14:paraId="1860157C"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1E1E1"/>
            <w:tcMar>
              <w:top w:w="40" w:type="dxa"/>
              <w:left w:w="0" w:type="dxa"/>
              <w:bottom w:w="40" w:type="dxa"/>
              <w:right w:w="0" w:type="dxa"/>
            </w:tcMar>
            <w:vAlign w:val="bottom"/>
          </w:tcPr>
          <w:p w14:paraId="1860157D" w14:textId="77777777" w:rsidR="00A91885" w:rsidRDefault="009C4196">
            <w:pPr>
              <w:jc w:val="right"/>
              <w:textAlignment w:val="bottom"/>
            </w:pPr>
            <w:r>
              <w:rPr>
                <w:rFonts w:ascii="Arial" w:eastAsia="宋体" w:hAnsi="Arial" w:cs="Arial"/>
                <w:color w:val="000000"/>
                <w:sz w:val="18"/>
                <w:szCs w:val="18"/>
              </w:rPr>
              <w:t>2,613 </w:t>
            </w:r>
          </w:p>
        </w:tc>
        <w:tc>
          <w:tcPr>
            <w:tcW w:w="0" w:type="auto"/>
            <w:shd w:val="clear" w:color="auto" w:fill="E1E1E1"/>
            <w:tcMar>
              <w:top w:w="40" w:type="dxa"/>
              <w:left w:w="0" w:type="dxa"/>
              <w:bottom w:w="40" w:type="dxa"/>
              <w:right w:w="20" w:type="dxa"/>
            </w:tcMar>
            <w:vAlign w:val="bottom"/>
          </w:tcPr>
          <w:p w14:paraId="1860157E" w14:textId="77777777" w:rsidR="00A91885" w:rsidRDefault="00A91885">
            <w:pPr>
              <w:jc w:val="right"/>
              <w:rPr>
                <w:rFonts w:ascii="宋体"/>
              </w:rPr>
            </w:pPr>
          </w:p>
        </w:tc>
      </w:tr>
      <w:tr w:rsidR="00A91885" w14:paraId="1860158C" w14:textId="77777777">
        <w:tc>
          <w:tcPr>
            <w:tcW w:w="0" w:type="auto"/>
            <w:gridSpan w:val="3"/>
            <w:shd w:val="clear" w:color="auto" w:fill="FFFFFF"/>
            <w:tcMar>
              <w:top w:w="40" w:type="dxa"/>
              <w:left w:w="155" w:type="dxa"/>
              <w:bottom w:w="40" w:type="dxa"/>
              <w:right w:w="20" w:type="dxa"/>
            </w:tcMar>
            <w:vAlign w:val="bottom"/>
          </w:tcPr>
          <w:p w14:paraId="18601580" w14:textId="77777777" w:rsidR="00A91885" w:rsidRDefault="009C4196">
            <w:pPr>
              <w:textAlignment w:val="bottom"/>
            </w:pPr>
            <w:r>
              <w:rPr>
                <w:rFonts w:ascii="Arial" w:eastAsia="宋体" w:hAnsi="Arial" w:cs="Arial"/>
                <w:i/>
                <w:iCs/>
                <w:color w:val="000000"/>
                <w:sz w:val="18"/>
                <w:szCs w:val="18"/>
              </w:rPr>
              <w:t>% change from prior quarter</w:t>
            </w:r>
          </w:p>
        </w:tc>
        <w:tc>
          <w:tcPr>
            <w:tcW w:w="0" w:type="auto"/>
            <w:gridSpan w:val="2"/>
            <w:shd w:val="clear" w:color="auto" w:fill="FFFFFF"/>
            <w:tcMar>
              <w:top w:w="40" w:type="dxa"/>
              <w:left w:w="20" w:type="dxa"/>
              <w:bottom w:w="40" w:type="dxa"/>
              <w:right w:w="0" w:type="dxa"/>
            </w:tcMar>
            <w:vAlign w:val="bottom"/>
          </w:tcPr>
          <w:p w14:paraId="18601581" w14:textId="77777777" w:rsidR="00A91885" w:rsidRDefault="009C4196">
            <w:pPr>
              <w:jc w:val="right"/>
              <w:textAlignment w:val="bottom"/>
            </w:pPr>
            <w:r>
              <w:rPr>
                <w:rFonts w:ascii="Arial" w:eastAsia="宋体" w:hAnsi="Arial" w:cs="Arial"/>
                <w:i/>
                <w:iCs/>
                <w:color w:val="000000"/>
                <w:sz w:val="18"/>
                <w:szCs w:val="18"/>
              </w:rPr>
              <w:t>6 </w:t>
            </w:r>
          </w:p>
        </w:tc>
        <w:tc>
          <w:tcPr>
            <w:tcW w:w="0" w:type="auto"/>
            <w:shd w:val="clear" w:color="auto" w:fill="FFFFFF"/>
            <w:tcMar>
              <w:top w:w="40" w:type="dxa"/>
              <w:left w:w="0" w:type="dxa"/>
              <w:bottom w:w="40" w:type="dxa"/>
              <w:right w:w="20" w:type="dxa"/>
            </w:tcMar>
            <w:vAlign w:val="bottom"/>
          </w:tcPr>
          <w:p w14:paraId="18601582"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583"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584" w14:textId="77777777" w:rsidR="00A91885" w:rsidRDefault="009C4196">
            <w:pPr>
              <w:jc w:val="right"/>
              <w:textAlignment w:val="bottom"/>
            </w:pPr>
            <w:r>
              <w:rPr>
                <w:rFonts w:ascii="Arial" w:eastAsia="宋体" w:hAnsi="Arial" w:cs="Arial"/>
                <w:i/>
                <w:iCs/>
                <w:color w:val="000000"/>
                <w:sz w:val="18"/>
                <w:szCs w:val="18"/>
              </w:rPr>
              <w:t>1 </w:t>
            </w:r>
          </w:p>
        </w:tc>
        <w:tc>
          <w:tcPr>
            <w:tcW w:w="0" w:type="auto"/>
            <w:shd w:val="clear" w:color="auto" w:fill="FFFFFF"/>
            <w:tcMar>
              <w:top w:w="40" w:type="dxa"/>
              <w:left w:w="0" w:type="dxa"/>
              <w:bottom w:w="40" w:type="dxa"/>
              <w:right w:w="20" w:type="dxa"/>
            </w:tcMar>
            <w:vAlign w:val="bottom"/>
          </w:tcPr>
          <w:p w14:paraId="18601585"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586"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587" w14:textId="77777777" w:rsidR="00A91885" w:rsidRDefault="009C4196">
            <w:pPr>
              <w:jc w:val="right"/>
              <w:textAlignment w:val="bottom"/>
            </w:pPr>
            <w:r>
              <w:rPr>
                <w:rFonts w:ascii="Arial" w:eastAsia="宋体" w:hAnsi="Arial" w:cs="Arial"/>
                <w:i/>
                <w:iCs/>
                <w:color w:val="000000"/>
                <w:sz w:val="18"/>
                <w:szCs w:val="18"/>
              </w:rPr>
              <w:t>(6)</w:t>
            </w:r>
          </w:p>
        </w:tc>
        <w:tc>
          <w:tcPr>
            <w:tcW w:w="0" w:type="auto"/>
            <w:shd w:val="clear" w:color="auto" w:fill="FFFFFF"/>
            <w:tcMar>
              <w:top w:w="40" w:type="dxa"/>
              <w:left w:w="0" w:type="dxa"/>
              <w:bottom w:w="40" w:type="dxa"/>
              <w:right w:w="20" w:type="dxa"/>
            </w:tcMar>
            <w:vAlign w:val="bottom"/>
          </w:tcPr>
          <w:p w14:paraId="18601588"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58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58A" w14:textId="77777777" w:rsidR="00A91885" w:rsidRDefault="009C4196">
            <w:pPr>
              <w:jc w:val="right"/>
              <w:textAlignment w:val="bottom"/>
            </w:pPr>
            <w:r>
              <w:rPr>
                <w:rFonts w:ascii="Arial" w:eastAsia="宋体" w:hAnsi="Arial" w:cs="Arial"/>
                <w:i/>
                <w:iCs/>
                <w:color w:val="000000"/>
                <w:sz w:val="18"/>
                <w:szCs w:val="18"/>
              </w:rPr>
              <w:t>4 </w:t>
            </w:r>
          </w:p>
        </w:tc>
        <w:tc>
          <w:tcPr>
            <w:tcW w:w="0" w:type="auto"/>
            <w:shd w:val="clear" w:color="auto" w:fill="FFFFFF"/>
            <w:tcMar>
              <w:top w:w="40" w:type="dxa"/>
              <w:left w:w="0" w:type="dxa"/>
              <w:bottom w:w="40" w:type="dxa"/>
              <w:right w:w="20" w:type="dxa"/>
            </w:tcMar>
            <w:vAlign w:val="bottom"/>
          </w:tcPr>
          <w:p w14:paraId="1860158B" w14:textId="77777777" w:rsidR="00A91885" w:rsidRDefault="009C4196">
            <w:pPr>
              <w:jc w:val="right"/>
              <w:textAlignment w:val="bottom"/>
            </w:pPr>
            <w:r>
              <w:rPr>
                <w:rFonts w:ascii="Arial" w:eastAsia="宋体" w:hAnsi="Arial" w:cs="Arial"/>
                <w:i/>
                <w:iCs/>
                <w:color w:val="000000"/>
                <w:sz w:val="18"/>
                <w:szCs w:val="18"/>
              </w:rPr>
              <w:t>%</w:t>
            </w:r>
          </w:p>
        </w:tc>
      </w:tr>
      <w:tr w:rsidR="00A91885" w14:paraId="18601595" w14:textId="77777777">
        <w:tc>
          <w:tcPr>
            <w:tcW w:w="0" w:type="auto"/>
            <w:gridSpan w:val="3"/>
            <w:shd w:val="clear" w:color="auto" w:fill="E1E1E1"/>
            <w:tcMar>
              <w:top w:w="40" w:type="dxa"/>
              <w:left w:w="20" w:type="dxa"/>
              <w:bottom w:w="40" w:type="dxa"/>
              <w:right w:w="20" w:type="dxa"/>
            </w:tcMar>
            <w:vAlign w:val="bottom"/>
          </w:tcPr>
          <w:p w14:paraId="1860158D" w14:textId="77777777" w:rsidR="00A91885" w:rsidRDefault="009C4196">
            <w:pPr>
              <w:textAlignment w:val="bottom"/>
            </w:pPr>
            <w:r>
              <w:rPr>
                <w:rFonts w:ascii="Arial" w:eastAsia="宋体" w:hAnsi="Arial" w:cs="Arial"/>
                <w:b/>
                <w:bCs/>
                <w:color w:val="000000"/>
                <w:sz w:val="18"/>
                <w:szCs w:val="18"/>
              </w:rPr>
              <w:t>2022</w:t>
            </w:r>
          </w:p>
        </w:tc>
        <w:tc>
          <w:tcPr>
            <w:tcW w:w="0" w:type="auto"/>
            <w:gridSpan w:val="3"/>
            <w:shd w:val="clear" w:color="auto" w:fill="E1E1E1"/>
            <w:tcMar>
              <w:top w:w="0" w:type="dxa"/>
              <w:left w:w="20" w:type="dxa"/>
              <w:bottom w:w="0" w:type="dxa"/>
              <w:right w:w="20" w:type="dxa"/>
            </w:tcMar>
            <w:vAlign w:val="bottom"/>
          </w:tcPr>
          <w:p w14:paraId="1860158E"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58F"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590"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591"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592"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593"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594" w14:textId="77777777" w:rsidR="00A91885" w:rsidRDefault="00A91885">
            <w:pPr>
              <w:rPr>
                <w:rFonts w:ascii="宋体"/>
              </w:rPr>
            </w:pPr>
          </w:p>
        </w:tc>
      </w:tr>
      <w:tr w:rsidR="00A91885" w14:paraId="186015A6" w14:textId="77777777">
        <w:tc>
          <w:tcPr>
            <w:tcW w:w="0" w:type="auto"/>
            <w:gridSpan w:val="3"/>
            <w:shd w:val="clear" w:color="auto" w:fill="FFFFFF"/>
            <w:tcMar>
              <w:top w:w="40" w:type="dxa"/>
              <w:left w:w="155" w:type="dxa"/>
              <w:bottom w:w="40" w:type="dxa"/>
              <w:right w:w="20" w:type="dxa"/>
            </w:tcMar>
            <w:vAlign w:val="bottom"/>
          </w:tcPr>
          <w:p w14:paraId="18601596" w14:textId="77777777" w:rsidR="00A91885" w:rsidRDefault="009C4196">
            <w:pPr>
              <w:textAlignment w:val="bottom"/>
            </w:pPr>
            <w:r>
              <w:rPr>
                <w:rFonts w:ascii="Arial" w:eastAsia="宋体" w:hAnsi="Arial" w:cs="Arial"/>
                <w:color w:val="000000"/>
                <w:sz w:val="18"/>
                <w:szCs w:val="18"/>
              </w:rPr>
              <w:t>Net revenues</w:t>
            </w:r>
          </w:p>
        </w:tc>
        <w:tc>
          <w:tcPr>
            <w:tcW w:w="0" w:type="auto"/>
            <w:shd w:val="clear" w:color="auto" w:fill="FFFFFF"/>
            <w:tcMar>
              <w:top w:w="40" w:type="dxa"/>
              <w:left w:w="20" w:type="dxa"/>
              <w:bottom w:w="40" w:type="dxa"/>
              <w:right w:w="0" w:type="dxa"/>
            </w:tcMar>
            <w:vAlign w:val="bottom"/>
          </w:tcPr>
          <w:p w14:paraId="18601597"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598" w14:textId="77777777" w:rsidR="00A91885" w:rsidRDefault="009C4196">
            <w:pPr>
              <w:jc w:val="right"/>
              <w:textAlignment w:val="bottom"/>
            </w:pPr>
            <w:r>
              <w:rPr>
                <w:rFonts w:ascii="Arial" w:eastAsia="宋体" w:hAnsi="Arial" w:cs="Arial"/>
                <w:color w:val="000000"/>
                <w:sz w:val="18"/>
                <w:szCs w:val="18"/>
              </w:rPr>
              <w:t>2,483 </w:t>
            </w:r>
          </w:p>
        </w:tc>
        <w:tc>
          <w:tcPr>
            <w:tcW w:w="0" w:type="auto"/>
            <w:shd w:val="clear" w:color="auto" w:fill="FFFFFF"/>
            <w:tcMar>
              <w:top w:w="40" w:type="dxa"/>
              <w:left w:w="0" w:type="dxa"/>
              <w:bottom w:w="40" w:type="dxa"/>
              <w:right w:w="20" w:type="dxa"/>
            </w:tcMar>
            <w:vAlign w:val="bottom"/>
          </w:tcPr>
          <w:p w14:paraId="1860159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59A"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59B"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59C" w14:textId="77777777" w:rsidR="00A91885" w:rsidRDefault="009C4196">
            <w:pPr>
              <w:jc w:val="right"/>
              <w:textAlignment w:val="bottom"/>
            </w:pPr>
            <w:r>
              <w:rPr>
                <w:rFonts w:ascii="Arial" w:eastAsia="宋体" w:hAnsi="Arial" w:cs="Arial"/>
                <w:color w:val="000000"/>
                <w:sz w:val="18"/>
                <w:szCs w:val="18"/>
              </w:rPr>
              <w:t>2,422 </w:t>
            </w:r>
          </w:p>
        </w:tc>
        <w:tc>
          <w:tcPr>
            <w:tcW w:w="0" w:type="auto"/>
            <w:shd w:val="clear" w:color="auto" w:fill="FFFFFF"/>
            <w:tcMar>
              <w:top w:w="40" w:type="dxa"/>
              <w:left w:w="0" w:type="dxa"/>
              <w:bottom w:w="40" w:type="dxa"/>
              <w:right w:w="20" w:type="dxa"/>
            </w:tcMar>
            <w:vAlign w:val="bottom"/>
          </w:tcPr>
          <w:p w14:paraId="1860159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59E"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59F"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5A0"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15A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5A2"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5A3"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5A4"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15A5" w14:textId="77777777" w:rsidR="00A91885" w:rsidRDefault="00A91885">
            <w:pPr>
              <w:jc w:val="right"/>
              <w:rPr>
                <w:rFonts w:ascii="宋体"/>
              </w:rPr>
            </w:pPr>
          </w:p>
        </w:tc>
      </w:tr>
      <w:tr w:rsidR="00A91885" w14:paraId="186015B1" w14:textId="77777777">
        <w:tc>
          <w:tcPr>
            <w:tcW w:w="0" w:type="auto"/>
            <w:gridSpan w:val="3"/>
            <w:shd w:val="clear" w:color="auto" w:fill="E1E1E1"/>
            <w:tcMar>
              <w:top w:w="40" w:type="dxa"/>
              <w:left w:w="155" w:type="dxa"/>
              <w:bottom w:w="40" w:type="dxa"/>
              <w:right w:w="20" w:type="dxa"/>
            </w:tcMar>
            <w:vAlign w:val="bottom"/>
          </w:tcPr>
          <w:p w14:paraId="186015A7" w14:textId="77777777" w:rsidR="00A91885" w:rsidRDefault="009C4196">
            <w:pPr>
              <w:textAlignment w:val="bottom"/>
            </w:pPr>
            <w:r>
              <w:rPr>
                <w:rFonts w:ascii="Arial" w:eastAsia="宋体" w:hAnsi="Arial" w:cs="Arial"/>
                <w:i/>
                <w:iCs/>
                <w:color w:val="000000"/>
                <w:sz w:val="18"/>
                <w:szCs w:val="18"/>
              </w:rPr>
              <w:t>% change from prior quarter</w:t>
            </w:r>
          </w:p>
        </w:tc>
        <w:tc>
          <w:tcPr>
            <w:tcW w:w="0" w:type="auto"/>
            <w:gridSpan w:val="2"/>
            <w:shd w:val="clear" w:color="auto" w:fill="E1E1E1"/>
            <w:tcMar>
              <w:top w:w="40" w:type="dxa"/>
              <w:left w:w="20" w:type="dxa"/>
              <w:bottom w:w="40" w:type="dxa"/>
              <w:right w:w="0" w:type="dxa"/>
            </w:tcMar>
            <w:vAlign w:val="bottom"/>
          </w:tcPr>
          <w:p w14:paraId="186015A8" w14:textId="77777777" w:rsidR="00A91885" w:rsidRDefault="009C4196">
            <w:pPr>
              <w:jc w:val="right"/>
              <w:textAlignment w:val="bottom"/>
            </w:pPr>
            <w:r>
              <w:rPr>
                <w:rFonts w:ascii="Arial" w:eastAsia="宋体" w:hAnsi="Arial" w:cs="Arial"/>
                <w:i/>
                <w:iCs/>
                <w:color w:val="000000"/>
                <w:sz w:val="18"/>
                <w:szCs w:val="18"/>
              </w:rPr>
              <w:t>(5)</w:t>
            </w:r>
          </w:p>
        </w:tc>
        <w:tc>
          <w:tcPr>
            <w:tcW w:w="0" w:type="auto"/>
            <w:shd w:val="clear" w:color="auto" w:fill="E1E1E1"/>
            <w:tcMar>
              <w:top w:w="40" w:type="dxa"/>
              <w:left w:w="0" w:type="dxa"/>
              <w:bottom w:w="40" w:type="dxa"/>
              <w:right w:w="20" w:type="dxa"/>
            </w:tcMar>
            <w:vAlign w:val="bottom"/>
          </w:tcPr>
          <w:p w14:paraId="186015A9"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E1E1E1"/>
            <w:tcMar>
              <w:top w:w="0" w:type="dxa"/>
              <w:left w:w="20" w:type="dxa"/>
              <w:bottom w:w="0" w:type="dxa"/>
              <w:right w:w="20" w:type="dxa"/>
            </w:tcMar>
            <w:vAlign w:val="bottom"/>
          </w:tcPr>
          <w:p w14:paraId="186015AA"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5AB" w14:textId="77777777" w:rsidR="00A91885" w:rsidRDefault="009C4196">
            <w:pPr>
              <w:jc w:val="right"/>
              <w:textAlignment w:val="bottom"/>
            </w:pPr>
            <w:r>
              <w:rPr>
                <w:rFonts w:ascii="Arial" w:eastAsia="宋体" w:hAnsi="Arial" w:cs="Arial"/>
                <w:i/>
                <w:iCs/>
                <w:color w:val="000000"/>
                <w:sz w:val="18"/>
                <w:szCs w:val="18"/>
              </w:rPr>
              <w:t>(2)</w:t>
            </w:r>
          </w:p>
        </w:tc>
        <w:tc>
          <w:tcPr>
            <w:tcW w:w="0" w:type="auto"/>
            <w:shd w:val="clear" w:color="auto" w:fill="E1E1E1"/>
            <w:tcMar>
              <w:top w:w="40" w:type="dxa"/>
              <w:left w:w="0" w:type="dxa"/>
              <w:bottom w:w="40" w:type="dxa"/>
              <w:right w:w="20" w:type="dxa"/>
            </w:tcMar>
            <w:vAlign w:val="bottom"/>
          </w:tcPr>
          <w:p w14:paraId="186015AC"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E1E1E1"/>
            <w:tcMar>
              <w:top w:w="0" w:type="dxa"/>
              <w:left w:w="20" w:type="dxa"/>
              <w:bottom w:w="0" w:type="dxa"/>
              <w:right w:w="20" w:type="dxa"/>
            </w:tcMar>
            <w:vAlign w:val="bottom"/>
          </w:tcPr>
          <w:p w14:paraId="186015AD"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5AE"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5AF"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5B0" w14:textId="77777777" w:rsidR="00A91885" w:rsidRDefault="00A91885">
            <w:pPr>
              <w:rPr>
                <w:rFonts w:ascii="宋体"/>
              </w:rPr>
            </w:pPr>
          </w:p>
        </w:tc>
      </w:tr>
    </w:tbl>
    <w:p w14:paraId="186015B2" w14:textId="77777777" w:rsidR="00A91885" w:rsidRDefault="00A91885">
      <w:pPr>
        <w:ind w:firstLine="270"/>
        <w:jc w:val="both"/>
      </w:pPr>
    </w:p>
    <w:p w14:paraId="186015B3" w14:textId="77777777" w:rsidR="00A91885" w:rsidRDefault="009C4196">
      <w:pPr>
        <w:ind w:firstLine="270"/>
      </w:pPr>
      <w:r>
        <w:rPr>
          <w:rFonts w:ascii="Arial" w:eastAsia="宋体" w:hAnsi="Arial" w:cs="Arial"/>
          <w:b/>
          <w:bCs/>
          <w:i/>
          <w:iCs/>
          <w:color w:val="000000"/>
          <w:sz w:val="20"/>
          <w:szCs w:val="20"/>
        </w:rPr>
        <w:t>Net Revenues by Geography</w:t>
      </w:r>
    </w:p>
    <w:p w14:paraId="186015B4" w14:textId="77777777" w:rsidR="00A91885" w:rsidRDefault="00A91885">
      <w:pPr>
        <w:ind w:firstLine="540"/>
        <w:jc w:val="both"/>
      </w:pPr>
    </w:p>
    <w:p w14:paraId="186015B5" w14:textId="77777777" w:rsidR="00A91885" w:rsidRDefault="009C4196">
      <w:pPr>
        <w:spacing w:after="120"/>
        <w:ind w:firstLine="540"/>
        <w:jc w:val="both"/>
      </w:pPr>
      <w:r>
        <w:rPr>
          <w:rFonts w:ascii="Arial" w:eastAsia="宋体" w:hAnsi="Arial" w:cs="Arial"/>
          <w:color w:val="000000"/>
          <w:sz w:val="20"/>
          <w:szCs w:val="20"/>
        </w:rPr>
        <w:t xml:space="preserve">Revenues are attributed to U.S. and international geographies primarily based upon </w:t>
      </w:r>
      <w:r>
        <w:rPr>
          <w:rFonts w:ascii="Arial" w:eastAsia="宋体" w:hAnsi="Arial" w:cs="Arial"/>
          <w:color w:val="000000"/>
          <w:sz w:val="20"/>
          <w:szCs w:val="20"/>
        </w:rPr>
        <w:t>the country in which the seller, platform that displays advertising, other service provider or customer, as the case may be, is located. The following table presents net revenues by geography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2377"/>
        <w:gridCol w:w="36"/>
        <w:gridCol w:w="121"/>
        <w:gridCol w:w="622"/>
        <w:gridCol w:w="181"/>
        <w:gridCol w:w="36"/>
        <w:gridCol w:w="36"/>
        <w:gridCol w:w="36"/>
        <w:gridCol w:w="121"/>
        <w:gridCol w:w="622"/>
        <w:gridCol w:w="181"/>
        <w:gridCol w:w="36"/>
        <w:gridCol w:w="36"/>
        <w:gridCol w:w="36"/>
        <w:gridCol w:w="63"/>
        <w:gridCol w:w="595"/>
        <w:gridCol w:w="181"/>
        <w:gridCol w:w="36"/>
        <w:gridCol w:w="36"/>
        <w:gridCol w:w="36"/>
        <w:gridCol w:w="121"/>
        <w:gridCol w:w="534"/>
        <w:gridCol w:w="181"/>
        <w:gridCol w:w="37"/>
        <w:gridCol w:w="92"/>
        <w:gridCol w:w="36"/>
        <w:gridCol w:w="121"/>
        <w:gridCol w:w="624"/>
        <w:gridCol w:w="181"/>
        <w:gridCol w:w="36"/>
        <w:gridCol w:w="36"/>
        <w:gridCol w:w="36"/>
        <w:gridCol w:w="63"/>
        <w:gridCol w:w="595"/>
        <w:gridCol w:w="181"/>
      </w:tblGrid>
      <w:tr w:rsidR="00A91885" w14:paraId="186015DA" w14:textId="77777777">
        <w:tc>
          <w:tcPr>
            <w:tcW w:w="50" w:type="pct"/>
            <w:shd w:val="clear" w:color="auto" w:fill="auto"/>
            <w:vAlign w:val="bottom"/>
          </w:tcPr>
          <w:p w14:paraId="186015B6" w14:textId="77777777" w:rsidR="00A91885" w:rsidRDefault="00A91885">
            <w:pPr>
              <w:rPr>
                <w:rFonts w:ascii="宋体"/>
              </w:rPr>
            </w:pPr>
          </w:p>
        </w:tc>
        <w:tc>
          <w:tcPr>
            <w:tcW w:w="1597" w:type="pct"/>
            <w:shd w:val="clear" w:color="auto" w:fill="auto"/>
            <w:vAlign w:val="bottom"/>
          </w:tcPr>
          <w:p w14:paraId="186015B7" w14:textId="77777777" w:rsidR="00A91885" w:rsidRDefault="00A91885">
            <w:pPr>
              <w:rPr>
                <w:rFonts w:ascii="宋体"/>
              </w:rPr>
            </w:pPr>
          </w:p>
        </w:tc>
        <w:tc>
          <w:tcPr>
            <w:tcW w:w="5" w:type="pct"/>
            <w:shd w:val="clear" w:color="auto" w:fill="auto"/>
            <w:vAlign w:val="bottom"/>
          </w:tcPr>
          <w:p w14:paraId="186015B8" w14:textId="77777777" w:rsidR="00A91885" w:rsidRDefault="00A91885">
            <w:pPr>
              <w:rPr>
                <w:rFonts w:ascii="宋体"/>
              </w:rPr>
            </w:pPr>
          </w:p>
        </w:tc>
        <w:tc>
          <w:tcPr>
            <w:tcW w:w="50" w:type="pct"/>
            <w:shd w:val="clear" w:color="auto" w:fill="auto"/>
            <w:vAlign w:val="bottom"/>
          </w:tcPr>
          <w:p w14:paraId="186015B9" w14:textId="77777777" w:rsidR="00A91885" w:rsidRDefault="00A91885">
            <w:pPr>
              <w:rPr>
                <w:rFonts w:ascii="宋体"/>
              </w:rPr>
            </w:pPr>
          </w:p>
        </w:tc>
        <w:tc>
          <w:tcPr>
            <w:tcW w:w="478" w:type="pct"/>
            <w:shd w:val="clear" w:color="auto" w:fill="auto"/>
            <w:vAlign w:val="bottom"/>
          </w:tcPr>
          <w:p w14:paraId="186015BA" w14:textId="77777777" w:rsidR="00A91885" w:rsidRDefault="00A91885">
            <w:pPr>
              <w:rPr>
                <w:rFonts w:ascii="宋体"/>
              </w:rPr>
            </w:pPr>
          </w:p>
        </w:tc>
        <w:tc>
          <w:tcPr>
            <w:tcW w:w="5" w:type="pct"/>
            <w:shd w:val="clear" w:color="auto" w:fill="auto"/>
            <w:vAlign w:val="bottom"/>
          </w:tcPr>
          <w:p w14:paraId="186015BB" w14:textId="77777777" w:rsidR="00A91885" w:rsidRDefault="00A91885">
            <w:pPr>
              <w:rPr>
                <w:rFonts w:ascii="宋体"/>
              </w:rPr>
            </w:pPr>
          </w:p>
        </w:tc>
        <w:tc>
          <w:tcPr>
            <w:tcW w:w="5" w:type="pct"/>
            <w:shd w:val="clear" w:color="auto" w:fill="auto"/>
            <w:vAlign w:val="bottom"/>
          </w:tcPr>
          <w:p w14:paraId="186015BC" w14:textId="77777777" w:rsidR="00A91885" w:rsidRDefault="00A91885">
            <w:pPr>
              <w:rPr>
                <w:rFonts w:ascii="宋体"/>
              </w:rPr>
            </w:pPr>
          </w:p>
        </w:tc>
        <w:tc>
          <w:tcPr>
            <w:tcW w:w="19" w:type="pct"/>
            <w:shd w:val="clear" w:color="auto" w:fill="auto"/>
            <w:vAlign w:val="bottom"/>
          </w:tcPr>
          <w:p w14:paraId="186015BD" w14:textId="77777777" w:rsidR="00A91885" w:rsidRDefault="00A91885">
            <w:pPr>
              <w:rPr>
                <w:rFonts w:ascii="宋体"/>
              </w:rPr>
            </w:pPr>
          </w:p>
        </w:tc>
        <w:tc>
          <w:tcPr>
            <w:tcW w:w="5" w:type="pct"/>
            <w:shd w:val="clear" w:color="auto" w:fill="auto"/>
            <w:vAlign w:val="bottom"/>
          </w:tcPr>
          <w:p w14:paraId="186015BE" w14:textId="77777777" w:rsidR="00A91885" w:rsidRDefault="00A91885">
            <w:pPr>
              <w:rPr>
                <w:rFonts w:ascii="宋体"/>
              </w:rPr>
            </w:pPr>
          </w:p>
        </w:tc>
        <w:tc>
          <w:tcPr>
            <w:tcW w:w="50" w:type="pct"/>
            <w:shd w:val="clear" w:color="auto" w:fill="auto"/>
            <w:vAlign w:val="bottom"/>
          </w:tcPr>
          <w:p w14:paraId="186015BF" w14:textId="77777777" w:rsidR="00A91885" w:rsidRDefault="00A91885">
            <w:pPr>
              <w:rPr>
                <w:rFonts w:ascii="宋体"/>
              </w:rPr>
            </w:pPr>
          </w:p>
        </w:tc>
        <w:tc>
          <w:tcPr>
            <w:tcW w:w="478" w:type="pct"/>
            <w:shd w:val="clear" w:color="auto" w:fill="auto"/>
            <w:vAlign w:val="bottom"/>
          </w:tcPr>
          <w:p w14:paraId="186015C0" w14:textId="77777777" w:rsidR="00A91885" w:rsidRDefault="00A91885">
            <w:pPr>
              <w:rPr>
                <w:rFonts w:ascii="宋体"/>
              </w:rPr>
            </w:pPr>
          </w:p>
        </w:tc>
        <w:tc>
          <w:tcPr>
            <w:tcW w:w="5" w:type="pct"/>
            <w:shd w:val="clear" w:color="auto" w:fill="auto"/>
            <w:vAlign w:val="bottom"/>
          </w:tcPr>
          <w:p w14:paraId="186015C1" w14:textId="77777777" w:rsidR="00A91885" w:rsidRDefault="00A91885">
            <w:pPr>
              <w:rPr>
                <w:rFonts w:ascii="宋体"/>
              </w:rPr>
            </w:pPr>
          </w:p>
        </w:tc>
        <w:tc>
          <w:tcPr>
            <w:tcW w:w="5" w:type="pct"/>
            <w:shd w:val="clear" w:color="auto" w:fill="auto"/>
            <w:vAlign w:val="bottom"/>
          </w:tcPr>
          <w:p w14:paraId="186015C2" w14:textId="77777777" w:rsidR="00A91885" w:rsidRDefault="00A91885">
            <w:pPr>
              <w:rPr>
                <w:rFonts w:ascii="宋体"/>
              </w:rPr>
            </w:pPr>
          </w:p>
        </w:tc>
        <w:tc>
          <w:tcPr>
            <w:tcW w:w="19" w:type="pct"/>
            <w:shd w:val="clear" w:color="auto" w:fill="auto"/>
            <w:vAlign w:val="bottom"/>
          </w:tcPr>
          <w:p w14:paraId="186015C3" w14:textId="77777777" w:rsidR="00A91885" w:rsidRDefault="00A91885">
            <w:pPr>
              <w:rPr>
                <w:rFonts w:ascii="宋体"/>
              </w:rPr>
            </w:pPr>
          </w:p>
        </w:tc>
        <w:tc>
          <w:tcPr>
            <w:tcW w:w="5" w:type="pct"/>
            <w:shd w:val="clear" w:color="auto" w:fill="auto"/>
            <w:vAlign w:val="bottom"/>
          </w:tcPr>
          <w:p w14:paraId="186015C4" w14:textId="77777777" w:rsidR="00A91885" w:rsidRDefault="00A91885">
            <w:pPr>
              <w:rPr>
                <w:rFonts w:ascii="宋体"/>
              </w:rPr>
            </w:pPr>
          </w:p>
        </w:tc>
        <w:tc>
          <w:tcPr>
            <w:tcW w:w="50" w:type="pct"/>
            <w:shd w:val="clear" w:color="auto" w:fill="auto"/>
            <w:vAlign w:val="bottom"/>
          </w:tcPr>
          <w:p w14:paraId="186015C5" w14:textId="77777777" w:rsidR="00A91885" w:rsidRDefault="00A91885">
            <w:pPr>
              <w:rPr>
                <w:rFonts w:ascii="宋体"/>
              </w:rPr>
            </w:pPr>
          </w:p>
        </w:tc>
        <w:tc>
          <w:tcPr>
            <w:tcW w:w="478" w:type="pct"/>
            <w:shd w:val="clear" w:color="auto" w:fill="auto"/>
            <w:vAlign w:val="bottom"/>
          </w:tcPr>
          <w:p w14:paraId="186015C6" w14:textId="77777777" w:rsidR="00A91885" w:rsidRDefault="00A91885">
            <w:pPr>
              <w:rPr>
                <w:rFonts w:ascii="宋体"/>
              </w:rPr>
            </w:pPr>
          </w:p>
        </w:tc>
        <w:tc>
          <w:tcPr>
            <w:tcW w:w="5" w:type="pct"/>
            <w:shd w:val="clear" w:color="auto" w:fill="auto"/>
            <w:vAlign w:val="bottom"/>
          </w:tcPr>
          <w:p w14:paraId="186015C7" w14:textId="77777777" w:rsidR="00A91885" w:rsidRDefault="00A91885">
            <w:pPr>
              <w:rPr>
                <w:rFonts w:ascii="宋体"/>
              </w:rPr>
            </w:pPr>
          </w:p>
        </w:tc>
        <w:tc>
          <w:tcPr>
            <w:tcW w:w="5" w:type="pct"/>
            <w:shd w:val="clear" w:color="auto" w:fill="auto"/>
            <w:vAlign w:val="bottom"/>
          </w:tcPr>
          <w:p w14:paraId="186015C8" w14:textId="77777777" w:rsidR="00A91885" w:rsidRDefault="00A91885">
            <w:pPr>
              <w:rPr>
                <w:rFonts w:ascii="宋体"/>
              </w:rPr>
            </w:pPr>
          </w:p>
        </w:tc>
        <w:tc>
          <w:tcPr>
            <w:tcW w:w="19" w:type="pct"/>
            <w:shd w:val="clear" w:color="auto" w:fill="auto"/>
            <w:vAlign w:val="bottom"/>
          </w:tcPr>
          <w:p w14:paraId="186015C9" w14:textId="77777777" w:rsidR="00A91885" w:rsidRDefault="00A91885">
            <w:pPr>
              <w:rPr>
                <w:rFonts w:ascii="宋体"/>
              </w:rPr>
            </w:pPr>
          </w:p>
        </w:tc>
        <w:tc>
          <w:tcPr>
            <w:tcW w:w="5" w:type="pct"/>
            <w:shd w:val="clear" w:color="auto" w:fill="auto"/>
            <w:vAlign w:val="bottom"/>
          </w:tcPr>
          <w:p w14:paraId="186015CA" w14:textId="77777777" w:rsidR="00A91885" w:rsidRDefault="00A91885">
            <w:pPr>
              <w:rPr>
                <w:rFonts w:ascii="宋体"/>
              </w:rPr>
            </w:pPr>
          </w:p>
        </w:tc>
        <w:tc>
          <w:tcPr>
            <w:tcW w:w="50" w:type="pct"/>
            <w:shd w:val="clear" w:color="auto" w:fill="auto"/>
            <w:vAlign w:val="bottom"/>
          </w:tcPr>
          <w:p w14:paraId="186015CB" w14:textId="77777777" w:rsidR="00A91885" w:rsidRDefault="00A91885">
            <w:pPr>
              <w:rPr>
                <w:rFonts w:ascii="宋体"/>
              </w:rPr>
            </w:pPr>
          </w:p>
        </w:tc>
        <w:tc>
          <w:tcPr>
            <w:tcW w:w="478" w:type="pct"/>
            <w:shd w:val="clear" w:color="auto" w:fill="auto"/>
            <w:vAlign w:val="bottom"/>
          </w:tcPr>
          <w:p w14:paraId="186015CC" w14:textId="77777777" w:rsidR="00A91885" w:rsidRDefault="00A91885">
            <w:pPr>
              <w:rPr>
                <w:rFonts w:ascii="宋体"/>
              </w:rPr>
            </w:pPr>
          </w:p>
        </w:tc>
        <w:tc>
          <w:tcPr>
            <w:tcW w:w="5" w:type="pct"/>
            <w:shd w:val="clear" w:color="auto" w:fill="auto"/>
            <w:vAlign w:val="bottom"/>
          </w:tcPr>
          <w:p w14:paraId="186015CD" w14:textId="77777777" w:rsidR="00A91885" w:rsidRDefault="00A91885">
            <w:pPr>
              <w:rPr>
                <w:rFonts w:ascii="宋体"/>
              </w:rPr>
            </w:pPr>
          </w:p>
        </w:tc>
        <w:tc>
          <w:tcPr>
            <w:tcW w:w="5" w:type="pct"/>
            <w:shd w:val="clear" w:color="auto" w:fill="auto"/>
            <w:vAlign w:val="bottom"/>
          </w:tcPr>
          <w:p w14:paraId="186015CE" w14:textId="77777777" w:rsidR="00A91885" w:rsidRDefault="00A91885">
            <w:pPr>
              <w:rPr>
                <w:rFonts w:ascii="宋体"/>
              </w:rPr>
            </w:pPr>
          </w:p>
        </w:tc>
        <w:tc>
          <w:tcPr>
            <w:tcW w:w="19" w:type="pct"/>
            <w:shd w:val="clear" w:color="auto" w:fill="auto"/>
            <w:vAlign w:val="bottom"/>
          </w:tcPr>
          <w:p w14:paraId="186015CF" w14:textId="77777777" w:rsidR="00A91885" w:rsidRDefault="00A91885">
            <w:pPr>
              <w:rPr>
                <w:rFonts w:ascii="宋体"/>
              </w:rPr>
            </w:pPr>
          </w:p>
        </w:tc>
        <w:tc>
          <w:tcPr>
            <w:tcW w:w="5" w:type="pct"/>
            <w:shd w:val="clear" w:color="auto" w:fill="auto"/>
            <w:vAlign w:val="bottom"/>
          </w:tcPr>
          <w:p w14:paraId="186015D0" w14:textId="77777777" w:rsidR="00A91885" w:rsidRDefault="00A91885">
            <w:pPr>
              <w:rPr>
                <w:rFonts w:ascii="宋体"/>
              </w:rPr>
            </w:pPr>
          </w:p>
        </w:tc>
        <w:tc>
          <w:tcPr>
            <w:tcW w:w="50" w:type="pct"/>
            <w:shd w:val="clear" w:color="auto" w:fill="auto"/>
            <w:vAlign w:val="bottom"/>
          </w:tcPr>
          <w:p w14:paraId="186015D1" w14:textId="77777777" w:rsidR="00A91885" w:rsidRDefault="00A91885">
            <w:pPr>
              <w:rPr>
                <w:rFonts w:ascii="宋体"/>
              </w:rPr>
            </w:pPr>
          </w:p>
        </w:tc>
        <w:tc>
          <w:tcPr>
            <w:tcW w:w="478" w:type="pct"/>
            <w:shd w:val="clear" w:color="auto" w:fill="auto"/>
            <w:vAlign w:val="bottom"/>
          </w:tcPr>
          <w:p w14:paraId="186015D2" w14:textId="77777777" w:rsidR="00A91885" w:rsidRDefault="00A91885">
            <w:pPr>
              <w:rPr>
                <w:rFonts w:ascii="宋体"/>
              </w:rPr>
            </w:pPr>
          </w:p>
        </w:tc>
        <w:tc>
          <w:tcPr>
            <w:tcW w:w="5" w:type="pct"/>
            <w:shd w:val="clear" w:color="auto" w:fill="auto"/>
            <w:vAlign w:val="bottom"/>
          </w:tcPr>
          <w:p w14:paraId="186015D3" w14:textId="77777777" w:rsidR="00A91885" w:rsidRDefault="00A91885">
            <w:pPr>
              <w:rPr>
                <w:rFonts w:ascii="宋体"/>
              </w:rPr>
            </w:pPr>
          </w:p>
        </w:tc>
        <w:tc>
          <w:tcPr>
            <w:tcW w:w="5" w:type="pct"/>
            <w:shd w:val="clear" w:color="auto" w:fill="auto"/>
            <w:vAlign w:val="bottom"/>
          </w:tcPr>
          <w:p w14:paraId="186015D4" w14:textId="77777777" w:rsidR="00A91885" w:rsidRDefault="00A91885">
            <w:pPr>
              <w:rPr>
                <w:rFonts w:ascii="宋体"/>
              </w:rPr>
            </w:pPr>
          </w:p>
        </w:tc>
        <w:tc>
          <w:tcPr>
            <w:tcW w:w="19" w:type="pct"/>
            <w:shd w:val="clear" w:color="auto" w:fill="auto"/>
            <w:vAlign w:val="bottom"/>
          </w:tcPr>
          <w:p w14:paraId="186015D5" w14:textId="77777777" w:rsidR="00A91885" w:rsidRDefault="00A91885">
            <w:pPr>
              <w:rPr>
                <w:rFonts w:ascii="宋体"/>
              </w:rPr>
            </w:pPr>
          </w:p>
        </w:tc>
        <w:tc>
          <w:tcPr>
            <w:tcW w:w="5" w:type="pct"/>
            <w:shd w:val="clear" w:color="auto" w:fill="auto"/>
            <w:vAlign w:val="bottom"/>
          </w:tcPr>
          <w:p w14:paraId="186015D6" w14:textId="77777777" w:rsidR="00A91885" w:rsidRDefault="00A91885">
            <w:pPr>
              <w:rPr>
                <w:rFonts w:ascii="宋体"/>
              </w:rPr>
            </w:pPr>
          </w:p>
        </w:tc>
        <w:tc>
          <w:tcPr>
            <w:tcW w:w="50" w:type="pct"/>
            <w:shd w:val="clear" w:color="auto" w:fill="auto"/>
            <w:vAlign w:val="bottom"/>
          </w:tcPr>
          <w:p w14:paraId="186015D7" w14:textId="77777777" w:rsidR="00A91885" w:rsidRDefault="00A91885">
            <w:pPr>
              <w:rPr>
                <w:rFonts w:ascii="宋体"/>
              </w:rPr>
            </w:pPr>
          </w:p>
        </w:tc>
        <w:tc>
          <w:tcPr>
            <w:tcW w:w="479" w:type="pct"/>
            <w:shd w:val="clear" w:color="auto" w:fill="auto"/>
            <w:vAlign w:val="bottom"/>
          </w:tcPr>
          <w:p w14:paraId="186015D8" w14:textId="77777777" w:rsidR="00A91885" w:rsidRDefault="00A91885">
            <w:pPr>
              <w:rPr>
                <w:rFonts w:ascii="宋体"/>
              </w:rPr>
            </w:pPr>
          </w:p>
        </w:tc>
        <w:tc>
          <w:tcPr>
            <w:tcW w:w="5" w:type="pct"/>
            <w:shd w:val="clear" w:color="auto" w:fill="auto"/>
            <w:vAlign w:val="bottom"/>
          </w:tcPr>
          <w:p w14:paraId="186015D9" w14:textId="77777777" w:rsidR="00A91885" w:rsidRDefault="00A91885">
            <w:pPr>
              <w:rPr>
                <w:rFonts w:ascii="宋体"/>
              </w:rPr>
            </w:pPr>
          </w:p>
        </w:tc>
      </w:tr>
      <w:tr w:rsidR="00A91885" w14:paraId="186015E3" w14:textId="77777777">
        <w:tc>
          <w:tcPr>
            <w:tcW w:w="0" w:type="auto"/>
            <w:gridSpan w:val="3"/>
            <w:shd w:val="clear" w:color="auto" w:fill="auto"/>
            <w:tcMar>
              <w:top w:w="40" w:type="dxa"/>
              <w:left w:w="380" w:type="dxa"/>
              <w:bottom w:w="40" w:type="dxa"/>
              <w:right w:w="20" w:type="dxa"/>
            </w:tcMar>
            <w:vAlign w:val="bottom"/>
          </w:tcPr>
          <w:p w14:paraId="186015DB" w14:textId="77777777" w:rsidR="00A91885" w:rsidRDefault="009C4196">
            <w:pPr>
              <w:textAlignment w:val="bottom"/>
            </w:pPr>
            <w:r>
              <w:rPr>
                <w:rFonts w:ascii="Arial" w:eastAsia="宋体" w:hAnsi="Arial" w:cs="Arial"/>
                <w:color w:val="000000"/>
                <w:sz w:val="14"/>
                <w:szCs w:val="14"/>
              </w:rPr>
              <w:t> </w:t>
            </w:r>
          </w:p>
        </w:tc>
        <w:tc>
          <w:tcPr>
            <w:tcW w:w="0" w:type="auto"/>
            <w:gridSpan w:val="9"/>
            <w:shd w:val="clear" w:color="auto" w:fill="auto"/>
            <w:tcMar>
              <w:top w:w="40" w:type="dxa"/>
              <w:left w:w="20" w:type="dxa"/>
              <w:bottom w:w="40" w:type="dxa"/>
              <w:right w:w="20" w:type="dxa"/>
            </w:tcMar>
            <w:vAlign w:val="bottom"/>
          </w:tcPr>
          <w:p w14:paraId="186015DC"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5DD"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5DE"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5DF"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5E0"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5E1"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5E2" w14:textId="77777777" w:rsidR="00A91885" w:rsidRDefault="00A91885">
            <w:pPr>
              <w:rPr>
                <w:rFonts w:ascii="宋体"/>
              </w:rPr>
            </w:pPr>
          </w:p>
        </w:tc>
      </w:tr>
      <w:tr w:rsidR="00A91885" w14:paraId="186015F0" w14:textId="77777777">
        <w:tc>
          <w:tcPr>
            <w:tcW w:w="0" w:type="auto"/>
            <w:gridSpan w:val="3"/>
            <w:shd w:val="clear" w:color="auto" w:fill="auto"/>
            <w:tcMar>
              <w:top w:w="40" w:type="dxa"/>
              <w:left w:w="20" w:type="dxa"/>
              <w:bottom w:w="40" w:type="dxa"/>
              <w:right w:w="20" w:type="dxa"/>
            </w:tcMar>
            <w:vAlign w:val="bottom"/>
          </w:tcPr>
          <w:p w14:paraId="186015E4" w14:textId="77777777" w:rsidR="00A91885" w:rsidRDefault="009C4196">
            <w:pPr>
              <w:jc w:val="center"/>
              <w:textAlignment w:val="bottom"/>
            </w:pPr>
            <w:r>
              <w:rPr>
                <w:rFonts w:ascii="Arial" w:eastAsia="宋体" w:hAnsi="Arial" w:cs="Arial"/>
                <w:color w:val="000000"/>
                <w:sz w:val="14"/>
                <w:szCs w:val="14"/>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5E5"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5E6"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5E7"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5E8"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5E9" w14:textId="77777777" w:rsidR="00A91885" w:rsidRDefault="009C4196">
            <w:pPr>
              <w:jc w:val="center"/>
              <w:textAlignment w:val="bottom"/>
            </w:pPr>
            <w:r>
              <w:rPr>
                <w:rFonts w:ascii="Arial" w:eastAsia="宋体" w:hAnsi="Arial" w:cs="Arial"/>
                <w:b/>
                <w:bCs/>
                <w:color w:val="000000"/>
                <w:sz w:val="17"/>
                <w:szCs w:val="17"/>
              </w:rPr>
              <w:t xml:space="preserve">% </w:t>
            </w:r>
            <w:r>
              <w:rPr>
                <w:rFonts w:ascii="Arial" w:eastAsia="宋体" w:hAnsi="Arial" w:cs="Arial"/>
                <w:b/>
                <w:bCs/>
                <w:color w:val="000000"/>
                <w:sz w:val="17"/>
                <w:szCs w:val="17"/>
              </w:rPr>
              <w:t>Change</w:t>
            </w:r>
          </w:p>
        </w:tc>
        <w:tc>
          <w:tcPr>
            <w:tcW w:w="0" w:type="auto"/>
            <w:gridSpan w:val="3"/>
            <w:shd w:val="clear" w:color="auto" w:fill="auto"/>
            <w:tcMar>
              <w:top w:w="0" w:type="dxa"/>
              <w:left w:w="20" w:type="dxa"/>
              <w:bottom w:w="0" w:type="dxa"/>
              <w:right w:w="20" w:type="dxa"/>
            </w:tcMar>
            <w:vAlign w:val="bottom"/>
          </w:tcPr>
          <w:p w14:paraId="186015EA"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5EB"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5EC"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5ED"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5EE"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5EF" w14:textId="77777777" w:rsidR="00A91885" w:rsidRDefault="009C4196">
            <w:pPr>
              <w:jc w:val="center"/>
              <w:textAlignment w:val="bottom"/>
            </w:pPr>
            <w:r>
              <w:rPr>
                <w:rFonts w:ascii="Arial" w:eastAsia="宋体" w:hAnsi="Arial" w:cs="Arial"/>
                <w:b/>
                <w:bCs/>
                <w:color w:val="000000"/>
                <w:sz w:val="17"/>
                <w:szCs w:val="17"/>
              </w:rPr>
              <w:t>% Change</w:t>
            </w:r>
          </w:p>
        </w:tc>
      </w:tr>
      <w:tr w:rsidR="00A91885" w14:paraId="18601607" w14:textId="77777777">
        <w:tc>
          <w:tcPr>
            <w:tcW w:w="0" w:type="auto"/>
            <w:gridSpan w:val="3"/>
            <w:shd w:val="clear" w:color="auto" w:fill="E2E2E2"/>
            <w:tcMar>
              <w:top w:w="40" w:type="dxa"/>
              <w:left w:w="20" w:type="dxa"/>
              <w:bottom w:w="40" w:type="dxa"/>
              <w:right w:w="20" w:type="dxa"/>
            </w:tcMar>
            <w:vAlign w:val="bottom"/>
          </w:tcPr>
          <w:p w14:paraId="186015F1" w14:textId="77777777" w:rsidR="00A91885" w:rsidRDefault="009C4196">
            <w:pPr>
              <w:textAlignment w:val="bottom"/>
            </w:pPr>
            <w:r>
              <w:rPr>
                <w:rFonts w:ascii="Arial" w:eastAsia="宋体" w:hAnsi="Arial" w:cs="Arial"/>
                <w:color w:val="000000"/>
                <w:sz w:val="18"/>
                <w:szCs w:val="18"/>
              </w:rPr>
              <w:t>U.S.</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15F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5F3" w14:textId="77777777" w:rsidR="00A91885" w:rsidRDefault="009C4196">
            <w:pPr>
              <w:jc w:val="right"/>
              <w:textAlignment w:val="bottom"/>
            </w:pPr>
            <w:r>
              <w:rPr>
                <w:rFonts w:ascii="Arial" w:eastAsia="宋体" w:hAnsi="Arial" w:cs="Arial"/>
                <w:color w:val="000000"/>
                <w:sz w:val="18"/>
                <w:szCs w:val="18"/>
              </w:rPr>
              <w:t>1,199 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5F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5F5"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5F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5F7" w14:textId="77777777" w:rsidR="00A91885" w:rsidRDefault="009C4196">
            <w:pPr>
              <w:jc w:val="right"/>
              <w:textAlignment w:val="bottom"/>
            </w:pPr>
            <w:r>
              <w:rPr>
                <w:rFonts w:ascii="Arial" w:eastAsia="宋体" w:hAnsi="Arial" w:cs="Arial"/>
                <w:color w:val="000000"/>
                <w:sz w:val="18"/>
                <w:szCs w:val="18"/>
              </w:rPr>
              <w:t>1,304 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5F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5F9"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15FA" w14:textId="77777777" w:rsidR="00A91885" w:rsidRDefault="009C4196">
            <w:pPr>
              <w:jc w:val="right"/>
              <w:textAlignment w:val="bottom"/>
            </w:pPr>
            <w:r>
              <w:rPr>
                <w:rFonts w:ascii="Arial" w:eastAsia="宋体" w:hAnsi="Arial" w:cs="Arial"/>
                <w:color w:val="000000"/>
                <w:sz w:val="18"/>
                <w:szCs w:val="18"/>
              </w:rPr>
              <w:t>(8)</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5FB"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5FC"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5F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5FE" w14:textId="77777777" w:rsidR="00A91885" w:rsidRDefault="009C4196">
            <w:pPr>
              <w:jc w:val="right"/>
              <w:textAlignment w:val="bottom"/>
            </w:pPr>
            <w:r>
              <w:rPr>
                <w:rFonts w:ascii="Arial" w:eastAsia="宋体" w:hAnsi="Arial" w:cs="Arial"/>
                <w:color w:val="000000"/>
                <w:sz w:val="18"/>
                <w:szCs w:val="18"/>
              </w:rPr>
              <w:t>2,425 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5FF" w14:textId="77777777" w:rsidR="00A91885" w:rsidRDefault="00A91885">
            <w:pPr>
              <w:jc w:val="right"/>
              <w:rPr>
                <w:rFonts w:ascii="宋体"/>
              </w:rPr>
            </w:pPr>
          </w:p>
        </w:tc>
        <w:tc>
          <w:tcPr>
            <w:tcW w:w="0" w:type="auto"/>
            <w:gridSpan w:val="3"/>
            <w:shd w:val="clear" w:color="auto" w:fill="E2E2E2"/>
            <w:tcMar>
              <w:top w:w="40" w:type="dxa"/>
              <w:left w:w="20" w:type="dxa"/>
              <w:bottom w:w="40" w:type="dxa"/>
              <w:right w:w="20" w:type="dxa"/>
            </w:tcMar>
            <w:vAlign w:val="bottom"/>
          </w:tcPr>
          <w:p w14:paraId="18601600" w14:textId="77777777" w:rsidR="00A91885" w:rsidRDefault="009C4196">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160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602" w14:textId="77777777" w:rsidR="00A91885" w:rsidRDefault="009C4196">
            <w:pPr>
              <w:jc w:val="right"/>
              <w:textAlignment w:val="bottom"/>
            </w:pPr>
            <w:r>
              <w:rPr>
                <w:rFonts w:ascii="Arial" w:eastAsia="宋体" w:hAnsi="Arial" w:cs="Arial"/>
                <w:color w:val="000000"/>
                <w:sz w:val="18"/>
                <w:szCs w:val="18"/>
              </w:rPr>
              <w:t>2,600 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60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604"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1605" w14:textId="77777777" w:rsidR="00A91885" w:rsidRDefault="009C4196">
            <w:pPr>
              <w:jc w:val="right"/>
              <w:textAlignment w:val="bottom"/>
            </w:pPr>
            <w:r>
              <w:rPr>
                <w:rFonts w:ascii="Arial" w:eastAsia="宋体" w:hAnsi="Arial" w:cs="Arial"/>
                <w:color w:val="000000"/>
                <w:sz w:val="18"/>
                <w:szCs w:val="18"/>
              </w:rPr>
              <w:t>(7)</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606" w14:textId="77777777" w:rsidR="00A91885" w:rsidRDefault="009C4196">
            <w:pPr>
              <w:jc w:val="right"/>
              <w:textAlignment w:val="bottom"/>
            </w:pPr>
            <w:r>
              <w:rPr>
                <w:rFonts w:ascii="Arial" w:eastAsia="宋体" w:hAnsi="Arial" w:cs="Arial"/>
                <w:color w:val="000000"/>
                <w:sz w:val="18"/>
                <w:szCs w:val="18"/>
              </w:rPr>
              <w:t>%</w:t>
            </w:r>
          </w:p>
        </w:tc>
      </w:tr>
      <w:tr w:rsidR="00A91885" w14:paraId="18601618" w14:textId="77777777">
        <w:tc>
          <w:tcPr>
            <w:tcW w:w="0" w:type="auto"/>
            <w:gridSpan w:val="3"/>
            <w:shd w:val="clear" w:color="auto" w:fill="FFFFFF"/>
            <w:tcMar>
              <w:top w:w="40" w:type="dxa"/>
              <w:left w:w="140" w:type="dxa"/>
              <w:bottom w:w="40" w:type="dxa"/>
              <w:right w:w="20" w:type="dxa"/>
            </w:tcMar>
            <w:vAlign w:val="bottom"/>
          </w:tcPr>
          <w:p w14:paraId="18601608" w14:textId="77777777" w:rsidR="00A91885" w:rsidRDefault="009C4196">
            <w:pPr>
              <w:textAlignment w:val="bottom"/>
            </w:pPr>
            <w:r>
              <w:rPr>
                <w:rFonts w:ascii="Arial" w:eastAsia="宋体" w:hAnsi="Arial" w:cs="Arial"/>
                <w:i/>
                <w:iCs/>
                <w:color w:val="000000"/>
                <w:sz w:val="18"/>
                <w:szCs w:val="18"/>
              </w:rPr>
              <w:t>Perce</w:t>
            </w:r>
            <w:r>
              <w:rPr>
                <w:rFonts w:ascii="Arial" w:eastAsia="宋体" w:hAnsi="Arial" w:cs="Arial"/>
                <w:i/>
                <w:iCs/>
                <w:color w:val="000000"/>
                <w:sz w:val="18"/>
                <w:szCs w:val="18"/>
              </w:rPr>
              <w:t>ntage of net revenues</w:t>
            </w:r>
          </w:p>
        </w:tc>
        <w:tc>
          <w:tcPr>
            <w:tcW w:w="0" w:type="auto"/>
            <w:gridSpan w:val="2"/>
            <w:shd w:val="clear" w:color="auto" w:fill="FFFFFF"/>
            <w:tcMar>
              <w:top w:w="40" w:type="dxa"/>
              <w:left w:w="20" w:type="dxa"/>
              <w:bottom w:w="40" w:type="dxa"/>
              <w:right w:w="0" w:type="dxa"/>
            </w:tcMar>
            <w:vAlign w:val="bottom"/>
          </w:tcPr>
          <w:p w14:paraId="18601609" w14:textId="77777777" w:rsidR="00A91885" w:rsidRDefault="009C4196">
            <w:pPr>
              <w:jc w:val="right"/>
              <w:textAlignment w:val="bottom"/>
            </w:pPr>
            <w:r>
              <w:rPr>
                <w:rFonts w:ascii="Arial" w:eastAsia="宋体" w:hAnsi="Arial" w:cs="Arial"/>
                <w:i/>
                <w:iCs/>
                <w:color w:val="000000"/>
                <w:sz w:val="18"/>
                <w:szCs w:val="18"/>
              </w:rPr>
              <w:t>49 </w:t>
            </w:r>
          </w:p>
        </w:tc>
        <w:tc>
          <w:tcPr>
            <w:tcW w:w="0" w:type="auto"/>
            <w:shd w:val="clear" w:color="auto" w:fill="FFFFFF"/>
            <w:tcMar>
              <w:top w:w="40" w:type="dxa"/>
              <w:left w:w="0" w:type="dxa"/>
              <w:bottom w:w="40" w:type="dxa"/>
              <w:right w:w="20" w:type="dxa"/>
            </w:tcMar>
            <w:vAlign w:val="bottom"/>
          </w:tcPr>
          <w:p w14:paraId="1860160A"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60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60C" w14:textId="77777777" w:rsidR="00A91885" w:rsidRDefault="009C4196">
            <w:pPr>
              <w:jc w:val="right"/>
              <w:textAlignment w:val="bottom"/>
            </w:pPr>
            <w:r>
              <w:rPr>
                <w:rFonts w:ascii="Arial" w:eastAsia="宋体" w:hAnsi="Arial" w:cs="Arial"/>
                <w:i/>
                <w:iCs/>
                <w:color w:val="000000"/>
                <w:sz w:val="18"/>
                <w:szCs w:val="18"/>
              </w:rPr>
              <w:t>49 </w:t>
            </w:r>
          </w:p>
        </w:tc>
        <w:tc>
          <w:tcPr>
            <w:tcW w:w="0" w:type="auto"/>
            <w:shd w:val="clear" w:color="auto" w:fill="FFFFFF"/>
            <w:tcMar>
              <w:top w:w="40" w:type="dxa"/>
              <w:left w:w="0" w:type="dxa"/>
              <w:bottom w:w="40" w:type="dxa"/>
              <w:right w:w="20" w:type="dxa"/>
            </w:tcMar>
            <w:vAlign w:val="bottom"/>
          </w:tcPr>
          <w:p w14:paraId="1860160D"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60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60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610"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611" w14:textId="77777777" w:rsidR="00A91885" w:rsidRDefault="009C4196">
            <w:pPr>
              <w:jc w:val="right"/>
              <w:textAlignment w:val="bottom"/>
            </w:pPr>
            <w:r>
              <w:rPr>
                <w:rFonts w:ascii="Arial" w:eastAsia="宋体" w:hAnsi="Arial" w:cs="Arial"/>
                <w:i/>
                <w:iCs/>
                <w:color w:val="000000"/>
                <w:sz w:val="18"/>
                <w:szCs w:val="18"/>
              </w:rPr>
              <w:t>49 </w:t>
            </w:r>
          </w:p>
        </w:tc>
        <w:tc>
          <w:tcPr>
            <w:tcW w:w="0" w:type="auto"/>
            <w:shd w:val="clear" w:color="auto" w:fill="FFFFFF"/>
            <w:tcMar>
              <w:top w:w="40" w:type="dxa"/>
              <w:left w:w="0" w:type="dxa"/>
              <w:bottom w:w="40" w:type="dxa"/>
              <w:right w:w="20" w:type="dxa"/>
            </w:tcMar>
            <w:vAlign w:val="bottom"/>
          </w:tcPr>
          <w:p w14:paraId="18601612"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613"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614" w14:textId="77777777" w:rsidR="00A91885" w:rsidRDefault="009C4196">
            <w:pPr>
              <w:jc w:val="right"/>
              <w:textAlignment w:val="bottom"/>
            </w:pPr>
            <w:r>
              <w:rPr>
                <w:rFonts w:ascii="Arial" w:eastAsia="宋体" w:hAnsi="Arial" w:cs="Arial"/>
                <w:i/>
                <w:iCs/>
                <w:color w:val="000000"/>
                <w:sz w:val="18"/>
                <w:szCs w:val="18"/>
              </w:rPr>
              <w:t>49 </w:t>
            </w:r>
          </w:p>
        </w:tc>
        <w:tc>
          <w:tcPr>
            <w:tcW w:w="0" w:type="auto"/>
            <w:shd w:val="clear" w:color="auto" w:fill="FFFFFF"/>
            <w:tcMar>
              <w:top w:w="40" w:type="dxa"/>
              <w:left w:w="0" w:type="dxa"/>
              <w:bottom w:w="40" w:type="dxa"/>
              <w:right w:w="20" w:type="dxa"/>
            </w:tcMar>
            <w:vAlign w:val="bottom"/>
          </w:tcPr>
          <w:p w14:paraId="18601615"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616"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617" w14:textId="77777777" w:rsidR="00A91885" w:rsidRDefault="00A91885">
            <w:pPr>
              <w:rPr>
                <w:rFonts w:ascii="宋体"/>
              </w:rPr>
            </w:pPr>
          </w:p>
        </w:tc>
      </w:tr>
      <w:tr w:rsidR="00A91885" w14:paraId="18601625" w14:textId="77777777">
        <w:trPr>
          <w:trHeight w:val="280"/>
        </w:trPr>
        <w:tc>
          <w:tcPr>
            <w:tcW w:w="0" w:type="auto"/>
            <w:gridSpan w:val="3"/>
            <w:shd w:val="clear" w:color="auto" w:fill="E2E2E2"/>
            <w:tcMar>
              <w:top w:w="0" w:type="dxa"/>
              <w:left w:w="20" w:type="dxa"/>
              <w:bottom w:w="0" w:type="dxa"/>
              <w:right w:w="20" w:type="dxa"/>
            </w:tcMar>
            <w:vAlign w:val="bottom"/>
          </w:tcPr>
          <w:p w14:paraId="18601619"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61A"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61B"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61C"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61D"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61E"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61F"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620"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621"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622"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623"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624" w14:textId="77777777" w:rsidR="00A91885" w:rsidRDefault="00A91885">
            <w:pPr>
              <w:rPr>
                <w:rFonts w:ascii="宋体"/>
              </w:rPr>
            </w:pPr>
          </w:p>
        </w:tc>
      </w:tr>
      <w:tr w:rsidR="00A91885" w14:paraId="18601638" w14:textId="77777777">
        <w:tc>
          <w:tcPr>
            <w:tcW w:w="0" w:type="auto"/>
            <w:gridSpan w:val="3"/>
            <w:shd w:val="clear" w:color="auto" w:fill="FFFFFF"/>
            <w:tcMar>
              <w:top w:w="40" w:type="dxa"/>
              <w:left w:w="20" w:type="dxa"/>
              <w:bottom w:w="40" w:type="dxa"/>
              <w:right w:w="20" w:type="dxa"/>
            </w:tcMar>
            <w:vAlign w:val="bottom"/>
          </w:tcPr>
          <w:p w14:paraId="18601626" w14:textId="77777777" w:rsidR="00A91885" w:rsidRDefault="009C4196">
            <w:pPr>
              <w:textAlignment w:val="bottom"/>
            </w:pPr>
            <w:r>
              <w:rPr>
                <w:rFonts w:ascii="Arial" w:eastAsia="宋体" w:hAnsi="Arial" w:cs="Arial"/>
                <w:color w:val="000000"/>
                <w:sz w:val="18"/>
                <w:szCs w:val="18"/>
              </w:rPr>
              <w:t>International</w:t>
            </w:r>
          </w:p>
        </w:tc>
        <w:tc>
          <w:tcPr>
            <w:tcW w:w="0" w:type="auto"/>
            <w:gridSpan w:val="2"/>
            <w:shd w:val="clear" w:color="auto" w:fill="FFFFFF"/>
            <w:tcMar>
              <w:top w:w="40" w:type="dxa"/>
              <w:left w:w="20" w:type="dxa"/>
              <w:bottom w:w="40" w:type="dxa"/>
              <w:right w:w="0" w:type="dxa"/>
            </w:tcMar>
            <w:vAlign w:val="bottom"/>
          </w:tcPr>
          <w:p w14:paraId="18601627" w14:textId="77777777" w:rsidR="00A91885" w:rsidRDefault="009C4196">
            <w:pPr>
              <w:jc w:val="right"/>
              <w:textAlignment w:val="bottom"/>
            </w:pPr>
            <w:r>
              <w:rPr>
                <w:rFonts w:ascii="Arial" w:eastAsia="宋体" w:hAnsi="Arial" w:cs="Arial"/>
                <w:color w:val="000000"/>
                <w:sz w:val="18"/>
                <w:szCs w:val="18"/>
              </w:rPr>
              <w:t>1,223 </w:t>
            </w:r>
          </w:p>
        </w:tc>
        <w:tc>
          <w:tcPr>
            <w:tcW w:w="0" w:type="auto"/>
            <w:shd w:val="clear" w:color="auto" w:fill="FFFFFF"/>
            <w:tcMar>
              <w:top w:w="40" w:type="dxa"/>
              <w:left w:w="0" w:type="dxa"/>
              <w:bottom w:w="40" w:type="dxa"/>
              <w:right w:w="20" w:type="dxa"/>
            </w:tcMar>
            <w:vAlign w:val="bottom"/>
          </w:tcPr>
          <w:p w14:paraId="1860162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62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62A" w14:textId="77777777" w:rsidR="00A91885" w:rsidRDefault="009C4196">
            <w:pPr>
              <w:jc w:val="right"/>
              <w:textAlignment w:val="bottom"/>
            </w:pPr>
            <w:r>
              <w:rPr>
                <w:rFonts w:ascii="Arial" w:eastAsia="宋体" w:hAnsi="Arial" w:cs="Arial"/>
                <w:color w:val="000000"/>
                <w:sz w:val="18"/>
                <w:szCs w:val="18"/>
              </w:rPr>
              <w:t>1,364 </w:t>
            </w:r>
          </w:p>
        </w:tc>
        <w:tc>
          <w:tcPr>
            <w:tcW w:w="0" w:type="auto"/>
            <w:shd w:val="clear" w:color="auto" w:fill="FFFFFF"/>
            <w:tcMar>
              <w:top w:w="40" w:type="dxa"/>
              <w:left w:w="0" w:type="dxa"/>
              <w:bottom w:w="40" w:type="dxa"/>
              <w:right w:w="20" w:type="dxa"/>
            </w:tcMar>
            <w:vAlign w:val="bottom"/>
          </w:tcPr>
          <w:p w14:paraId="1860162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62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62D" w14:textId="77777777" w:rsidR="00A91885" w:rsidRDefault="009C4196">
            <w:pPr>
              <w:jc w:val="right"/>
              <w:textAlignment w:val="bottom"/>
            </w:pPr>
            <w:r>
              <w:rPr>
                <w:rFonts w:ascii="Arial" w:eastAsia="宋体" w:hAnsi="Arial" w:cs="Arial"/>
                <w:color w:val="000000"/>
                <w:sz w:val="18"/>
                <w:szCs w:val="18"/>
              </w:rPr>
              <w:t>(10)</w:t>
            </w:r>
          </w:p>
        </w:tc>
        <w:tc>
          <w:tcPr>
            <w:tcW w:w="0" w:type="auto"/>
            <w:shd w:val="clear" w:color="auto" w:fill="FFFFFF"/>
            <w:tcMar>
              <w:top w:w="40" w:type="dxa"/>
              <w:left w:w="0" w:type="dxa"/>
              <w:bottom w:w="40" w:type="dxa"/>
              <w:right w:w="20" w:type="dxa"/>
            </w:tcMar>
            <w:vAlign w:val="bottom"/>
          </w:tcPr>
          <w:p w14:paraId="1860162E"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62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630" w14:textId="77777777" w:rsidR="00A91885" w:rsidRDefault="009C4196">
            <w:pPr>
              <w:jc w:val="right"/>
              <w:textAlignment w:val="bottom"/>
            </w:pPr>
            <w:r>
              <w:rPr>
                <w:rFonts w:ascii="Arial" w:eastAsia="宋体" w:hAnsi="Arial" w:cs="Arial"/>
                <w:color w:val="000000"/>
                <w:sz w:val="18"/>
                <w:szCs w:val="18"/>
              </w:rPr>
              <w:t>2,480 </w:t>
            </w:r>
          </w:p>
        </w:tc>
        <w:tc>
          <w:tcPr>
            <w:tcW w:w="0" w:type="auto"/>
            <w:shd w:val="clear" w:color="auto" w:fill="FFFFFF"/>
            <w:tcMar>
              <w:top w:w="40" w:type="dxa"/>
              <w:left w:w="0" w:type="dxa"/>
              <w:bottom w:w="40" w:type="dxa"/>
              <w:right w:w="20" w:type="dxa"/>
            </w:tcMar>
            <w:vAlign w:val="bottom"/>
          </w:tcPr>
          <w:p w14:paraId="1860163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63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633" w14:textId="77777777" w:rsidR="00A91885" w:rsidRDefault="009C4196">
            <w:pPr>
              <w:jc w:val="right"/>
              <w:textAlignment w:val="bottom"/>
            </w:pPr>
            <w:r>
              <w:rPr>
                <w:rFonts w:ascii="Arial" w:eastAsia="宋体" w:hAnsi="Arial" w:cs="Arial"/>
                <w:color w:val="000000"/>
                <w:sz w:val="18"/>
                <w:szCs w:val="18"/>
              </w:rPr>
              <w:t>2,706 </w:t>
            </w:r>
          </w:p>
        </w:tc>
        <w:tc>
          <w:tcPr>
            <w:tcW w:w="0" w:type="auto"/>
            <w:shd w:val="clear" w:color="auto" w:fill="FFFFFF"/>
            <w:tcMar>
              <w:top w:w="40" w:type="dxa"/>
              <w:left w:w="0" w:type="dxa"/>
              <w:bottom w:w="40" w:type="dxa"/>
              <w:right w:w="20" w:type="dxa"/>
            </w:tcMar>
            <w:vAlign w:val="bottom"/>
          </w:tcPr>
          <w:p w14:paraId="1860163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63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636" w14:textId="77777777" w:rsidR="00A91885" w:rsidRDefault="009C4196">
            <w:pPr>
              <w:jc w:val="right"/>
              <w:textAlignment w:val="bottom"/>
            </w:pPr>
            <w:r>
              <w:rPr>
                <w:rFonts w:ascii="Arial" w:eastAsia="宋体" w:hAnsi="Arial" w:cs="Arial"/>
                <w:color w:val="000000"/>
                <w:sz w:val="18"/>
                <w:szCs w:val="18"/>
              </w:rPr>
              <w:t>(8)</w:t>
            </w:r>
          </w:p>
        </w:tc>
        <w:tc>
          <w:tcPr>
            <w:tcW w:w="0" w:type="auto"/>
            <w:shd w:val="clear" w:color="auto" w:fill="FFFFFF"/>
            <w:tcMar>
              <w:top w:w="40" w:type="dxa"/>
              <w:left w:w="0" w:type="dxa"/>
              <w:bottom w:w="40" w:type="dxa"/>
              <w:right w:w="20" w:type="dxa"/>
            </w:tcMar>
            <w:vAlign w:val="bottom"/>
          </w:tcPr>
          <w:p w14:paraId="18601637" w14:textId="77777777" w:rsidR="00A91885" w:rsidRDefault="009C4196">
            <w:pPr>
              <w:jc w:val="right"/>
              <w:textAlignment w:val="bottom"/>
            </w:pPr>
            <w:r>
              <w:rPr>
                <w:rFonts w:ascii="Arial" w:eastAsia="宋体" w:hAnsi="Arial" w:cs="Arial"/>
                <w:color w:val="000000"/>
                <w:sz w:val="18"/>
                <w:szCs w:val="18"/>
              </w:rPr>
              <w:t>%</w:t>
            </w:r>
          </w:p>
        </w:tc>
      </w:tr>
      <w:tr w:rsidR="00A91885" w14:paraId="18601649" w14:textId="77777777">
        <w:tc>
          <w:tcPr>
            <w:tcW w:w="0" w:type="auto"/>
            <w:gridSpan w:val="3"/>
            <w:shd w:val="clear" w:color="auto" w:fill="E2E2E2"/>
            <w:tcMar>
              <w:top w:w="40" w:type="dxa"/>
              <w:left w:w="140" w:type="dxa"/>
              <w:bottom w:w="40" w:type="dxa"/>
              <w:right w:w="20" w:type="dxa"/>
            </w:tcMar>
            <w:vAlign w:val="bottom"/>
          </w:tcPr>
          <w:p w14:paraId="18601639" w14:textId="77777777" w:rsidR="00A91885" w:rsidRDefault="009C4196">
            <w:pPr>
              <w:textAlignment w:val="bottom"/>
            </w:pPr>
            <w:r>
              <w:rPr>
                <w:rFonts w:ascii="Arial" w:eastAsia="宋体" w:hAnsi="Arial" w:cs="Arial"/>
                <w:i/>
                <w:iCs/>
                <w:color w:val="000000"/>
                <w:sz w:val="18"/>
                <w:szCs w:val="18"/>
              </w:rPr>
              <w:t>Percentage of net revenues</w:t>
            </w:r>
          </w:p>
        </w:tc>
        <w:tc>
          <w:tcPr>
            <w:tcW w:w="0" w:type="auto"/>
            <w:gridSpan w:val="2"/>
            <w:shd w:val="clear" w:color="auto" w:fill="E2E2E2"/>
            <w:tcMar>
              <w:top w:w="40" w:type="dxa"/>
              <w:left w:w="20" w:type="dxa"/>
              <w:bottom w:w="40" w:type="dxa"/>
              <w:right w:w="0" w:type="dxa"/>
            </w:tcMar>
            <w:vAlign w:val="bottom"/>
          </w:tcPr>
          <w:p w14:paraId="1860163A" w14:textId="77777777" w:rsidR="00A91885" w:rsidRDefault="009C4196">
            <w:pPr>
              <w:jc w:val="right"/>
              <w:textAlignment w:val="bottom"/>
            </w:pPr>
            <w:r>
              <w:rPr>
                <w:rFonts w:ascii="Arial" w:eastAsia="宋体" w:hAnsi="Arial" w:cs="Arial"/>
                <w:i/>
                <w:iCs/>
                <w:color w:val="000000"/>
                <w:sz w:val="18"/>
                <w:szCs w:val="18"/>
              </w:rPr>
              <w:t>51 </w:t>
            </w:r>
          </w:p>
        </w:tc>
        <w:tc>
          <w:tcPr>
            <w:tcW w:w="0" w:type="auto"/>
            <w:shd w:val="clear" w:color="auto" w:fill="E2E2E2"/>
            <w:tcMar>
              <w:top w:w="40" w:type="dxa"/>
              <w:left w:w="0" w:type="dxa"/>
              <w:bottom w:w="40" w:type="dxa"/>
              <w:right w:w="20" w:type="dxa"/>
            </w:tcMar>
            <w:vAlign w:val="bottom"/>
          </w:tcPr>
          <w:p w14:paraId="1860163B"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63C"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63D" w14:textId="77777777" w:rsidR="00A91885" w:rsidRDefault="009C4196">
            <w:pPr>
              <w:jc w:val="right"/>
              <w:textAlignment w:val="bottom"/>
            </w:pPr>
            <w:r>
              <w:rPr>
                <w:rFonts w:ascii="Arial" w:eastAsia="宋体" w:hAnsi="Arial" w:cs="Arial"/>
                <w:i/>
                <w:iCs/>
                <w:color w:val="000000"/>
                <w:sz w:val="18"/>
                <w:szCs w:val="18"/>
              </w:rPr>
              <w:t>51 </w:t>
            </w:r>
          </w:p>
        </w:tc>
        <w:tc>
          <w:tcPr>
            <w:tcW w:w="0" w:type="auto"/>
            <w:shd w:val="clear" w:color="auto" w:fill="E2E2E2"/>
            <w:tcMar>
              <w:top w:w="40" w:type="dxa"/>
              <w:left w:w="0" w:type="dxa"/>
              <w:bottom w:w="40" w:type="dxa"/>
              <w:right w:w="20" w:type="dxa"/>
            </w:tcMar>
            <w:vAlign w:val="bottom"/>
          </w:tcPr>
          <w:p w14:paraId="1860163E"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63F"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640"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64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642" w14:textId="77777777" w:rsidR="00A91885" w:rsidRDefault="009C4196">
            <w:pPr>
              <w:jc w:val="right"/>
              <w:textAlignment w:val="bottom"/>
            </w:pPr>
            <w:r>
              <w:rPr>
                <w:rFonts w:ascii="Arial" w:eastAsia="宋体" w:hAnsi="Arial" w:cs="Arial"/>
                <w:i/>
                <w:iCs/>
                <w:color w:val="000000"/>
                <w:sz w:val="18"/>
                <w:szCs w:val="18"/>
              </w:rPr>
              <w:t>51 </w:t>
            </w:r>
          </w:p>
        </w:tc>
        <w:tc>
          <w:tcPr>
            <w:tcW w:w="0" w:type="auto"/>
            <w:shd w:val="clear" w:color="auto" w:fill="E2E2E2"/>
            <w:tcMar>
              <w:top w:w="40" w:type="dxa"/>
              <w:left w:w="0" w:type="dxa"/>
              <w:bottom w:w="40" w:type="dxa"/>
              <w:right w:w="20" w:type="dxa"/>
            </w:tcMar>
            <w:vAlign w:val="bottom"/>
          </w:tcPr>
          <w:p w14:paraId="18601643"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644"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645" w14:textId="77777777" w:rsidR="00A91885" w:rsidRDefault="009C4196">
            <w:pPr>
              <w:jc w:val="right"/>
              <w:textAlignment w:val="bottom"/>
            </w:pPr>
            <w:r>
              <w:rPr>
                <w:rFonts w:ascii="Arial" w:eastAsia="宋体" w:hAnsi="Arial" w:cs="Arial"/>
                <w:i/>
                <w:iCs/>
                <w:color w:val="000000"/>
                <w:sz w:val="18"/>
                <w:szCs w:val="18"/>
              </w:rPr>
              <w:t>51 </w:t>
            </w:r>
          </w:p>
        </w:tc>
        <w:tc>
          <w:tcPr>
            <w:tcW w:w="0" w:type="auto"/>
            <w:shd w:val="clear" w:color="auto" w:fill="E2E2E2"/>
            <w:tcMar>
              <w:top w:w="40" w:type="dxa"/>
              <w:left w:w="0" w:type="dxa"/>
              <w:bottom w:w="40" w:type="dxa"/>
              <w:right w:w="20" w:type="dxa"/>
            </w:tcMar>
            <w:vAlign w:val="bottom"/>
          </w:tcPr>
          <w:p w14:paraId="18601646"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647"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648" w14:textId="77777777" w:rsidR="00A91885" w:rsidRDefault="00A91885">
            <w:pPr>
              <w:rPr>
                <w:rFonts w:ascii="宋体"/>
              </w:rPr>
            </w:pPr>
          </w:p>
        </w:tc>
      </w:tr>
      <w:tr w:rsidR="00A91885" w14:paraId="18601656" w14:textId="77777777">
        <w:trPr>
          <w:trHeight w:val="280"/>
        </w:trPr>
        <w:tc>
          <w:tcPr>
            <w:tcW w:w="0" w:type="auto"/>
            <w:gridSpan w:val="3"/>
            <w:shd w:val="clear" w:color="auto" w:fill="FFFFFF"/>
            <w:tcMar>
              <w:top w:w="0" w:type="dxa"/>
              <w:left w:w="20" w:type="dxa"/>
              <w:bottom w:w="0" w:type="dxa"/>
              <w:right w:w="20" w:type="dxa"/>
            </w:tcMar>
            <w:vAlign w:val="bottom"/>
          </w:tcPr>
          <w:p w14:paraId="1860164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64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64C"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64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64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64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650"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65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652"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653"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654"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655" w14:textId="77777777" w:rsidR="00A91885" w:rsidRDefault="00A91885">
            <w:pPr>
              <w:rPr>
                <w:rFonts w:ascii="宋体"/>
              </w:rPr>
            </w:pPr>
          </w:p>
        </w:tc>
      </w:tr>
      <w:tr w:rsidR="00A91885" w14:paraId="1860166D" w14:textId="77777777">
        <w:tc>
          <w:tcPr>
            <w:tcW w:w="0" w:type="auto"/>
            <w:gridSpan w:val="3"/>
            <w:shd w:val="clear" w:color="auto" w:fill="E2E2E2"/>
            <w:tcMar>
              <w:top w:w="40" w:type="dxa"/>
              <w:left w:w="155" w:type="dxa"/>
              <w:bottom w:w="40" w:type="dxa"/>
              <w:right w:w="20" w:type="dxa"/>
            </w:tcMar>
            <w:vAlign w:val="bottom"/>
          </w:tcPr>
          <w:p w14:paraId="18601657" w14:textId="77777777" w:rsidR="00A91885" w:rsidRDefault="009C4196">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65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659" w14:textId="77777777" w:rsidR="00A91885" w:rsidRDefault="009C4196">
            <w:pPr>
              <w:jc w:val="right"/>
              <w:textAlignment w:val="bottom"/>
            </w:pPr>
            <w:r>
              <w:rPr>
                <w:rFonts w:ascii="Arial" w:eastAsia="宋体" w:hAnsi="Arial" w:cs="Arial"/>
                <w:color w:val="000000"/>
                <w:sz w:val="18"/>
                <w:szCs w:val="18"/>
              </w:rPr>
              <w:t>2,422 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65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65B"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65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65D" w14:textId="77777777" w:rsidR="00A91885" w:rsidRDefault="009C4196">
            <w:pPr>
              <w:jc w:val="right"/>
              <w:textAlignment w:val="bottom"/>
            </w:pPr>
            <w:r>
              <w:rPr>
                <w:rFonts w:ascii="Arial" w:eastAsia="宋体" w:hAnsi="Arial" w:cs="Arial"/>
                <w:color w:val="000000"/>
                <w:sz w:val="18"/>
                <w:szCs w:val="18"/>
              </w:rPr>
              <w:t>2,668 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65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65F"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660" w14:textId="77777777" w:rsidR="00A91885" w:rsidRDefault="009C4196">
            <w:pPr>
              <w:jc w:val="right"/>
              <w:textAlignment w:val="bottom"/>
            </w:pPr>
            <w:r>
              <w:rPr>
                <w:rFonts w:ascii="Arial" w:eastAsia="宋体" w:hAnsi="Arial" w:cs="Arial"/>
                <w:color w:val="000000"/>
                <w:sz w:val="18"/>
                <w:szCs w:val="18"/>
              </w:rPr>
              <w:t>(9)</w:t>
            </w:r>
          </w:p>
        </w:tc>
        <w:tc>
          <w:tcPr>
            <w:tcW w:w="0" w:type="auto"/>
            <w:shd w:val="clear" w:color="auto" w:fill="E2E2E2"/>
            <w:tcMar>
              <w:top w:w="40" w:type="dxa"/>
              <w:left w:w="0" w:type="dxa"/>
              <w:bottom w:w="40" w:type="dxa"/>
              <w:right w:w="20" w:type="dxa"/>
            </w:tcMar>
            <w:vAlign w:val="bottom"/>
          </w:tcPr>
          <w:p w14:paraId="18601661"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662"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66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664" w14:textId="77777777" w:rsidR="00A91885" w:rsidRDefault="009C4196">
            <w:pPr>
              <w:jc w:val="right"/>
              <w:textAlignment w:val="bottom"/>
            </w:pPr>
            <w:r>
              <w:rPr>
                <w:rFonts w:ascii="Arial" w:eastAsia="宋体" w:hAnsi="Arial" w:cs="Arial"/>
                <w:color w:val="000000"/>
                <w:sz w:val="18"/>
                <w:szCs w:val="18"/>
              </w:rPr>
              <w:t>4,905 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66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666"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667"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668" w14:textId="77777777" w:rsidR="00A91885" w:rsidRDefault="009C4196">
            <w:pPr>
              <w:jc w:val="right"/>
              <w:textAlignment w:val="bottom"/>
            </w:pPr>
            <w:r>
              <w:rPr>
                <w:rFonts w:ascii="Arial" w:eastAsia="宋体" w:hAnsi="Arial" w:cs="Arial"/>
                <w:color w:val="000000"/>
                <w:sz w:val="18"/>
                <w:szCs w:val="18"/>
              </w:rPr>
              <w:t>5,306 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669"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66A"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66B" w14:textId="77777777" w:rsidR="00A91885" w:rsidRDefault="009C4196">
            <w:pPr>
              <w:jc w:val="right"/>
              <w:textAlignment w:val="bottom"/>
            </w:pPr>
            <w:r>
              <w:rPr>
                <w:rFonts w:ascii="Arial" w:eastAsia="宋体" w:hAnsi="Arial" w:cs="Arial"/>
                <w:color w:val="000000"/>
                <w:sz w:val="18"/>
                <w:szCs w:val="18"/>
              </w:rPr>
              <w:t>(8)</w:t>
            </w:r>
          </w:p>
        </w:tc>
        <w:tc>
          <w:tcPr>
            <w:tcW w:w="0" w:type="auto"/>
            <w:shd w:val="clear" w:color="auto" w:fill="E2E2E2"/>
            <w:tcMar>
              <w:top w:w="40" w:type="dxa"/>
              <w:left w:w="0" w:type="dxa"/>
              <w:bottom w:w="40" w:type="dxa"/>
              <w:right w:w="20" w:type="dxa"/>
            </w:tcMar>
            <w:vAlign w:val="bottom"/>
          </w:tcPr>
          <w:p w14:paraId="1860166C" w14:textId="77777777" w:rsidR="00A91885" w:rsidRDefault="009C4196">
            <w:pPr>
              <w:jc w:val="right"/>
              <w:textAlignment w:val="bottom"/>
            </w:pPr>
            <w:r>
              <w:rPr>
                <w:rFonts w:ascii="Arial" w:eastAsia="宋体" w:hAnsi="Arial" w:cs="Arial"/>
                <w:color w:val="000000"/>
                <w:sz w:val="18"/>
                <w:szCs w:val="18"/>
              </w:rPr>
              <w:t>%</w:t>
            </w:r>
          </w:p>
        </w:tc>
      </w:tr>
    </w:tbl>
    <w:p w14:paraId="1860166E" w14:textId="77777777" w:rsidR="00A91885" w:rsidRDefault="00A91885">
      <w:pPr>
        <w:ind w:firstLine="540"/>
        <w:jc w:val="both"/>
      </w:pPr>
    </w:p>
    <w:p w14:paraId="1860166F" w14:textId="77777777" w:rsidR="00A91885" w:rsidRDefault="009C4196">
      <w:pPr>
        <w:ind w:firstLine="540"/>
        <w:jc w:val="both"/>
      </w:pPr>
      <w:r>
        <w:rPr>
          <w:rFonts w:ascii="Arial" w:eastAsia="宋体" w:hAnsi="Arial" w:cs="Arial"/>
          <w:color w:val="000000"/>
          <w:sz w:val="20"/>
          <w:szCs w:val="20"/>
        </w:rPr>
        <w:t>Our commerce platforms operate globally, resulting in certain revenues that are denominated in foreign currencies, primarily the British pound and euro. In addition, as shown in the table above, we generate approximately half of our net reve</w:t>
      </w:r>
      <w:r>
        <w:rPr>
          <w:rFonts w:ascii="Arial" w:eastAsia="宋体" w:hAnsi="Arial" w:cs="Arial"/>
          <w:color w:val="000000"/>
          <w:sz w:val="20"/>
          <w:szCs w:val="20"/>
        </w:rPr>
        <w:t>nues internationally. Because of these factors, we are subject to the risks related to doing business in foreign countries as discussed in “Part I - Item 1A: Risk Factors” of the 2021 Form 10-K.</w:t>
      </w:r>
    </w:p>
    <w:p w14:paraId="18601670" w14:textId="77777777" w:rsidR="00A91885" w:rsidRDefault="00A91885">
      <w:pPr>
        <w:ind w:firstLine="540"/>
        <w:jc w:val="both"/>
      </w:pPr>
    </w:p>
    <w:p w14:paraId="18601671" w14:textId="77777777" w:rsidR="00A91885" w:rsidRDefault="00A91885">
      <w:pPr>
        <w:jc w:val="center"/>
      </w:pPr>
    </w:p>
    <w:p w14:paraId="18601672" w14:textId="77777777" w:rsidR="00A91885" w:rsidRDefault="009C4196">
      <w:pPr>
        <w:jc w:val="center"/>
      </w:pPr>
      <w:r>
        <w:rPr>
          <w:rFonts w:ascii="Arial" w:eastAsia="宋体" w:hAnsi="Arial" w:cs="Arial"/>
          <w:color w:val="000000"/>
          <w:sz w:val="20"/>
          <w:szCs w:val="20"/>
        </w:rPr>
        <w:t>48</w:t>
      </w:r>
    </w:p>
    <w:p w14:paraId="18601673" w14:textId="77777777" w:rsidR="00A91885" w:rsidRDefault="009C4196">
      <w:r>
        <w:pict w14:anchorId="186021B3">
          <v:rect id="_x0000_i1072" style="width:415.3pt;height:1.5pt" o:hralign="center" o:hrstd="t" o:hr="t" fillcolor="#a0a0a0" stroked="f"/>
        </w:pict>
      </w:r>
    </w:p>
    <w:p w14:paraId="18601674" w14:textId="77777777" w:rsidR="00A91885" w:rsidRDefault="009C4196">
      <w:hyperlink r:id="rId132" w:anchor="ieb971428a625452486c65ae24899afca_7" w:history="1">
        <w:r>
          <w:rPr>
            <w:rStyle w:val="a5"/>
            <w:rFonts w:ascii="Arial" w:eastAsia="宋体" w:hAnsi="Arial" w:cs="Arial"/>
            <w:sz w:val="18"/>
            <w:szCs w:val="18"/>
          </w:rPr>
          <w:t>Table of Contents</w:t>
        </w:r>
      </w:hyperlink>
    </w:p>
    <w:p w14:paraId="18601675" w14:textId="77777777" w:rsidR="00A91885" w:rsidRDefault="009C4196">
      <w:pPr>
        <w:ind w:firstLine="540"/>
        <w:jc w:val="both"/>
      </w:pPr>
      <w:r>
        <w:rPr>
          <w:rFonts w:ascii="Arial" w:eastAsia="宋体" w:hAnsi="Arial" w:cs="Arial"/>
          <w:color w:val="000000"/>
          <w:sz w:val="20"/>
          <w:szCs w:val="20"/>
        </w:rPr>
        <w:t>Net revenues included $9 million and $15 million of hedging gains during the three an</w:t>
      </w:r>
      <w:r>
        <w:rPr>
          <w:rFonts w:ascii="Arial" w:eastAsia="宋体" w:hAnsi="Arial" w:cs="Arial"/>
          <w:color w:val="000000"/>
          <w:sz w:val="20"/>
          <w:szCs w:val="20"/>
        </w:rPr>
        <w:t xml:space="preserve">d six months ended June 30, 2022, respectively, as compared to $18 million and $46 million of hedging losses during the same periods in 2021. The hedging activity in net revenues specifically relates to hedges of net transaction revenues. Foreign currency </w:t>
      </w:r>
      <w:r>
        <w:rPr>
          <w:rFonts w:ascii="Arial" w:eastAsia="宋体" w:hAnsi="Arial" w:cs="Arial"/>
          <w:color w:val="000000"/>
          <w:sz w:val="20"/>
          <w:szCs w:val="20"/>
        </w:rPr>
        <w:t>movements relative to the U.S. dollar had an unfavorable impact of $95 million and $153 million on net revenues during the three and six months ended June 30, 2022, respectively, compared to a favorable impact of $95 million and $149 million on net revenue</w:t>
      </w:r>
      <w:r>
        <w:rPr>
          <w:rFonts w:ascii="Arial" w:eastAsia="宋体" w:hAnsi="Arial" w:cs="Arial"/>
          <w:color w:val="000000"/>
          <w:sz w:val="20"/>
          <w:szCs w:val="20"/>
        </w:rPr>
        <w:t xml:space="preserve">s during the same periods in 2021. </w:t>
      </w:r>
    </w:p>
    <w:p w14:paraId="18601676" w14:textId="77777777" w:rsidR="00A91885" w:rsidRDefault="00A91885">
      <w:pPr>
        <w:ind w:firstLine="540"/>
        <w:jc w:val="both"/>
      </w:pPr>
    </w:p>
    <w:p w14:paraId="18601677" w14:textId="77777777" w:rsidR="00A91885" w:rsidRDefault="009C4196">
      <w:pPr>
        <w:ind w:firstLine="540"/>
        <w:jc w:val="both"/>
      </w:pPr>
      <w:r>
        <w:rPr>
          <w:rFonts w:ascii="Arial" w:eastAsia="宋体" w:hAnsi="Arial" w:cs="Arial"/>
          <w:color w:val="000000"/>
          <w:sz w:val="20"/>
          <w:szCs w:val="20"/>
        </w:rPr>
        <w:t xml:space="preserve">The effect of foreign currency exchange rate movements during the three and six months ended June 30, 2022 compared to the same periods in 2021 was primarily attributable to the strengthening of the U.S. dollar against </w:t>
      </w:r>
      <w:r>
        <w:rPr>
          <w:rFonts w:ascii="Arial" w:eastAsia="宋体" w:hAnsi="Arial" w:cs="Arial"/>
          <w:color w:val="000000"/>
          <w:sz w:val="20"/>
          <w:szCs w:val="20"/>
        </w:rPr>
        <w:t xml:space="preserve">the British pound and euro. </w:t>
      </w:r>
    </w:p>
    <w:p w14:paraId="18601678" w14:textId="77777777" w:rsidR="00A91885" w:rsidRDefault="00A91885">
      <w:pPr>
        <w:jc w:val="both"/>
      </w:pPr>
    </w:p>
    <w:p w14:paraId="18601679" w14:textId="77777777" w:rsidR="00A91885" w:rsidRDefault="009C4196">
      <w:pPr>
        <w:ind w:firstLine="270"/>
        <w:jc w:val="both"/>
      </w:pPr>
      <w:r>
        <w:rPr>
          <w:rFonts w:ascii="Arial" w:eastAsia="宋体" w:hAnsi="Arial" w:cs="Arial"/>
          <w:b/>
          <w:bCs/>
          <w:i/>
          <w:iCs/>
          <w:color w:val="000000"/>
          <w:sz w:val="20"/>
          <w:szCs w:val="20"/>
        </w:rPr>
        <w:t xml:space="preserve">Net Revenues by Type </w:t>
      </w:r>
    </w:p>
    <w:p w14:paraId="1860167A" w14:textId="77777777" w:rsidR="00A91885" w:rsidRDefault="00A91885">
      <w:pPr>
        <w:ind w:firstLine="495"/>
        <w:jc w:val="both"/>
      </w:pPr>
    </w:p>
    <w:p w14:paraId="1860167B" w14:textId="77777777" w:rsidR="00A91885" w:rsidRDefault="009C4196">
      <w:pPr>
        <w:ind w:firstLine="540"/>
        <w:jc w:val="both"/>
      </w:pPr>
      <w:r>
        <w:rPr>
          <w:rFonts w:ascii="Arial" w:eastAsia="宋体" w:hAnsi="Arial" w:cs="Arial"/>
          <w:color w:val="000000"/>
          <w:sz w:val="20"/>
          <w:szCs w:val="20"/>
        </w:rPr>
        <w:t xml:space="preserve">We generate two types of net revenues: </w:t>
      </w:r>
    </w:p>
    <w:p w14:paraId="1860167C" w14:textId="77777777" w:rsidR="00A91885" w:rsidRDefault="00A91885">
      <w:pPr>
        <w:ind w:firstLine="540"/>
        <w:jc w:val="both"/>
      </w:pPr>
    </w:p>
    <w:p w14:paraId="1860167D" w14:textId="77777777" w:rsidR="00A91885" w:rsidRDefault="009C4196">
      <w:pPr>
        <w:jc w:val="both"/>
      </w:pPr>
      <w:r>
        <w:rPr>
          <w:rFonts w:ascii="Arial" w:eastAsia="宋体" w:hAnsi="Arial" w:cs="Arial"/>
          <w:b/>
          <w:bCs/>
          <w:color w:val="000000"/>
          <w:sz w:val="20"/>
          <w:szCs w:val="20"/>
        </w:rPr>
        <w:t>Net transaction revenues</w:t>
      </w:r>
      <w:r>
        <w:rPr>
          <w:rFonts w:ascii="Arial" w:eastAsia="宋体" w:hAnsi="Arial" w:cs="Arial"/>
          <w:color w:val="000000"/>
          <w:sz w:val="20"/>
          <w:szCs w:val="20"/>
        </w:rPr>
        <w:t xml:space="preserve"> primarily include final value fees, feature fees, including fees to promote listings and listing fees from sellers on our platforms. Our net transaction revenues also include store subscription and other fees, often from large enterprise sellers. Our net </w:t>
      </w:r>
      <w:r>
        <w:rPr>
          <w:rFonts w:ascii="Arial" w:eastAsia="宋体" w:hAnsi="Arial" w:cs="Arial"/>
          <w:color w:val="000000"/>
          <w:sz w:val="20"/>
          <w:szCs w:val="20"/>
        </w:rPr>
        <w:t>transaction revenues are reduced by incentives, including discounts, coupons and rewards, provided to our customers.</w:t>
      </w:r>
    </w:p>
    <w:p w14:paraId="1860167E" w14:textId="77777777" w:rsidR="00A91885" w:rsidRDefault="00A91885">
      <w:pPr>
        <w:jc w:val="both"/>
      </w:pPr>
    </w:p>
    <w:p w14:paraId="1860167F" w14:textId="77777777" w:rsidR="00A91885" w:rsidRDefault="009C4196">
      <w:pPr>
        <w:jc w:val="both"/>
      </w:pPr>
      <w:r>
        <w:rPr>
          <w:rFonts w:ascii="Arial" w:eastAsia="宋体" w:hAnsi="Arial" w:cs="Arial"/>
          <w:b/>
          <w:bCs/>
          <w:color w:val="000000"/>
          <w:sz w:val="20"/>
          <w:szCs w:val="20"/>
        </w:rPr>
        <w:t>Marketing services and other (“MS&amp;O”)</w:t>
      </w:r>
      <w:r>
        <w:rPr>
          <w:rFonts w:ascii="Arial" w:eastAsia="宋体" w:hAnsi="Arial" w:cs="Arial"/>
          <w:color w:val="000000"/>
          <w:sz w:val="20"/>
          <w:szCs w:val="20"/>
        </w:rPr>
        <w:t xml:space="preserve"> </w:t>
      </w:r>
      <w:r>
        <w:rPr>
          <w:rFonts w:ascii="Arial" w:eastAsia="宋体" w:hAnsi="Arial" w:cs="Arial"/>
          <w:b/>
          <w:bCs/>
          <w:color w:val="000000"/>
          <w:sz w:val="20"/>
          <w:szCs w:val="20"/>
        </w:rPr>
        <w:t>revenues</w:t>
      </w:r>
      <w:r>
        <w:rPr>
          <w:rFonts w:ascii="Arial" w:eastAsia="宋体" w:hAnsi="Arial" w:cs="Arial"/>
          <w:color w:val="000000"/>
          <w:sz w:val="20"/>
          <w:szCs w:val="20"/>
        </w:rPr>
        <w:t xml:space="preserve"> consist of revenues principally from the sale of revenue sharing arrangements and advertise</w:t>
      </w:r>
      <w:r>
        <w:rPr>
          <w:rFonts w:ascii="Arial" w:eastAsia="宋体" w:hAnsi="Arial" w:cs="Arial"/>
          <w:color w:val="000000"/>
          <w:sz w:val="20"/>
          <w:szCs w:val="20"/>
        </w:rPr>
        <w:t xml:space="preserve">ments. </w:t>
      </w:r>
    </w:p>
    <w:p w14:paraId="18601680" w14:textId="77777777" w:rsidR="00A91885" w:rsidRDefault="00A91885">
      <w:pPr>
        <w:jc w:val="both"/>
      </w:pPr>
    </w:p>
    <w:p w14:paraId="18601681" w14:textId="77777777" w:rsidR="00A91885" w:rsidRDefault="009C4196">
      <w:pPr>
        <w:spacing w:after="120"/>
        <w:ind w:firstLine="540"/>
        <w:jc w:val="both"/>
      </w:pPr>
      <w:r>
        <w:rPr>
          <w:rFonts w:ascii="Arial" w:eastAsia="宋体" w:hAnsi="Arial" w:cs="Arial"/>
          <w:color w:val="000000"/>
          <w:sz w:val="20"/>
          <w:szCs w:val="20"/>
        </w:rPr>
        <w:t>The following table presents net revenues by type for the periods indicated (in millions, except percentages):</w:t>
      </w:r>
    </w:p>
    <w:tbl>
      <w:tblPr>
        <w:tblW w:w="4693" w:type="pct"/>
        <w:tblCellMar>
          <w:top w:w="15" w:type="dxa"/>
          <w:left w:w="15" w:type="dxa"/>
          <w:bottom w:w="15" w:type="dxa"/>
          <w:right w:w="15" w:type="dxa"/>
        </w:tblCellMar>
        <w:tblLook w:val="04A0" w:firstRow="1" w:lastRow="0" w:firstColumn="1" w:lastColumn="0" w:noHBand="0" w:noVBand="1"/>
      </w:tblPr>
      <w:tblGrid>
        <w:gridCol w:w="39"/>
        <w:gridCol w:w="2005"/>
        <w:gridCol w:w="37"/>
        <w:gridCol w:w="121"/>
        <w:gridCol w:w="707"/>
        <w:gridCol w:w="36"/>
        <w:gridCol w:w="36"/>
        <w:gridCol w:w="36"/>
        <w:gridCol w:w="36"/>
        <w:gridCol w:w="121"/>
        <w:gridCol w:w="708"/>
        <w:gridCol w:w="36"/>
        <w:gridCol w:w="36"/>
        <w:gridCol w:w="36"/>
        <w:gridCol w:w="36"/>
        <w:gridCol w:w="59"/>
        <w:gridCol w:w="632"/>
        <w:gridCol w:w="181"/>
        <w:gridCol w:w="36"/>
        <w:gridCol w:w="36"/>
        <w:gridCol w:w="36"/>
        <w:gridCol w:w="121"/>
        <w:gridCol w:w="708"/>
        <w:gridCol w:w="36"/>
        <w:gridCol w:w="36"/>
        <w:gridCol w:w="36"/>
        <w:gridCol w:w="36"/>
        <w:gridCol w:w="121"/>
        <w:gridCol w:w="708"/>
        <w:gridCol w:w="36"/>
        <w:gridCol w:w="36"/>
        <w:gridCol w:w="36"/>
        <w:gridCol w:w="36"/>
        <w:gridCol w:w="59"/>
        <w:gridCol w:w="632"/>
        <w:gridCol w:w="181"/>
      </w:tblGrid>
      <w:tr w:rsidR="00A91885" w14:paraId="186016A6" w14:textId="77777777">
        <w:tc>
          <w:tcPr>
            <w:tcW w:w="50" w:type="pct"/>
            <w:shd w:val="clear" w:color="auto" w:fill="auto"/>
            <w:vAlign w:val="bottom"/>
          </w:tcPr>
          <w:p w14:paraId="18601682" w14:textId="77777777" w:rsidR="00A91885" w:rsidRDefault="00A91885">
            <w:pPr>
              <w:rPr>
                <w:rFonts w:ascii="宋体"/>
              </w:rPr>
            </w:pPr>
          </w:p>
        </w:tc>
        <w:tc>
          <w:tcPr>
            <w:tcW w:w="1378" w:type="pct"/>
            <w:shd w:val="clear" w:color="auto" w:fill="auto"/>
            <w:vAlign w:val="bottom"/>
          </w:tcPr>
          <w:p w14:paraId="18601683" w14:textId="77777777" w:rsidR="00A91885" w:rsidRDefault="00A91885">
            <w:pPr>
              <w:rPr>
                <w:rFonts w:ascii="宋体"/>
              </w:rPr>
            </w:pPr>
          </w:p>
        </w:tc>
        <w:tc>
          <w:tcPr>
            <w:tcW w:w="5" w:type="pct"/>
            <w:shd w:val="clear" w:color="auto" w:fill="auto"/>
            <w:vAlign w:val="bottom"/>
          </w:tcPr>
          <w:p w14:paraId="18601684" w14:textId="77777777" w:rsidR="00A91885" w:rsidRDefault="00A91885">
            <w:pPr>
              <w:rPr>
                <w:rFonts w:ascii="宋体"/>
              </w:rPr>
            </w:pPr>
          </w:p>
        </w:tc>
        <w:tc>
          <w:tcPr>
            <w:tcW w:w="50" w:type="pct"/>
            <w:shd w:val="clear" w:color="auto" w:fill="auto"/>
            <w:vAlign w:val="bottom"/>
          </w:tcPr>
          <w:p w14:paraId="18601685" w14:textId="77777777" w:rsidR="00A91885" w:rsidRDefault="00A91885">
            <w:pPr>
              <w:rPr>
                <w:rFonts w:ascii="宋体"/>
              </w:rPr>
            </w:pPr>
          </w:p>
        </w:tc>
        <w:tc>
          <w:tcPr>
            <w:tcW w:w="513" w:type="pct"/>
            <w:shd w:val="clear" w:color="auto" w:fill="auto"/>
            <w:vAlign w:val="bottom"/>
          </w:tcPr>
          <w:p w14:paraId="18601686" w14:textId="77777777" w:rsidR="00A91885" w:rsidRDefault="00A91885">
            <w:pPr>
              <w:rPr>
                <w:rFonts w:ascii="宋体"/>
              </w:rPr>
            </w:pPr>
          </w:p>
        </w:tc>
        <w:tc>
          <w:tcPr>
            <w:tcW w:w="5" w:type="pct"/>
            <w:shd w:val="clear" w:color="auto" w:fill="auto"/>
            <w:vAlign w:val="bottom"/>
          </w:tcPr>
          <w:p w14:paraId="18601687" w14:textId="77777777" w:rsidR="00A91885" w:rsidRDefault="00A91885">
            <w:pPr>
              <w:rPr>
                <w:rFonts w:ascii="宋体"/>
              </w:rPr>
            </w:pPr>
          </w:p>
        </w:tc>
        <w:tc>
          <w:tcPr>
            <w:tcW w:w="5" w:type="pct"/>
            <w:shd w:val="clear" w:color="auto" w:fill="auto"/>
            <w:vAlign w:val="bottom"/>
          </w:tcPr>
          <w:p w14:paraId="18601688" w14:textId="77777777" w:rsidR="00A91885" w:rsidRDefault="00A91885">
            <w:pPr>
              <w:rPr>
                <w:rFonts w:ascii="宋体"/>
              </w:rPr>
            </w:pPr>
          </w:p>
        </w:tc>
        <w:tc>
          <w:tcPr>
            <w:tcW w:w="21" w:type="pct"/>
            <w:shd w:val="clear" w:color="auto" w:fill="auto"/>
            <w:vAlign w:val="bottom"/>
          </w:tcPr>
          <w:p w14:paraId="18601689" w14:textId="77777777" w:rsidR="00A91885" w:rsidRDefault="00A91885">
            <w:pPr>
              <w:rPr>
                <w:rFonts w:ascii="宋体"/>
              </w:rPr>
            </w:pPr>
          </w:p>
        </w:tc>
        <w:tc>
          <w:tcPr>
            <w:tcW w:w="5" w:type="pct"/>
            <w:shd w:val="clear" w:color="auto" w:fill="auto"/>
            <w:vAlign w:val="bottom"/>
          </w:tcPr>
          <w:p w14:paraId="1860168A" w14:textId="77777777" w:rsidR="00A91885" w:rsidRDefault="00A91885">
            <w:pPr>
              <w:rPr>
                <w:rFonts w:ascii="宋体"/>
              </w:rPr>
            </w:pPr>
          </w:p>
        </w:tc>
        <w:tc>
          <w:tcPr>
            <w:tcW w:w="50" w:type="pct"/>
            <w:shd w:val="clear" w:color="auto" w:fill="auto"/>
            <w:vAlign w:val="bottom"/>
          </w:tcPr>
          <w:p w14:paraId="1860168B" w14:textId="77777777" w:rsidR="00A91885" w:rsidRDefault="00A91885">
            <w:pPr>
              <w:rPr>
                <w:rFonts w:ascii="宋体"/>
              </w:rPr>
            </w:pPr>
          </w:p>
        </w:tc>
        <w:tc>
          <w:tcPr>
            <w:tcW w:w="513" w:type="pct"/>
            <w:shd w:val="clear" w:color="auto" w:fill="auto"/>
            <w:vAlign w:val="bottom"/>
          </w:tcPr>
          <w:p w14:paraId="1860168C" w14:textId="77777777" w:rsidR="00A91885" w:rsidRDefault="00A91885">
            <w:pPr>
              <w:rPr>
                <w:rFonts w:ascii="宋体"/>
              </w:rPr>
            </w:pPr>
          </w:p>
        </w:tc>
        <w:tc>
          <w:tcPr>
            <w:tcW w:w="5" w:type="pct"/>
            <w:shd w:val="clear" w:color="auto" w:fill="auto"/>
            <w:vAlign w:val="bottom"/>
          </w:tcPr>
          <w:p w14:paraId="1860168D" w14:textId="77777777" w:rsidR="00A91885" w:rsidRDefault="00A91885">
            <w:pPr>
              <w:rPr>
                <w:rFonts w:ascii="宋体"/>
              </w:rPr>
            </w:pPr>
          </w:p>
        </w:tc>
        <w:tc>
          <w:tcPr>
            <w:tcW w:w="5" w:type="pct"/>
            <w:shd w:val="clear" w:color="auto" w:fill="auto"/>
            <w:vAlign w:val="bottom"/>
          </w:tcPr>
          <w:p w14:paraId="1860168E" w14:textId="77777777" w:rsidR="00A91885" w:rsidRDefault="00A91885">
            <w:pPr>
              <w:rPr>
                <w:rFonts w:ascii="宋体"/>
              </w:rPr>
            </w:pPr>
          </w:p>
        </w:tc>
        <w:tc>
          <w:tcPr>
            <w:tcW w:w="21" w:type="pct"/>
            <w:shd w:val="clear" w:color="auto" w:fill="auto"/>
            <w:vAlign w:val="bottom"/>
          </w:tcPr>
          <w:p w14:paraId="1860168F" w14:textId="77777777" w:rsidR="00A91885" w:rsidRDefault="00A91885">
            <w:pPr>
              <w:rPr>
                <w:rFonts w:ascii="宋体"/>
              </w:rPr>
            </w:pPr>
          </w:p>
        </w:tc>
        <w:tc>
          <w:tcPr>
            <w:tcW w:w="5" w:type="pct"/>
            <w:shd w:val="clear" w:color="auto" w:fill="auto"/>
            <w:vAlign w:val="bottom"/>
          </w:tcPr>
          <w:p w14:paraId="18601690" w14:textId="77777777" w:rsidR="00A91885" w:rsidRDefault="00A91885">
            <w:pPr>
              <w:rPr>
                <w:rFonts w:ascii="宋体"/>
              </w:rPr>
            </w:pPr>
          </w:p>
        </w:tc>
        <w:tc>
          <w:tcPr>
            <w:tcW w:w="50" w:type="pct"/>
            <w:shd w:val="clear" w:color="auto" w:fill="auto"/>
            <w:vAlign w:val="bottom"/>
          </w:tcPr>
          <w:p w14:paraId="18601691" w14:textId="77777777" w:rsidR="00A91885" w:rsidRDefault="00A91885">
            <w:pPr>
              <w:rPr>
                <w:rFonts w:ascii="宋体"/>
              </w:rPr>
            </w:pPr>
          </w:p>
        </w:tc>
        <w:tc>
          <w:tcPr>
            <w:tcW w:w="513" w:type="pct"/>
            <w:shd w:val="clear" w:color="auto" w:fill="auto"/>
            <w:vAlign w:val="bottom"/>
          </w:tcPr>
          <w:p w14:paraId="18601692" w14:textId="77777777" w:rsidR="00A91885" w:rsidRDefault="00A91885">
            <w:pPr>
              <w:rPr>
                <w:rFonts w:ascii="宋体"/>
              </w:rPr>
            </w:pPr>
          </w:p>
        </w:tc>
        <w:tc>
          <w:tcPr>
            <w:tcW w:w="5" w:type="pct"/>
            <w:shd w:val="clear" w:color="auto" w:fill="auto"/>
            <w:vAlign w:val="bottom"/>
          </w:tcPr>
          <w:p w14:paraId="18601693" w14:textId="77777777" w:rsidR="00A91885" w:rsidRDefault="00A91885">
            <w:pPr>
              <w:rPr>
                <w:rFonts w:ascii="宋体"/>
              </w:rPr>
            </w:pPr>
          </w:p>
        </w:tc>
        <w:tc>
          <w:tcPr>
            <w:tcW w:w="5" w:type="pct"/>
            <w:shd w:val="clear" w:color="auto" w:fill="auto"/>
            <w:vAlign w:val="bottom"/>
          </w:tcPr>
          <w:p w14:paraId="18601694" w14:textId="77777777" w:rsidR="00A91885" w:rsidRDefault="00A91885">
            <w:pPr>
              <w:rPr>
                <w:rFonts w:ascii="宋体"/>
              </w:rPr>
            </w:pPr>
          </w:p>
        </w:tc>
        <w:tc>
          <w:tcPr>
            <w:tcW w:w="21" w:type="pct"/>
            <w:shd w:val="clear" w:color="auto" w:fill="auto"/>
            <w:vAlign w:val="bottom"/>
          </w:tcPr>
          <w:p w14:paraId="18601695" w14:textId="77777777" w:rsidR="00A91885" w:rsidRDefault="00A91885">
            <w:pPr>
              <w:rPr>
                <w:rFonts w:ascii="宋体"/>
              </w:rPr>
            </w:pPr>
          </w:p>
        </w:tc>
        <w:tc>
          <w:tcPr>
            <w:tcW w:w="5" w:type="pct"/>
            <w:shd w:val="clear" w:color="auto" w:fill="auto"/>
            <w:vAlign w:val="bottom"/>
          </w:tcPr>
          <w:p w14:paraId="18601696" w14:textId="77777777" w:rsidR="00A91885" w:rsidRDefault="00A91885">
            <w:pPr>
              <w:rPr>
                <w:rFonts w:ascii="宋体"/>
              </w:rPr>
            </w:pPr>
          </w:p>
        </w:tc>
        <w:tc>
          <w:tcPr>
            <w:tcW w:w="50" w:type="pct"/>
            <w:shd w:val="clear" w:color="auto" w:fill="auto"/>
            <w:vAlign w:val="bottom"/>
          </w:tcPr>
          <w:p w14:paraId="18601697" w14:textId="77777777" w:rsidR="00A91885" w:rsidRDefault="00A91885">
            <w:pPr>
              <w:rPr>
                <w:rFonts w:ascii="宋体"/>
              </w:rPr>
            </w:pPr>
          </w:p>
        </w:tc>
        <w:tc>
          <w:tcPr>
            <w:tcW w:w="513" w:type="pct"/>
            <w:shd w:val="clear" w:color="auto" w:fill="auto"/>
            <w:vAlign w:val="bottom"/>
          </w:tcPr>
          <w:p w14:paraId="18601698" w14:textId="77777777" w:rsidR="00A91885" w:rsidRDefault="00A91885">
            <w:pPr>
              <w:rPr>
                <w:rFonts w:ascii="宋体"/>
              </w:rPr>
            </w:pPr>
          </w:p>
        </w:tc>
        <w:tc>
          <w:tcPr>
            <w:tcW w:w="5" w:type="pct"/>
            <w:shd w:val="clear" w:color="auto" w:fill="auto"/>
            <w:vAlign w:val="bottom"/>
          </w:tcPr>
          <w:p w14:paraId="18601699" w14:textId="77777777" w:rsidR="00A91885" w:rsidRDefault="00A91885">
            <w:pPr>
              <w:rPr>
                <w:rFonts w:ascii="宋体"/>
              </w:rPr>
            </w:pPr>
          </w:p>
        </w:tc>
        <w:tc>
          <w:tcPr>
            <w:tcW w:w="5" w:type="pct"/>
            <w:shd w:val="clear" w:color="auto" w:fill="auto"/>
            <w:vAlign w:val="bottom"/>
          </w:tcPr>
          <w:p w14:paraId="1860169A" w14:textId="77777777" w:rsidR="00A91885" w:rsidRDefault="00A91885">
            <w:pPr>
              <w:rPr>
                <w:rFonts w:ascii="宋体"/>
              </w:rPr>
            </w:pPr>
          </w:p>
        </w:tc>
        <w:tc>
          <w:tcPr>
            <w:tcW w:w="21" w:type="pct"/>
            <w:shd w:val="clear" w:color="auto" w:fill="auto"/>
            <w:vAlign w:val="bottom"/>
          </w:tcPr>
          <w:p w14:paraId="1860169B" w14:textId="77777777" w:rsidR="00A91885" w:rsidRDefault="00A91885">
            <w:pPr>
              <w:rPr>
                <w:rFonts w:ascii="宋体"/>
              </w:rPr>
            </w:pPr>
          </w:p>
        </w:tc>
        <w:tc>
          <w:tcPr>
            <w:tcW w:w="5" w:type="pct"/>
            <w:shd w:val="clear" w:color="auto" w:fill="auto"/>
            <w:vAlign w:val="bottom"/>
          </w:tcPr>
          <w:p w14:paraId="1860169C" w14:textId="77777777" w:rsidR="00A91885" w:rsidRDefault="00A91885">
            <w:pPr>
              <w:rPr>
                <w:rFonts w:ascii="宋体"/>
              </w:rPr>
            </w:pPr>
          </w:p>
        </w:tc>
        <w:tc>
          <w:tcPr>
            <w:tcW w:w="50" w:type="pct"/>
            <w:shd w:val="clear" w:color="auto" w:fill="auto"/>
            <w:vAlign w:val="bottom"/>
          </w:tcPr>
          <w:p w14:paraId="1860169D" w14:textId="77777777" w:rsidR="00A91885" w:rsidRDefault="00A91885">
            <w:pPr>
              <w:rPr>
                <w:rFonts w:ascii="宋体"/>
              </w:rPr>
            </w:pPr>
          </w:p>
        </w:tc>
        <w:tc>
          <w:tcPr>
            <w:tcW w:w="513" w:type="pct"/>
            <w:shd w:val="clear" w:color="auto" w:fill="auto"/>
            <w:vAlign w:val="bottom"/>
          </w:tcPr>
          <w:p w14:paraId="1860169E" w14:textId="77777777" w:rsidR="00A91885" w:rsidRDefault="00A91885">
            <w:pPr>
              <w:rPr>
                <w:rFonts w:ascii="宋体"/>
              </w:rPr>
            </w:pPr>
          </w:p>
        </w:tc>
        <w:tc>
          <w:tcPr>
            <w:tcW w:w="5" w:type="pct"/>
            <w:shd w:val="clear" w:color="auto" w:fill="auto"/>
            <w:vAlign w:val="bottom"/>
          </w:tcPr>
          <w:p w14:paraId="1860169F" w14:textId="77777777" w:rsidR="00A91885" w:rsidRDefault="00A91885">
            <w:pPr>
              <w:rPr>
                <w:rFonts w:ascii="宋体"/>
              </w:rPr>
            </w:pPr>
          </w:p>
        </w:tc>
        <w:tc>
          <w:tcPr>
            <w:tcW w:w="5" w:type="pct"/>
            <w:shd w:val="clear" w:color="auto" w:fill="auto"/>
            <w:vAlign w:val="bottom"/>
          </w:tcPr>
          <w:p w14:paraId="186016A0" w14:textId="77777777" w:rsidR="00A91885" w:rsidRDefault="00A91885">
            <w:pPr>
              <w:rPr>
                <w:rFonts w:ascii="宋体"/>
              </w:rPr>
            </w:pPr>
          </w:p>
        </w:tc>
        <w:tc>
          <w:tcPr>
            <w:tcW w:w="21" w:type="pct"/>
            <w:shd w:val="clear" w:color="auto" w:fill="auto"/>
            <w:vAlign w:val="bottom"/>
          </w:tcPr>
          <w:p w14:paraId="186016A1" w14:textId="77777777" w:rsidR="00A91885" w:rsidRDefault="00A91885">
            <w:pPr>
              <w:rPr>
                <w:rFonts w:ascii="宋体"/>
              </w:rPr>
            </w:pPr>
          </w:p>
        </w:tc>
        <w:tc>
          <w:tcPr>
            <w:tcW w:w="5" w:type="pct"/>
            <w:shd w:val="clear" w:color="auto" w:fill="auto"/>
            <w:vAlign w:val="bottom"/>
          </w:tcPr>
          <w:p w14:paraId="186016A2" w14:textId="77777777" w:rsidR="00A91885" w:rsidRDefault="00A91885">
            <w:pPr>
              <w:rPr>
                <w:rFonts w:ascii="宋体"/>
              </w:rPr>
            </w:pPr>
          </w:p>
        </w:tc>
        <w:tc>
          <w:tcPr>
            <w:tcW w:w="50" w:type="pct"/>
            <w:shd w:val="clear" w:color="auto" w:fill="auto"/>
            <w:vAlign w:val="bottom"/>
          </w:tcPr>
          <w:p w14:paraId="186016A3" w14:textId="77777777" w:rsidR="00A91885" w:rsidRDefault="00A91885">
            <w:pPr>
              <w:rPr>
                <w:rFonts w:ascii="宋体"/>
              </w:rPr>
            </w:pPr>
          </w:p>
        </w:tc>
        <w:tc>
          <w:tcPr>
            <w:tcW w:w="513" w:type="pct"/>
            <w:shd w:val="clear" w:color="auto" w:fill="auto"/>
            <w:vAlign w:val="bottom"/>
          </w:tcPr>
          <w:p w14:paraId="186016A4" w14:textId="77777777" w:rsidR="00A91885" w:rsidRDefault="00A91885">
            <w:pPr>
              <w:rPr>
                <w:rFonts w:ascii="宋体"/>
              </w:rPr>
            </w:pPr>
          </w:p>
        </w:tc>
        <w:tc>
          <w:tcPr>
            <w:tcW w:w="5" w:type="pct"/>
            <w:shd w:val="clear" w:color="auto" w:fill="auto"/>
            <w:vAlign w:val="bottom"/>
          </w:tcPr>
          <w:p w14:paraId="186016A5" w14:textId="77777777" w:rsidR="00A91885" w:rsidRDefault="00A91885">
            <w:pPr>
              <w:rPr>
                <w:rFonts w:ascii="宋体"/>
              </w:rPr>
            </w:pPr>
          </w:p>
        </w:tc>
      </w:tr>
      <w:tr w:rsidR="00A91885" w14:paraId="186016AF" w14:textId="77777777">
        <w:tc>
          <w:tcPr>
            <w:tcW w:w="0" w:type="auto"/>
            <w:gridSpan w:val="3"/>
            <w:shd w:val="clear" w:color="auto" w:fill="auto"/>
            <w:tcMar>
              <w:top w:w="40" w:type="dxa"/>
              <w:left w:w="245" w:type="dxa"/>
              <w:bottom w:w="40" w:type="dxa"/>
              <w:right w:w="20" w:type="dxa"/>
            </w:tcMar>
            <w:vAlign w:val="bottom"/>
          </w:tcPr>
          <w:p w14:paraId="186016A7" w14:textId="77777777" w:rsidR="00A91885" w:rsidRDefault="009C4196">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186016A8"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6A9"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6AA"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6AB"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6AC"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6AD"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6AE" w14:textId="77777777" w:rsidR="00A91885" w:rsidRDefault="00A91885">
            <w:pPr>
              <w:rPr>
                <w:rFonts w:ascii="宋体"/>
              </w:rPr>
            </w:pPr>
          </w:p>
        </w:tc>
      </w:tr>
      <w:tr w:rsidR="00A91885" w14:paraId="186016BC" w14:textId="77777777">
        <w:tc>
          <w:tcPr>
            <w:tcW w:w="0" w:type="auto"/>
            <w:gridSpan w:val="3"/>
            <w:shd w:val="clear" w:color="auto" w:fill="auto"/>
            <w:tcMar>
              <w:top w:w="40" w:type="dxa"/>
              <w:left w:w="20" w:type="dxa"/>
              <w:bottom w:w="40" w:type="dxa"/>
              <w:right w:w="20" w:type="dxa"/>
            </w:tcMar>
            <w:vAlign w:val="bottom"/>
          </w:tcPr>
          <w:p w14:paraId="186016B0" w14:textId="77777777" w:rsidR="00A91885" w:rsidRDefault="009C4196">
            <w:pPr>
              <w:jc w:val="cente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6B1"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6B2"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6B3"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6B4"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6B5" w14:textId="77777777" w:rsidR="00A91885" w:rsidRDefault="009C4196">
            <w:pPr>
              <w:jc w:val="center"/>
              <w:textAlignment w:val="bottom"/>
            </w:pPr>
            <w:r>
              <w:rPr>
                <w:rFonts w:ascii="Arial" w:eastAsia="宋体" w:hAnsi="Arial" w:cs="Arial"/>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186016B6"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6B7"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6B8"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6B9"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6BA"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6BB" w14:textId="77777777" w:rsidR="00A91885" w:rsidRDefault="009C4196">
            <w:pPr>
              <w:jc w:val="center"/>
              <w:textAlignment w:val="bottom"/>
            </w:pPr>
            <w:r>
              <w:rPr>
                <w:rFonts w:ascii="Arial" w:eastAsia="宋体" w:hAnsi="Arial" w:cs="Arial"/>
                <w:b/>
                <w:bCs/>
                <w:color w:val="000000"/>
                <w:sz w:val="17"/>
                <w:szCs w:val="17"/>
              </w:rPr>
              <w:t xml:space="preserve">% </w:t>
            </w:r>
            <w:r>
              <w:rPr>
                <w:rFonts w:ascii="Arial" w:eastAsia="宋体" w:hAnsi="Arial" w:cs="Arial"/>
                <w:b/>
                <w:bCs/>
                <w:color w:val="000000"/>
                <w:sz w:val="17"/>
                <w:szCs w:val="17"/>
              </w:rPr>
              <w:t>Change</w:t>
            </w:r>
          </w:p>
        </w:tc>
      </w:tr>
      <w:tr w:rsidR="00A91885" w14:paraId="186016D3" w14:textId="77777777">
        <w:tc>
          <w:tcPr>
            <w:tcW w:w="0" w:type="auto"/>
            <w:gridSpan w:val="3"/>
            <w:shd w:val="clear" w:color="auto" w:fill="DBDBDB"/>
            <w:tcMar>
              <w:top w:w="40" w:type="dxa"/>
              <w:left w:w="35" w:type="dxa"/>
              <w:bottom w:w="40" w:type="dxa"/>
              <w:right w:w="20" w:type="dxa"/>
            </w:tcMar>
            <w:vAlign w:val="bottom"/>
          </w:tcPr>
          <w:p w14:paraId="186016BD" w14:textId="77777777" w:rsidR="00A91885" w:rsidRDefault="009C4196">
            <w:pPr>
              <w:textAlignment w:val="bottom"/>
            </w:pPr>
            <w:r>
              <w:rPr>
                <w:rFonts w:ascii="Arial" w:eastAsia="宋体" w:hAnsi="Arial" w:cs="Arial"/>
                <w:color w:val="000000"/>
                <w:sz w:val="18"/>
                <w:szCs w:val="18"/>
              </w:rPr>
              <w:t>Net transaction revenues</w:t>
            </w:r>
          </w:p>
        </w:tc>
        <w:tc>
          <w:tcPr>
            <w:tcW w:w="0" w:type="auto"/>
            <w:tcBorders>
              <w:top w:val="single" w:sz="8" w:space="0" w:color="000000"/>
            </w:tcBorders>
            <w:shd w:val="clear" w:color="auto" w:fill="DBDBDB"/>
            <w:tcMar>
              <w:top w:w="40" w:type="dxa"/>
              <w:left w:w="20" w:type="dxa"/>
              <w:bottom w:w="40" w:type="dxa"/>
              <w:right w:w="0" w:type="dxa"/>
            </w:tcMar>
            <w:vAlign w:val="bottom"/>
          </w:tcPr>
          <w:p w14:paraId="186016B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6016BF" w14:textId="77777777" w:rsidR="00A91885" w:rsidRDefault="009C4196">
            <w:pPr>
              <w:jc w:val="right"/>
              <w:textAlignment w:val="bottom"/>
            </w:pPr>
            <w:r>
              <w:rPr>
                <w:rFonts w:ascii="Arial" w:eastAsia="宋体" w:hAnsi="Arial" w:cs="Arial"/>
                <w:color w:val="000000"/>
                <w:sz w:val="18"/>
                <w:szCs w:val="18"/>
              </w:rPr>
              <w:t>2,297 </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16C0"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16C1"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6016C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6016C3" w14:textId="77777777" w:rsidR="00A91885" w:rsidRDefault="009C4196">
            <w:pPr>
              <w:jc w:val="right"/>
              <w:textAlignment w:val="bottom"/>
            </w:pPr>
            <w:r>
              <w:rPr>
                <w:rFonts w:ascii="Arial" w:eastAsia="宋体" w:hAnsi="Arial" w:cs="Arial"/>
                <w:color w:val="000000"/>
                <w:sz w:val="18"/>
                <w:szCs w:val="18"/>
              </w:rPr>
              <w:t>2,496 </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16C4"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16C5" w14:textId="77777777" w:rsidR="00A91885" w:rsidRDefault="00A91885">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186016C6" w14:textId="77777777" w:rsidR="00A91885" w:rsidRDefault="009C4196">
            <w:pPr>
              <w:jc w:val="right"/>
              <w:textAlignment w:val="bottom"/>
            </w:pPr>
            <w:r>
              <w:rPr>
                <w:rFonts w:ascii="Arial" w:eastAsia="宋体" w:hAnsi="Arial" w:cs="Arial"/>
                <w:color w:val="000000"/>
                <w:sz w:val="18"/>
                <w:szCs w:val="18"/>
              </w:rPr>
              <w:t>(8)</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16C7"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DBDBDB"/>
            <w:tcMar>
              <w:top w:w="0" w:type="dxa"/>
              <w:left w:w="20" w:type="dxa"/>
              <w:bottom w:w="0" w:type="dxa"/>
              <w:right w:w="20" w:type="dxa"/>
            </w:tcMar>
            <w:vAlign w:val="bottom"/>
          </w:tcPr>
          <w:p w14:paraId="186016C8"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6016C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6016CA" w14:textId="77777777" w:rsidR="00A91885" w:rsidRDefault="009C4196">
            <w:pPr>
              <w:jc w:val="right"/>
              <w:textAlignment w:val="bottom"/>
            </w:pPr>
            <w:r>
              <w:rPr>
                <w:rFonts w:ascii="Arial" w:eastAsia="宋体" w:hAnsi="Arial" w:cs="Arial"/>
                <w:color w:val="000000"/>
                <w:sz w:val="18"/>
                <w:szCs w:val="18"/>
              </w:rPr>
              <w:t>4,652 </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16CB"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16CC"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6016C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6016CE" w14:textId="77777777" w:rsidR="00A91885" w:rsidRDefault="009C4196">
            <w:pPr>
              <w:jc w:val="right"/>
              <w:textAlignment w:val="bottom"/>
            </w:pPr>
            <w:r>
              <w:rPr>
                <w:rFonts w:ascii="Arial" w:eastAsia="宋体" w:hAnsi="Arial" w:cs="Arial"/>
                <w:color w:val="000000"/>
                <w:sz w:val="18"/>
                <w:szCs w:val="18"/>
              </w:rPr>
              <w:t>4,972 </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16CF"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16D0" w14:textId="77777777" w:rsidR="00A91885" w:rsidRDefault="00A91885">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186016D1" w14:textId="77777777" w:rsidR="00A91885" w:rsidRDefault="009C4196">
            <w:pPr>
              <w:jc w:val="right"/>
              <w:textAlignment w:val="bottom"/>
            </w:pPr>
            <w:r>
              <w:rPr>
                <w:rFonts w:ascii="Arial" w:eastAsia="宋体" w:hAnsi="Arial" w:cs="Arial"/>
                <w:color w:val="000000"/>
                <w:sz w:val="18"/>
                <w:szCs w:val="18"/>
              </w:rPr>
              <w:t>(6)</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16D2" w14:textId="77777777" w:rsidR="00A91885" w:rsidRDefault="009C4196">
            <w:pPr>
              <w:jc w:val="right"/>
              <w:textAlignment w:val="bottom"/>
            </w:pPr>
            <w:r>
              <w:rPr>
                <w:rFonts w:ascii="Arial" w:eastAsia="宋体" w:hAnsi="Arial" w:cs="Arial"/>
                <w:color w:val="000000"/>
                <w:sz w:val="18"/>
                <w:szCs w:val="18"/>
              </w:rPr>
              <w:t>%</w:t>
            </w:r>
          </w:p>
        </w:tc>
      </w:tr>
      <w:tr w:rsidR="00A91885" w14:paraId="186016E0" w14:textId="77777777">
        <w:trPr>
          <w:hidden/>
        </w:trPr>
        <w:tc>
          <w:tcPr>
            <w:tcW w:w="0" w:type="auto"/>
            <w:gridSpan w:val="3"/>
            <w:shd w:val="clear" w:color="auto" w:fill="auto"/>
            <w:vAlign w:val="bottom"/>
          </w:tcPr>
          <w:p w14:paraId="186016D4" w14:textId="77777777" w:rsidR="00A91885" w:rsidRDefault="00A91885">
            <w:pPr>
              <w:rPr>
                <w:rFonts w:ascii="宋体"/>
                <w:vanish/>
              </w:rPr>
            </w:pPr>
          </w:p>
        </w:tc>
        <w:tc>
          <w:tcPr>
            <w:tcW w:w="0" w:type="auto"/>
            <w:gridSpan w:val="3"/>
            <w:shd w:val="clear" w:color="auto" w:fill="auto"/>
            <w:vAlign w:val="bottom"/>
          </w:tcPr>
          <w:p w14:paraId="186016D5" w14:textId="77777777" w:rsidR="00A91885" w:rsidRDefault="00A91885">
            <w:pPr>
              <w:rPr>
                <w:rFonts w:ascii="宋体"/>
                <w:vanish/>
              </w:rPr>
            </w:pPr>
          </w:p>
        </w:tc>
        <w:tc>
          <w:tcPr>
            <w:tcW w:w="0" w:type="auto"/>
            <w:gridSpan w:val="3"/>
            <w:shd w:val="clear" w:color="auto" w:fill="auto"/>
            <w:vAlign w:val="bottom"/>
          </w:tcPr>
          <w:p w14:paraId="186016D6" w14:textId="77777777" w:rsidR="00A91885" w:rsidRDefault="00A91885">
            <w:pPr>
              <w:rPr>
                <w:rFonts w:ascii="宋体"/>
                <w:vanish/>
              </w:rPr>
            </w:pPr>
          </w:p>
        </w:tc>
        <w:tc>
          <w:tcPr>
            <w:tcW w:w="0" w:type="auto"/>
            <w:gridSpan w:val="3"/>
            <w:shd w:val="clear" w:color="auto" w:fill="auto"/>
            <w:vAlign w:val="bottom"/>
          </w:tcPr>
          <w:p w14:paraId="186016D7" w14:textId="77777777" w:rsidR="00A91885" w:rsidRDefault="00A91885">
            <w:pPr>
              <w:rPr>
                <w:rFonts w:ascii="宋体"/>
                <w:vanish/>
              </w:rPr>
            </w:pPr>
          </w:p>
        </w:tc>
        <w:tc>
          <w:tcPr>
            <w:tcW w:w="0" w:type="auto"/>
            <w:gridSpan w:val="3"/>
            <w:shd w:val="clear" w:color="auto" w:fill="auto"/>
            <w:vAlign w:val="bottom"/>
          </w:tcPr>
          <w:p w14:paraId="186016D8" w14:textId="77777777" w:rsidR="00A91885" w:rsidRDefault="00A91885">
            <w:pPr>
              <w:rPr>
                <w:rFonts w:ascii="宋体"/>
                <w:vanish/>
              </w:rPr>
            </w:pPr>
          </w:p>
        </w:tc>
        <w:tc>
          <w:tcPr>
            <w:tcW w:w="0" w:type="auto"/>
            <w:gridSpan w:val="3"/>
            <w:shd w:val="clear" w:color="auto" w:fill="auto"/>
            <w:vAlign w:val="bottom"/>
          </w:tcPr>
          <w:p w14:paraId="186016D9" w14:textId="77777777" w:rsidR="00A91885" w:rsidRDefault="00A91885">
            <w:pPr>
              <w:rPr>
                <w:rFonts w:ascii="宋体"/>
                <w:vanish/>
              </w:rPr>
            </w:pPr>
          </w:p>
        </w:tc>
        <w:tc>
          <w:tcPr>
            <w:tcW w:w="0" w:type="auto"/>
            <w:gridSpan w:val="3"/>
            <w:shd w:val="clear" w:color="auto" w:fill="auto"/>
            <w:vAlign w:val="bottom"/>
          </w:tcPr>
          <w:p w14:paraId="186016DA" w14:textId="77777777" w:rsidR="00A91885" w:rsidRDefault="00A91885">
            <w:pPr>
              <w:rPr>
                <w:rFonts w:ascii="宋体"/>
                <w:vanish/>
              </w:rPr>
            </w:pPr>
          </w:p>
        </w:tc>
        <w:tc>
          <w:tcPr>
            <w:tcW w:w="0" w:type="auto"/>
            <w:gridSpan w:val="3"/>
            <w:shd w:val="clear" w:color="auto" w:fill="auto"/>
            <w:vAlign w:val="bottom"/>
          </w:tcPr>
          <w:p w14:paraId="186016DB" w14:textId="77777777" w:rsidR="00A91885" w:rsidRDefault="00A91885">
            <w:pPr>
              <w:rPr>
                <w:rFonts w:ascii="宋体"/>
                <w:vanish/>
              </w:rPr>
            </w:pPr>
          </w:p>
        </w:tc>
        <w:tc>
          <w:tcPr>
            <w:tcW w:w="0" w:type="auto"/>
            <w:gridSpan w:val="3"/>
            <w:shd w:val="clear" w:color="auto" w:fill="auto"/>
            <w:vAlign w:val="bottom"/>
          </w:tcPr>
          <w:p w14:paraId="186016DC" w14:textId="77777777" w:rsidR="00A91885" w:rsidRDefault="00A91885">
            <w:pPr>
              <w:rPr>
                <w:rFonts w:ascii="宋体"/>
                <w:vanish/>
              </w:rPr>
            </w:pPr>
          </w:p>
        </w:tc>
        <w:tc>
          <w:tcPr>
            <w:tcW w:w="0" w:type="auto"/>
            <w:gridSpan w:val="3"/>
            <w:shd w:val="clear" w:color="auto" w:fill="auto"/>
            <w:vAlign w:val="bottom"/>
          </w:tcPr>
          <w:p w14:paraId="186016DD" w14:textId="77777777" w:rsidR="00A91885" w:rsidRDefault="00A91885">
            <w:pPr>
              <w:rPr>
                <w:rFonts w:ascii="宋体"/>
                <w:vanish/>
              </w:rPr>
            </w:pPr>
          </w:p>
        </w:tc>
        <w:tc>
          <w:tcPr>
            <w:tcW w:w="0" w:type="auto"/>
            <w:gridSpan w:val="3"/>
            <w:shd w:val="clear" w:color="auto" w:fill="auto"/>
            <w:vAlign w:val="bottom"/>
          </w:tcPr>
          <w:p w14:paraId="186016DE" w14:textId="77777777" w:rsidR="00A91885" w:rsidRDefault="00A91885">
            <w:pPr>
              <w:rPr>
                <w:rFonts w:ascii="宋体"/>
                <w:vanish/>
              </w:rPr>
            </w:pPr>
          </w:p>
        </w:tc>
        <w:tc>
          <w:tcPr>
            <w:tcW w:w="0" w:type="auto"/>
            <w:gridSpan w:val="3"/>
            <w:shd w:val="clear" w:color="auto" w:fill="auto"/>
            <w:vAlign w:val="bottom"/>
          </w:tcPr>
          <w:p w14:paraId="186016DF" w14:textId="77777777" w:rsidR="00A91885" w:rsidRDefault="00A91885">
            <w:pPr>
              <w:rPr>
                <w:rFonts w:ascii="宋体"/>
                <w:vanish/>
              </w:rPr>
            </w:pPr>
          </w:p>
        </w:tc>
      </w:tr>
      <w:tr w:rsidR="00A91885" w14:paraId="186016ED" w14:textId="77777777">
        <w:trPr>
          <w:hidden/>
        </w:trPr>
        <w:tc>
          <w:tcPr>
            <w:tcW w:w="0" w:type="auto"/>
            <w:gridSpan w:val="3"/>
            <w:shd w:val="clear" w:color="auto" w:fill="auto"/>
            <w:vAlign w:val="bottom"/>
          </w:tcPr>
          <w:p w14:paraId="186016E1" w14:textId="77777777" w:rsidR="00A91885" w:rsidRDefault="00A91885">
            <w:pPr>
              <w:rPr>
                <w:rFonts w:ascii="宋体"/>
                <w:vanish/>
              </w:rPr>
            </w:pPr>
          </w:p>
        </w:tc>
        <w:tc>
          <w:tcPr>
            <w:tcW w:w="0" w:type="auto"/>
            <w:gridSpan w:val="3"/>
            <w:shd w:val="clear" w:color="auto" w:fill="auto"/>
            <w:vAlign w:val="bottom"/>
          </w:tcPr>
          <w:p w14:paraId="186016E2" w14:textId="77777777" w:rsidR="00A91885" w:rsidRDefault="00A91885">
            <w:pPr>
              <w:rPr>
                <w:rFonts w:ascii="宋体"/>
                <w:vanish/>
              </w:rPr>
            </w:pPr>
          </w:p>
        </w:tc>
        <w:tc>
          <w:tcPr>
            <w:tcW w:w="0" w:type="auto"/>
            <w:gridSpan w:val="3"/>
            <w:shd w:val="clear" w:color="auto" w:fill="auto"/>
            <w:vAlign w:val="bottom"/>
          </w:tcPr>
          <w:p w14:paraId="186016E3" w14:textId="77777777" w:rsidR="00A91885" w:rsidRDefault="00A91885">
            <w:pPr>
              <w:rPr>
                <w:rFonts w:ascii="宋体"/>
                <w:vanish/>
              </w:rPr>
            </w:pPr>
          </w:p>
        </w:tc>
        <w:tc>
          <w:tcPr>
            <w:tcW w:w="0" w:type="auto"/>
            <w:gridSpan w:val="3"/>
            <w:shd w:val="clear" w:color="auto" w:fill="auto"/>
            <w:vAlign w:val="bottom"/>
          </w:tcPr>
          <w:p w14:paraId="186016E4" w14:textId="77777777" w:rsidR="00A91885" w:rsidRDefault="00A91885">
            <w:pPr>
              <w:rPr>
                <w:rFonts w:ascii="宋体"/>
                <w:vanish/>
              </w:rPr>
            </w:pPr>
          </w:p>
        </w:tc>
        <w:tc>
          <w:tcPr>
            <w:tcW w:w="0" w:type="auto"/>
            <w:gridSpan w:val="3"/>
            <w:shd w:val="clear" w:color="auto" w:fill="auto"/>
            <w:vAlign w:val="bottom"/>
          </w:tcPr>
          <w:p w14:paraId="186016E5" w14:textId="77777777" w:rsidR="00A91885" w:rsidRDefault="00A91885">
            <w:pPr>
              <w:rPr>
                <w:rFonts w:ascii="宋体"/>
                <w:vanish/>
              </w:rPr>
            </w:pPr>
          </w:p>
        </w:tc>
        <w:tc>
          <w:tcPr>
            <w:tcW w:w="0" w:type="auto"/>
            <w:gridSpan w:val="3"/>
            <w:shd w:val="clear" w:color="auto" w:fill="auto"/>
            <w:vAlign w:val="bottom"/>
          </w:tcPr>
          <w:p w14:paraId="186016E6" w14:textId="77777777" w:rsidR="00A91885" w:rsidRDefault="00A91885">
            <w:pPr>
              <w:rPr>
                <w:rFonts w:ascii="宋体"/>
                <w:vanish/>
              </w:rPr>
            </w:pPr>
          </w:p>
        </w:tc>
        <w:tc>
          <w:tcPr>
            <w:tcW w:w="0" w:type="auto"/>
            <w:gridSpan w:val="3"/>
            <w:shd w:val="clear" w:color="auto" w:fill="auto"/>
            <w:vAlign w:val="bottom"/>
          </w:tcPr>
          <w:p w14:paraId="186016E7" w14:textId="77777777" w:rsidR="00A91885" w:rsidRDefault="00A91885">
            <w:pPr>
              <w:rPr>
                <w:rFonts w:ascii="宋体"/>
                <w:vanish/>
              </w:rPr>
            </w:pPr>
          </w:p>
        </w:tc>
        <w:tc>
          <w:tcPr>
            <w:tcW w:w="0" w:type="auto"/>
            <w:gridSpan w:val="3"/>
            <w:shd w:val="clear" w:color="auto" w:fill="auto"/>
            <w:vAlign w:val="bottom"/>
          </w:tcPr>
          <w:p w14:paraId="186016E8" w14:textId="77777777" w:rsidR="00A91885" w:rsidRDefault="00A91885">
            <w:pPr>
              <w:rPr>
                <w:rFonts w:ascii="宋体"/>
                <w:vanish/>
              </w:rPr>
            </w:pPr>
          </w:p>
        </w:tc>
        <w:tc>
          <w:tcPr>
            <w:tcW w:w="0" w:type="auto"/>
            <w:gridSpan w:val="3"/>
            <w:shd w:val="clear" w:color="auto" w:fill="auto"/>
            <w:vAlign w:val="bottom"/>
          </w:tcPr>
          <w:p w14:paraId="186016E9" w14:textId="77777777" w:rsidR="00A91885" w:rsidRDefault="00A91885">
            <w:pPr>
              <w:rPr>
                <w:rFonts w:ascii="宋体"/>
                <w:vanish/>
              </w:rPr>
            </w:pPr>
          </w:p>
        </w:tc>
        <w:tc>
          <w:tcPr>
            <w:tcW w:w="0" w:type="auto"/>
            <w:gridSpan w:val="3"/>
            <w:shd w:val="clear" w:color="auto" w:fill="auto"/>
            <w:vAlign w:val="bottom"/>
          </w:tcPr>
          <w:p w14:paraId="186016EA" w14:textId="77777777" w:rsidR="00A91885" w:rsidRDefault="00A91885">
            <w:pPr>
              <w:rPr>
                <w:rFonts w:ascii="宋体"/>
                <w:vanish/>
              </w:rPr>
            </w:pPr>
          </w:p>
        </w:tc>
        <w:tc>
          <w:tcPr>
            <w:tcW w:w="0" w:type="auto"/>
            <w:gridSpan w:val="3"/>
            <w:shd w:val="clear" w:color="auto" w:fill="auto"/>
            <w:vAlign w:val="bottom"/>
          </w:tcPr>
          <w:p w14:paraId="186016EB" w14:textId="77777777" w:rsidR="00A91885" w:rsidRDefault="00A91885">
            <w:pPr>
              <w:rPr>
                <w:rFonts w:ascii="宋体"/>
                <w:vanish/>
              </w:rPr>
            </w:pPr>
          </w:p>
        </w:tc>
        <w:tc>
          <w:tcPr>
            <w:tcW w:w="0" w:type="auto"/>
            <w:gridSpan w:val="3"/>
            <w:shd w:val="clear" w:color="auto" w:fill="auto"/>
            <w:vAlign w:val="bottom"/>
          </w:tcPr>
          <w:p w14:paraId="186016EC" w14:textId="77777777" w:rsidR="00A91885" w:rsidRDefault="00A91885">
            <w:pPr>
              <w:rPr>
                <w:rFonts w:ascii="宋体"/>
                <w:vanish/>
              </w:rPr>
            </w:pPr>
          </w:p>
        </w:tc>
      </w:tr>
      <w:tr w:rsidR="00A91885" w14:paraId="18601700" w14:textId="77777777">
        <w:tc>
          <w:tcPr>
            <w:tcW w:w="0" w:type="auto"/>
            <w:gridSpan w:val="3"/>
            <w:shd w:val="clear" w:color="auto" w:fill="FFFFFF"/>
            <w:tcMar>
              <w:top w:w="40" w:type="dxa"/>
              <w:left w:w="35" w:type="dxa"/>
              <w:bottom w:w="40" w:type="dxa"/>
              <w:right w:w="20" w:type="dxa"/>
            </w:tcMar>
            <w:vAlign w:val="bottom"/>
          </w:tcPr>
          <w:p w14:paraId="186016EE" w14:textId="77777777" w:rsidR="00A91885" w:rsidRDefault="009C4196">
            <w:pPr>
              <w:textAlignment w:val="bottom"/>
            </w:pPr>
            <w:r>
              <w:rPr>
                <w:rFonts w:ascii="Arial" w:eastAsia="宋体" w:hAnsi="Arial" w:cs="Arial"/>
                <w:color w:val="000000"/>
                <w:sz w:val="18"/>
                <w:szCs w:val="18"/>
              </w:rPr>
              <w:t>MS&amp;O revenues</w:t>
            </w:r>
          </w:p>
        </w:tc>
        <w:tc>
          <w:tcPr>
            <w:tcW w:w="0" w:type="auto"/>
            <w:gridSpan w:val="2"/>
            <w:shd w:val="clear" w:color="auto" w:fill="FFFFFF"/>
            <w:tcMar>
              <w:top w:w="40" w:type="dxa"/>
              <w:left w:w="20" w:type="dxa"/>
              <w:bottom w:w="40" w:type="dxa"/>
              <w:right w:w="0" w:type="dxa"/>
            </w:tcMar>
            <w:vAlign w:val="bottom"/>
          </w:tcPr>
          <w:p w14:paraId="186016EF" w14:textId="77777777" w:rsidR="00A91885" w:rsidRDefault="009C4196">
            <w:pPr>
              <w:jc w:val="right"/>
              <w:textAlignment w:val="bottom"/>
            </w:pPr>
            <w:r>
              <w:rPr>
                <w:rFonts w:ascii="Arial" w:eastAsia="宋体" w:hAnsi="Arial" w:cs="Arial"/>
                <w:color w:val="000000"/>
                <w:sz w:val="18"/>
                <w:szCs w:val="18"/>
              </w:rPr>
              <w:t>125 </w:t>
            </w:r>
          </w:p>
        </w:tc>
        <w:tc>
          <w:tcPr>
            <w:tcW w:w="0" w:type="auto"/>
            <w:shd w:val="clear" w:color="auto" w:fill="FFFFFF"/>
            <w:tcMar>
              <w:top w:w="40" w:type="dxa"/>
              <w:left w:w="0" w:type="dxa"/>
              <w:bottom w:w="40" w:type="dxa"/>
              <w:right w:w="20" w:type="dxa"/>
            </w:tcMar>
            <w:vAlign w:val="bottom"/>
          </w:tcPr>
          <w:p w14:paraId="186016F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6F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6F2" w14:textId="77777777" w:rsidR="00A91885" w:rsidRDefault="009C4196">
            <w:pPr>
              <w:jc w:val="right"/>
              <w:textAlignment w:val="bottom"/>
            </w:pPr>
            <w:r>
              <w:rPr>
                <w:rFonts w:ascii="Arial" w:eastAsia="宋体" w:hAnsi="Arial" w:cs="Arial"/>
                <w:color w:val="000000"/>
                <w:sz w:val="18"/>
                <w:szCs w:val="18"/>
              </w:rPr>
              <w:t>172 </w:t>
            </w:r>
          </w:p>
        </w:tc>
        <w:tc>
          <w:tcPr>
            <w:tcW w:w="0" w:type="auto"/>
            <w:shd w:val="clear" w:color="auto" w:fill="FFFFFF"/>
            <w:tcMar>
              <w:top w:w="40" w:type="dxa"/>
              <w:left w:w="0" w:type="dxa"/>
              <w:bottom w:w="40" w:type="dxa"/>
              <w:right w:w="20" w:type="dxa"/>
            </w:tcMar>
            <w:vAlign w:val="bottom"/>
          </w:tcPr>
          <w:p w14:paraId="186016F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6F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6F5" w14:textId="77777777" w:rsidR="00A91885" w:rsidRDefault="009C4196">
            <w:pPr>
              <w:jc w:val="right"/>
              <w:textAlignment w:val="bottom"/>
            </w:pPr>
            <w:r>
              <w:rPr>
                <w:rFonts w:ascii="Arial" w:eastAsia="宋体" w:hAnsi="Arial" w:cs="Arial"/>
                <w:color w:val="000000"/>
                <w:sz w:val="18"/>
                <w:szCs w:val="18"/>
              </w:rPr>
              <w:t>(27)</w:t>
            </w:r>
          </w:p>
        </w:tc>
        <w:tc>
          <w:tcPr>
            <w:tcW w:w="0" w:type="auto"/>
            <w:shd w:val="clear" w:color="auto" w:fill="FFFFFF"/>
            <w:tcMar>
              <w:top w:w="40" w:type="dxa"/>
              <w:left w:w="0" w:type="dxa"/>
              <w:bottom w:w="40" w:type="dxa"/>
              <w:right w:w="20" w:type="dxa"/>
            </w:tcMar>
            <w:vAlign w:val="bottom"/>
          </w:tcPr>
          <w:p w14:paraId="186016F6"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6F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6F8" w14:textId="77777777" w:rsidR="00A91885" w:rsidRDefault="009C4196">
            <w:pPr>
              <w:jc w:val="right"/>
              <w:textAlignment w:val="bottom"/>
            </w:pPr>
            <w:r>
              <w:rPr>
                <w:rFonts w:ascii="Arial" w:eastAsia="宋体" w:hAnsi="Arial" w:cs="Arial"/>
                <w:color w:val="000000"/>
                <w:sz w:val="18"/>
                <w:szCs w:val="18"/>
              </w:rPr>
              <w:t>253 </w:t>
            </w:r>
          </w:p>
        </w:tc>
        <w:tc>
          <w:tcPr>
            <w:tcW w:w="0" w:type="auto"/>
            <w:shd w:val="clear" w:color="auto" w:fill="FFFFFF"/>
            <w:tcMar>
              <w:top w:w="40" w:type="dxa"/>
              <w:left w:w="0" w:type="dxa"/>
              <w:bottom w:w="40" w:type="dxa"/>
              <w:right w:w="20" w:type="dxa"/>
            </w:tcMar>
            <w:vAlign w:val="bottom"/>
          </w:tcPr>
          <w:p w14:paraId="186016F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6F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6FB" w14:textId="77777777" w:rsidR="00A91885" w:rsidRDefault="009C4196">
            <w:pPr>
              <w:jc w:val="right"/>
              <w:textAlignment w:val="bottom"/>
            </w:pPr>
            <w:r>
              <w:rPr>
                <w:rFonts w:ascii="Arial" w:eastAsia="宋体" w:hAnsi="Arial" w:cs="Arial"/>
                <w:color w:val="000000"/>
                <w:sz w:val="18"/>
                <w:szCs w:val="18"/>
              </w:rPr>
              <w:t>334 </w:t>
            </w:r>
          </w:p>
        </w:tc>
        <w:tc>
          <w:tcPr>
            <w:tcW w:w="0" w:type="auto"/>
            <w:shd w:val="clear" w:color="auto" w:fill="FFFFFF"/>
            <w:tcMar>
              <w:top w:w="40" w:type="dxa"/>
              <w:left w:w="0" w:type="dxa"/>
              <w:bottom w:w="40" w:type="dxa"/>
              <w:right w:w="20" w:type="dxa"/>
            </w:tcMar>
            <w:vAlign w:val="bottom"/>
          </w:tcPr>
          <w:p w14:paraId="186016F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6FD"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6FE" w14:textId="77777777" w:rsidR="00A91885" w:rsidRDefault="009C4196">
            <w:pPr>
              <w:jc w:val="right"/>
              <w:textAlignment w:val="bottom"/>
            </w:pPr>
            <w:r>
              <w:rPr>
                <w:rFonts w:ascii="Arial" w:eastAsia="宋体" w:hAnsi="Arial" w:cs="Arial"/>
                <w:color w:val="000000"/>
                <w:sz w:val="18"/>
                <w:szCs w:val="18"/>
              </w:rPr>
              <w:t>(24)</w:t>
            </w:r>
          </w:p>
        </w:tc>
        <w:tc>
          <w:tcPr>
            <w:tcW w:w="0" w:type="auto"/>
            <w:shd w:val="clear" w:color="auto" w:fill="FFFFFF"/>
            <w:tcMar>
              <w:top w:w="40" w:type="dxa"/>
              <w:left w:w="0" w:type="dxa"/>
              <w:bottom w:w="40" w:type="dxa"/>
              <w:right w:w="20" w:type="dxa"/>
            </w:tcMar>
            <w:vAlign w:val="bottom"/>
          </w:tcPr>
          <w:p w14:paraId="186016FF" w14:textId="77777777" w:rsidR="00A91885" w:rsidRDefault="009C4196">
            <w:pPr>
              <w:jc w:val="right"/>
              <w:textAlignment w:val="bottom"/>
            </w:pPr>
            <w:r>
              <w:rPr>
                <w:rFonts w:ascii="Arial" w:eastAsia="宋体" w:hAnsi="Arial" w:cs="Arial"/>
                <w:color w:val="000000"/>
                <w:sz w:val="18"/>
                <w:szCs w:val="18"/>
              </w:rPr>
              <w:t>%</w:t>
            </w:r>
          </w:p>
        </w:tc>
      </w:tr>
      <w:tr w:rsidR="00A91885" w14:paraId="1860170D" w14:textId="77777777">
        <w:trPr>
          <w:hidden/>
        </w:trPr>
        <w:tc>
          <w:tcPr>
            <w:tcW w:w="0" w:type="auto"/>
            <w:gridSpan w:val="3"/>
            <w:shd w:val="clear" w:color="auto" w:fill="auto"/>
            <w:vAlign w:val="bottom"/>
          </w:tcPr>
          <w:p w14:paraId="18601701" w14:textId="77777777" w:rsidR="00A91885" w:rsidRDefault="00A91885">
            <w:pPr>
              <w:rPr>
                <w:rFonts w:ascii="宋体"/>
                <w:vanish/>
              </w:rPr>
            </w:pPr>
          </w:p>
        </w:tc>
        <w:tc>
          <w:tcPr>
            <w:tcW w:w="0" w:type="auto"/>
            <w:gridSpan w:val="3"/>
            <w:shd w:val="clear" w:color="auto" w:fill="auto"/>
            <w:vAlign w:val="bottom"/>
          </w:tcPr>
          <w:p w14:paraId="18601702" w14:textId="77777777" w:rsidR="00A91885" w:rsidRDefault="00A91885">
            <w:pPr>
              <w:rPr>
                <w:rFonts w:ascii="宋体"/>
                <w:vanish/>
              </w:rPr>
            </w:pPr>
          </w:p>
        </w:tc>
        <w:tc>
          <w:tcPr>
            <w:tcW w:w="0" w:type="auto"/>
            <w:gridSpan w:val="3"/>
            <w:shd w:val="clear" w:color="auto" w:fill="auto"/>
            <w:vAlign w:val="bottom"/>
          </w:tcPr>
          <w:p w14:paraId="18601703" w14:textId="77777777" w:rsidR="00A91885" w:rsidRDefault="00A91885">
            <w:pPr>
              <w:rPr>
                <w:rFonts w:ascii="宋体"/>
                <w:vanish/>
              </w:rPr>
            </w:pPr>
          </w:p>
        </w:tc>
        <w:tc>
          <w:tcPr>
            <w:tcW w:w="0" w:type="auto"/>
            <w:gridSpan w:val="3"/>
            <w:shd w:val="clear" w:color="auto" w:fill="auto"/>
            <w:vAlign w:val="bottom"/>
          </w:tcPr>
          <w:p w14:paraId="18601704" w14:textId="77777777" w:rsidR="00A91885" w:rsidRDefault="00A91885">
            <w:pPr>
              <w:rPr>
                <w:rFonts w:ascii="宋体"/>
                <w:vanish/>
              </w:rPr>
            </w:pPr>
          </w:p>
        </w:tc>
        <w:tc>
          <w:tcPr>
            <w:tcW w:w="0" w:type="auto"/>
            <w:gridSpan w:val="3"/>
            <w:shd w:val="clear" w:color="auto" w:fill="auto"/>
            <w:vAlign w:val="bottom"/>
          </w:tcPr>
          <w:p w14:paraId="18601705" w14:textId="77777777" w:rsidR="00A91885" w:rsidRDefault="00A91885">
            <w:pPr>
              <w:rPr>
                <w:rFonts w:ascii="宋体"/>
                <w:vanish/>
              </w:rPr>
            </w:pPr>
          </w:p>
        </w:tc>
        <w:tc>
          <w:tcPr>
            <w:tcW w:w="0" w:type="auto"/>
            <w:gridSpan w:val="3"/>
            <w:shd w:val="clear" w:color="auto" w:fill="auto"/>
            <w:vAlign w:val="bottom"/>
          </w:tcPr>
          <w:p w14:paraId="18601706" w14:textId="77777777" w:rsidR="00A91885" w:rsidRDefault="00A91885">
            <w:pPr>
              <w:rPr>
                <w:rFonts w:ascii="宋体"/>
                <w:vanish/>
              </w:rPr>
            </w:pPr>
          </w:p>
        </w:tc>
        <w:tc>
          <w:tcPr>
            <w:tcW w:w="0" w:type="auto"/>
            <w:gridSpan w:val="3"/>
            <w:shd w:val="clear" w:color="auto" w:fill="auto"/>
            <w:vAlign w:val="bottom"/>
          </w:tcPr>
          <w:p w14:paraId="18601707" w14:textId="77777777" w:rsidR="00A91885" w:rsidRDefault="00A91885">
            <w:pPr>
              <w:rPr>
                <w:rFonts w:ascii="宋体"/>
                <w:vanish/>
              </w:rPr>
            </w:pPr>
          </w:p>
        </w:tc>
        <w:tc>
          <w:tcPr>
            <w:tcW w:w="0" w:type="auto"/>
            <w:gridSpan w:val="3"/>
            <w:shd w:val="clear" w:color="auto" w:fill="auto"/>
            <w:vAlign w:val="bottom"/>
          </w:tcPr>
          <w:p w14:paraId="18601708" w14:textId="77777777" w:rsidR="00A91885" w:rsidRDefault="00A91885">
            <w:pPr>
              <w:rPr>
                <w:rFonts w:ascii="宋体"/>
                <w:vanish/>
              </w:rPr>
            </w:pPr>
          </w:p>
        </w:tc>
        <w:tc>
          <w:tcPr>
            <w:tcW w:w="0" w:type="auto"/>
            <w:gridSpan w:val="3"/>
            <w:shd w:val="clear" w:color="auto" w:fill="auto"/>
            <w:vAlign w:val="bottom"/>
          </w:tcPr>
          <w:p w14:paraId="18601709" w14:textId="77777777" w:rsidR="00A91885" w:rsidRDefault="00A91885">
            <w:pPr>
              <w:rPr>
                <w:rFonts w:ascii="宋体"/>
                <w:vanish/>
              </w:rPr>
            </w:pPr>
          </w:p>
        </w:tc>
        <w:tc>
          <w:tcPr>
            <w:tcW w:w="0" w:type="auto"/>
            <w:gridSpan w:val="3"/>
            <w:shd w:val="clear" w:color="auto" w:fill="auto"/>
            <w:vAlign w:val="bottom"/>
          </w:tcPr>
          <w:p w14:paraId="1860170A" w14:textId="77777777" w:rsidR="00A91885" w:rsidRDefault="00A91885">
            <w:pPr>
              <w:rPr>
                <w:rFonts w:ascii="宋体"/>
                <w:vanish/>
              </w:rPr>
            </w:pPr>
          </w:p>
        </w:tc>
        <w:tc>
          <w:tcPr>
            <w:tcW w:w="0" w:type="auto"/>
            <w:gridSpan w:val="3"/>
            <w:shd w:val="clear" w:color="auto" w:fill="auto"/>
            <w:vAlign w:val="bottom"/>
          </w:tcPr>
          <w:p w14:paraId="1860170B" w14:textId="77777777" w:rsidR="00A91885" w:rsidRDefault="00A91885">
            <w:pPr>
              <w:rPr>
                <w:rFonts w:ascii="宋体"/>
                <w:vanish/>
              </w:rPr>
            </w:pPr>
          </w:p>
        </w:tc>
        <w:tc>
          <w:tcPr>
            <w:tcW w:w="0" w:type="auto"/>
            <w:gridSpan w:val="3"/>
            <w:shd w:val="clear" w:color="auto" w:fill="auto"/>
            <w:vAlign w:val="bottom"/>
          </w:tcPr>
          <w:p w14:paraId="1860170C" w14:textId="77777777" w:rsidR="00A91885" w:rsidRDefault="00A91885">
            <w:pPr>
              <w:rPr>
                <w:rFonts w:ascii="宋体"/>
                <w:vanish/>
              </w:rPr>
            </w:pPr>
          </w:p>
        </w:tc>
      </w:tr>
      <w:tr w:rsidR="00A91885" w14:paraId="1860171A" w14:textId="77777777">
        <w:trPr>
          <w:hidden/>
        </w:trPr>
        <w:tc>
          <w:tcPr>
            <w:tcW w:w="0" w:type="auto"/>
            <w:gridSpan w:val="3"/>
            <w:shd w:val="clear" w:color="auto" w:fill="auto"/>
            <w:vAlign w:val="bottom"/>
          </w:tcPr>
          <w:p w14:paraId="1860170E" w14:textId="77777777" w:rsidR="00A91885" w:rsidRDefault="00A91885">
            <w:pPr>
              <w:rPr>
                <w:rFonts w:ascii="宋体"/>
                <w:vanish/>
              </w:rPr>
            </w:pPr>
          </w:p>
        </w:tc>
        <w:tc>
          <w:tcPr>
            <w:tcW w:w="0" w:type="auto"/>
            <w:gridSpan w:val="3"/>
            <w:shd w:val="clear" w:color="auto" w:fill="auto"/>
            <w:vAlign w:val="bottom"/>
          </w:tcPr>
          <w:p w14:paraId="1860170F" w14:textId="77777777" w:rsidR="00A91885" w:rsidRDefault="00A91885">
            <w:pPr>
              <w:rPr>
                <w:rFonts w:ascii="宋体"/>
                <w:vanish/>
              </w:rPr>
            </w:pPr>
          </w:p>
        </w:tc>
        <w:tc>
          <w:tcPr>
            <w:tcW w:w="0" w:type="auto"/>
            <w:gridSpan w:val="3"/>
            <w:shd w:val="clear" w:color="auto" w:fill="auto"/>
            <w:vAlign w:val="bottom"/>
          </w:tcPr>
          <w:p w14:paraId="18601710" w14:textId="77777777" w:rsidR="00A91885" w:rsidRDefault="00A91885">
            <w:pPr>
              <w:rPr>
                <w:rFonts w:ascii="宋体"/>
                <w:vanish/>
              </w:rPr>
            </w:pPr>
          </w:p>
        </w:tc>
        <w:tc>
          <w:tcPr>
            <w:tcW w:w="0" w:type="auto"/>
            <w:gridSpan w:val="3"/>
            <w:shd w:val="clear" w:color="auto" w:fill="auto"/>
            <w:vAlign w:val="bottom"/>
          </w:tcPr>
          <w:p w14:paraId="18601711" w14:textId="77777777" w:rsidR="00A91885" w:rsidRDefault="00A91885">
            <w:pPr>
              <w:rPr>
                <w:rFonts w:ascii="宋体"/>
                <w:vanish/>
              </w:rPr>
            </w:pPr>
          </w:p>
        </w:tc>
        <w:tc>
          <w:tcPr>
            <w:tcW w:w="0" w:type="auto"/>
            <w:gridSpan w:val="3"/>
            <w:shd w:val="clear" w:color="auto" w:fill="auto"/>
            <w:vAlign w:val="bottom"/>
          </w:tcPr>
          <w:p w14:paraId="18601712" w14:textId="77777777" w:rsidR="00A91885" w:rsidRDefault="00A91885">
            <w:pPr>
              <w:rPr>
                <w:rFonts w:ascii="宋体"/>
                <w:vanish/>
              </w:rPr>
            </w:pPr>
          </w:p>
        </w:tc>
        <w:tc>
          <w:tcPr>
            <w:tcW w:w="0" w:type="auto"/>
            <w:gridSpan w:val="3"/>
            <w:shd w:val="clear" w:color="auto" w:fill="auto"/>
            <w:vAlign w:val="bottom"/>
          </w:tcPr>
          <w:p w14:paraId="18601713" w14:textId="77777777" w:rsidR="00A91885" w:rsidRDefault="00A91885">
            <w:pPr>
              <w:rPr>
                <w:rFonts w:ascii="宋体"/>
                <w:vanish/>
              </w:rPr>
            </w:pPr>
          </w:p>
        </w:tc>
        <w:tc>
          <w:tcPr>
            <w:tcW w:w="0" w:type="auto"/>
            <w:gridSpan w:val="3"/>
            <w:shd w:val="clear" w:color="auto" w:fill="auto"/>
            <w:vAlign w:val="bottom"/>
          </w:tcPr>
          <w:p w14:paraId="18601714" w14:textId="77777777" w:rsidR="00A91885" w:rsidRDefault="00A91885">
            <w:pPr>
              <w:rPr>
                <w:rFonts w:ascii="宋体"/>
                <w:vanish/>
              </w:rPr>
            </w:pPr>
          </w:p>
        </w:tc>
        <w:tc>
          <w:tcPr>
            <w:tcW w:w="0" w:type="auto"/>
            <w:gridSpan w:val="3"/>
            <w:shd w:val="clear" w:color="auto" w:fill="auto"/>
            <w:vAlign w:val="bottom"/>
          </w:tcPr>
          <w:p w14:paraId="18601715" w14:textId="77777777" w:rsidR="00A91885" w:rsidRDefault="00A91885">
            <w:pPr>
              <w:rPr>
                <w:rFonts w:ascii="宋体"/>
                <w:vanish/>
              </w:rPr>
            </w:pPr>
          </w:p>
        </w:tc>
        <w:tc>
          <w:tcPr>
            <w:tcW w:w="0" w:type="auto"/>
            <w:gridSpan w:val="3"/>
            <w:shd w:val="clear" w:color="auto" w:fill="auto"/>
            <w:vAlign w:val="bottom"/>
          </w:tcPr>
          <w:p w14:paraId="18601716" w14:textId="77777777" w:rsidR="00A91885" w:rsidRDefault="00A91885">
            <w:pPr>
              <w:rPr>
                <w:rFonts w:ascii="宋体"/>
                <w:vanish/>
              </w:rPr>
            </w:pPr>
          </w:p>
        </w:tc>
        <w:tc>
          <w:tcPr>
            <w:tcW w:w="0" w:type="auto"/>
            <w:gridSpan w:val="3"/>
            <w:shd w:val="clear" w:color="auto" w:fill="auto"/>
            <w:vAlign w:val="bottom"/>
          </w:tcPr>
          <w:p w14:paraId="18601717" w14:textId="77777777" w:rsidR="00A91885" w:rsidRDefault="00A91885">
            <w:pPr>
              <w:rPr>
                <w:rFonts w:ascii="宋体"/>
                <w:vanish/>
              </w:rPr>
            </w:pPr>
          </w:p>
        </w:tc>
        <w:tc>
          <w:tcPr>
            <w:tcW w:w="0" w:type="auto"/>
            <w:gridSpan w:val="3"/>
            <w:shd w:val="clear" w:color="auto" w:fill="auto"/>
            <w:vAlign w:val="bottom"/>
          </w:tcPr>
          <w:p w14:paraId="18601718" w14:textId="77777777" w:rsidR="00A91885" w:rsidRDefault="00A91885">
            <w:pPr>
              <w:rPr>
                <w:rFonts w:ascii="宋体"/>
                <w:vanish/>
              </w:rPr>
            </w:pPr>
          </w:p>
        </w:tc>
        <w:tc>
          <w:tcPr>
            <w:tcW w:w="0" w:type="auto"/>
            <w:gridSpan w:val="3"/>
            <w:shd w:val="clear" w:color="auto" w:fill="auto"/>
            <w:vAlign w:val="bottom"/>
          </w:tcPr>
          <w:p w14:paraId="18601719" w14:textId="77777777" w:rsidR="00A91885" w:rsidRDefault="00A91885">
            <w:pPr>
              <w:rPr>
                <w:rFonts w:ascii="宋体"/>
                <w:vanish/>
              </w:rPr>
            </w:pPr>
          </w:p>
        </w:tc>
      </w:tr>
      <w:tr w:rsidR="00A91885" w14:paraId="18601727" w14:textId="77777777">
        <w:trPr>
          <w:hidden/>
        </w:trPr>
        <w:tc>
          <w:tcPr>
            <w:tcW w:w="0" w:type="auto"/>
            <w:gridSpan w:val="3"/>
            <w:shd w:val="clear" w:color="auto" w:fill="auto"/>
            <w:vAlign w:val="bottom"/>
          </w:tcPr>
          <w:p w14:paraId="1860171B" w14:textId="77777777" w:rsidR="00A91885" w:rsidRDefault="00A91885">
            <w:pPr>
              <w:rPr>
                <w:rFonts w:ascii="宋体"/>
                <w:vanish/>
              </w:rPr>
            </w:pPr>
          </w:p>
        </w:tc>
        <w:tc>
          <w:tcPr>
            <w:tcW w:w="0" w:type="auto"/>
            <w:gridSpan w:val="3"/>
            <w:shd w:val="clear" w:color="auto" w:fill="auto"/>
            <w:vAlign w:val="bottom"/>
          </w:tcPr>
          <w:p w14:paraId="1860171C" w14:textId="77777777" w:rsidR="00A91885" w:rsidRDefault="00A91885">
            <w:pPr>
              <w:rPr>
                <w:rFonts w:ascii="宋体"/>
                <w:vanish/>
              </w:rPr>
            </w:pPr>
          </w:p>
        </w:tc>
        <w:tc>
          <w:tcPr>
            <w:tcW w:w="0" w:type="auto"/>
            <w:gridSpan w:val="3"/>
            <w:shd w:val="clear" w:color="auto" w:fill="auto"/>
            <w:vAlign w:val="bottom"/>
          </w:tcPr>
          <w:p w14:paraId="1860171D" w14:textId="77777777" w:rsidR="00A91885" w:rsidRDefault="00A91885">
            <w:pPr>
              <w:rPr>
                <w:rFonts w:ascii="宋体"/>
                <w:vanish/>
              </w:rPr>
            </w:pPr>
          </w:p>
        </w:tc>
        <w:tc>
          <w:tcPr>
            <w:tcW w:w="0" w:type="auto"/>
            <w:gridSpan w:val="3"/>
            <w:shd w:val="clear" w:color="auto" w:fill="auto"/>
            <w:vAlign w:val="bottom"/>
          </w:tcPr>
          <w:p w14:paraId="1860171E" w14:textId="77777777" w:rsidR="00A91885" w:rsidRDefault="00A91885">
            <w:pPr>
              <w:rPr>
                <w:rFonts w:ascii="宋体"/>
                <w:vanish/>
              </w:rPr>
            </w:pPr>
          </w:p>
        </w:tc>
        <w:tc>
          <w:tcPr>
            <w:tcW w:w="0" w:type="auto"/>
            <w:gridSpan w:val="3"/>
            <w:shd w:val="clear" w:color="auto" w:fill="auto"/>
            <w:vAlign w:val="bottom"/>
          </w:tcPr>
          <w:p w14:paraId="1860171F" w14:textId="77777777" w:rsidR="00A91885" w:rsidRDefault="00A91885">
            <w:pPr>
              <w:rPr>
                <w:rFonts w:ascii="宋体"/>
                <w:vanish/>
              </w:rPr>
            </w:pPr>
          </w:p>
        </w:tc>
        <w:tc>
          <w:tcPr>
            <w:tcW w:w="0" w:type="auto"/>
            <w:gridSpan w:val="3"/>
            <w:shd w:val="clear" w:color="auto" w:fill="auto"/>
            <w:vAlign w:val="bottom"/>
          </w:tcPr>
          <w:p w14:paraId="18601720" w14:textId="77777777" w:rsidR="00A91885" w:rsidRDefault="00A91885">
            <w:pPr>
              <w:rPr>
                <w:rFonts w:ascii="宋体"/>
                <w:vanish/>
              </w:rPr>
            </w:pPr>
          </w:p>
        </w:tc>
        <w:tc>
          <w:tcPr>
            <w:tcW w:w="0" w:type="auto"/>
            <w:gridSpan w:val="3"/>
            <w:shd w:val="clear" w:color="auto" w:fill="auto"/>
            <w:vAlign w:val="bottom"/>
          </w:tcPr>
          <w:p w14:paraId="18601721" w14:textId="77777777" w:rsidR="00A91885" w:rsidRDefault="00A91885">
            <w:pPr>
              <w:rPr>
                <w:rFonts w:ascii="宋体"/>
                <w:vanish/>
              </w:rPr>
            </w:pPr>
          </w:p>
        </w:tc>
        <w:tc>
          <w:tcPr>
            <w:tcW w:w="0" w:type="auto"/>
            <w:gridSpan w:val="3"/>
            <w:shd w:val="clear" w:color="auto" w:fill="auto"/>
            <w:vAlign w:val="bottom"/>
          </w:tcPr>
          <w:p w14:paraId="18601722" w14:textId="77777777" w:rsidR="00A91885" w:rsidRDefault="00A91885">
            <w:pPr>
              <w:rPr>
                <w:rFonts w:ascii="宋体"/>
                <w:vanish/>
              </w:rPr>
            </w:pPr>
          </w:p>
        </w:tc>
        <w:tc>
          <w:tcPr>
            <w:tcW w:w="0" w:type="auto"/>
            <w:gridSpan w:val="3"/>
            <w:shd w:val="clear" w:color="auto" w:fill="auto"/>
            <w:vAlign w:val="bottom"/>
          </w:tcPr>
          <w:p w14:paraId="18601723" w14:textId="77777777" w:rsidR="00A91885" w:rsidRDefault="00A91885">
            <w:pPr>
              <w:rPr>
                <w:rFonts w:ascii="宋体"/>
                <w:vanish/>
              </w:rPr>
            </w:pPr>
          </w:p>
        </w:tc>
        <w:tc>
          <w:tcPr>
            <w:tcW w:w="0" w:type="auto"/>
            <w:gridSpan w:val="3"/>
            <w:shd w:val="clear" w:color="auto" w:fill="auto"/>
            <w:vAlign w:val="bottom"/>
          </w:tcPr>
          <w:p w14:paraId="18601724" w14:textId="77777777" w:rsidR="00A91885" w:rsidRDefault="00A91885">
            <w:pPr>
              <w:rPr>
                <w:rFonts w:ascii="宋体"/>
                <w:vanish/>
              </w:rPr>
            </w:pPr>
          </w:p>
        </w:tc>
        <w:tc>
          <w:tcPr>
            <w:tcW w:w="0" w:type="auto"/>
            <w:gridSpan w:val="3"/>
            <w:shd w:val="clear" w:color="auto" w:fill="auto"/>
            <w:vAlign w:val="bottom"/>
          </w:tcPr>
          <w:p w14:paraId="18601725" w14:textId="77777777" w:rsidR="00A91885" w:rsidRDefault="00A91885">
            <w:pPr>
              <w:rPr>
                <w:rFonts w:ascii="宋体"/>
                <w:vanish/>
              </w:rPr>
            </w:pPr>
          </w:p>
        </w:tc>
        <w:tc>
          <w:tcPr>
            <w:tcW w:w="0" w:type="auto"/>
            <w:gridSpan w:val="3"/>
            <w:shd w:val="clear" w:color="auto" w:fill="auto"/>
            <w:vAlign w:val="bottom"/>
          </w:tcPr>
          <w:p w14:paraId="18601726" w14:textId="77777777" w:rsidR="00A91885" w:rsidRDefault="00A91885">
            <w:pPr>
              <w:rPr>
                <w:rFonts w:ascii="宋体"/>
                <w:vanish/>
              </w:rPr>
            </w:pPr>
          </w:p>
        </w:tc>
      </w:tr>
      <w:tr w:rsidR="00A91885" w14:paraId="18601734" w14:textId="77777777">
        <w:trPr>
          <w:hidden/>
        </w:trPr>
        <w:tc>
          <w:tcPr>
            <w:tcW w:w="0" w:type="auto"/>
            <w:gridSpan w:val="3"/>
            <w:shd w:val="clear" w:color="auto" w:fill="auto"/>
            <w:vAlign w:val="bottom"/>
          </w:tcPr>
          <w:p w14:paraId="18601728" w14:textId="77777777" w:rsidR="00A91885" w:rsidRDefault="00A91885">
            <w:pPr>
              <w:rPr>
                <w:rFonts w:ascii="宋体"/>
                <w:vanish/>
              </w:rPr>
            </w:pPr>
          </w:p>
        </w:tc>
        <w:tc>
          <w:tcPr>
            <w:tcW w:w="0" w:type="auto"/>
            <w:gridSpan w:val="3"/>
            <w:shd w:val="clear" w:color="auto" w:fill="auto"/>
            <w:vAlign w:val="bottom"/>
          </w:tcPr>
          <w:p w14:paraId="18601729" w14:textId="77777777" w:rsidR="00A91885" w:rsidRDefault="00A91885">
            <w:pPr>
              <w:rPr>
                <w:rFonts w:ascii="宋体"/>
                <w:vanish/>
              </w:rPr>
            </w:pPr>
          </w:p>
        </w:tc>
        <w:tc>
          <w:tcPr>
            <w:tcW w:w="0" w:type="auto"/>
            <w:gridSpan w:val="3"/>
            <w:shd w:val="clear" w:color="auto" w:fill="auto"/>
            <w:vAlign w:val="bottom"/>
          </w:tcPr>
          <w:p w14:paraId="1860172A" w14:textId="77777777" w:rsidR="00A91885" w:rsidRDefault="00A91885">
            <w:pPr>
              <w:rPr>
                <w:rFonts w:ascii="宋体"/>
                <w:vanish/>
              </w:rPr>
            </w:pPr>
          </w:p>
        </w:tc>
        <w:tc>
          <w:tcPr>
            <w:tcW w:w="0" w:type="auto"/>
            <w:gridSpan w:val="3"/>
            <w:shd w:val="clear" w:color="auto" w:fill="auto"/>
            <w:vAlign w:val="bottom"/>
          </w:tcPr>
          <w:p w14:paraId="1860172B" w14:textId="77777777" w:rsidR="00A91885" w:rsidRDefault="00A91885">
            <w:pPr>
              <w:rPr>
                <w:rFonts w:ascii="宋体"/>
                <w:vanish/>
              </w:rPr>
            </w:pPr>
          </w:p>
        </w:tc>
        <w:tc>
          <w:tcPr>
            <w:tcW w:w="0" w:type="auto"/>
            <w:gridSpan w:val="3"/>
            <w:shd w:val="clear" w:color="auto" w:fill="auto"/>
            <w:vAlign w:val="bottom"/>
          </w:tcPr>
          <w:p w14:paraId="1860172C" w14:textId="77777777" w:rsidR="00A91885" w:rsidRDefault="00A91885">
            <w:pPr>
              <w:rPr>
                <w:rFonts w:ascii="宋体"/>
                <w:vanish/>
              </w:rPr>
            </w:pPr>
          </w:p>
        </w:tc>
        <w:tc>
          <w:tcPr>
            <w:tcW w:w="0" w:type="auto"/>
            <w:gridSpan w:val="3"/>
            <w:shd w:val="clear" w:color="auto" w:fill="auto"/>
            <w:vAlign w:val="bottom"/>
          </w:tcPr>
          <w:p w14:paraId="1860172D" w14:textId="77777777" w:rsidR="00A91885" w:rsidRDefault="00A91885">
            <w:pPr>
              <w:rPr>
                <w:rFonts w:ascii="宋体"/>
                <w:vanish/>
              </w:rPr>
            </w:pPr>
          </w:p>
        </w:tc>
        <w:tc>
          <w:tcPr>
            <w:tcW w:w="0" w:type="auto"/>
            <w:gridSpan w:val="3"/>
            <w:shd w:val="clear" w:color="auto" w:fill="auto"/>
            <w:vAlign w:val="bottom"/>
          </w:tcPr>
          <w:p w14:paraId="1860172E" w14:textId="77777777" w:rsidR="00A91885" w:rsidRDefault="00A91885">
            <w:pPr>
              <w:rPr>
                <w:rFonts w:ascii="宋体"/>
                <w:vanish/>
              </w:rPr>
            </w:pPr>
          </w:p>
        </w:tc>
        <w:tc>
          <w:tcPr>
            <w:tcW w:w="0" w:type="auto"/>
            <w:gridSpan w:val="3"/>
            <w:shd w:val="clear" w:color="auto" w:fill="auto"/>
            <w:vAlign w:val="bottom"/>
          </w:tcPr>
          <w:p w14:paraId="1860172F" w14:textId="77777777" w:rsidR="00A91885" w:rsidRDefault="00A91885">
            <w:pPr>
              <w:rPr>
                <w:rFonts w:ascii="宋体"/>
                <w:vanish/>
              </w:rPr>
            </w:pPr>
          </w:p>
        </w:tc>
        <w:tc>
          <w:tcPr>
            <w:tcW w:w="0" w:type="auto"/>
            <w:gridSpan w:val="3"/>
            <w:shd w:val="clear" w:color="auto" w:fill="auto"/>
            <w:vAlign w:val="bottom"/>
          </w:tcPr>
          <w:p w14:paraId="18601730" w14:textId="77777777" w:rsidR="00A91885" w:rsidRDefault="00A91885">
            <w:pPr>
              <w:rPr>
                <w:rFonts w:ascii="宋体"/>
                <w:vanish/>
              </w:rPr>
            </w:pPr>
          </w:p>
        </w:tc>
        <w:tc>
          <w:tcPr>
            <w:tcW w:w="0" w:type="auto"/>
            <w:gridSpan w:val="3"/>
            <w:shd w:val="clear" w:color="auto" w:fill="auto"/>
            <w:vAlign w:val="bottom"/>
          </w:tcPr>
          <w:p w14:paraId="18601731" w14:textId="77777777" w:rsidR="00A91885" w:rsidRDefault="00A91885">
            <w:pPr>
              <w:rPr>
                <w:rFonts w:ascii="宋体"/>
                <w:vanish/>
              </w:rPr>
            </w:pPr>
          </w:p>
        </w:tc>
        <w:tc>
          <w:tcPr>
            <w:tcW w:w="0" w:type="auto"/>
            <w:gridSpan w:val="3"/>
            <w:shd w:val="clear" w:color="auto" w:fill="auto"/>
            <w:vAlign w:val="bottom"/>
          </w:tcPr>
          <w:p w14:paraId="18601732" w14:textId="77777777" w:rsidR="00A91885" w:rsidRDefault="00A91885">
            <w:pPr>
              <w:rPr>
                <w:rFonts w:ascii="宋体"/>
                <w:vanish/>
              </w:rPr>
            </w:pPr>
          </w:p>
        </w:tc>
        <w:tc>
          <w:tcPr>
            <w:tcW w:w="0" w:type="auto"/>
            <w:gridSpan w:val="3"/>
            <w:shd w:val="clear" w:color="auto" w:fill="auto"/>
            <w:vAlign w:val="bottom"/>
          </w:tcPr>
          <w:p w14:paraId="18601733" w14:textId="77777777" w:rsidR="00A91885" w:rsidRDefault="00A91885">
            <w:pPr>
              <w:rPr>
                <w:rFonts w:ascii="宋体"/>
                <w:vanish/>
              </w:rPr>
            </w:pPr>
          </w:p>
        </w:tc>
      </w:tr>
      <w:tr w:rsidR="00A91885" w14:paraId="1860174B" w14:textId="77777777">
        <w:tc>
          <w:tcPr>
            <w:tcW w:w="0" w:type="auto"/>
            <w:gridSpan w:val="3"/>
            <w:shd w:val="clear" w:color="auto" w:fill="DBDBDB"/>
            <w:tcMar>
              <w:top w:w="40" w:type="dxa"/>
              <w:left w:w="260" w:type="dxa"/>
              <w:bottom w:w="40" w:type="dxa"/>
              <w:right w:w="20" w:type="dxa"/>
            </w:tcMar>
            <w:vAlign w:val="bottom"/>
          </w:tcPr>
          <w:p w14:paraId="18601735" w14:textId="77777777" w:rsidR="00A91885" w:rsidRDefault="009C4196">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860173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8601737" w14:textId="77777777" w:rsidR="00A91885" w:rsidRDefault="009C4196">
            <w:pPr>
              <w:jc w:val="right"/>
              <w:textAlignment w:val="bottom"/>
            </w:pPr>
            <w:r>
              <w:rPr>
                <w:rFonts w:ascii="Arial" w:eastAsia="宋体" w:hAnsi="Arial" w:cs="Arial"/>
                <w:color w:val="000000"/>
                <w:sz w:val="18"/>
                <w:szCs w:val="18"/>
              </w:rPr>
              <w:t>2,422 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8601738"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1739" w14:textId="77777777" w:rsidR="00A91885" w:rsidRDefault="00A91885">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860173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860173B" w14:textId="77777777" w:rsidR="00A91885" w:rsidRDefault="009C4196">
            <w:pPr>
              <w:jc w:val="right"/>
              <w:textAlignment w:val="bottom"/>
            </w:pPr>
            <w:r>
              <w:rPr>
                <w:rFonts w:ascii="Arial" w:eastAsia="宋体" w:hAnsi="Arial" w:cs="Arial"/>
                <w:color w:val="000000"/>
                <w:sz w:val="18"/>
                <w:szCs w:val="18"/>
              </w:rPr>
              <w:t>2,668 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860173C"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173D"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173E" w14:textId="77777777" w:rsidR="00A91885" w:rsidRDefault="009C4196">
            <w:pPr>
              <w:jc w:val="right"/>
              <w:textAlignment w:val="bottom"/>
            </w:pPr>
            <w:r>
              <w:rPr>
                <w:rFonts w:ascii="Arial" w:eastAsia="宋体" w:hAnsi="Arial" w:cs="Arial"/>
                <w:color w:val="000000"/>
                <w:sz w:val="18"/>
                <w:szCs w:val="18"/>
              </w:rPr>
              <w:t>(9)</w:t>
            </w:r>
          </w:p>
        </w:tc>
        <w:tc>
          <w:tcPr>
            <w:tcW w:w="0" w:type="auto"/>
            <w:shd w:val="clear" w:color="auto" w:fill="DBDBDB"/>
            <w:tcMar>
              <w:top w:w="40" w:type="dxa"/>
              <w:left w:w="0" w:type="dxa"/>
              <w:bottom w:w="40" w:type="dxa"/>
              <w:right w:w="20" w:type="dxa"/>
            </w:tcMar>
            <w:vAlign w:val="bottom"/>
          </w:tcPr>
          <w:p w14:paraId="1860173F"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DBDBDB"/>
            <w:tcMar>
              <w:top w:w="0" w:type="dxa"/>
              <w:left w:w="20" w:type="dxa"/>
              <w:bottom w:w="0" w:type="dxa"/>
              <w:right w:w="20" w:type="dxa"/>
            </w:tcMar>
            <w:vAlign w:val="bottom"/>
          </w:tcPr>
          <w:p w14:paraId="18601740" w14:textId="77777777" w:rsidR="00A91885" w:rsidRDefault="00A91885">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860174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8601742" w14:textId="77777777" w:rsidR="00A91885" w:rsidRDefault="009C4196">
            <w:pPr>
              <w:jc w:val="right"/>
              <w:textAlignment w:val="bottom"/>
            </w:pPr>
            <w:r>
              <w:rPr>
                <w:rFonts w:ascii="Arial" w:eastAsia="宋体" w:hAnsi="Arial" w:cs="Arial"/>
                <w:color w:val="000000"/>
                <w:sz w:val="18"/>
                <w:szCs w:val="18"/>
              </w:rPr>
              <w:t>4,905 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8601743"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1744" w14:textId="77777777" w:rsidR="00A91885" w:rsidRDefault="00A91885">
            <w:pPr>
              <w:rPr>
                <w:rFonts w:ascii="宋体"/>
              </w:rPr>
            </w:pPr>
          </w:p>
        </w:tc>
        <w:tc>
          <w:tcPr>
            <w:tcW w:w="0" w:type="auto"/>
            <w:tcBorders>
              <w:top w:val="single" w:sz="8" w:space="0" w:color="000000"/>
              <w:bottom w:val="double" w:sz="6" w:space="0" w:color="000000"/>
            </w:tcBorders>
            <w:shd w:val="clear" w:color="auto" w:fill="DBDBDB"/>
            <w:tcMar>
              <w:top w:w="40" w:type="dxa"/>
              <w:left w:w="20" w:type="dxa"/>
              <w:bottom w:w="40" w:type="dxa"/>
              <w:right w:w="0" w:type="dxa"/>
            </w:tcMar>
            <w:vAlign w:val="bottom"/>
          </w:tcPr>
          <w:p w14:paraId="1860174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DBDBDB"/>
            <w:tcMar>
              <w:top w:w="40" w:type="dxa"/>
              <w:left w:w="0" w:type="dxa"/>
              <w:bottom w:w="40" w:type="dxa"/>
              <w:right w:w="0" w:type="dxa"/>
            </w:tcMar>
            <w:vAlign w:val="bottom"/>
          </w:tcPr>
          <w:p w14:paraId="18601746" w14:textId="77777777" w:rsidR="00A91885" w:rsidRDefault="009C4196">
            <w:pPr>
              <w:jc w:val="right"/>
              <w:textAlignment w:val="bottom"/>
            </w:pPr>
            <w:r>
              <w:rPr>
                <w:rFonts w:ascii="Arial" w:eastAsia="宋体" w:hAnsi="Arial" w:cs="Arial"/>
                <w:color w:val="000000"/>
                <w:sz w:val="18"/>
                <w:szCs w:val="18"/>
              </w:rPr>
              <w:t>5,306 </w:t>
            </w:r>
          </w:p>
        </w:tc>
        <w:tc>
          <w:tcPr>
            <w:tcW w:w="0" w:type="auto"/>
            <w:tcBorders>
              <w:top w:val="single" w:sz="8" w:space="0" w:color="000000"/>
              <w:bottom w:val="double" w:sz="6" w:space="0" w:color="000000"/>
            </w:tcBorders>
            <w:shd w:val="clear" w:color="auto" w:fill="DBDBDB"/>
            <w:tcMar>
              <w:top w:w="40" w:type="dxa"/>
              <w:left w:w="0" w:type="dxa"/>
              <w:bottom w:w="40" w:type="dxa"/>
              <w:right w:w="20" w:type="dxa"/>
            </w:tcMar>
            <w:vAlign w:val="bottom"/>
          </w:tcPr>
          <w:p w14:paraId="18601747"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1748" w14:textId="77777777" w:rsidR="00A91885" w:rsidRDefault="00A91885">
            <w:pPr>
              <w:rPr>
                <w:rFonts w:ascii="宋体"/>
              </w:rPr>
            </w:pPr>
          </w:p>
        </w:tc>
        <w:tc>
          <w:tcPr>
            <w:tcW w:w="0" w:type="auto"/>
            <w:gridSpan w:val="2"/>
            <w:shd w:val="clear" w:color="auto" w:fill="DBDBDB"/>
            <w:tcMar>
              <w:top w:w="40" w:type="dxa"/>
              <w:left w:w="20" w:type="dxa"/>
              <w:bottom w:w="40" w:type="dxa"/>
              <w:right w:w="0" w:type="dxa"/>
            </w:tcMar>
            <w:vAlign w:val="bottom"/>
          </w:tcPr>
          <w:p w14:paraId="18601749" w14:textId="77777777" w:rsidR="00A91885" w:rsidRDefault="009C4196">
            <w:pPr>
              <w:jc w:val="right"/>
              <w:textAlignment w:val="bottom"/>
            </w:pPr>
            <w:r>
              <w:rPr>
                <w:rFonts w:ascii="Arial" w:eastAsia="宋体" w:hAnsi="Arial" w:cs="Arial"/>
                <w:color w:val="000000"/>
                <w:sz w:val="18"/>
                <w:szCs w:val="18"/>
              </w:rPr>
              <w:t>(8)</w:t>
            </w:r>
          </w:p>
        </w:tc>
        <w:tc>
          <w:tcPr>
            <w:tcW w:w="0" w:type="auto"/>
            <w:shd w:val="clear" w:color="auto" w:fill="DBDBDB"/>
            <w:tcMar>
              <w:top w:w="40" w:type="dxa"/>
              <w:left w:w="0" w:type="dxa"/>
              <w:bottom w:w="40" w:type="dxa"/>
              <w:right w:w="20" w:type="dxa"/>
            </w:tcMar>
            <w:vAlign w:val="bottom"/>
          </w:tcPr>
          <w:p w14:paraId="1860174A" w14:textId="77777777" w:rsidR="00A91885" w:rsidRDefault="009C4196">
            <w:pPr>
              <w:jc w:val="right"/>
              <w:textAlignment w:val="bottom"/>
            </w:pPr>
            <w:r>
              <w:rPr>
                <w:rFonts w:ascii="Arial" w:eastAsia="宋体" w:hAnsi="Arial" w:cs="Arial"/>
                <w:color w:val="000000"/>
                <w:sz w:val="18"/>
                <w:szCs w:val="18"/>
              </w:rPr>
              <w:t>%</w:t>
            </w:r>
          </w:p>
        </w:tc>
      </w:tr>
    </w:tbl>
    <w:p w14:paraId="1860174C" w14:textId="77777777" w:rsidR="00A91885" w:rsidRDefault="00A91885">
      <w:pPr>
        <w:ind w:firstLine="270"/>
        <w:jc w:val="both"/>
      </w:pPr>
    </w:p>
    <w:p w14:paraId="1860174D" w14:textId="77777777" w:rsidR="00A91885" w:rsidRDefault="009C4196">
      <w:pPr>
        <w:ind w:firstLine="270"/>
        <w:jc w:val="both"/>
      </w:pPr>
      <w:r>
        <w:rPr>
          <w:rFonts w:ascii="Arial" w:eastAsia="宋体" w:hAnsi="Arial" w:cs="Arial"/>
          <w:b/>
          <w:bCs/>
          <w:i/>
          <w:iCs/>
          <w:color w:val="000000"/>
          <w:sz w:val="20"/>
          <w:szCs w:val="20"/>
        </w:rPr>
        <w:t>Net Transaction Revenues</w:t>
      </w:r>
    </w:p>
    <w:p w14:paraId="1860174E" w14:textId="77777777" w:rsidR="00A91885" w:rsidRDefault="00A91885">
      <w:pPr>
        <w:ind w:firstLine="540"/>
        <w:jc w:val="both"/>
      </w:pPr>
    </w:p>
    <w:p w14:paraId="1860174F" w14:textId="77777777" w:rsidR="00A91885" w:rsidRDefault="009C4196">
      <w:pPr>
        <w:ind w:firstLine="540"/>
        <w:jc w:val="both"/>
      </w:pPr>
      <w:r>
        <w:rPr>
          <w:rFonts w:ascii="Arial" w:eastAsia="宋体" w:hAnsi="Arial" w:cs="Arial"/>
          <w:i/>
          <w:iCs/>
          <w:color w:val="000000"/>
          <w:sz w:val="20"/>
          <w:szCs w:val="20"/>
        </w:rPr>
        <w:t>Key Operating Metrics</w:t>
      </w:r>
    </w:p>
    <w:p w14:paraId="18601750" w14:textId="77777777" w:rsidR="00A91885" w:rsidRDefault="00A91885">
      <w:pPr>
        <w:ind w:firstLine="540"/>
        <w:jc w:val="both"/>
      </w:pPr>
    </w:p>
    <w:p w14:paraId="18601751" w14:textId="77777777" w:rsidR="00A91885" w:rsidRDefault="009C4196">
      <w:pPr>
        <w:ind w:firstLine="540"/>
        <w:jc w:val="both"/>
      </w:pPr>
      <w:r>
        <w:rPr>
          <w:rFonts w:ascii="Arial" w:eastAsia="宋体" w:hAnsi="Arial" w:cs="Arial"/>
          <w:color w:val="000000"/>
          <w:sz w:val="20"/>
          <w:szCs w:val="20"/>
        </w:rPr>
        <w:t>Gross Merchandise Volume (“GMV”) and take rate are significant factors that we believe affect our net transaction revenues.</w:t>
      </w:r>
    </w:p>
    <w:p w14:paraId="18601752" w14:textId="77777777" w:rsidR="00A91885" w:rsidRDefault="00A91885"/>
    <w:p w14:paraId="18601753" w14:textId="77777777" w:rsidR="00A91885" w:rsidRDefault="009C4196">
      <w:pPr>
        <w:jc w:val="both"/>
      </w:pPr>
      <w:r>
        <w:rPr>
          <w:rFonts w:ascii="Arial" w:eastAsia="宋体" w:hAnsi="Arial" w:cs="Arial"/>
          <w:b/>
          <w:bCs/>
          <w:color w:val="000000"/>
          <w:sz w:val="20"/>
          <w:szCs w:val="20"/>
        </w:rPr>
        <w:t>GMV</w:t>
      </w:r>
      <w:r>
        <w:rPr>
          <w:rFonts w:ascii="Arial" w:eastAsia="宋体" w:hAnsi="Arial" w:cs="Arial"/>
          <w:color w:val="000000"/>
          <w:sz w:val="20"/>
          <w:szCs w:val="20"/>
        </w:rPr>
        <w:t xml:space="preserve"> consists of the total value of all paid transactions between users on our platforms during the applicable period inclusive of shipping fees and taxes. Despite GMV’s divergence from revenue, we still believe that GMV provides a useful measure of the overal</w:t>
      </w:r>
      <w:r>
        <w:rPr>
          <w:rFonts w:ascii="Arial" w:eastAsia="宋体" w:hAnsi="Arial" w:cs="Arial"/>
          <w:color w:val="000000"/>
          <w:sz w:val="20"/>
          <w:szCs w:val="20"/>
        </w:rPr>
        <w:t>l volume of paid transactions that flow through our platforms in a given period.</w:t>
      </w:r>
    </w:p>
    <w:p w14:paraId="18601754" w14:textId="77777777" w:rsidR="00A91885" w:rsidRDefault="00A91885">
      <w:pPr>
        <w:ind w:hanging="540"/>
        <w:jc w:val="both"/>
      </w:pPr>
    </w:p>
    <w:p w14:paraId="18601755" w14:textId="77777777" w:rsidR="00A91885" w:rsidRDefault="009C4196">
      <w:pPr>
        <w:jc w:val="both"/>
      </w:pPr>
      <w:r>
        <w:rPr>
          <w:rFonts w:ascii="Arial" w:eastAsia="宋体" w:hAnsi="Arial" w:cs="Arial"/>
          <w:b/>
          <w:bCs/>
          <w:color w:val="000000"/>
          <w:sz w:val="20"/>
          <w:szCs w:val="20"/>
        </w:rPr>
        <w:t>Take rate</w:t>
      </w:r>
      <w:r>
        <w:rPr>
          <w:rFonts w:ascii="Arial" w:eastAsia="宋体" w:hAnsi="Arial" w:cs="Arial"/>
          <w:color w:val="000000"/>
          <w:sz w:val="20"/>
          <w:szCs w:val="20"/>
        </w:rPr>
        <w:t xml:space="preserve"> is defined as net transaction revenues divided by GMV and represents net transaction revenue as a percentage of overall volume on our platforms. We believe that tak</w:t>
      </w:r>
      <w:r>
        <w:rPr>
          <w:rFonts w:ascii="Arial" w:eastAsia="宋体" w:hAnsi="Arial" w:cs="Arial"/>
          <w:color w:val="000000"/>
          <w:sz w:val="20"/>
          <w:szCs w:val="20"/>
        </w:rPr>
        <w:t>e rate provides a useful measure of our ability to monetize volume through marketplace services on our platforms in a given period. We use take rate to identify key revenue drivers on our marketplace.</w:t>
      </w:r>
    </w:p>
    <w:p w14:paraId="18601756" w14:textId="77777777" w:rsidR="00A91885" w:rsidRDefault="00A91885">
      <w:pPr>
        <w:jc w:val="both"/>
      </w:pPr>
    </w:p>
    <w:p w14:paraId="18601757" w14:textId="77777777" w:rsidR="00A91885" w:rsidRDefault="00A91885">
      <w:pPr>
        <w:jc w:val="center"/>
      </w:pPr>
    </w:p>
    <w:p w14:paraId="18601758" w14:textId="77777777" w:rsidR="00A91885" w:rsidRDefault="009C4196">
      <w:pPr>
        <w:jc w:val="center"/>
      </w:pPr>
      <w:r>
        <w:rPr>
          <w:rFonts w:ascii="Arial" w:eastAsia="宋体" w:hAnsi="Arial" w:cs="Arial"/>
          <w:color w:val="000000"/>
          <w:sz w:val="20"/>
          <w:szCs w:val="20"/>
        </w:rPr>
        <w:t>49</w:t>
      </w:r>
    </w:p>
    <w:p w14:paraId="18601759" w14:textId="77777777" w:rsidR="00A91885" w:rsidRDefault="009C4196">
      <w:r>
        <w:pict w14:anchorId="186021B4">
          <v:rect id="_x0000_i1073" style="width:415.3pt;height:1.5pt" o:hralign="center" o:hrstd="t" o:hr="t" fillcolor="#a0a0a0" stroked="f"/>
        </w:pict>
      </w:r>
    </w:p>
    <w:p w14:paraId="1860175A" w14:textId="77777777" w:rsidR="00A91885" w:rsidRDefault="009C4196">
      <w:hyperlink r:id="rId133" w:anchor="ieb971428a625452486c65ae24899afca_7" w:history="1">
        <w:r>
          <w:rPr>
            <w:rStyle w:val="a5"/>
            <w:rFonts w:ascii="Arial" w:eastAsia="宋体" w:hAnsi="Arial" w:cs="Arial"/>
            <w:sz w:val="18"/>
            <w:szCs w:val="18"/>
          </w:rPr>
          <w:t>Table of Contents</w:t>
        </w:r>
      </w:hyperlink>
    </w:p>
    <w:p w14:paraId="1860175B" w14:textId="77777777" w:rsidR="00A91885" w:rsidRDefault="009C4196">
      <w:pPr>
        <w:spacing w:after="120"/>
        <w:ind w:firstLine="540"/>
        <w:jc w:val="both"/>
      </w:pPr>
      <w:r>
        <w:rPr>
          <w:rFonts w:ascii="Arial" w:eastAsia="宋体" w:hAnsi="Arial" w:cs="Arial"/>
          <w:i/>
          <w:iCs/>
          <w:color w:val="000000"/>
          <w:sz w:val="20"/>
          <w:szCs w:val="20"/>
        </w:rPr>
        <w:t>Net Transaction Revenues</w:t>
      </w:r>
    </w:p>
    <w:tbl>
      <w:tblPr>
        <w:tblW w:w="5000" w:type="pct"/>
        <w:tblCellMar>
          <w:top w:w="15" w:type="dxa"/>
          <w:left w:w="15" w:type="dxa"/>
          <w:bottom w:w="15" w:type="dxa"/>
          <w:right w:w="15" w:type="dxa"/>
        </w:tblCellMar>
        <w:tblLook w:val="04A0" w:firstRow="1" w:lastRow="0" w:firstColumn="1" w:lastColumn="0" w:noHBand="0" w:noVBand="1"/>
      </w:tblPr>
      <w:tblGrid>
        <w:gridCol w:w="70"/>
        <w:gridCol w:w="913"/>
        <w:gridCol w:w="35"/>
        <w:gridCol w:w="109"/>
        <w:gridCol w:w="510"/>
        <w:gridCol w:w="158"/>
        <w:gridCol w:w="37"/>
        <w:gridCol w:w="35"/>
        <w:gridCol w:w="35"/>
        <w:gridCol w:w="109"/>
        <w:gridCol w:w="510"/>
        <w:gridCol w:w="158"/>
        <w:gridCol w:w="37"/>
        <w:gridCol w:w="35"/>
        <w:gridCol w:w="35"/>
        <w:gridCol w:w="81"/>
        <w:gridCol w:w="581"/>
        <w:gridCol w:w="157"/>
        <w:gridCol w:w="37"/>
        <w:gridCol w:w="36"/>
        <w:gridCol w:w="35"/>
        <w:gridCol w:w="92"/>
        <w:gridCol w:w="663"/>
        <w:gridCol w:w="156"/>
        <w:gridCol w:w="37"/>
        <w:gridCol w:w="35"/>
        <w:gridCol w:w="35"/>
        <w:gridCol w:w="109"/>
        <w:gridCol w:w="510"/>
        <w:gridCol w:w="158"/>
        <w:gridCol w:w="37"/>
        <w:gridCol w:w="35"/>
        <w:gridCol w:w="35"/>
        <w:gridCol w:w="109"/>
        <w:gridCol w:w="510"/>
        <w:gridCol w:w="158"/>
        <w:gridCol w:w="37"/>
        <w:gridCol w:w="35"/>
        <w:gridCol w:w="35"/>
        <w:gridCol w:w="81"/>
        <w:gridCol w:w="581"/>
        <w:gridCol w:w="157"/>
        <w:gridCol w:w="37"/>
        <w:gridCol w:w="35"/>
        <w:gridCol w:w="35"/>
        <w:gridCol w:w="91"/>
        <w:gridCol w:w="664"/>
        <w:gridCol w:w="156"/>
      </w:tblGrid>
      <w:tr w:rsidR="00A91885" w14:paraId="1860178C" w14:textId="77777777">
        <w:tc>
          <w:tcPr>
            <w:tcW w:w="50" w:type="pct"/>
            <w:shd w:val="clear" w:color="auto" w:fill="auto"/>
            <w:vAlign w:val="bottom"/>
          </w:tcPr>
          <w:p w14:paraId="1860175C" w14:textId="77777777" w:rsidR="00A91885" w:rsidRDefault="00A91885">
            <w:pPr>
              <w:rPr>
                <w:rFonts w:ascii="宋体"/>
              </w:rPr>
            </w:pPr>
          </w:p>
        </w:tc>
        <w:tc>
          <w:tcPr>
            <w:tcW w:w="1114" w:type="pct"/>
            <w:shd w:val="clear" w:color="auto" w:fill="auto"/>
            <w:vAlign w:val="bottom"/>
          </w:tcPr>
          <w:p w14:paraId="1860175D" w14:textId="77777777" w:rsidR="00A91885" w:rsidRDefault="00A91885">
            <w:pPr>
              <w:rPr>
                <w:rFonts w:ascii="宋体"/>
              </w:rPr>
            </w:pPr>
          </w:p>
        </w:tc>
        <w:tc>
          <w:tcPr>
            <w:tcW w:w="5" w:type="pct"/>
            <w:shd w:val="clear" w:color="auto" w:fill="auto"/>
            <w:vAlign w:val="bottom"/>
          </w:tcPr>
          <w:p w14:paraId="1860175E" w14:textId="77777777" w:rsidR="00A91885" w:rsidRDefault="00A91885">
            <w:pPr>
              <w:rPr>
                <w:rFonts w:ascii="宋体"/>
              </w:rPr>
            </w:pPr>
          </w:p>
        </w:tc>
        <w:tc>
          <w:tcPr>
            <w:tcW w:w="50" w:type="pct"/>
            <w:shd w:val="clear" w:color="auto" w:fill="auto"/>
            <w:vAlign w:val="bottom"/>
          </w:tcPr>
          <w:p w14:paraId="1860175F" w14:textId="77777777" w:rsidR="00A91885" w:rsidRDefault="00A91885">
            <w:pPr>
              <w:rPr>
                <w:rFonts w:ascii="宋体"/>
              </w:rPr>
            </w:pPr>
          </w:p>
        </w:tc>
        <w:tc>
          <w:tcPr>
            <w:tcW w:w="405" w:type="pct"/>
            <w:shd w:val="clear" w:color="auto" w:fill="auto"/>
            <w:vAlign w:val="bottom"/>
          </w:tcPr>
          <w:p w14:paraId="18601760" w14:textId="77777777" w:rsidR="00A91885" w:rsidRDefault="00A91885">
            <w:pPr>
              <w:rPr>
                <w:rFonts w:ascii="宋体"/>
              </w:rPr>
            </w:pPr>
          </w:p>
        </w:tc>
        <w:tc>
          <w:tcPr>
            <w:tcW w:w="5" w:type="pct"/>
            <w:shd w:val="clear" w:color="auto" w:fill="auto"/>
            <w:vAlign w:val="bottom"/>
          </w:tcPr>
          <w:p w14:paraId="18601761" w14:textId="77777777" w:rsidR="00A91885" w:rsidRDefault="00A91885">
            <w:pPr>
              <w:rPr>
                <w:rFonts w:ascii="宋体"/>
              </w:rPr>
            </w:pPr>
          </w:p>
        </w:tc>
        <w:tc>
          <w:tcPr>
            <w:tcW w:w="5" w:type="pct"/>
            <w:shd w:val="clear" w:color="auto" w:fill="auto"/>
            <w:vAlign w:val="bottom"/>
          </w:tcPr>
          <w:p w14:paraId="18601762" w14:textId="77777777" w:rsidR="00A91885" w:rsidRDefault="00A91885">
            <w:pPr>
              <w:rPr>
                <w:rFonts w:ascii="宋体"/>
              </w:rPr>
            </w:pPr>
          </w:p>
        </w:tc>
        <w:tc>
          <w:tcPr>
            <w:tcW w:w="19" w:type="pct"/>
            <w:shd w:val="clear" w:color="auto" w:fill="auto"/>
            <w:vAlign w:val="bottom"/>
          </w:tcPr>
          <w:p w14:paraId="18601763" w14:textId="77777777" w:rsidR="00A91885" w:rsidRDefault="00A91885">
            <w:pPr>
              <w:rPr>
                <w:rFonts w:ascii="宋体"/>
              </w:rPr>
            </w:pPr>
          </w:p>
        </w:tc>
        <w:tc>
          <w:tcPr>
            <w:tcW w:w="5" w:type="pct"/>
            <w:shd w:val="clear" w:color="auto" w:fill="auto"/>
            <w:vAlign w:val="bottom"/>
          </w:tcPr>
          <w:p w14:paraId="18601764" w14:textId="77777777" w:rsidR="00A91885" w:rsidRDefault="00A91885">
            <w:pPr>
              <w:rPr>
                <w:rFonts w:ascii="宋体"/>
              </w:rPr>
            </w:pPr>
          </w:p>
        </w:tc>
        <w:tc>
          <w:tcPr>
            <w:tcW w:w="50" w:type="pct"/>
            <w:shd w:val="clear" w:color="auto" w:fill="auto"/>
            <w:vAlign w:val="bottom"/>
          </w:tcPr>
          <w:p w14:paraId="18601765" w14:textId="77777777" w:rsidR="00A91885" w:rsidRDefault="00A91885">
            <w:pPr>
              <w:rPr>
                <w:rFonts w:ascii="宋体"/>
              </w:rPr>
            </w:pPr>
          </w:p>
        </w:tc>
        <w:tc>
          <w:tcPr>
            <w:tcW w:w="405" w:type="pct"/>
            <w:shd w:val="clear" w:color="auto" w:fill="auto"/>
            <w:vAlign w:val="bottom"/>
          </w:tcPr>
          <w:p w14:paraId="18601766" w14:textId="77777777" w:rsidR="00A91885" w:rsidRDefault="00A91885">
            <w:pPr>
              <w:rPr>
                <w:rFonts w:ascii="宋体"/>
              </w:rPr>
            </w:pPr>
          </w:p>
        </w:tc>
        <w:tc>
          <w:tcPr>
            <w:tcW w:w="5" w:type="pct"/>
            <w:shd w:val="clear" w:color="auto" w:fill="auto"/>
            <w:vAlign w:val="bottom"/>
          </w:tcPr>
          <w:p w14:paraId="18601767" w14:textId="77777777" w:rsidR="00A91885" w:rsidRDefault="00A91885">
            <w:pPr>
              <w:rPr>
                <w:rFonts w:ascii="宋体"/>
              </w:rPr>
            </w:pPr>
          </w:p>
        </w:tc>
        <w:tc>
          <w:tcPr>
            <w:tcW w:w="5" w:type="pct"/>
            <w:shd w:val="clear" w:color="auto" w:fill="auto"/>
            <w:vAlign w:val="bottom"/>
          </w:tcPr>
          <w:p w14:paraId="18601768" w14:textId="77777777" w:rsidR="00A91885" w:rsidRDefault="00A91885">
            <w:pPr>
              <w:rPr>
                <w:rFonts w:ascii="宋体"/>
              </w:rPr>
            </w:pPr>
          </w:p>
        </w:tc>
        <w:tc>
          <w:tcPr>
            <w:tcW w:w="19" w:type="pct"/>
            <w:shd w:val="clear" w:color="auto" w:fill="auto"/>
            <w:vAlign w:val="bottom"/>
          </w:tcPr>
          <w:p w14:paraId="18601769" w14:textId="77777777" w:rsidR="00A91885" w:rsidRDefault="00A91885">
            <w:pPr>
              <w:rPr>
                <w:rFonts w:ascii="宋体"/>
              </w:rPr>
            </w:pPr>
          </w:p>
        </w:tc>
        <w:tc>
          <w:tcPr>
            <w:tcW w:w="5" w:type="pct"/>
            <w:shd w:val="clear" w:color="auto" w:fill="auto"/>
            <w:vAlign w:val="bottom"/>
          </w:tcPr>
          <w:p w14:paraId="1860176A" w14:textId="77777777" w:rsidR="00A91885" w:rsidRDefault="00A91885">
            <w:pPr>
              <w:rPr>
                <w:rFonts w:ascii="宋体"/>
              </w:rPr>
            </w:pPr>
          </w:p>
        </w:tc>
        <w:tc>
          <w:tcPr>
            <w:tcW w:w="50" w:type="pct"/>
            <w:shd w:val="clear" w:color="auto" w:fill="auto"/>
            <w:vAlign w:val="bottom"/>
          </w:tcPr>
          <w:p w14:paraId="1860176B" w14:textId="77777777" w:rsidR="00A91885" w:rsidRDefault="00A91885">
            <w:pPr>
              <w:rPr>
                <w:rFonts w:ascii="宋体"/>
              </w:rPr>
            </w:pPr>
          </w:p>
        </w:tc>
        <w:tc>
          <w:tcPr>
            <w:tcW w:w="390" w:type="pct"/>
            <w:shd w:val="clear" w:color="auto" w:fill="auto"/>
            <w:vAlign w:val="bottom"/>
          </w:tcPr>
          <w:p w14:paraId="1860176C" w14:textId="77777777" w:rsidR="00A91885" w:rsidRDefault="00A91885">
            <w:pPr>
              <w:rPr>
                <w:rFonts w:ascii="宋体"/>
              </w:rPr>
            </w:pPr>
          </w:p>
        </w:tc>
        <w:tc>
          <w:tcPr>
            <w:tcW w:w="5" w:type="pct"/>
            <w:shd w:val="clear" w:color="auto" w:fill="auto"/>
            <w:vAlign w:val="bottom"/>
          </w:tcPr>
          <w:p w14:paraId="1860176D" w14:textId="77777777" w:rsidR="00A91885" w:rsidRDefault="00A91885">
            <w:pPr>
              <w:rPr>
                <w:rFonts w:ascii="宋体"/>
              </w:rPr>
            </w:pPr>
          </w:p>
        </w:tc>
        <w:tc>
          <w:tcPr>
            <w:tcW w:w="5" w:type="pct"/>
            <w:shd w:val="clear" w:color="auto" w:fill="auto"/>
            <w:vAlign w:val="bottom"/>
          </w:tcPr>
          <w:p w14:paraId="1860176E" w14:textId="77777777" w:rsidR="00A91885" w:rsidRDefault="00A91885">
            <w:pPr>
              <w:rPr>
                <w:rFonts w:ascii="宋体"/>
              </w:rPr>
            </w:pPr>
          </w:p>
        </w:tc>
        <w:tc>
          <w:tcPr>
            <w:tcW w:w="19" w:type="pct"/>
            <w:shd w:val="clear" w:color="auto" w:fill="auto"/>
            <w:vAlign w:val="bottom"/>
          </w:tcPr>
          <w:p w14:paraId="1860176F" w14:textId="77777777" w:rsidR="00A91885" w:rsidRDefault="00A91885">
            <w:pPr>
              <w:rPr>
                <w:rFonts w:ascii="宋体"/>
              </w:rPr>
            </w:pPr>
          </w:p>
        </w:tc>
        <w:tc>
          <w:tcPr>
            <w:tcW w:w="5" w:type="pct"/>
            <w:shd w:val="clear" w:color="auto" w:fill="auto"/>
            <w:vAlign w:val="bottom"/>
          </w:tcPr>
          <w:p w14:paraId="18601770" w14:textId="77777777" w:rsidR="00A91885" w:rsidRDefault="00A91885">
            <w:pPr>
              <w:rPr>
                <w:rFonts w:ascii="宋体"/>
              </w:rPr>
            </w:pPr>
          </w:p>
        </w:tc>
        <w:tc>
          <w:tcPr>
            <w:tcW w:w="50" w:type="pct"/>
            <w:shd w:val="clear" w:color="auto" w:fill="auto"/>
            <w:vAlign w:val="bottom"/>
          </w:tcPr>
          <w:p w14:paraId="18601771" w14:textId="77777777" w:rsidR="00A91885" w:rsidRDefault="00A91885">
            <w:pPr>
              <w:rPr>
                <w:rFonts w:ascii="宋体"/>
              </w:rPr>
            </w:pPr>
          </w:p>
        </w:tc>
        <w:tc>
          <w:tcPr>
            <w:tcW w:w="390" w:type="pct"/>
            <w:shd w:val="clear" w:color="auto" w:fill="auto"/>
            <w:vAlign w:val="bottom"/>
          </w:tcPr>
          <w:p w14:paraId="18601772" w14:textId="77777777" w:rsidR="00A91885" w:rsidRDefault="00A91885">
            <w:pPr>
              <w:rPr>
                <w:rFonts w:ascii="宋体"/>
              </w:rPr>
            </w:pPr>
          </w:p>
        </w:tc>
        <w:tc>
          <w:tcPr>
            <w:tcW w:w="5" w:type="pct"/>
            <w:shd w:val="clear" w:color="auto" w:fill="auto"/>
            <w:vAlign w:val="bottom"/>
          </w:tcPr>
          <w:p w14:paraId="18601773" w14:textId="77777777" w:rsidR="00A91885" w:rsidRDefault="00A91885">
            <w:pPr>
              <w:rPr>
                <w:rFonts w:ascii="宋体"/>
              </w:rPr>
            </w:pPr>
          </w:p>
        </w:tc>
        <w:tc>
          <w:tcPr>
            <w:tcW w:w="5" w:type="pct"/>
            <w:shd w:val="clear" w:color="auto" w:fill="auto"/>
            <w:vAlign w:val="bottom"/>
          </w:tcPr>
          <w:p w14:paraId="18601774" w14:textId="77777777" w:rsidR="00A91885" w:rsidRDefault="00A91885">
            <w:pPr>
              <w:rPr>
                <w:rFonts w:ascii="宋体"/>
              </w:rPr>
            </w:pPr>
          </w:p>
        </w:tc>
        <w:tc>
          <w:tcPr>
            <w:tcW w:w="19" w:type="pct"/>
            <w:shd w:val="clear" w:color="auto" w:fill="auto"/>
            <w:vAlign w:val="bottom"/>
          </w:tcPr>
          <w:p w14:paraId="18601775" w14:textId="77777777" w:rsidR="00A91885" w:rsidRDefault="00A91885">
            <w:pPr>
              <w:rPr>
                <w:rFonts w:ascii="宋体"/>
              </w:rPr>
            </w:pPr>
          </w:p>
        </w:tc>
        <w:tc>
          <w:tcPr>
            <w:tcW w:w="5" w:type="pct"/>
            <w:shd w:val="clear" w:color="auto" w:fill="auto"/>
            <w:vAlign w:val="bottom"/>
          </w:tcPr>
          <w:p w14:paraId="18601776" w14:textId="77777777" w:rsidR="00A91885" w:rsidRDefault="00A91885">
            <w:pPr>
              <w:rPr>
                <w:rFonts w:ascii="宋体"/>
              </w:rPr>
            </w:pPr>
          </w:p>
        </w:tc>
        <w:tc>
          <w:tcPr>
            <w:tcW w:w="50" w:type="pct"/>
            <w:shd w:val="clear" w:color="auto" w:fill="auto"/>
            <w:vAlign w:val="bottom"/>
          </w:tcPr>
          <w:p w14:paraId="18601777" w14:textId="77777777" w:rsidR="00A91885" w:rsidRDefault="00A91885">
            <w:pPr>
              <w:rPr>
                <w:rFonts w:ascii="宋体"/>
              </w:rPr>
            </w:pPr>
          </w:p>
        </w:tc>
        <w:tc>
          <w:tcPr>
            <w:tcW w:w="405" w:type="pct"/>
            <w:shd w:val="clear" w:color="auto" w:fill="auto"/>
            <w:vAlign w:val="bottom"/>
          </w:tcPr>
          <w:p w14:paraId="18601778" w14:textId="77777777" w:rsidR="00A91885" w:rsidRDefault="00A91885">
            <w:pPr>
              <w:rPr>
                <w:rFonts w:ascii="宋体"/>
              </w:rPr>
            </w:pPr>
          </w:p>
        </w:tc>
        <w:tc>
          <w:tcPr>
            <w:tcW w:w="5" w:type="pct"/>
            <w:shd w:val="clear" w:color="auto" w:fill="auto"/>
            <w:vAlign w:val="bottom"/>
          </w:tcPr>
          <w:p w14:paraId="18601779" w14:textId="77777777" w:rsidR="00A91885" w:rsidRDefault="00A91885">
            <w:pPr>
              <w:rPr>
                <w:rFonts w:ascii="宋体"/>
              </w:rPr>
            </w:pPr>
          </w:p>
        </w:tc>
        <w:tc>
          <w:tcPr>
            <w:tcW w:w="5" w:type="pct"/>
            <w:shd w:val="clear" w:color="auto" w:fill="auto"/>
            <w:vAlign w:val="bottom"/>
          </w:tcPr>
          <w:p w14:paraId="1860177A" w14:textId="77777777" w:rsidR="00A91885" w:rsidRDefault="00A91885">
            <w:pPr>
              <w:rPr>
                <w:rFonts w:ascii="宋体"/>
              </w:rPr>
            </w:pPr>
          </w:p>
        </w:tc>
        <w:tc>
          <w:tcPr>
            <w:tcW w:w="19" w:type="pct"/>
            <w:shd w:val="clear" w:color="auto" w:fill="auto"/>
            <w:vAlign w:val="bottom"/>
          </w:tcPr>
          <w:p w14:paraId="1860177B" w14:textId="77777777" w:rsidR="00A91885" w:rsidRDefault="00A91885">
            <w:pPr>
              <w:rPr>
                <w:rFonts w:ascii="宋体"/>
              </w:rPr>
            </w:pPr>
          </w:p>
        </w:tc>
        <w:tc>
          <w:tcPr>
            <w:tcW w:w="5" w:type="pct"/>
            <w:shd w:val="clear" w:color="auto" w:fill="auto"/>
            <w:vAlign w:val="bottom"/>
          </w:tcPr>
          <w:p w14:paraId="1860177C" w14:textId="77777777" w:rsidR="00A91885" w:rsidRDefault="00A91885">
            <w:pPr>
              <w:rPr>
                <w:rFonts w:ascii="宋体"/>
              </w:rPr>
            </w:pPr>
          </w:p>
        </w:tc>
        <w:tc>
          <w:tcPr>
            <w:tcW w:w="50" w:type="pct"/>
            <w:shd w:val="clear" w:color="auto" w:fill="auto"/>
            <w:vAlign w:val="bottom"/>
          </w:tcPr>
          <w:p w14:paraId="1860177D" w14:textId="77777777" w:rsidR="00A91885" w:rsidRDefault="00A91885">
            <w:pPr>
              <w:rPr>
                <w:rFonts w:ascii="宋体"/>
              </w:rPr>
            </w:pPr>
          </w:p>
        </w:tc>
        <w:tc>
          <w:tcPr>
            <w:tcW w:w="405" w:type="pct"/>
            <w:shd w:val="clear" w:color="auto" w:fill="auto"/>
            <w:vAlign w:val="bottom"/>
          </w:tcPr>
          <w:p w14:paraId="1860177E" w14:textId="77777777" w:rsidR="00A91885" w:rsidRDefault="00A91885">
            <w:pPr>
              <w:rPr>
                <w:rFonts w:ascii="宋体"/>
              </w:rPr>
            </w:pPr>
          </w:p>
        </w:tc>
        <w:tc>
          <w:tcPr>
            <w:tcW w:w="5" w:type="pct"/>
            <w:shd w:val="clear" w:color="auto" w:fill="auto"/>
            <w:vAlign w:val="bottom"/>
          </w:tcPr>
          <w:p w14:paraId="1860177F" w14:textId="77777777" w:rsidR="00A91885" w:rsidRDefault="00A91885">
            <w:pPr>
              <w:rPr>
                <w:rFonts w:ascii="宋体"/>
              </w:rPr>
            </w:pPr>
          </w:p>
        </w:tc>
        <w:tc>
          <w:tcPr>
            <w:tcW w:w="5" w:type="pct"/>
            <w:shd w:val="clear" w:color="auto" w:fill="auto"/>
            <w:vAlign w:val="bottom"/>
          </w:tcPr>
          <w:p w14:paraId="18601780" w14:textId="77777777" w:rsidR="00A91885" w:rsidRDefault="00A91885">
            <w:pPr>
              <w:rPr>
                <w:rFonts w:ascii="宋体"/>
              </w:rPr>
            </w:pPr>
          </w:p>
        </w:tc>
        <w:tc>
          <w:tcPr>
            <w:tcW w:w="19" w:type="pct"/>
            <w:shd w:val="clear" w:color="auto" w:fill="auto"/>
            <w:vAlign w:val="bottom"/>
          </w:tcPr>
          <w:p w14:paraId="18601781" w14:textId="77777777" w:rsidR="00A91885" w:rsidRDefault="00A91885">
            <w:pPr>
              <w:rPr>
                <w:rFonts w:ascii="宋体"/>
              </w:rPr>
            </w:pPr>
          </w:p>
        </w:tc>
        <w:tc>
          <w:tcPr>
            <w:tcW w:w="5" w:type="pct"/>
            <w:shd w:val="clear" w:color="auto" w:fill="auto"/>
            <w:vAlign w:val="bottom"/>
          </w:tcPr>
          <w:p w14:paraId="18601782" w14:textId="77777777" w:rsidR="00A91885" w:rsidRDefault="00A91885">
            <w:pPr>
              <w:rPr>
                <w:rFonts w:ascii="宋体"/>
              </w:rPr>
            </w:pPr>
          </w:p>
        </w:tc>
        <w:tc>
          <w:tcPr>
            <w:tcW w:w="50" w:type="pct"/>
            <w:shd w:val="clear" w:color="auto" w:fill="auto"/>
            <w:vAlign w:val="bottom"/>
          </w:tcPr>
          <w:p w14:paraId="18601783" w14:textId="77777777" w:rsidR="00A91885" w:rsidRDefault="00A91885">
            <w:pPr>
              <w:rPr>
                <w:rFonts w:ascii="宋体"/>
              </w:rPr>
            </w:pPr>
          </w:p>
        </w:tc>
        <w:tc>
          <w:tcPr>
            <w:tcW w:w="390" w:type="pct"/>
            <w:shd w:val="clear" w:color="auto" w:fill="auto"/>
            <w:vAlign w:val="bottom"/>
          </w:tcPr>
          <w:p w14:paraId="18601784" w14:textId="77777777" w:rsidR="00A91885" w:rsidRDefault="00A91885">
            <w:pPr>
              <w:rPr>
                <w:rFonts w:ascii="宋体"/>
              </w:rPr>
            </w:pPr>
          </w:p>
        </w:tc>
        <w:tc>
          <w:tcPr>
            <w:tcW w:w="5" w:type="pct"/>
            <w:shd w:val="clear" w:color="auto" w:fill="auto"/>
            <w:vAlign w:val="bottom"/>
          </w:tcPr>
          <w:p w14:paraId="18601785" w14:textId="77777777" w:rsidR="00A91885" w:rsidRDefault="00A91885">
            <w:pPr>
              <w:rPr>
                <w:rFonts w:ascii="宋体"/>
              </w:rPr>
            </w:pPr>
          </w:p>
        </w:tc>
        <w:tc>
          <w:tcPr>
            <w:tcW w:w="5" w:type="pct"/>
            <w:shd w:val="clear" w:color="auto" w:fill="auto"/>
            <w:vAlign w:val="bottom"/>
          </w:tcPr>
          <w:p w14:paraId="18601786" w14:textId="77777777" w:rsidR="00A91885" w:rsidRDefault="00A91885">
            <w:pPr>
              <w:rPr>
                <w:rFonts w:ascii="宋体"/>
              </w:rPr>
            </w:pPr>
          </w:p>
        </w:tc>
        <w:tc>
          <w:tcPr>
            <w:tcW w:w="19" w:type="pct"/>
            <w:shd w:val="clear" w:color="auto" w:fill="auto"/>
            <w:vAlign w:val="bottom"/>
          </w:tcPr>
          <w:p w14:paraId="18601787" w14:textId="77777777" w:rsidR="00A91885" w:rsidRDefault="00A91885">
            <w:pPr>
              <w:rPr>
                <w:rFonts w:ascii="宋体"/>
              </w:rPr>
            </w:pPr>
          </w:p>
        </w:tc>
        <w:tc>
          <w:tcPr>
            <w:tcW w:w="5" w:type="pct"/>
            <w:shd w:val="clear" w:color="auto" w:fill="auto"/>
            <w:vAlign w:val="bottom"/>
          </w:tcPr>
          <w:p w14:paraId="18601788" w14:textId="77777777" w:rsidR="00A91885" w:rsidRDefault="00A91885">
            <w:pPr>
              <w:rPr>
                <w:rFonts w:ascii="宋体"/>
              </w:rPr>
            </w:pPr>
          </w:p>
        </w:tc>
        <w:tc>
          <w:tcPr>
            <w:tcW w:w="50" w:type="pct"/>
            <w:shd w:val="clear" w:color="auto" w:fill="auto"/>
            <w:vAlign w:val="bottom"/>
          </w:tcPr>
          <w:p w14:paraId="18601789" w14:textId="77777777" w:rsidR="00A91885" w:rsidRDefault="00A91885">
            <w:pPr>
              <w:rPr>
                <w:rFonts w:ascii="宋体"/>
              </w:rPr>
            </w:pPr>
          </w:p>
        </w:tc>
        <w:tc>
          <w:tcPr>
            <w:tcW w:w="391" w:type="pct"/>
            <w:shd w:val="clear" w:color="auto" w:fill="auto"/>
            <w:vAlign w:val="bottom"/>
          </w:tcPr>
          <w:p w14:paraId="1860178A" w14:textId="77777777" w:rsidR="00A91885" w:rsidRDefault="00A91885">
            <w:pPr>
              <w:rPr>
                <w:rFonts w:ascii="宋体"/>
              </w:rPr>
            </w:pPr>
          </w:p>
        </w:tc>
        <w:tc>
          <w:tcPr>
            <w:tcW w:w="5" w:type="pct"/>
            <w:shd w:val="clear" w:color="auto" w:fill="auto"/>
            <w:vAlign w:val="bottom"/>
          </w:tcPr>
          <w:p w14:paraId="1860178B" w14:textId="77777777" w:rsidR="00A91885" w:rsidRDefault="00A91885">
            <w:pPr>
              <w:rPr>
                <w:rFonts w:ascii="宋体"/>
              </w:rPr>
            </w:pPr>
          </w:p>
        </w:tc>
      </w:tr>
      <w:tr w:rsidR="00A91885" w14:paraId="18601795" w14:textId="77777777">
        <w:tc>
          <w:tcPr>
            <w:tcW w:w="0" w:type="auto"/>
            <w:gridSpan w:val="3"/>
            <w:shd w:val="clear" w:color="auto" w:fill="auto"/>
            <w:tcMar>
              <w:top w:w="0" w:type="dxa"/>
              <w:left w:w="20" w:type="dxa"/>
              <w:bottom w:w="0" w:type="dxa"/>
              <w:right w:w="20" w:type="dxa"/>
            </w:tcMar>
            <w:vAlign w:val="bottom"/>
          </w:tcPr>
          <w:p w14:paraId="1860178D"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78E"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78F"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790" w14:textId="77777777" w:rsidR="00A91885" w:rsidRDefault="009C4196">
            <w:pPr>
              <w:jc w:val="center"/>
              <w:textAlignment w:val="bottom"/>
            </w:pPr>
            <w:r>
              <w:rPr>
                <w:rFonts w:ascii="Arial" w:eastAsia="宋体" w:hAnsi="Arial" w:cs="Arial"/>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18601791"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792"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793"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794" w14:textId="77777777" w:rsidR="00A91885" w:rsidRDefault="009C4196">
            <w:pPr>
              <w:jc w:val="center"/>
              <w:textAlignment w:val="bottom"/>
            </w:pPr>
            <w:r>
              <w:rPr>
                <w:rFonts w:ascii="Arial" w:eastAsia="宋体" w:hAnsi="Arial" w:cs="Arial"/>
                <w:b/>
                <w:bCs/>
                <w:color w:val="000000"/>
                <w:sz w:val="17"/>
                <w:szCs w:val="17"/>
              </w:rPr>
              <w:t>Change</w:t>
            </w:r>
          </w:p>
        </w:tc>
      </w:tr>
      <w:tr w:rsidR="00A91885" w14:paraId="186017A6" w14:textId="77777777">
        <w:tc>
          <w:tcPr>
            <w:tcW w:w="0" w:type="auto"/>
            <w:gridSpan w:val="3"/>
            <w:shd w:val="clear" w:color="auto" w:fill="auto"/>
            <w:tcMar>
              <w:top w:w="40" w:type="dxa"/>
              <w:left w:w="20" w:type="dxa"/>
              <w:bottom w:w="40" w:type="dxa"/>
              <w:right w:w="20" w:type="dxa"/>
            </w:tcMar>
            <w:vAlign w:val="center"/>
          </w:tcPr>
          <w:p w14:paraId="18601796" w14:textId="77777777" w:rsidR="00A91885" w:rsidRDefault="009C4196">
            <w:pPr>
              <w:textAlignment w:val="center"/>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797"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798"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601799"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79A"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60179B" w14:textId="77777777" w:rsidR="00A91885" w:rsidRDefault="009C4196">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79C"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60179D" w14:textId="77777777" w:rsidR="00A91885" w:rsidRDefault="009C4196">
            <w:pPr>
              <w:jc w:val="center"/>
              <w:textAlignment w:val="bottom"/>
            </w:pPr>
            <w:r>
              <w:rPr>
                <w:rFonts w:ascii="Arial" w:eastAsia="宋体" w:hAnsi="Arial" w:cs="Arial"/>
                <w:b/>
                <w:bCs/>
                <w:color w:val="000000"/>
                <w:sz w:val="17"/>
                <w:szCs w:val="17"/>
              </w:rPr>
              <w:t>FX-Neutral</w:t>
            </w:r>
          </w:p>
        </w:tc>
        <w:tc>
          <w:tcPr>
            <w:tcW w:w="0" w:type="auto"/>
            <w:gridSpan w:val="3"/>
            <w:shd w:val="clear" w:color="auto" w:fill="auto"/>
            <w:tcMar>
              <w:top w:w="0" w:type="dxa"/>
              <w:left w:w="20" w:type="dxa"/>
              <w:bottom w:w="0" w:type="dxa"/>
              <w:right w:w="20" w:type="dxa"/>
            </w:tcMar>
            <w:vAlign w:val="bottom"/>
          </w:tcPr>
          <w:p w14:paraId="1860179E"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60179F"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7A0"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6017A1"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7A2"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6017A3" w14:textId="77777777" w:rsidR="00A91885" w:rsidRDefault="009C4196">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7A4"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6017A5" w14:textId="77777777" w:rsidR="00A91885" w:rsidRDefault="009C4196">
            <w:pPr>
              <w:jc w:val="center"/>
              <w:textAlignment w:val="bottom"/>
            </w:pPr>
            <w:r>
              <w:rPr>
                <w:rFonts w:ascii="Arial" w:eastAsia="宋体" w:hAnsi="Arial" w:cs="Arial"/>
                <w:b/>
                <w:bCs/>
                <w:color w:val="000000"/>
                <w:sz w:val="17"/>
                <w:szCs w:val="17"/>
              </w:rPr>
              <w:t>FX-Neutral</w:t>
            </w:r>
          </w:p>
        </w:tc>
      </w:tr>
      <w:tr w:rsidR="00A91885" w14:paraId="186017A9" w14:textId="77777777">
        <w:tc>
          <w:tcPr>
            <w:tcW w:w="0" w:type="auto"/>
            <w:gridSpan w:val="3"/>
            <w:shd w:val="clear" w:color="auto" w:fill="auto"/>
            <w:tcMar>
              <w:top w:w="0" w:type="dxa"/>
              <w:left w:w="20" w:type="dxa"/>
              <w:bottom w:w="0" w:type="dxa"/>
              <w:right w:w="20" w:type="dxa"/>
            </w:tcMar>
            <w:vAlign w:val="bottom"/>
          </w:tcPr>
          <w:p w14:paraId="186017A7" w14:textId="77777777" w:rsidR="00A91885" w:rsidRDefault="00A91885">
            <w:pPr>
              <w:rPr>
                <w:rFonts w:ascii="宋体"/>
              </w:rPr>
            </w:pPr>
          </w:p>
        </w:tc>
        <w:tc>
          <w:tcPr>
            <w:tcW w:w="0" w:type="auto"/>
            <w:gridSpan w:val="45"/>
            <w:tcBorders>
              <w:top w:val="single" w:sz="8" w:space="0" w:color="000000"/>
            </w:tcBorders>
            <w:shd w:val="clear" w:color="auto" w:fill="FFFFFF"/>
            <w:tcMar>
              <w:top w:w="40" w:type="dxa"/>
              <w:left w:w="20" w:type="dxa"/>
              <w:bottom w:w="40" w:type="dxa"/>
              <w:right w:w="20" w:type="dxa"/>
            </w:tcMar>
            <w:vAlign w:val="bottom"/>
          </w:tcPr>
          <w:p w14:paraId="186017A8" w14:textId="77777777" w:rsidR="00A91885" w:rsidRDefault="009C4196">
            <w:pPr>
              <w:jc w:val="center"/>
              <w:textAlignment w:val="bottom"/>
            </w:pPr>
            <w:r>
              <w:rPr>
                <w:rFonts w:ascii="Arial" w:eastAsia="宋体" w:hAnsi="Arial" w:cs="Arial"/>
                <w:b/>
                <w:bCs/>
                <w:color w:val="000000"/>
                <w:sz w:val="17"/>
                <w:szCs w:val="17"/>
              </w:rPr>
              <w:t>(In millions, except percentages)</w:t>
            </w:r>
          </w:p>
        </w:tc>
      </w:tr>
      <w:tr w:rsidR="00A91885" w14:paraId="186017C2" w14:textId="77777777">
        <w:tc>
          <w:tcPr>
            <w:tcW w:w="0" w:type="auto"/>
            <w:gridSpan w:val="3"/>
            <w:shd w:val="clear" w:color="auto" w:fill="E2E2E2"/>
            <w:tcMar>
              <w:top w:w="40" w:type="dxa"/>
              <w:left w:w="20" w:type="dxa"/>
              <w:bottom w:w="40" w:type="dxa"/>
              <w:right w:w="20" w:type="dxa"/>
            </w:tcMar>
            <w:vAlign w:val="bottom"/>
          </w:tcPr>
          <w:p w14:paraId="186017AA" w14:textId="77777777" w:rsidR="00A91885" w:rsidRDefault="009C4196">
            <w:pPr>
              <w:textAlignment w:val="bottom"/>
            </w:pPr>
            <w:r>
              <w:rPr>
                <w:rFonts w:ascii="Arial" w:eastAsia="宋体" w:hAnsi="Arial" w:cs="Arial"/>
                <w:color w:val="000000"/>
                <w:sz w:val="18"/>
                <w:szCs w:val="18"/>
              </w:rPr>
              <w:t xml:space="preserve">Net transaction revenues </w:t>
            </w:r>
            <w:r>
              <w:rPr>
                <w:rFonts w:ascii="Arial" w:eastAsia="宋体" w:hAnsi="Arial" w:cs="Arial"/>
                <w:color w:val="000000"/>
                <w:sz w:val="11"/>
                <w:szCs w:val="11"/>
              </w:rPr>
              <w:t>(1)</w:t>
            </w:r>
          </w:p>
        </w:tc>
        <w:tc>
          <w:tcPr>
            <w:tcW w:w="0" w:type="auto"/>
            <w:shd w:val="clear" w:color="auto" w:fill="E2E2E2"/>
            <w:tcMar>
              <w:top w:w="40" w:type="dxa"/>
              <w:left w:w="20" w:type="dxa"/>
              <w:bottom w:w="40" w:type="dxa"/>
              <w:right w:w="0" w:type="dxa"/>
            </w:tcMar>
            <w:vAlign w:val="bottom"/>
          </w:tcPr>
          <w:p w14:paraId="186017AB" w14:textId="77777777" w:rsidR="00A91885" w:rsidRDefault="009C4196">
            <w:pPr>
              <w:textAlignment w:val="bottom"/>
            </w:pPr>
            <w:r>
              <w:rPr>
                <w:rFonts w:ascii="Arial" w:eastAsia="宋体" w:hAnsi="Arial" w:cs="Arial"/>
                <w:color w:val="000000"/>
                <w:sz w:val="18"/>
                <w:szCs w:val="18"/>
              </w:rPr>
              <w:t>$</w:t>
            </w:r>
          </w:p>
        </w:tc>
        <w:tc>
          <w:tcPr>
            <w:tcW w:w="0" w:type="auto"/>
            <w:gridSpan w:val="2"/>
            <w:shd w:val="clear" w:color="auto" w:fill="E2E2E2"/>
            <w:tcMar>
              <w:top w:w="40" w:type="dxa"/>
              <w:left w:w="0" w:type="dxa"/>
              <w:bottom w:w="40" w:type="dxa"/>
              <w:right w:w="140" w:type="dxa"/>
            </w:tcMar>
            <w:vAlign w:val="bottom"/>
          </w:tcPr>
          <w:p w14:paraId="186017AC" w14:textId="77777777" w:rsidR="00A91885" w:rsidRDefault="009C4196">
            <w:pPr>
              <w:jc w:val="right"/>
              <w:textAlignment w:val="bottom"/>
            </w:pPr>
            <w:r>
              <w:rPr>
                <w:rFonts w:ascii="Arial" w:eastAsia="宋体" w:hAnsi="Arial" w:cs="Arial"/>
                <w:color w:val="000000"/>
                <w:sz w:val="18"/>
                <w:szCs w:val="18"/>
              </w:rPr>
              <w:t>2,297</w:t>
            </w:r>
          </w:p>
        </w:tc>
        <w:tc>
          <w:tcPr>
            <w:tcW w:w="0" w:type="auto"/>
            <w:gridSpan w:val="3"/>
            <w:shd w:val="clear" w:color="auto" w:fill="E2E2E2"/>
            <w:tcMar>
              <w:top w:w="0" w:type="dxa"/>
              <w:left w:w="20" w:type="dxa"/>
              <w:bottom w:w="0" w:type="dxa"/>
              <w:right w:w="20" w:type="dxa"/>
            </w:tcMar>
            <w:vAlign w:val="bottom"/>
          </w:tcPr>
          <w:p w14:paraId="186017AD"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17AE" w14:textId="77777777" w:rsidR="00A91885" w:rsidRDefault="009C4196">
            <w:pPr>
              <w:textAlignment w:val="bottom"/>
            </w:pPr>
            <w:r>
              <w:rPr>
                <w:rFonts w:ascii="Arial" w:eastAsia="宋体" w:hAnsi="Arial" w:cs="Arial"/>
                <w:color w:val="000000"/>
                <w:sz w:val="18"/>
                <w:szCs w:val="18"/>
              </w:rPr>
              <w:t>$</w:t>
            </w:r>
          </w:p>
        </w:tc>
        <w:tc>
          <w:tcPr>
            <w:tcW w:w="0" w:type="auto"/>
            <w:gridSpan w:val="2"/>
            <w:shd w:val="clear" w:color="auto" w:fill="E2E2E2"/>
            <w:tcMar>
              <w:top w:w="40" w:type="dxa"/>
              <w:left w:w="0" w:type="dxa"/>
              <w:bottom w:w="40" w:type="dxa"/>
              <w:right w:w="140" w:type="dxa"/>
            </w:tcMar>
            <w:vAlign w:val="bottom"/>
          </w:tcPr>
          <w:p w14:paraId="186017AF" w14:textId="77777777" w:rsidR="00A91885" w:rsidRDefault="009C4196">
            <w:pPr>
              <w:jc w:val="right"/>
              <w:textAlignment w:val="bottom"/>
            </w:pPr>
            <w:r>
              <w:rPr>
                <w:rFonts w:ascii="Arial" w:eastAsia="宋体" w:hAnsi="Arial" w:cs="Arial"/>
                <w:color w:val="000000"/>
                <w:sz w:val="18"/>
                <w:szCs w:val="18"/>
              </w:rPr>
              <w:t>2,496</w:t>
            </w:r>
          </w:p>
        </w:tc>
        <w:tc>
          <w:tcPr>
            <w:tcW w:w="0" w:type="auto"/>
            <w:gridSpan w:val="3"/>
            <w:shd w:val="clear" w:color="auto" w:fill="E2E2E2"/>
            <w:tcMar>
              <w:top w:w="0" w:type="dxa"/>
              <w:left w:w="20" w:type="dxa"/>
              <w:bottom w:w="0" w:type="dxa"/>
              <w:right w:w="20" w:type="dxa"/>
            </w:tcMar>
            <w:vAlign w:val="bottom"/>
          </w:tcPr>
          <w:p w14:paraId="186017B0"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7B1" w14:textId="77777777" w:rsidR="00A91885" w:rsidRDefault="009C4196">
            <w:pPr>
              <w:jc w:val="right"/>
              <w:textAlignment w:val="bottom"/>
            </w:pPr>
            <w:r>
              <w:rPr>
                <w:rFonts w:ascii="Arial" w:eastAsia="宋体" w:hAnsi="Arial" w:cs="Arial"/>
                <w:color w:val="000000"/>
                <w:sz w:val="18"/>
                <w:szCs w:val="18"/>
              </w:rPr>
              <w:t>(8)</w:t>
            </w:r>
          </w:p>
        </w:tc>
        <w:tc>
          <w:tcPr>
            <w:tcW w:w="0" w:type="auto"/>
            <w:shd w:val="clear" w:color="auto" w:fill="E2E2E2"/>
            <w:tcMar>
              <w:top w:w="40" w:type="dxa"/>
              <w:left w:w="0" w:type="dxa"/>
              <w:bottom w:w="40" w:type="dxa"/>
              <w:right w:w="20" w:type="dxa"/>
            </w:tcMar>
            <w:vAlign w:val="bottom"/>
          </w:tcPr>
          <w:p w14:paraId="186017B2"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7B3"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7B4" w14:textId="77777777" w:rsidR="00A91885" w:rsidRDefault="009C4196">
            <w:pPr>
              <w:jc w:val="right"/>
              <w:textAlignment w:val="bottom"/>
            </w:pPr>
            <w:r>
              <w:rPr>
                <w:rFonts w:ascii="Arial" w:eastAsia="宋体" w:hAnsi="Arial" w:cs="Arial"/>
                <w:color w:val="000000"/>
                <w:sz w:val="18"/>
                <w:szCs w:val="18"/>
              </w:rPr>
              <w:t>(5)</w:t>
            </w:r>
          </w:p>
        </w:tc>
        <w:tc>
          <w:tcPr>
            <w:tcW w:w="0" w:type="auto"/>
            <w:shd w:val="clear" w:color="auto" w:fill="E2E2E2"/>
            <w:tcMar>
              <w:top w:w="40" w:type="dxa"/>
              <w:left w:w="0" w:type="dxa"/>
              <w:bottom w:w="40" w:type="dxa"/>
              <w:right w:w="20" w:type="dxa"/>
            </w:tcMar>
            <w:vAlign w:val="bottom"/>
          </w:tcPr>
          <w:p w14:paraId="186017B5"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7B6"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17B7" w14:textId="77777777" w:rsidR="00A91885" w:rsidRDefault="009C4196">
            <w:pPr>
              <w:textAlignment w:val="bottom"/>
            </w:pPr>
            <w:r>
              <w:rPr>
                <w:rFonts w:ascii="Arial" w:eastAsia="宋体" w:hAnsi="Arial" w:cs="Arial"/>
                <w:color w:val="000000"/>
                <w:sz w:val="18"/>
                <w:szCs w:val="18"/>
              </w:rPr>
              <w:t>$</w:t>
            </w:r>
          </w:p>
        </w:tc>
        <w:tc>
          <w:tcPr>
            <w:tcW w:w="0" w:type="auto"/>
            <w:gridSpan w:val="2"/>
            <w:shd w:val="clear" w:color="auto" w:fill="E2E2E2"/>
            <w:tcMar>
              <w:top w:w="40" w:type="dxa"/>
              <w:left w:w="0" w:type="dxa"/>
              <w:bottom w:w="40" w:type="dxa"/>
              <w:right w:w="140" w:type="dxa"/>
            </w:tcMar>
            <w:vAlign w:val="bottom"/>
          </w:tcPr>
          <w:p w14:paraId="186017B8" w14:textId="77777777" w:rsidR="00A91885" w:rsidRDefault="009C4196">
            <w:pPr>
              <w:jc w:val="right"/>
              <w:textAlignment w:val="bottom"/>
            </w:pPr>
            <w:r>
              <w:rPr>
                <w:rFonts w:ascii="Arial" w:eastAsia="宋体" w:hAnsi="Arial" w:cs="Arial"/>
                <w:color w:val="000000"/>
                <w:sz w:val="18"/>
                <w:szCs w:val="18"/>
              </w:rPr>
              <w:t>4,652</w:t>
            </w:r>
          </w:p>
        </w:tc>
        <w:tc>
          <w:tcPr>
            <w:tcW w:w="0" w:type="auto"/>
            <w:gridSpan w:val="3"/>
            <w:shd w:val="clear" w:color="auto" w:fill="E2E2E2"/>
            <w:tcMar>
              <w:top w:w="0" w:type="dxa"/>
              <w:left w:w="20" w:type="dxa"/>
              <w:bottom w:w="0" w:type="dxa"/>
              <w:right w:w="20" w:type="dxa"/>
            </w:tcMar>
            <w:vAlign w:val="bottom"/>
          </w:tcPr>
          <w:p w14:paraId="186017B9"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17BA" w14:textId="77777777" w:rsidR="00A91885" w:rsidRDefault="009C4196">
            <w:pPr>
              <w:textAlignment w:val="bottom"/>
            </w:pPr>
            <w:r>
              <w:rPr>
                <w:rFonts w:ascii="Arial" w:eastAsia="宋体" w:hAnsi="Arial" w:cs="Arial"/>
                <w:color w:val="000000"/>
                <w:sz w:val="18"/>
                <w:szCs w:val="18"/>
              </w:rPr>
              <w:t>$</w:t>
            </w:r>
          </w:p>
        </w:tc>
        <w:tc>
          <w:tcPr>
            <w:tcW w:w="0" w:type="auto"/>
            <w:gridSpan w:val="2"/>
            <w:shd w:val="clear" w:color="auto" w:fill="E2E2E2"/>
            <w:tcMar>
              <w:top w:w="40" w:type="dxa"/>
              <w:left w:w="0" w:type="dxa"/>
              <w:bottom w:w="40" w:type="dxa"/>
              <w:right w:w="140" w:type="dxa"/>
            </w:tcMar>
            <w:vAlign w:val="bottom"/>
          </w:tcPr>
          <w:p w14:paraId="186017BB" w14:textId="77777777" w:rsidR="00A91885" w:rsidRDefault="009C4196">
            <w:pPr>
              <w:jc w:val="right"/>
              <w:textAlignment w:val="bottom"/>
            </w:pPr>
            <w:r>
              <w:rPr>
                <w:rFonts w:ascii="Arial" w:eastAsia="宋体" w:hAnsi="Arial" w:cs="Arial"/>
                <w:color w:val="000000"/>
                <w:sz w:val="18"/>
                <w:szCs w:val="18"/>
              </w:rPr>
              <w:t>4,972</w:t>
            </w:r>
          </w:p>
        </w:tc>
        <w:tc>
          <w:tcPr>
            <w:tcW w:w="0" w:type="auto"/>
            <w:gridSpan w:val="3"/>
            <w:shd w:val="clear" w:color="auto" w:fill="E2E2E2"/>
            <w:tcMar>
              <w:top w:w="0" w:type="dxa"/>
              <w:left w:w="20" w:type="dxa"/>
              <w:bottom w:w="0" w:type="dxa"/>
              <w:right w:w="20" w:type="dxa"/>
            </w:tcMar>
            <w:vAlign w:val="bottom"/>
          </w:tcPr>
          <w:p w14:paraId="186017BC"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7BD" w14:textId="77777777" w:rsidR="00A91885" w:rsidRDefault="009C4196">
            <w:pPr>
              <w:jc w:val="right"/>
              <w:textAlignment w:val="bottom"/>
            </w:pPr>
            <w:r>
              <w:rPr>
                <w:rFonts w:ascii="Arial" w:eastAsia="宋体" w:hAnsi="Arial" w:cs="Arial"/>
                <w:color w:val="000000"/>
                <w:sz w:val="18"/>
                <w:szCs w:val="18"/>
              </w:rPr>
              <w:t>(6)</w:t>
            </w:r>
          </w:p>
        </w:tc>
        <w:tc>
          <w:tcPr>
            <w:tcW w:w="0" w:type="auto"/>
            <w:shd w:val="clear" w:color="auto" w:fill="E2E2E2"/>
            <w:tcMar>
              <w:top w:w="40" w:type="dxa"/>
              <w:left w:w="0" w:type="dxa"/>
              <w:bottom w:w="40" w:type="dxa"/>
              <w:right w:w="20" w:type="dxa"/>
            </w:tcMar>
            <w:vAlign w:val="bottom"/>
          </w:tcPr>
          <w:p w14:paraId="186017BE"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7BF"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7C0" w14:textId="77777777" w:rsidR="00A91885" w:rsidRDefault="009C4196">
            <w:pPr>
              <w:jc w:val="right"/>
              <w:textAlignment w:val="bottom"/>
            </w:pPr>
            <w:r>
              <w:rPr>
                <w:rFonts w:ascii="Arial" w:eastAsia="宋体" w:hAnsi="Arial" w:cs="Arial"/>
                <w:color w:val="000000"/>
                <w:sz w:val="18"/>
                <w:szCs w:val="18"/>
              </w:rPr>
              <w:t>(4)</w:t>
            </w:r>
          </w:p>
        </w:tc>
        <w:tc>
          <w:tcPr>
            <w:tcW w:w="0" w:type="auto"/>
            <w:shd w:val="clear" w:color="auto" w:fill="E2E2E2"/>
            <w:tcMar>
              <w:top w:w="40" w:type="dxa"/>
              <w:left w:w="0" w:type="dxa"/>
              <w:bottom w:w="40" w:type="dxa"/>
              <w:right w:w="20" w:type="dxa"/>
            </w:tcMar>
            <w:vAlign w:val="bottom"/>
          </w:tcPr>
          <w:p w14:paraId="186017C1" w14:textId="77777777" w:rsidR="00A91885" w:rsidRDefault="009C4196">
            <w:pPr>
              <w:jc w:val="right"/>
              <w:textAlignment w:val="bottom"/>
            </w:pPr>
            <w:r>
              <w:rPr>
                <w:rFonts w:ascii="Arial" w:eastAsia="宋体" w:hAnsi="Arial" w:cs="Arial"/>
                <w:color w:val="000000"/>
                <w:sz w:val="18"/>
                <w:szCs w:val="18"/>
              </w:rPr>
              <w:t>%</w:t>
            </w:r>
          </w:p>
        </w:tc>
      </w:tr>
      <w:tr w:rsidR="00A91885" w14:paraId="186017D3" w14:textId="77777777">
        <w:trPr>
          <w:trHeight w:val="280"/>
        </w:trPr>
        <w:tc>
          <w:tcPr>
            <w:tcW w:w="0" w:type="auto"/>
            <w:gridSpan w:val="3"/>
            <w:shd w:val="clear" w:color="auto" w:fill="FFFFFF"/>
            <w:tcMar>
              <w:top w:w="0" w:type="dxa"/>
              <w:left w:w="20" w:type="dxa"/>
              <w:bottom w:w="0" w:type="dxa"/>
              <w:right w:w="20" w:type="dxa"/>
            </w:tcMar>
            <w:vAlign w:val="bottom"/>
          </w:tcPr>
          <w:p w14:paraId="186017C3"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7C4"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7C5"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7C6"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7C7"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7C8"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7C9"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7C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7C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7CC"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7C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7C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7C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7D0"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7D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7D2" w14:textId="77777777" w:rsidR="00A91885" w:rsidRDefault="00A91885">
            <w:pPr>
              <w:rPr>
                <w:rFonts w:ascii="宋体"/>
              </w:rPr>
            </w:pPr>
          </w:p>
        </w:tc>
      </w:tr>
      <w:tr w:rsidR="00A91885" w14:paraId="186017E4" w14:textId="77777777">
        <w:tc>
          <w:tcPr>
            <w:tcW w:w="0" w:type="auto"/>
            <w:gridSpan w:val="3"/>
            <w:shd w:val="clear" w:color="auto" w:fill="E2E2E2"/>
            <w:tcMar>
              <w:top w:w="40" w:type="dxa"/>
              <w:left w:w="20" w:type="dxa"/>
              <w:bottom w:w="40" w:type="dxa"/>
              <w:right w:w="20" w:type="dxa"/>
            </w:tcMar>
            <w:vAlign w:val="bottom"/>
          </w:tcPr>
          <w:p w14:paraId="186017D4" w14:textId="77777777" w:rsidR="00A91885" w:rsidRDefault="009C4196">
            <w:pPr>
              <w:textAlignment w:val="bottom"/>
            </w:pPr>
            <w:r>
              <w:rPr>
                <w:rFonts w:ascii="Arial" w:eastAsia="宋体" w:hAnsi="Arial" w:cs="Arial"/>
                <w:color w:val="000000"/>
                <w:sz w:val="18"/>
                <w:szCs w:val="18"/>
              </w:rPr>
              <w:t>Supplemental data:</w:t>
            </w:r>
          </w:p>
        </w:tc>
        <w:tc>
          <w:tcPr>
            <w:tcW w:w="0" w:type="auto"/>
            <w:gridSpan w:val="3"/>
            <w:shd w:val="clear" w:color="auto" w:fill="E2E2E2"/>
            <w:tcMar>
              <w:top w:w="0" w:type="dxa"/>
              <w:left w:w="20" w:type="dxa"/>
              <w:bottom w:w="0" w:type="dxa"/>
              <w:right w:w="20" w:type="dxa"/>
            </w:tcMar>
            <w:vAlign w:val="bottom"/>
          </w:tcPr>
          <w:p w14:paraId="186017D5"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7D6"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7D7"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7D8"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7D9"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7DA"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7DB"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7DC"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7DD"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7DE"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7DF"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7E0"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7E1"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7E2"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7E3" w14:textId="77777777" w:rsidR="00A91885" w:rsidRDefault="00A91885">
            <w:pPr>
              <w:rPr>
                <w:rFonts w:ascii="宋体"/>
              </w:rPr>
            </w:pPr>
          </w:p>
        </w:tc>
      </w:tr>
      <w:tr w:rsidR="00A91885" w14:paraId="186017FD" w14:textId="77777777">
        <w:tc>
          <w:tcPr>
            <w:tcW w:w="0" w:type="auto"/>
            <w:gridSpan w:val="3"/>
            <w:shd w:val="clear" w:color="auto" w:fill="FFFFFF"/>
            <w:tcMar>
              <w:top w:w="40" w:type="dxa"/>
              <w:left w:w="20" w:type="dxa"/>
              <w:bottom w:w="40" w:type="dxa"/>
              <w:right w:w="20" w:type="dxa"/>
            </w:tcMar>
            <w:vAlign w:val="bottom"/>
          </w:tcPr>
          <w:p w14:paraId="186017E5" w14:textId="77777777" w:rsidR="00A91885" w:rsidRDefault="009C4196">
            <w:pPr>
              <w:textAlignment w:val="bottom"/>
            </w:pPr>
            <w:r>
              <w:rPr>
                <w:rFonts w:ascii="Arial" w:eastAsia="宋体" w:hAnsi="Arial" w:cs="Arial"/>
                <w:color w:val="000000"/>
                <w:sz w:val="18"/>
                <w:szCs w:val="18"/>
              </w:rPr>
              <w:t xml:space="preserve">GMV </w:t>
            </w:r>
            <w:r>
              <w:rPr>
                <w:rFonts w:ascii="Arial" w:eastAsia="宋体" w:hAnsi="Arial" w:cs="Arial"/>
                <w:color w:val="000000"/>
                <w:sz w:val="11"/>
                <w:szCs w:val="11"/>
              </w:rPr>
              <w:t>(2)</w:t>
            </w:r>
          </w:p>
        </w:tc>
        <w:tc>
          <w:tcPr>
            <w:tcW w:w="0" w:type="auto"/>
            <w:shd w:val="clear" w:color="auto" w:fill="FFFFFF"/>
            <w:tcMar>
              <w:top w:w="40" w:type="dxa"/>
              <w:left w:w="20" w:type="dxa"/>
              <w:bottom w:w="40" w:type="dxa"/>
              <w:right w:w="0" w:type="dxa"/>
            </w:tcMar>
            <w:vAlign w:val="bottom"/>
          </w:tcPr>
          <w:p w14:paraId="186017E6" w14:textId="77777777" w:rsidR="00A91885" w:rsidRDefault="009C4196">
            <w:pPr>
              <w:textAlignment w:val="bottom"/>
            </w:pPr>
            <w:r>
              <w:rPr>
                <w:rFonts w:ascii="Arial" w:eastAsia="宋体" w:hAnsi="Arial" w:cs="Arial"/>
                <w:color w:val="000000"/>
                <w:sz w:val="18"/>
                <w:szCs w:val="18"/>
              </w:rPr>
              <w:t>$</w:t>
            </w:r>
          </w:p>
        </w:tc>
        <w:tc>
          <w:tcPr>
            <w:tcW w:w="0" w:type="auto"/>
            <w:gridSpan w:val="2"/>
            <w:shd w:val="clear" w:color="auto" w:fill="FFFFFF"/>
            <w:tcMar>
              <w:top w:w="40" w:type="dxa"/>
              <w:left w:w="0" w:type="dxa"/>
              <w:bottom w:w="40" w:type="dxa"/>
              <w:right w:w="140" w:type="dxa"/>
            </w:tcMar>
            <w:vAlign w:val="bottom"/>
          </w:tcPr>
          <w:p w14:paraId="186017E7" w14:textId="77777777" w:rsidR="00A91885" w:rsidRDefault="009C4196">
            <w:pPr>
              <w:jc w:val="right"/>
              <w:textAlignment w:val="bottom"/>
            </w:pPr>
            <w:r>
              <w:rPr>
                <w:rFonts w:ascii="Arial" w:eastAsia="宋体" w:hAnsi="Arial" w:cs="Arial"/>
                <w:color w:val="000000"/>
                <w:sz w:val="18"/>
                <w:szCs w:val="18"/>
              </w:rPr>
              <w:t>18,549</w:t>
            </w:r>
          </w:p>
        </w:tc>
        <w:tc>
          <w:tcPr>
            <w:tcW w:w="0" w:type="auto"/>
            <w:gridSpan w:val="3"/>
            <w:shd w:val="clear" w:color="auto" w:fill="FFFFFF"/>
            <w:tcMar>
              <w:top w:w="0" w:type="dxa"/>
              <w:left w:w="20" w:type="dxa"/>
              <w:bottom w:w="0" w:type="dxa"/>
              <w:right w:w="20" w:type="dxa"/>
            </w:tcMar>
            <w:vAlign w:val="bottom"/>
          </w:tcPr>
          <w:p w14:paraId="186017E8"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7E9" w14:textId="77777777" w:rsidR="00A91885" w:rsidRDefault="009C4196">
            <w:pPr>
              <w:textAlignment w:val="bottom"/>
            </w:pPr>
            <w:r>
              <w:rPr>
                <w:rFonts w:ascii="Arial" w:eastAsia="宋体" w:hAnsi="Arial" w:cs="Arial"/>
                <w:color w:val="000000"/>
                <w:sz w:val="18"/>
                <w:szCs w:val="18"/>
              </w:rPr>
              <w:t>$</w:t>
            </w:r>
          </w:p>
        </w:tc>
        <w:tc>
          <w:tcPr>
            <w:tcW w:w="0" w:type="auto"/>
            <w:gridSpan w:val="2"/>
            <w:shd w:val="clear" w:color="auto" w:fill="FFFFFF"/>
            <w:tcMar>
              <w:top w:w="40" w:type="dxa"/>
              <w:left w:w="0" w:type="dxa"/>
              <w:bottom w:w="40" w:type="dxa"/>
              <w:right w:w="140" w:type="dxa"/>
            </w:tcMar>
            <w:vAlign w:val="bottom"/>
          </w:tcPr>
          <w:p w14:paraId="186017EA" w14:textId="77777777" w:rsidR="00A91885" w:rsidRDefault="009C4196">
            <w:pPr>
              <w:jc w:val="right"/>
              <w:textAlignment w:val="bottom"/>
            </w:pPr>
            <w:r>
              <w:rPr>
                <w:rFonts w:ascii="Arial" w:eastAsia="宋体" w:hAnsi="Arial" w:cs="Arial"/>
                <w:color w:val="000000"/>
                <w:sz w:val="18"/>
                <w:szCs w:val="18"/>
              </w:rPr>
              <w:t>22,587</w:t>
            </w:r>
          </w:p>
        </w:tc>
        <w:tc>
          <w:tcPr>
            <w:tcW w:w="0" w:type="auto"/>
            <w:gridSpan w:val="3"/>
            <w:shd w:val="clear" w:color="auto" w:fill="FFFFFF"/>
            <w:tcMar>
              <w:top w:w="0" w:type="dxa"/>
              <w:left w:w="20" w:type="dxa"/>
              <w:bottom w:w="0" w:type="dxa"/>
              <w:right w:w="20" w:type="dxa"/>
            </w:tcMar>
            <w:vAlign w:val="bottom"/>
          </w:tcPr>
          <w:p w14:paraId="186017E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7EC" w14:textId="77777777" w:rsidR="00A91885" w:rsidRDefault="009C4196">
            <w:pPr>
              <w:jc w:val="right"/>
              <w:textAlignment w:val="bottom"/>
            </w:pPr>
            <w:r>
              <w:rPr>
                <w:rFonts w:ascii="Arial" w:eastAsia="宋体" w:hAnsi="Arial" w:cs="Arial"/>
                <w:color w:val="000000"/>
                <w:sz w:val="18"/>
                <w:szCs w:val="18"/>
              </w:rPr>
              <w:t>(18)</w:t>
            </w:r>
          </w:p>
        </w:tc>
        <w:tc>
          <w:tcPr>
            <w:tcW w:w="0" w:type="auto"/>
            <w:shd w:val="clear" w:color="auto" w:fill="FFFFFF"/>
            <w:tcMar>
              <w:top w:w="40" w:type="dxa"/>
              <w:left w:w="0" w:type="dxa"/>
              <w:bottom w:w="40" w:type="dxa"/>
              <w:right w:w="20" w:type="dxa"/>
            </w:tcMar>
            <w:vAlign w:val="bottom"/>
          </w:tcPr>
          <w:p w14:paraId="186017ED"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7E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7EF" w14:textId="77777777" w:rsidR="00A91885" w:rsidRDefault="009C4196">
            <w:pPr>
              <w:jc w:val="right"/>
              <w:textAlignment w:val="bottom"/>
            </w:pPr>
            <w:r>
              <w:rPr>
                <w:rFonts w:ascii="Arial" w:eastAsia="宋体" w:hAnsi="Arial" w:cs="Arial"/>
                <w:color w:val="000000"/>
                <w:sz w:val="18"/>
                <w:szCs w:val="18"/>
              </w:rPr>
              <w:t>(14)</w:t>
            </w:r>
          </w:p>
        </w:tc>
        <w:tc>
          <w:tcPr>
            <w:tcW w:w="0" w:type="auto"/>
            <w:shd w:val="clear" w:color="auto" w:fill="FFFFFF"/>
            <w:tcMar>
              <w:top w:w="40" w:type="dxa"/>
              <w:left w:w="0" w:type="dxa"/>
              <w:bottom w:w="40" w:type="dxa"/>
              <w:right w:w="20" w:type="dxa"/>
            </w:tcMar>
            <w:vAlign w:val="bottom"/>
          </w:tcPr>
          <w:p w14:paraId="186017F0"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7F1"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7F2" w14:textId="77777777" w:rsidR="00A91885" w:rsidRDefault="009C4196">
            <w:pPr>
              <w:textAlignment w:val="bottom"/>
            </w:pPr>
            <w:r>
              <w:rPr>
                <w:rFonts w:ascii="Arial" w:eastAsia="宋体" w:hAnsi="Arial" w:cs="Arial"/>
                <w:color w:val="000000"/>
                <w:sz w:val="18"/>
                <w:szCs w:val="18"/>
              </w:rPr>
              <w:t>$</w:t>
            </w:r>
          </w:p>
        </w:tc>
        <w:tc>
          <w:tcPr>
            <w:tcW w:w="0" w:type="auto"/>
            <w:gridSpan w:val="2"/>
            <w:shd w:val="clear" w:color="auto" w:fill="FFFFFF"/>
            <w:tcMar>
              <w:top w:w="40" w:type="dxa"/>
              <w:left w:w="0" w:type="dxa"/>
              <w:bottom w:w="40" w:type="dxa"/>
              <w:right w:w="140" w:type="dxa"/>
            </w:tcMar>
            <w:vAlign w:val="bottom"/>
          </w:tcPr>
          <w:p w14:paraId="186017F3" w14:textId="77777777" w:rsidR="00A91885" w:rsidRDefault="009C4196">
            <w:pPr>
              <w:jc w:val="right"/>
              <w:textAlignment w:val="bottom"/>
            </w:pPr>
            <w:r>
              <w:rPr>
                <w:rFonts w:ascii="Arial" w:eastAsia="宋体" w:hAnsi="Arial" w:cs="Arial"/>
                <w:color w:val="000000"/>
                <w:sz w:val="18"/>
                <w:szCs w:val="18"/>
              </w:rPr>
              <w:t>37,958</w:t>
            </w:r>
          </w:p>
        </w:tc>
        <w:tc>
          <w:tcPr>
            <w:tcW w:w="0" w:type="auto"/>
            <w:gridSpan w:val="3"/>
            <w:shd w:val="clear" w:color="auto" w:fill="FFFFFF"/>
            <w:tcMar>
              <w:top w:w="0" w:type="dxa"/>
              <w:left w:w="20" w:type="dxa"/>
              <w:bottom w:w="0" w:type="dxa"/>
              <w:right w:w="20" w:type="dxa"/>
            </w:tcMar>
            <w:vAlign w:val="bottom"/>
          </w:tcPr>
          <w:p w14:paraId="186017F4"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7F5" w14:textId="77777777" w:rsidR="00A91885" w:rsidRDefault="009C4196">
            <w:pPr>
              <w:textAlignment w:val="bottom"/>
            </w:pPr>
            <w:r>
              <w:rPr>
                <w:rFonts w:ascii="Arial" w:eastAsia="宋体" w:hAnsi="Arial" w:cs="Arial"/>
                <w:color w:val="000000"/>
                <w:sz w:val="18"/>
                <w:szCs w:val="18"/>
              </w:rPr>
              <w:t>$</w:t>
            </w:r>
          </w:p>
        </w:tc>
        <w:tc>
          <w:tcPr>
            <w:tcW w:w="0" w:type="auto"/>
            <w:gridSpan w:val="2"/>
            <w:shd w:val="clear" w:color="auto" w:fill="FFFFFF"/>
            <w:tcMar>
              <w:top w:w="40" w:type="dxa"/>
              <w:left w:w="0" w:type="dxa"/>
              <w:bottom w:w="40" w:type="dxa"/>
              <w:right w:w="140" w:type="dxa"/>
            </w:tcMar>
            <w:vAlign w:val="bottom"/>
          </w:tcPr>
          <w:p w14:paraId="186017F6" w14:textId="77777777" w:rsidR="00A91885" w:rsidRDefault="009C4196">
            <w:pPr>
              <w:jc w:val="right"/>
              <w:textAlignment w:val="bottom"/>
            </w:pPr>
            <w:r>
              <w:rPr>
                <w:rFonts w:ascii="Arial" w:eastAsia="宋体" w:hAnsi="Arial" w:cs="Arial"/>
                <w:color w:val="000000"/>
                <w:sz w:val="18"/>
                <w:szCs w:val="18"/>
              </w:rPr>
              <w:t>46,714</w:t>
            </w:r>
          </w:p>
        </w:tc>
        <w:tc>
          <w:tcPr>
            <w:tcW w:w="0" w:type="auto"/>
            <w:gridSpan w:val="3"/>
            <w:shd w:val="clear" w:color="auto" w:fill="FFFFFF"/>
            <w:tcMar>
              <w:top w:w="0" w:type="dxa"/>
              <w:left w:w="20" w:type="dxa"/>
              <w:bottom w:w="0" w:type="dxa"/>
              <w:right w:w="20" w:type="dxa"/>
            </w:tcMar>
            <w:vAlign w:val="bottom"/>
          </w:tcPr>
          <w:p w14:paraId="186017F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7F8" w14:textId="77777777" w:rsidR="00A91885" w:rsidRDefault="009C4196">
            <w:pPr>
              <w:jc w:val="right"/>
              <w:textAlignment w:val="bottom"/>
            </w:pPr>
            <w:r>
              <w:rPr>
                <w:rFonts w:ascii="Arial" w:eastAsia="宋体" w:hAnsi="Arial" w:cs="Arial"/>
                <w:color w:val="000000"/>
                <w:sz w:val="18"/>
                <w:szCs w:val="18"/>
              </w:rPr>
              <w:t>(19)</w:t>
            </w:r>
          </w:p>
        </w:tc>
        <w:tc>
          <w:tcPr>
            <w:tcW w:w="0" w:type="auto"/>
            <w:shd w:val="clear" w:color="auto" w:fill="FFFFFF"/>
            <w:tcMar>
              <w:top w:w="40" w:type="dxa"/>
              <w:left w:w="0" w:type="dxa"/>
              <w:bottom w:w="40" w:type="dxa"/>
              <w:right w:w="20" w:type="dxa"/>
            </w:tcMar>
            <w:vAlign w:val="bottom"/>
          </w:tcPr>
          <w:p w14:paraId="186017F9"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7F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7FB" w14:textId="77777777" w:rsidR="00A91885" w:rsidRDefault="009C4196">
            <w:pPr>
              <w:jc w:val="right"/>
              <w:textAlignment w:val="bottom"/>
            </w:pPr>
            <w:r>
              <w:rPr>
                <w:rFonts w:ascii="Arial" w:eastAsia="宋体" w:hAnsi="Arial" w:cs="Arial"/>
                <w:color w:val="000000"/>
                <w:sz w:val="18"/>
                <w:szCs w:val="18"/>
              </w:rPr>
              <w:t>(16)</w:t>
            </w:r>
          </w:p>
        </w:tc>
        <w:tc>
          <w:tcPr>
            <w:tcW w:w="0" w:type="auto"/>
            <w:shd w:val="clear" w:color="auto" w:fill="FFFFFF"/>
            <w:tcMar>
              <w:top w:w="40" w:type="dxa"/>
              <w:left w:w="0" w:type="dxa"/>
              <w:bottom w:w="40" w:type="dxa"/>
              <w:right w:w="20" w:type="dxa"/>
            </w:tcMar>
            <w:vAlign w:val="bottom"/>
          </w:tcPr>
          <w:p w14:paraId="186017FC" w14:textId="77777777" w:rsidR="00A91885" w:rsidRDefault="009C4196">
            <w:pPr>
              <w:jc w:val="right"/>
              <w:textAlignment w:val="bottom"/>
            </w:pPr>
            <w:r>
              <w:rPr>
                <w:rFonts w:ascii="Arial" w:eastAsia="宋体" w:hAnsi="Arial" w:cs="Arial"/>
                <w:color w:val="000000"/>
                <w:sz w:val="18"/>
                <w:szCs w:val="18"/>
              </w:rPr>
              <w:t>%</w:t>
            </w:r>
          </w:p>
        </w:tc>
      </w:tr>
      <w:tr w:rsidR="00A91885" w14:paraId="18601814" w14:textId="77777777">
        <w:tc>
          <w:tcPr>
            <w:tcW w:w="0" w:type="auto"/>
            <w:gridSpan w:val="3"/>
            <w:shd w:val="clear" w:color="auto" w:fill="E2E2E2"/>
            <w:tcMar>
              <w:top w:w="40" w:type="dxa"/>
              <w:left w:w="155" w:type="dxa"/>
              <w:bottom w:w="40" w:type="dxa"/>
              <w:right w:w="20" w:type="dxa"/>
            </w:tcMar>
            <w:vAlign w:val="bottom"/>
          </w:tcPr>
          <w:p w14:paraId="186017FE" w14:textId="77777777" w:rsidR="00A91885" w:rsidRDefault="009C4196">
            <w:pPr>
              <w:textAlignment w:val="bottom"/>
            </w:pPr>
            <w:r>
              <w:rPr>
                <w:rFonts w:ascii="Arial" w:eastAsia="宋体" w:hAnsi="Arial" w:cs="Arial"/>
                <w:color w:val="000000"/>
                <w:sz w:val="18"/>
                <w:szCs w:val="18"/>
              </w:rPr>
              <w:t>Take rate</w:t>
            </w:r>
          </w:p>
        </w:tc>
        <w:tc>
          <w:tcPr>
            <w:tcW w:w="0" w:type="auto"/>
            <w:gridSpan w:val="2"/>
            <w:shd w:val="clear" w:color="auto" w:fill="E2E2E2"/>
            <w:tcMar>
              <w:top w:w="40" w:type="dxa"/>
              <w:left w:w="20" w:type="dxa"/>
              <w:bottom w:w="40" w:type="dxa"/>
              <w:right w:w="0" w:type="dxa"/>
            </w:tcMar>
            <w:vAlign w:val="bottom"/>
          </w:tcPr>
          <w:p w14:paraId="186017FF" w14:textId="77777777" w:rsidR="00A91885" w:rsidRDefault="009C4196">
            <w:pPr>
              <w:jc w:val="right"/>
              <w:textAlignment w:val="bottom"/>
            </w:pPr>
            <w:r>
              <w:rPr>
                <w:rFonts w:ascii="Arial" w:eastAsia="宋体" w:hAnsi="Arial" w:cs="Arial"/>
                <w:color w:val="000000"/>
                <w:sz w:val="18"/>
                <w:szCs w:val="18"/>
              </w:rPr>
              <w:t>12.38 </w:t>
            </w:r>
          </w:p>
        </w:tc>
        <w:tc>
          <w:tcPr>
            <w:tcW w:w="0" w:type="auto"/>
            <w:shd w:val="clear" w:color="auto" w:fill="E2E2E2"/>
            <w:tcMar>
              <w:top w:w="40" w:type="dxa"/>
              <w:left w:w="0" w:type="dxa"/>
              <w:bottom w:w="40" w:type="dxa"/>
              <w:right w:w="20" w:type="dxa"/>
            </w:tcMar>
            <w:vAlign w:val="bottom"/>
          </w:tcPr>
          <w:p w14:paraId="18601800"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80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802" w14:textId="77777777" w:rsidR="00A91885" w:rsidRDefault="009C4196">
            <w:pPr>
              <w:jc w:val="right"/>
              <w:textAlignment w:val="bottom"/>
            </w:pPr>
            <w:r>
              <w:rPr>
                <w:rFonts w:ascii="Arial" w:eastAsia="宋体" w:hAnsi="Arial" w:cs="Arial"/>
                <w:color w:val="000000"/>
                <w:sz w:val="18"/>
                <w:szCs w:val="18"/>
              </w:rPr>
              <w:t>11.05 </w:t>
            </w:r>
          </w:p>
        </w:tc>
        <w:tc>
          <w:tcPr>
            <w:tcW w:w="0" w:type="auto"/>
            <w:shd w:val="clear" w:color="auto" w:fill="E2E2E2"/>
            <w:tcMar>
              <w:top w:w="40" w:type="dxa"/>
              <w:left w:w="0" w:type="dxa"/>
              <w:bottom w:w="40" w:type="dxa"/>
              <w:right w:w="20" w:type="dxa"/>
            </w:tcMar>
            <w:vAlign w:val="bottom"/>
          </w:tcPr>
          <w:p w14:paraId="18601803"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804"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805" w14:textId="77777777" w:rsidR="00A91885" w:rsidRDefault="009C4196">
            <w:pPr>
              <w:jc w:val="right"/>
              <w:textAlignment w:val="bottom"/>
            </w:pPr>
            <w:r>
              <w:rPr>
                <w:rFonts w:ascii="Arial" w:eastAsia="宋体" w:hAnsi="Arial" w:cs="Arial"/>
                <w:color w:val="000000"/>
                <w:sz w:val="18"/>
                <w:szCs w:val="18"/>
              </w:rPr>
              <w:t>1.33 </w:t>
            </w:r>
          </w:p>
        </w:tc>
        <w:tc>
          <w:tcPr>
            <w:tcW w:w="0" w:type="auto"/>
            <w:shd w:val="clear" w:color="auto" w:fill="E2E2E2"/>
            <w:tcMar>
              <w:top w:w="40" w:type="dxa"/>
              <w:left w:w="0" w:type="dxa"/>
              <w:bottom w:w="40" w:type="dxa"/>
              <w:right w:w="20" w:type="dxa"/>
            </w:tcMar>
            <w:vAlign w:val="bottom"/>
          </w:tcPr>
          <w:p w14:paraId="18601806"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807"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808"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809"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80A" w14:textId="77777777" w:rsidR="00A91885" w:rsidRDefault="009C4196">
            <w:pPr>
              <w:jc w:val="right"/>
              <w:textAlignment w:val="bottom"/>
            </w:pPr>
            <w:r>
              <w:rPr>
                <w:rFonts w:ascii="Arial" w:eastAsia="宋体" w:hAnsi="Arial" w:cs="Arial"/>
                <w:color w:val="000000"/>
                <w:sz w:val="18"/>
                <w:szCs w:val="18"/>
              </w:rPr>
              <w:t>12.25 </w:t>
            </w:r>
          </w:p>
        </w:tc>
        <w:tc>
          <w:tcPr>
            <w:tcW w:w="0" w:type="auto"/>
            <w:shd w:val="clear" w:color="auto" w:fill="E2E2E2"/>
            <w:tcMar>
              <w:top w:w="40" w:type="dxa"/>
              <w:left w:w="0" w:type="dxa"/>
              <w:bottom w:w="40" w:type="dxa"/>
              <w:right w:w="20" w:type="dxa"/>
            </w:tcMar>
            <w:vAlign w:val="bottom"/>
          </w:tcPr>
          <w:p w14:paraId="1860180B"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80C"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80D" w14:textId="77777777" w:rsidR="00A91885" w:rsidRDefault="009C4196">
            <w:pPr>
              <w:jc w:val="right"/>
              <w:textAlignment w:val="bottom"/>
            </w:pPr>
            <w:r>
              <w:rPr>
                <w:rFonts w:ascii="Arial" w:eastAsia="宋体" w:hAnsi="Arial" w:cs="Arial"/>
                <w:color w:val="000000"/>
                <w:sz w:val="18"/>
                <w:szCs w:val="18"/>
              </w:rPr>
              <w:t>10.64 </w:t>
            </w:r>
          </w:p>
        </w:tc>
        <w:tc>
          <w:tcPr>
            <w:tcW w:w="0" w:type="auto"/>
            <w:shd w:val="clear" w:color="auto" w:fill="E2E2E2"/>
            <w:tcMar>
              <w:top w:w="40" w:type="dxa"/>
              <w:left w:w="0" w:type="dxa"/>
              <w:bottom w:w="40" w:type="dxa"/>
              <w:right w:w="20" w:type="dxa"/>
            </w:tcMar>
            <w:vAlign w:val="bottom"/>
          </w:tcPr>
          <w:p w14:paraId="1860180E"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80F"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810" w14:textId="77777777" w:rsidR="00A91885" w:rsidRDefault="009C4196">
            <w:pPr>
              <w:jc w:val="right"/>
              <w:textAlignment w:val="bottom"/>
            </w:pPr>
            <w:r>
              <w:rPr>
                <w:rFonts w:ascii="Arial" w:eastAsia="宋体" w:hAnsi="Arial" w:cs="Arial"/>
                <w:color w:val="000000"/>
                <w:sz w:val="18"/>
                <w:szCs w:val="18"/>
              </w:rPr>
              <w:t>1.61 </w:t>
            </w:r>
          </w:p>
        </w:tc>
        <w:tc>
          <w:tcPr>
            <w:tcW w:w="0" w:type="auto"/>
            <w:shd w:val="clear" w:color="auto" w:fill="E2E2E2"/>
            <w:tcMar>
              <w:top w:w="40" w:type="dxa"/>
              <w:left w:w="0" w:type="dxa"/>
              <w:bottom w:w="40" w:type="dxa"/>
              <w:right w:w="20" w:type="dxa"/>
            </w:tcMar>
            <w:vAlign w:val="bottom"/>
          </w:tcPr>
          <w:p w14:paraId="18601811"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812" w14:textId="77777777" w:rsidR="00A91885" w:rsidRDefault="00A91885">
            <w:pPr>
              <w:rPr>
                <w:rFonts w:ascii="宋体"/>
              </w:rPr>
            </w:pPr>
          </w:p>
        </w:tc>
        <w:tc>
          <w:tcPr>
            <w:tcW w:w="0" w:type="auto"/>
            <w:gridSpan w:val="3"/>
            <w:shd w:val="clear" w:color="auto" w:fill="E2E2E2"/>
            <w:tcMar>
              <w:top w:w="0" w:type="dxa"/>
              <w:left w:w="20" w:type="dxa"/>
              <w:bottom w:w="0" w:type="dxa"/>
              <w:right w:w="20" w:type="dxa"/>
            </w:tcMar>
            <w:vAlign w:val="bottom"/>
          </w:tcPr>
          <w:p w14:paraId="18601813" w14:textId="77777777" w:rsidR="00A91885" w:rsidRDefault="00A91885">
            <w:pPr>
              <w:rPr>
                <w:rFonts w:ascii="宋体"/>
              </w:rPr>
            </w:pPr>
          </w:p>
        </w:tc>
      </w:tr>
    </w:tbl>
    <w:p w14:paraId="18601815" w14:textId="77777777" w:rsidR="00A91885" w:rsidRDefault="009C4196">
      <w:pPr>
        <w:ind w:hanging="180"/>
        <w:jc w:val="both"/>
      </w:pPr>
      <w:r>
        <w:rPr>
          <w:rFonts w:ascii="Arial" w:eastAsia="宋体" w:hAnsi="Arial" w:cs="Arial"/>
          <w:color w:val="000000"/>
          <w:sz w:val="13"/>
          <w:szCs w:val="13"/>
        </w:rPr>
        <w:t xml:space="preserve">(1) </w:t>
      </w:r>
      <w:r>
        <w:rPr>
          <w:rFonts w:ascii="Arial" w:eastAsia="宋体" w:hAnsi="Arial" w:cs="Arial"/>
          <w:color w:val="000000"/>
          <w:sz w:val="16"/>
          <w:szCs w:val="16"/>
        </w:rPr>
        <w:t>Net transaction revenues were net of $9 million and $15 million o</w:t>
      </w:r>
      <w:r>
        <w:rPr>
          <w:rFonts w:ascii="Arial" w:eastAsia="宋体" w:hAnsi="Arial" w:cs="Arial"/>
          <w:color w:val="000000"/>
          <w:sz w:val="16"/>
          <w:szCs w:val="16"/>
        </w:rPr>
        <w:t xml:space="preserve">f hedging gains during the three and six months ended June 30, 2022, respectively, as compared to $18 million and $46 million of hedging losses during the same periods in 2021. </w:t>
      </w:r>
    </w:p>
    <w:p w14:paraId="18601816" w14:textId="77777777" w:rsidR="00A91885" w:rsidRDefault="009C4196">
      <w:pPr>
        <w:ind w:hanging="180"/>
        <w:jc w:val="both"/>
      </w:pPr>
      <w:r>
        <w:rPr>
          <w:rFonts w:ascii="Arial" w:eastAsia="宋体" w:hAnsi="Arial" w:cs="Arial"/>
          <w:color w:val="000000"/>
          <w:sz w:val="13"/>
          <w:szCs w:val="13"/>
        </w:rPr>
        <w:t xml:space="preserve">(2) </w:t>
      </w:r>
      <w:r>
        <w:rPr>
          <w:rFonts w:ascii="Arial" w:eastAsia="宋体" w:hAnsi="Arial" w:cs="Arial"/>
          <w:color w:val="000000"/>
          <w:sz w:val="16"/>
          <w:szCs w:val="16"/>
        </w:rPr>
        <w:t>GMV for the three and six months ended June 30, 2021 has been retrospectiv</w:t>
      </w:r>
      <w:r>
        <w:rPr>
          <w:rFonts w:ascii="Arial" w:eastAsia="宋体" w:hAnsi="Arial" w:cs="Arial"/>
          <w:color w:val="000000"/>
          <w:sz w:val="16"/>
          <w:szCs w:val="16"/>
        </w:rPr>
        <w:t>ely recast to reflect the new definition of GMV announced in December 2021.</w:t>
      </w:r>
    </w:p>
    <w:p w14:paraId="18601817" w14:textId="77777777" w:rsidR="00A91885" w:rsidRDefault="00A91885">
      <w:pPr>
        <w:spacing w:before="60"/>
        <w:ind w:firstLine="540"/>
        <w:jc w:val="both"/>
      </w:pPr>
    </w:p>
    <w:p w14:paraId="18601818" w14:textId="77777777" w:rsidR="00A91885" w:rsidRDefault="009C4196">
      <w:pPr>
        <w:spacing w:before="60"/>
        <w:ind w:firstLine="540"/>
        <w:jc w:val="both"/>
      </w:pPr>
      <w:r>
        <w:rPr>
          <w:rFonts w:ascii="Arial" w:eastAsia="宋体" w:hAnsi="Arial" w:cs="Arial"/>
          <w:color w:val="000000"/>
          <w:sz w:val="20"/>
          <w:szCs w:val="20"/>
        </w:rPr>
        <w:t xml:space="preserve">Net transaction revenues decreased $199 million and GMV decreased across major categories primarily due to a decline in traffic resulting from the normalization of </w:t>
      </w:r>
      <w:r>
        <w:rPr>
          <w:rFonts w:ascii="Arial" w:eastAsia="宋体" w:hAnsi="Arial" w:cs="Arial"/>
          <w:color w:val="000000"/>
          <w:sz w:val="20"/>
          <w:szCs w:val="20"/>
        </w:rPr>
        <w:t>consumer behavior during the three months ended June 30, 2022 compared to the elevated traffic experienced on our Marketplace platforms from the impact of COVID-19 during the same period in 2021. Net transaction revenues were also impacted by softness in m</w:t>
      </w:r>
      <w:r>
        <w:rPr>
          <w:rFonts w:ascii="Arial" w:eastAsia="宋体" w:hAnsi="Arial" w:cs="Arial"/>
          <w:color w:val="000000"/>
          <w:sz w:val="20"/>
          <w:szCs w:val="20"/>
        </w:rPr>
        <w:t>ost markets resulting from geopolitical and macroeconomic events during the three months ended June 30, 2022 compared to the same period in 2021, which are uncertain in duration. The decrease in net transaction revenues was partially offset by the migratio</w:t>
      </w:r>
      <w:r>
        <w:rPr>
          <w:rFonts w:ascii="Arial" w:eastAsia="宋体" w:hAnsi="Arial" w:cs="Arial"/>
          <w:color w:val="000000"/>
          <w:sz w:val="20"/>
          <w:szCs w:val="20"/>
        </w:rPr>
        <w:t>n to managed payments on a global basis and the associated higher take rate during the three months ended June 30, 2022 compared to the same period in 2021. The migration to managed payments was completed in all markets by the end of 2021, delivering buyer</w:t>
      </w:r>
      <w:r>
        <w:rPr>
          <w:rFonts w:ascii="Arial" w:eastAsia="宋体" w:hAnsi="Arial" w:cs="Arial"/>
          <w:color w:val="000000"/>
          <w:sz w:val="20"/>
          <w:szCs w:val="20"/>
        </w:rPr>
        <w:t>s and sellers a simplified end-to-end payments experience.</w:t>
      </w:r>
    </w:p>
    <w:p w14:paraId="18601819" w14:textId="77777777" w:rsidR="00A91885" w:rsidRDefault="00A91885">
      <w:pPr>
        <w:spacing w:before="60"/>
        <w:ind w:firstLine="540"/>
        <w:jc w:val="both"/>
      </w:pPr>
    </w:p>
    <w:p w14:paraId="1860181A" w14:textId="77777777" w:rsidR="00A91885" w:rsidRDefault="009C4196">
      <w:pPr>
        <w:spacing w:before="60"/>
        <w:ind w:firstLine="540"/>
        <w:jc w:val="both"/>
      </w:pPr>
      <w:r>
        <w:rPr>
          <w:rFonts w:ascii="Arial" w:eastAsia="宋体" w:hAnsi="Arial" w:cs="Arial"/>
          <w:color w:val="000000"/>
          <w:sz w:val="20"/>
          <w:szCs w:val="20"/>
        </w:rPr>
        <w:t>Net transaction revenues decreased $320 million and GMV decreased across major categories primarily due to a decline in traffic resulting from the normalization of consumer behavior during the six</w:t>
      </w:r>
      <w:r>
        <w:rPr>
          <w:rFonts w:ascii="Arial" w:eastAsia="宋体" w:hAnsi="Arial" w:cs="Arial"/>
          <w:color w:val="000000"/>
          <w:sz w:val="20"/>
          <w:szCs w:val="20"/>
        </w:rPr>
        <w:t xml:space="preserve"> months ended June 30, 2022 compared to the elevated traffic experienced on our Marketplace platforms from the impact of COVID-19 during the same period in 2021. Net transaction revenues were also impacted by softness in most markets resulting from geopoli</w:t>
      </w:r>
      <w:r>
        <w:rPr>
          <w:rFonts w:ascii="Arial" w:eastAsia="宋体" w:hAnsi="Arial" w:cs="Arial"/>
          <w:color w:val="000000"/>
          <w:sz w:val="20"/>
          <w:szCs w:val="20"/>
        </w:rPr>
        <w:t>tical and macroeconomic events during the six months ended June 30, 2022 compared to the same period in 2021, which are uncertain in duration. The decrease in net transaction revenues was partially offset by the migration to managed payments on a global ba</w:t>
      </w:r>
      <w:r>
        <w:rPr>
          <w:rFonts w:ascii="Arial" w:eastAsia="宋体" w:hAnsi="Arial" w:cs="Arial"/>
          <w:color w:val="000000"/>
          <w:sz w:val="20"/>
          <w:szCs w:val="20"/>
        </w:rPr>
        <w:t>sis and the associated higher take rate during the six months ended June 30, 2022 compared to the same period in 2021.</w:t>
      </w:r>
    </w:p>
    <w:p w14:paraId="1860181B" w14:textId="77777777" w:rsidR="00A91885" w:rsidRDefault="00A91885">
      <w:pPr>
        <w:ind w:firstLine="540"/>
        <w:jc w:val="both"/>
      </w:pPr>
    </w:p>
    <w:p w14:paraId="1860181C" w14:textId="77777777" w:rsidR="00A91885" w:rsidRDefault="009C4196">
      <w:pPr>
        <w:ind w:firstLine="540"/>
        <w:jc w:val="both"/>
      </w:pPr>
      <w:r>
        <w:rPr>
          <w:rFonts w:ascii="Arial" w:eastAsia="宋体" w:hAnsi="Arial" w:cs="Arial"/>
          <w:color w:val="000000"/>
          <w:sz w:val="20"/>
          <w:szCs w:val="20"/>
        </w:rPr>
        <w:t>Transaction take rate was higher during the three and six months ended June 30, 2022 compared to the same periods in 2021 as a result of</w:t>
      </w:r>
      <w:r>
        <w:rPr>
          <w:rFonts w:ascii="Arial" w:eastAsia="宋体" w:hAnsi="Arial" w:cs="Arial"/>
          <w:color w:val="000000"/>
          <w:sz w:val="20"/>
          <w:szCs w:val="20"/>
        </w:rPr>
        <w:t xml:space="preserve"> revenue initiatives such as global payments. In the second half of 2022, we currently expect the transaction take rate increase to taper compared to the same period in 2021 as the managed payments migration was completed by the end of 2021.</w:t>
      </w:r>
    </w:p>
    <w:p w14:paraId="1860181D" w14:textId="77777777" w:rsidR="00A91885" w:rsidRDefault="00A91885">
      <w:pPr>
        <w:ind w:firstLine="540"/>
        <w:jc w:val="both"/>
      </w:pPr>
    </w:p>
    <w:p w14:paraId="1860181E" w14:textId="77777777" w:rsidR="00A91885" w:rsidRDefault="009C4196">
      <w:pPr>
        <w:ind w:firstLine="540"/>
        <w:jc w:val="both"/>
      </w:pPr>
      <w:r>
        <w:rPr>
          <w:rFonts w:ascii="Arial" w:eastAsia="宋体" w:hAnsi="Arial" w:cs="Arial"/>
          <w:color w:val="000000"/>
          <w:sz w:val="20"/>
          <w:szCs w:val="20"/>
        </w:rPr>
        <w:t>Net transacti</w:t>
      </w:r>
      <w:r>
        <w:rPr>
          <w:rFonts w:ascii="Arial" w:eastAsia="宋体" w:hAnsi="Arial" w:cs="Arial"/>
          <w:color w:val="000000"/>
          <w:sz w:val="20"/>
          <w:szCs w:val="20"/>
        </w:rPr>
        <w:t>on revenues decreased at a lower rate than GMV during the three and six months ended June 30, 2022 compared to the same periods in 2021 primarily due to the benefit of a higher take rate during the same periods, as discussed above. We expect that the diver</w:t>
      </w:r>
      <w:r>
        <w:rPr>
          <w:rFonts w:ascii="Arial" w:eastAsia="宋体" w:hAnsi="Arial" w:cs="Arial"/>
          <w:color w:val="000000"/>
          <w:sz w:val="20"/>
          <w:szCs w:val="20"/>
        </w:rPr>
        <w:t>gence between net transaction revenues and GMV to continue through the remainder of 2022 and beyond, to a lesser extent. Despite GMV’s divergence from net transaction revenues, we still believe the metric provides a useful measure of overall volume of paid</w:t>
      </w:r>
      <w:r>
        <w:rPr>
          <w:rFonts w:ascii="Arial" w:eastAsia="宋体" w:hAnsi="Arial" w:cs="Arial"/>
          <w:color w:val="000000"/>
          <w:sz w:val="20"/>
          <w:szCs w:val="20"/>
        </w:rPr>
        <w:t xml:space="preserve"> transactions that flow through the platform in a given period.</w:t>
      </w:r>
    </w:p>
    <w:p w14:paraId="1860181F" w14:textId="77777777" w:rsidR="00A91885" w:rsidRDefault="00A91885"/>
    <w:p w14:paraId="18601820" w14:textId="77777777" w:rsidR="00A91885" w:rsidRDefault="00A91885">
      <w:pPr>
        <w:jc w:val="center"/>
      </w:pPr>
    </w:p>
    <w:p w14:paraId="18601821" w14:textId="77777777" w:rsidR="00A91885" w:rsidRDefault="009C4196">
      <w:pPr>
        <w:jc w:val="center"/>
      </w:pPr>
      <w:r>
        <w:rPr>
          <w:rFonts w:ascii="Arial" w:eastAsia="宋体" w:hAnsi="Arial" w:cs="Arial"/>
          <w:color w:val="000000"/>
          <w:sz w:val="20"/>
          <w:szCs w:val="20"/>
        </w:rPr>
        <w:t>50</w:t>
      </w:r>
    </w:p>
    <w:p w14:paraId="18601822" w14:textId="77777777" w:rsidR="00A91885" w:rsidRDefault="009C4196">
      <w:r>
        <w:pict w14:anchorId="186021B5">
          <v:rect id="_x0000_i1074" style="width:415.3pt;height:1.5pt" o:hralign="center" o:hrstd="t" o:hr="t" fillcolor="#a0a0a0" stroked="f"/>
        </w:pict>
      </w:r>
    </w:p>
    <w:p w14:paraId="18601823" w14:textId="77777777" w:rsidR="00A91885" w:rsidRDefault="009C4196">
      <w:hyperlink r:id="rId134" w:anchor="ieb971428a625452486c65ae24899afca_7" w:history="1">
        <w:r>
          <w:rPr>
            <w:rStyle w:val="a5"/>
            <w:rFonts w:ascii="Arial" w:eastAsia="宋体" w:hAnsi="Arial" w:cs="Arial"/>
            <w:sz w:val="18"/>
            <w:szCs w:val="18"/>
          </w:rPr>
          <w:t>Table of Contents</w:t>
        </w:r>
      </w:hyperlink>
    </w:p>
    <w:p w14:paraId="18601824" w14:textId="77777777" w:rsidR="00A91885" w:rsidRDefault="009C4196">
      <w:pPr>
        <w:ind w:firstLine="270"/>
        <w:jc w:val="both"/>
      </w:pPr>
      <w:r>
        <w:rPr>
          <w:rFonts w:ascii="Arial" w:eastAsia="宋体" w:hAnsi="Arial" w:cs="Arial"/>
          <w:b/>
          <w:bCs/>
          <w:i/>
          <w:iCs/>
          <w:color w:val="000000"/>
          <w:sz w:val="20"/>
          <w:szCs w:val="20"/>
        </w:rPr>
        <w:t>Marketing Serv</w:t>
      </w:r>
      <w:r>
        <w:rPr>
          <w:rFonts w:ascii="Arial" w:eastAsia="宋体" w:hAnsi="Arial" w:cs="Arial"/>
          <w:b/>
          <w:bCs/>
          <w:i/>
          <w:iCs/>
          <w:color w:val="000000"/>
          <w:sz w:val="20"/>
          <w:szCs w:val="20"/>
        </w:rPr>
        <w:t>ices and Other Revenues</w:t>
      </w:r>
    </w:p>
    <w:p w14:paraId="18601825" w14:textId="77777777" w:rsidR="00A91885" w:rsidRDefault="00A91885">
      <w:pPr>
        <w:ind w:firstLine="270"/>
        <w:jc w:val="both"/>
      </w:pPr>
    </w:p>
    <w:p w14:paraId="18601826" w14:textId="77777777" w:rsidR="00A91885" w:rsidRDefault="009C4196">
      <w:pPr>
        <w:spacing w:after="120"/>
        <w:ind w:firstLine="540"/>
        <w:jc w:val="both"/>
      </w:pPr>
      <w:r>
        <w:rPr>
          <w:rFonts w:ascii="Arial" w:eastAsia="宋体" w:hAnsi="Arial" w:cs="Arial"/>
          <w:color w:val="000000"/>
          <w:sz w:val="20"/>
          <w:szCs w:val="20"/>
        </w:rPr>
        <w:t>The following table presents MS&amp;O revenues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7"/>
        <w:gridCol w:w="1305"/>
        <w:gridCol w:w="36"/>
        <w:gridCol w:w="121"/>
        <w:gridCol w:w="376"/>
        <w:gridCol w:w="36"/>
        <w:gridCol w:w="36"/>
        <w:gridCol w:w="36"/>
        <w:gridCol w:w="36"/>
        <w:gridCol w:w="121"/>
        <w:gridCol w:w="377"/>
        <w:gridCol w:w="36"/>
        <w:gridCol w:w="36"/>
        <w:gridCol w:w="36"/>
        <w:gridCol w:w="36"/>
        <w:gridCol w:w="89"/>
        <w:gridCol w:w="690"/>
        <w:gridCol w:w="182"/>
        <w:gridCol w:w="37"/>
        <w:gridCol w:w="37"/>
        <w:gridCol w:w="36"/>
        <w:gridCol w:w="102"/>
        <w:gridCol w:w="788"/>
        <w:gridCol w:w="181"/>
        <w:gridCol w:w="36"/>
        <w:gridCol w:w="36"/>
        <w:gridCol w:w="36"/>
        <w:gridCol w:w="121"/>
        <w:gridCol w:w="377"/>
        <w:gridCol w:w="36"/>
        <w:gridCol w:w="36"/>
        <w:gridCol w:w="36"/>
        <w:gridCol w:w="36"/>
        <w:gridCol w:w="121"/>
        <w:gridCol w:w="377"/>
        <w:gridCol w:w="36"/>
        <w:gridCol w:w="36"/>
        <w:gridCol w:w="36"/>
        <w:gridCol w:w="36"/>
        <w:gridCol w:w="89"/>
        <w:gridCol w:w="690"/>
        <w:gridCol w:w="182"/>
        <w:gridCol w:w="37"/>
        <w:gridCol w:w="36"/>
        <w:gridCol w:w="36"/>
        <w:gridCol w:w="101"/>
        <w:gridCol w:w="789"/>
        <w:gridCol w:w="181"/>
      </w:tblGrid>
      <w:tr w:rsidR="00A91885" w14:paraId="18601857" w14:textId="77777777">
        <w:tc>
          <w:tcPr>
            <w:tcW w:w="50" w:type="pct"/>
            <w:shd w:val="clear" w:color="auto" w:fill="auto"/>
            <w:vAlign w:val="bottom"/>
          </w:tcPr>
          <w:p w14:paraId="18601827" w14:textId="77777777" w:rsidR="00A91885" w:rsidRDefault="00A91885">
            <w:pPr>
              <w:rPr>
                <w:rFonts w:ascii="宋体"/>
              </w:rPr>
            </w:pPr>
          </w:p>
        </w:tc>
        <w:tc>
          <w:tcPr>
            <w:tcW w:w="1114" w:type="pct"/>
            <w:shd w:val="clear" w:color="auto" w:fill="auto"/>
            <w:vAlign w:val="bottom"/>
          </w:tcPr>
          <w:p w14:paraId="18601828" w14:textId="77777777" w:rsidR="00A91885" w:rsidRDefault="00A91885">
            <w:pPr>
              <w:rPr>
                <w:rFonts w:ascii="宋体"/>
              </w:rPr>
            </w:pPr>
          </w:p>
        </w:tc>
        <w:tc>
          <w:tcPr>
            <w:tcW w:w="5" w:type="pct"/>
            <w:shd w:val="clear" w:color="auto" w:fill="auto"/>
            <w:vAlign w:val="bottom"/>
          </w:tcPr>
          <w:p w14:paraId="18601829" w14:textId="77777777" w:rsidR="00A91885" w:rsidRDefault="00A91885">
            <w:pPr>
              <w:rPr>
                <w:rFonts w:ascii="宋体"/>
              </w:rPr>
            </w:pPr>
          </w:p>
        </w:tc>
        <w:tc>
          <w:tcPr>
            <w:tcW w:w="50" w:type="pct"/>
            <w:shd w:val="clear" w:color="auto" w:fill="auto"/>
            <w:vAlign w:val="bottom"/>
          </w:tcPr>
          <w:p w14:paraId="1860182A" w14:textId="77777777" w:rsidR="00A91885" w:rsidRDefault="00A91885">
            <w:pPr>
              <w:rPr>
                <w:rFonts w:ascii="宋体"/>
              </w:rPr>
            </w:pPr>
          </w:p>
        </w:tc>
        <w:tc>
          <w:tcPr>
            <w:tcW w:w="405" w:type="pct"/>
            <w:shd w:val="clear" w:color="auto" w:fill="auto"/>
            <w:vAlign w:val="bottom"/>
          </w:tcPr>
          <w:p w14:paraId="1860182B" w14:textId="77777777" w:rsidR="00A91885" w:rsidRDefault="00A91885">
            <w:pPr>
              <w:rPr>
                <w:rFonts w:ascii="宋体"/>
              </w:rPr>
            </w:pPr>
          </w:p>
        </w:tc>
        <w:tc>
          <w:tcPr>
            <w:tcW w:w="5" w:type="pct"/>
            <w:shd w:val="clear" w:color="auto" w:fill="auto"/>
            <w:vAlign w:val="bottom"/>
          </w:tcPr>
          <w:p w14:paraId="1860182C" w14:textId="77777777" w:rsidR="00A91885" w:rsidRDefault="00A91885">
            <w:pPr>
              <w:rPr>
                <w:rFonts w:ascii="宋体"/>
              </w:rPr>
            </w:pPr>
          </w:p>
        </w:tc>
        <w:tc>
          <w:tcPr>
            <w:tcW w:w="5" w:type="pct"/>
            <w:shd w:val="clear" w:color="auto" w:fill="auto"/>
            <w:vAlign w:val="bottom"/>
          </w:tcPr>
          <w:p w14:paraId="1860182D" w14:textId="77777777" w:rsidR="00A91885" w:rsidRDefault="00A91885">
            <w:pPr>
              <w:rPr>
                <w:rFonts w:ascii="宋体"/>
              </w:rPr>
            </w:pPr>
          </w:p>
        </w:tc>
        <w:tc>
          <w:tcPr>
            <w:tcW w:w="19" w:type="pct"/>
            <w:shd w:val="clear" w:color="auto" w:fill="auto"/>
            <w:vAlign w:val="bottom"/>
          </w:tcPr>
          <w:p w14:paraId="1860182E" w14:textId="77777777" w:rsidR="00A91885" w:rsidRDefault="00A91885">
            <w:pPr>
              <w:rPr>
                <w:rFonts w:ascii="宋体"/>
              </w:rPr>
            </w:pPr>
          </w:p>
        </w:tc>
        <w:tc>
          <w:tcPr>
            <w:tcW w:w="5" w:type="pct"/>
            <w:shd w:val="clear" w:color="auto" w:fill="auto"/>
            <w:vAlign w:val="bottom"/>
          </w:tcPr>
          <w:p w14:paraId="1860182F" w14:textId="77777777" w:rsidR="00A91885" w:rsidRDefault="00A91885">
            <w:pPr>
              <w:rPr>
                <w:rFonts w:ascii="宋体"/>
              </w:rPr>
            </w:pPr>
          </w:p>
        </w:tc>
        <w:tc>
          <w:tcPr>
            <w:tcW w:w="50" w:type="pct"/>
            <w:shd w:val="clear" w:color="auto" w:fill="auto"/>
            <w:vAlign w:val="bottom"/>
          </w:tcPr>
          <w:p w14:paraId="18601830" w14:textId="77777777" w:rsidR="00A91885" w:rsidRDefault="00A91885">
            <w:pPr>
              <w:rPr>
                <w:rFonts w:ascii="宋体"/>
              </w:rPr>
            </w:pPr>
          </w:p>
        </w:tc>
        <w:tc>
          <w:tcPr>
            <w:tcW w:w="405" w:type="pct"/>
            <w:shd w:val="clear" w:color="auto" w:fill="auto"/>
            <w:vAlign w:val="bottom"/>
          </w:tcPr>
          <w:p w14:paraId="18601831" w14:textId="77777777" w:rsidR="00A91885" w:rsidRDefault="00A91885">
            <w:pPr>
              <w:rPr>
                <w:rFonts w:ascii="宋体"/>
              </w:rPr>
            </w:pPr>
          </w:p>
        </w:tc>
        <w:tc>
          <w:tcPr>
            <w:tcW w:w="5" w:type="pct"/>
            <w:shd w:val="clear" w:color="auto" w:fill="auto"/>
            <w:vAlign w:val="bottom"/>
          </w:tcPr>
          <w:p w14:paraId="18601832" w14:textId="77777777" w:rsidR="00A91885" w:rsidRDefault="00A91885">
            <w:pPr>
              <w:rPr>
                <w:rFonts w:ascii="宋体"/>
              </w:rPr>
            </w:pPr>
          </w:p>
        </w:tc>
        <w:tc>
          <w:tcPr>
            <w:tcW w:w="5" w:type="pct"/>
            <w:shd w:val="clear" w:color="auto" w:fill="auto"/>
            <w:vAlign w:val="bottom"/>
          </w:tcPr>
          <w:p w14:paraId="18601833" w14:textId="77777777" w:rsidR="00A91885" w:rsidRDefault="00A91885">
            <w:pPr>
              <w:rPr>
                <w:rFonts w:ascii="宋体"/>
              </w:rPr>
            </w:pPr>
          </w:p>
        </w:tc>
        <w:tc>
          <w:tcPr>
            <w:tcW w:w="19" w:type="pct"/>
            <w:shd w:val="clear" w:color="auto" w:fill="auto"/>
            <w:vAlign w:val="bottom"/>
          </w:tcPr>
          <w:p w14:paraId="18601834" w14:textId="77777777" w:rsidR="00A91885" w:rsidRDefault="00A91885">
            <w:pPr>
              <w:rPr>
                <w:rFonts w:ascii="宋体"/>
              </w:rPr>
            </w:pPr>
          </w:p>
        </w:tc>
        <w:tc>
          <w:tcPr>
            <w:tcW w:w="5" w:type="pct"/>
            <w:shd w:val="clear" w:color="auto" w:fill="auto"/>
            <w:vAlign w:val="bottom"/>
          </w:tcPr>
          <w:p w14:paraId="18601835" w14:textId="77777777" w:rsidR="00A91885" w:rsidRDefault="00A91885">
            <w:pPr>
              <w:rPr>
                <w:rFonts w:ascii="宋体"/>
              </w:rPr>
            </w:pPr>
          </w:p>
        </w:tc>
        <w:tc>
          <w:tcPr>
            <w:tcW w:w="50" w:type="pct"/>
            <w:shd w:val="clear" w:color="auto" w:fill="auto"/>
            <w:vAlign w:val="bottom"/>
          </w:tcPr>
          <w:p w14:paraId="18601836" w14:textId="77777777" w:rsidR="00A91885" w:rsidRDefault="00A91885">
            <w:pPr>
              <w:rPr>
                <w:rFonts w:ascii="宋体"/>
              </w:rPr>
            </w:pPr>
          </w:p>
        </w:tc>
        <w:tc>
          <w:tcPr>
            <w:tcW w:w="390" w:type="pct"/>
            <w:shd w:val="clear" w:color="auto" w:fill="auto"/>
            <w:vAlign w:val="bottom"/>
          </w:tcPr>
          <w:p w14:paraId="18601837" w14:textId="77777777" w:rsidR="00A91885" w:rsidRDefault="00A91885">
            <w:pPr>
              <w:rPr>
                <w:rFonts w:ascii="宋体"/>
              </w:rPr>
            </w:pPr>
          </w:p>
        </w:tc>
        <w:tc>
          <w:tcPr>
            <w:tcW w:w="5" w:type="pct"/>
            <w:shd w:val="clear" w:color="auto" w:fill="auto"/>
            <w:vAlign w:val="bottom"/>
          </w:tcPr>
          <w:p w14:paraId="18601838" w14:textId="77777777" w:rsidR="00A91885" w:rsidRDefault="00A91885">
            <w:pPr>
              <w:rPr>
                <w:rFonts w:ascii="宋体"/>
              </w:rPr>
            </w:pPr>
          </w:p>
        </w:tc>
        <w:tc>
          <w:tcPr>
            <w:tcW w:w="5" w:type="pct"/>
            <w:shd w:val="clear" w:color="auto" w:fill="auto"/>
            <w:vAlign w:val="bottom"/>
          </w:tcPr>
          <w:p w14:paraId="18601839" w14:textId="77777777" w:rsidR="00A91885" w:rsidRDefault="00A91885">
            <w:pPr>
              <w:rPr>
                <w:rFonts w:ascii="宋体"/>
              </w:rPr>
            </w:pPr>
          </w:p>
        </w:tc>
        <w:tc>
          <w:tcPr>
            <w:tcW w:w="19" w:type="pct"/>
            <w:shd w:val="clear" w:color="auto" w:fill="auto"/>
            <w:vAlign w:val="bottom"/>
          </w:tcPr>
          <w:p w14:paraId="1860183A" w14:textId="77777777" w:rsidR="00A91885" w:rsidRDefault="00A91885">
            <w:pPr>
              <w:rPr>
                <w:rFonts w:ascii="宋体"/>
              </w:rPr>
            </w:pPr>
          </w:p>
        </w:tc>
        <w:tc>
          <w:tcPr>
            <w:tcW w:w="5" w:type="pct"/>
            <w:shd w:val="clear" w:color="auto" w:fill="auto"/>
            <w:vAlign w:val="bottom"/>
          </w:tcPr>
          <w:p w14:paraId="1860183B" w14:textId="77777777" w:rsidR="00A91885" w:rsidRDefault="00A91885">
            <w:pPr>
              <w:rPr>
                <w:rFonts w:ascii="宋体"/>
              </w:rPr>
            </w:pPr>
          </w:p>
        </w:tc>
        <w:tc>
          <w:tcPr>
            <w:tcW w:w="50" w:type="pct"/>
            <w:shd w:val="clear" w:color="auto" w:fill="auto"/>
            <w:vAlign w:val="bottom"/>
          </w:tcPr>
          <w:p w14:paraId="1860183C" w14:textId="77777777" w:rsidR="00A91885" w:rsidRDefault="00A91885">
            <w:pPr>
              <w:rPr>
                <w:rFonts w:ascii="宋体"/>
              </w:rPr>
            </w:pPr>
          </w:p>
        </w:tc>
        <w:tc>
          <w:tcPr>
            <w:tcW w:w="390" w:type="pct"/>
            <w:shd w:val="clear" w:color="auto" w:fill="auto"/>
            <w:vAlign w:val="bottom"/>
          </w:tcPr>
          <w:p w14:paraId="1860183D" w14:textId="77777777" w:rsidR="00A91885" w:rsidRDefault="00A91885">
            <w:pPr>
              <w:rPr>
                <w:rFonts w:ascii="宋体"/>
              </w:rPr>
            </w:pPr>
          </w:p>
        </w:tc>
        <w:tc>
          <w:tcPr>
            <w:tcW w:w="5" w:type="pct"/>
            <w:shd w:val="clear" w:color="auto" w:fill="auto"/>
            <w:vAlign w:val="bottom"/>
          </w:tcPr>
          <w:p w14:paraId="1860183E" w14:textId="77777777" w:rsidR="00A91885" w:rsidRDefault="00A91885">
            <w:pPr>
              <w:rPr>
                <w:rFonts w:ascii="宋体"/>
              </w:rPr>
            </w:pPr>
          </w:p>
        </w:tc>
        <w:tc>
          <w:tcPr>
            <w:tcW w:w="5" w:type="pct"/>
            <w:shd w:val="clear" w:color="auto" w:fill="auto"/>
            <w:vAlign w:val="bottom"/>
          </w:tcPr>
          <w:p w14:paraId="1860183F" w14:textId="77777777" w:rsidR="00A91885" w:rsidRDefault="00A91885">
            <w:pPr>
              <w:rPr>
                <w:rFonts w:ascii="宋体"/>
              </w:rPr>
            </w:pPr>
          </w:p>
        </w:tc>
        <w:tc>
          <w:tcPr>
            <w:tcW w:w="19" w:type="pct"/>
            <w:shd w:val="clear" w:color="auto" w:fill="auto"/>
            <w:vAlign w:val="bottom"/>
          </w:tcPr>
          <w:p w14:paraId="18601840" w14:textId="77777777" w:rsidR="00A91885" w:rsidRDefault="00A91885">
            <w:pPr>
              <w:rPr>
                <w:rFonts w:ascii="宋体"/>
              </w:rPr>
            </w:pPr>
          </w:p>
        </w:tc>
        <w:tc>
          <w:tcPr>
            <w:tcW w:w="5" w:type="pct"/>
            <w:shd w:val="clear" w:color="auto" w:fill="auto"/>
            <w:vAlign w:val="bottom"/>
          </w:tcPr>
          <w:p w14:paraId="18601841" w14:textId="77777777" w:rsidR="00A91885" w:rsidRDefault="00A91885">
            <w:pPr>
              <w:rPr>
                <w:rFonts w:ascii="宋体"/>
              </w:rPr>
            </w:pPr>
          </w:p>
        </w:tc>
        <w:tc>
          <w:tcPr>
            <w:tcW w:w="50" w:type="pct"/>
            <w:shd w:val="clear" w:color="auto" w:fill="auto"/>
            <w:vAlign w:val="bottom"/>
          </w:tcPr>
          <w:p w14:paraId="18601842" w14:textId="77777777" w:rsidR="00A91885" w:rsidRDefault="00A91885">
            <w:pPr>
              <w:rPr>
                <w:rFonts w:ascii="宋体"/>
              </w:rPr>
            </w:pPr>
          </w:p>
        </w:tc>
        <w:tc>
          <w:tcPr>
            <w:tcW w:w="405" w:type="pct"/>
            <w:shd w:val="clear" w:color="auto" w:fill="auto"/>
            <w:vAlign w:val="bottom"/>
          </w:tcPr>
          <w:p w14:paraId="18601843" w14:textId="77777777" w:rsidR="00A91885" w:rsidRDefault="00A91885">
            <w:pPr>
              <w:rPr>
                <w:rFonts w:ascii="宋体"/>
              </w:rPr>
            </w:pPr>
          </w:p>
        </w:tc>
        <w:tc>
          <w:tcPr>
            <w:tcW w:w="5" w:type="pct"/>
            <w:shd w:val="clear" w:color="auto" w:fill="auto"/>
            <w:vAlign w:val="bottom"/>
          </w:tcPr>
          <w:p w14:paraId="18601844" w14:textId="77777777" w:rsidR="00A91885" w:rsidRDefault="00A91885">
            <w:pPr>
              <w:rPr>
                <w:rFonts w:ascii="宋体"/>
              </w:rPr>
            </w:pPr>
          </w:p>
        </w:tc>
        <w:tc>
          <w:tcPr>
            <w:tcW w:w="5" w:type="pct"/>
            <w:shd w:val="clear" w:color="auto" w:fill="auto"/>
            <w:vAlign w:val="bottom"/>
          </w:tcPr>
          <w:p w14:paraId="18601845" w14:textId="77777777" w:rsidR="00A91885" w:rsidRDefault="00A91885">
            <w:pPr>
              <w:rPr>
                <w:rFonts w:ascii="宋体"/>
              </w:rPr>
            </w:pPr>
          </w:p>
        </w:tc>
        <w:tc>
          <w:tcPr>
            <w:tcW w:w="19" w:type="pct"/>
            <w:shd w:val="clear" w:color="auto" w:fill="auto"/>
            <w:vAlign w:val="bottom"/>
          </w:tcPr>
          <w:p w14:paraId="18601846" w14:textId="77777777" w:rsidR="00A91885" w:rsidRDefault="00A91885">
            <w:pPr>
              <w:rPr>
                <w:rFonts w:ascii="宋体"/>
              </w:rPr>
            </w:pPr>
          </w:p>
        </w:tc>
        <w:tc>
          <w:tcPr>
            <w:tcW w:w="5" w:type="pct"/>
            <w:shd w:val="clear" w:color="auto" w:fill="auto"/>
            <w:vAlign w:val="bottom"/>
          </w:tcPr>
          <w:p w14:paraId="18601847" w14:textId="77777777" w:rsidR="00A91885" w:rsidRDefault="00A91885">
            <w:pPr>
              <w:rPr>
                <w:rFonts w:ascii="宋体"/>
              </w:rPr>
            </w:pPr>
          </w:p>
        </w:tc>
        <w:tc>
          <w:tcPr>
            <w:tcW w:w="50" w:type="pct"/>
            <w:shd w:val="clear" w:color="auto" w:fill="auto"/>
            <w:vAlign w:val="bottom"/>
          </w:tcPr>
          <w:p w14:paraId="18601848" w14:textId="77777777" w:rsidR="00A91885" w:rsidRDefault="00A91885">
            <w:pPr>
              <w:rPr>
                <w:rFonts w:ascii="宋体"/>
              </w:rPr>
            </w:pPr>
          </w:p>
        </w:tc>
        <w:tc>
          <w:tcPr>
            <w:tcW w:w="405" w:type="pct"/>
            <w:shd w:val="clear" w:color="auto" w:fill="auto"/>
            <w:vAlign w:val="bottom"/>
          </w:tcPr>
          <w:p w14:paraId="18601849" w14:textId="77777777" w:rsidR="00A91885" w:rsidRDefault="00A91885">
            <w:pPr>
              <w:rPr>
                <w:rFonts w:ascii="宋体"/>
              </w:rPr>
            </w:pPr>
          </w:p>
        </w:tc>
        <w:tc>
          <w:tcPr>
            <w:tcW w:w="5" w:type="pct"/>
            <w:shd w:val="clear" w:color="auto" w:fill="auto"/>
            <w:vAlign w:val="bottom"/>
          </w:tcPr>
          <w:p w14:paraId="1860184A" w14:textId="77777777" w:rsidR="00A91885" w:rsidRDefault="00A91885">
            <w:pPr>
              <w:rPr>
                <w:rFonts w:ascii="宋体"/>
              </w:rPr>
            </w:pPr>
          </w:p>
        </w:tc>
        <w:tc>
          <w:tcPr>
            <w:tcW w:w="5" w:type="pct"/>
            <w:shd w:val="clear" w:color="auto" w:fill="auto"/>
            <w:vAlign w:val="bottom"/>
          </w:tcPr>
          <w:p w14:paraId="1860184B" w14:textId="77777777" w:rsidR="00A91885" w:rsidRDefault="00A91885">
            <w:pPr>
              <w:rPr>
                <w:rFonts w:ascii="宋体"/>
              </w:rPr>
            </w:pPr>
          </w:p>
        </w:tc>
        <w:tc>
          <w:tcPr>
            <w:tcW w:w="19" w:type="pct"/>
            <w:shd w:val="clear" w:color="auto" w:fill="auto"/>
            <w:vAlign w:val="bottom"/>
          </w:tcPr>
          <w:p w14:paraId="1860184C" w14:textId="77777777" w:rsidR="00A91885" w:rsidRDefault="00A91885">
            <w:pPr>
              <w:rPr>
                <w:rFonts w:ascii="宋体"/>
              </w:rPr>
            </w:pPr>
          </w:p>
        </w:tc>
        <w:tc>
          <w:tcPr>
            <w:tcW w:w="5" w:type="pct"/>
            <w:shd w:val="clear" w:color="auto" w:fill="auto"/>
            <w:vAlign w:val="bottom"/>
          </w:tcPr>
          <w:p w14:paraId="1860184D" w14:textId="77777777" w:rsidR="00A91885" w:rsidRDefault="00A91885">
            <w:pPr>
              <w:rPr>
                <w:rFonts w:ascii="宋体"/>
              </w:rPr>
            </w:pPr>
          </w:p>
        </w:tc>
        <w:tc>
          <w:tcPr>
            <w:tcW w:w="50" w:type="pct"/>
            <w:shd w:val="clear" w:color="auto" w:fill="auto"/>
            <w:vAlign w:val="bottom"/>
          </w:tcPr>
          <w:p w14:paraId="1860184E" w14:textId="77777777" w:rsidR="00A91885" w:rsidRDefault="00A91885">
            <w:pPr>
              <w:rPr>
                <w:rFonts w:ascii="宋体"/>
              </w:rPr>
            </w:pPr>
          </w:p>
        </w:tc>
        <w:tc>
          <w:tcPr>
            <w:tcW w:w="390" w:type="pct"/>
            <w:shd w:val="clear" w:color="auto" w:fill="auto"/>
            <w:vAlign w:val="bottom"/>
          </w:tcPr>
          <w:p w14:paraId="1860184F" w14:textId="77777777" w:rsidR="00A91885" w:rsidRDefault="00A91885">
            <w:pPr>
              <w:rPr>
                <w:rFonts w:ascii="宋体"/>
              </w:rPr>
            </w:pPr>
          </w:p>
        </w:tc>
        <w:tc>
          <w:tcPr>
            <w:tcW w:w="5" w:type="pct"/>
            <w:shd w:val="clear" w:color="auto" w:fill="auto"/>
            <w:vAlign w:val="bottom"/>
          </w:tcPr>
          <w:p w14:paraId="18601850" w14:textId="77777777" w:rsidR="00A91885" w:rsidRDefault="00A91885">
            <w:pPr>
              <w:rPr>
                <w:rFonts w:ascii="宋体"/>
              </w:rPr>
            </w:pPr>
          </w:p>
        </w:tc>
        <w:tc>
          <w:tcPr>
            <w:tcW w:w="5" w:type="pct"/>
            <w:shd w:val="clear" w:color="auto" w:fill="auto"/>
            <w:vAlign w:val="bottom"/>
          </w:tcPr>
          <w:p w14:paraId="18601851" w14:textId="77777777" w:rsidR="00A91885" w:rsidRDefault="00A91885">
            <w:pPr>
              <w:rPr>
                <w:rFonts w:ascii="宋体"/>
              </w:rPr>
            </w:pPr>
          </w:p>
        </w:tc>
        <w:tc>
          <w:tcPr>
            <w:tcW w:w="19" w:type="pct"/>
            <w:shd w:val="clear" w:color="auto" w:fill="auto"/>
            <w:vAlign w:val="bottom"/>
          </w:tcPr>
          <w:p w14:paraId="18601852" w14:textId="77777777" w:rsidR="00A91885" w:rsidRDefault="00A91885">
            <w:pPr>
              <w:rPr>
                <w:rFonts w:ascii="宋体"/>
              </w:rPr>
            </w:pPr>
          </w:p>
        </w:tc>
        <w:tc>
          <w:tcPr>
            <w:tcW w:w="5" w:type="pct"/>
            <w:shd w:val="clear" w:color="auto" w:fill="auto"/>
            <w:vAlign w:val="bottom"/>
          </w:tcPr>
          <w:p w14:paraId="18601853" w14:textId="77777777" w:rsidR="00A91885" w:rsidRDefault="00A91885">
            <w:pPr>
              <w:rPr>
                <w:rFonts w:ascii="宋体"/>
              </w:rPr>
            </w:pPr>
          </w:p>
        </w:tc>
        <w:tc>
          <w:tcPr>
            <w:tcW w:w="50" w:type="pct"/>
            <w:shd w:val="clear" w:color="auto" w:fill="auto"/>
            <w:vAlign w:val="bottom"/>
          </w:tcPr>
          <w:p w14:paraId="18601854" w14:textId="77777777" w:rsidR="00A91885" w:rsidRDefault="00A91885">
            <w:pPr>
              <w:rPr>
                <w:rFonts w:ascii="宋体"/>
              </w:rPr>
            </w:pPr>
          </w:p>
        </w:tc>
        <w:tc>
          <w:tcPr>
            <w:tcW w:w="391" w:type="pct"/>
            <w:shd w:val="clear" w:color="auto" w:fill="auto"/>
            <w:vAlign w:val="bottom"/>
          </w:tcPr>
          <w:p w14:paraId="18601855" w14:textId="77777777" w:rsidR="00A91885" w:rsidRDefault="00A91885">
            <w:pPr>
              <w:rPr>
                <w:rFonts w:ascii="宋体"/>
              </w:rPr>
            </w:pPr>
          </w:p>
        </w:tc>
        <w:tc>
          <w:tcPr>
            <w:tcW w:w="5" w:type="pct"/>
            <w:shd w:val="clear" w:color="auto" w:fill="auto"/>
            <w:vAlign w:val="bottom"/>
          </w:tcPr>
          <w:p w14:paraId="18601856" w14:textId="77777777" w:rsidR="00A91885" w:rsidRDefault="00A91885">
            <w:pPr>
              <w:rPr>
                <w:rFonts w:ascii="宋体"/>
              </w:rPr>
            </w:pPr>
          </w:p>
        </w:tc>
      </w:tr>
      <w:tr w:rsidR="00A91885" w14:paraId="18601860" w14:textId="77777777">
        <w:tc>
          <w:tcPr>
            <w:tcW w:w="0" w:type="auto"/>
            <w:gridSpan w:val="3"/>
            <w:shd w:val="clear" w:color="auto" w:fill="auto"/>
            <w:tcMar>
              <w:top w:w="0" w:type="dxa"/>
              <w:left w:w="20" w:type="dxa"/>
              <w:bottom w:w="0" w:type="dxa"/>
              <w:right w:w="20" w:type="dxa"/>
            </w:tcMar>
            <w:vAlign w:val="bottom"/>
          </w:tcPr>
          <w:p w14:paraId="18601858"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859"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85A"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85B" w14:textId="77777777" w:rsidR="00A91885" w:rsidRDefault="009C4196">
            <w:pPr>
              <w:jc w:val="center"/>
              <w:textAlignment w:val="bottom"/>
            </w:pPr>
            <w:r>
              <w:rPr>
                <w:rFonts w:ascii="Arial" w:eastAsia="宋体" w:hAnsi="Arial" w:cs="Arial"/>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1860185C"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85D"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85E"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85F" w14:textId="77777777" w:rsidR="00A91885" w:rsidRDefault="009C4196">
            <w:pPr>
              <w:jc w:val="center"/>
              <w:textAlignment w:val="bottom"/>
            </w:pPr>
            <w:r>
              <w:rPr>
                <w:rFonts w:ascii="Arial" w:eastAsia="宋体" w:hAnsi="Arial" w:cs="Arial"/>
                <w:b/>
                <w:bCs/>
                <w:color w:val="000000"/>
                <w:sz w:val="17"/>
                <w:szCs w:val="17"/>
              </w:rPr>
              <w:t>% Change</w:t>
            </w:r>
          </w:p>
        </w:tc>
      </w:tr>
      <w:tr w:rsidR="00A91885" w14:paraId="18601871" w14:textId="77777777">
        <w:tc>
          <w:tcPr>
            <w:tcW w:w="0" w:type="auto"/>
            <w:gridSpan w:val="3"/>
            <w:shd w:val="clear" w:color="auto" w:fill="auto"/>
            <w:tcMar>
              <w:top w:w="40" w:type="dxa"/>
              <w:left w:w="20" w:type="dxa"/>
              <w:bottom w:w="40" w:type="dxa"/>
              <w:right w:w="20" w:type="dxa"/>
            </w:tcMar>
            <w:vAlign w:val="center"/>
          </w:tcPr>
          <w:p w14:paraId="18601861" w14:textId="77777777" w:rsidR="00A91885" w:rsidRDefault="009C4196">
            <w:pPr>
              <w:textAlignment w:val="center"/>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862"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863"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601864"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865"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601866" w14:textId="77777777" w:rsidR="00A91885" w:rsidRDefault="009C4196">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867"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601868" w14:textId="77777777" w:rsidR="00A91885" w:rsidRDefault="009C4196">
            <w:pPr>
              <w:jc w:val="center"/>
              <w:textAlignment w:val="bottom"/>
            </w:pPr>
            <w:r>
              <w:rPr>
                <w:rFonts w:ascii="Arial" w:eastAsia="宋体" w:hAnsi="Arial" w:cs="Arial"/>
                <w:b/>
                <w:bCs/>
                <w:color w:val="000000"/>
                <w:sz w:val="17"/>
                <w:szCs w:val="17"/>
              </w:rPr>
              <w:t>FX-Neutral</w:t>
            </w:r>
          </w:p>
        </w:tc>
        <w:tc>
          <w:tcPr>
            <w:tcW w:w="0" w:type="auto"/>
            <w:gridSpan w:val="3"/>
            <w:shd w:val="clear" w:color="auto" w:fill="auto"/>
            <w:tcMar>
              <w:top w:w="0" w:type="dxa"/>
              <w:left w:w="20" w:type="dxa"/>
              <w:bottom w:w="0" w:type="dxa"/>
              <w:right w:w="20" w:type="dxa"/>
            </w:tcMar>
            <w:vAlign w:val="bottom"/>
          </w:tcPr>
          <w:p w14:paraId="18601869"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60186A"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86B"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60186C"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86D"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60186E" w14:textId="77777777" w:rsidR="00A91885" w:rsidRDefault="009C4196">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86F"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601870" w14:textId="77777777" w:rsidR="00A91885" w:rsidRDefault="009C4196">
            <w:pPr>
              <w:jc w:val="center"/>
              <w:textAlignment w:val="bottom"/>
            </w:pPr>
            <w:r>
              <w:rPr>
                <w:rFonts w:ascii="Arial" w:eastAsia="宋体" w:hAnsi="Arial" w:cs="Arial"/>
                <w:b/>
                <w:bCs/>
                <w:color w:val="000000"/>
                <w:sz w:val="17"/>
                <w:szCs w:val="17"/>
              </w:rPr>
              <w:t>FX-Neutral</w:t>
            </w:r>
          </w:p>
        </w:tc>
      </w:tr>
      <w:tr w:rsidR="00A91885" w14:paraId="18601874" w14:textId="77777777">
        <w:tc>
          <w:tcPr>
            <w:tcW w:w="0" w:type="auto"/>
            <w:gridSpan w:val="3"/>
            <w:shd w:val="clear" w:color="auto" w:fill="FFFFFF"/>
            <w:tcMar>
              <w:top w:w="0" w:type="dxa"/>
              <w:left w:w="20" w:type="dxa"/>
              <w:bottom w:w="0" w:type="dxa"/>
              <w:right w:w="20" w:type="dxa"/>
            </w:tcMar>
            <w:vAlign w:val="bottom"/>
          </w:tcPr>
          <w:p w14:paraId="18601872" w14:textId="77777777" w:rsidR="00A91885" w:rsidRDefault="00A91885">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bottom"/>
          </w:tcPr>
          <w:p w14:paraId="18601873" w14:textId="77777777" w:rsidR="00A91885" w:rsidRDefault="009C4196">
            <w:pPr>
              <w:jc w:val="center"/>
              <w:textAlignment w:val="bottom"/>
            </w:pPr>
            <w:r>
              <w:rPr>
                <w:rFonts w:ascii="Arial" w:eastAsia="宋体" w:hAnsi="Arial" w:cs="Arial"/>
                <w:b/>
                <w:bCs/>
                <w:color w:val="000000"/>
                <w:sz w:val="17"/>
                <w:szCs w:val="17"/>
              </w:rPr>
              <w:t>(In millions, except percentages)</w:t>
            </w:r>
          </w:p>
        </w:tc>
      </w:tr>
      <w:tr w:rsidR="00A91885" w14:paraId="18601891" w14:textId="77777777">
        <w:tc>
          <w:tcPr>
            <w:tcW w:w="0" w:type="auto"/>
            <w:gridSpan w:val="3"/>
            <w:shd w:val="clear" w:color="auto" w:fill="E2E2E2"/>
            <w:tcMar>
              <w:top w:w="40" w:type="dxa"/>
              <w:left w:w="20" w:type="dxa"/>
              <w:bottom w:w="40" w:type="dxa"/>
              <w:right w:w="20" w:type="dxa"/>
            </w:tcMar>
            <w:vAlign w:val="bottom"/>
          </w:tcPr>
          <w:p w14:paraId="18601875" w14:textId="77777777" w:rsidR="00A91885" w:rsidRDefault="009C4196">
            <w:pPr>
              <w:textAlignment w:val="bottom"/>
            </w:pPr>
            <w:r>
              <w:rPr>
                <w:rFonts w:ascii="Arial" w:eastAsia="宋体" w:hAnsi="Arial" w:cs="Arial"/>
                <w:color w:val="000000"/>
                <w:sz w:val="18"/>
                <w:szCs w:val="18"/>
              </w:rPr>
              <w:t>MS&amp;O revenues</w:t>
            </w:r>
          </w:p>
        </w:tc>
        <w:tc>
          <w:tcPr>
            <w:tcW w:w="0" w:type="auto"/>
            <w:shd w:val="clear" w:color="auto" w:fill="E2E2E2"/>
            <w:tcMar>
              <w:top w:w="40" w:type="dxa"/>
              <w:left w:w="20" w:type="dxa"/>
              <w:bottom w:w="40" w:type="dxa"/>
              <w:right w:w="0" w:type="dxa"/>
            </w:tcMar>
            <w:vAlign w:val="bottom"/>
          </w:tcPr>
          <w:p w14:paraId="18601876"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1877" w14:textId="77777777" w:rsidR="00A91885" w:rsidRDefault="009C4196">
            <w:pPr>
              <w:jc w:val="right"/>
              <w:textAlignment w:val="bottom"/>
            </w:pPr>
            <w:r>
              <w:rPr>
                <w:rFonts w:ascii="Arial" w:eastAsia="宋体" w:hAnsi="Arial" w:cs="Arial"/>
                <w:color w:val="000000"/>
                <w:sz w:val="18"/>
                <w:szCs w:val="18"/>
              </w:rPr>
              <w:t>125 </w:t>
            </w:r>
          </w:p>
        </w:tc>
        <w:tc>
          <w:tcPr>
            <w:tcW w:w="0" w:type="auto"/>
            <w:shd w:val="clear" w:color="auto" w:fill="E2E2E2"/>
            <w:tcMar>
              <w:top w:w="40" w:type="dxa"/>
              <w:left w:w="0" w:type="dxa"/>
              <w:bottom w:w="40" w:type="dxa"/>
              <w:right w:w="20" w:type="dxa"/>
            </w:tcMar>
            <w:vAlign w:val="bottom"/>
          </w:tcPr>
          <w:p w14:paraId="18601878"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879"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187A"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187B" w14:textId="77777777" w:rsidR="00A91885" w:rsidRDefault="009C4196">
            <w:pPr>
              <w:jc w:val="right"/>
              <w:textAlignment w:val="bottom"/>
            </w:pPr>
            <w:r>
              <w:rPr>
                <w:rFonts w:ascii="Arial" w:eastAsia="宋体" w:hAnsi="Arial" w:cs="Arial"/>
                <w:color w:val="000000"/>
                <w:sz w:val="18"/>
                <w:szCs w:val="18"/>
              </w:rPr>
              <w:t>172 </w:t>
            </w:r>
          </w:p>
        </w:tc>
        <w:tc>
          <w:tcPr>
            <w:tcW w:w="0" w:type="auto"/>
            <w:shd w:val="clear" w:color="auto" w:fill="E2E2E2"/>
            <w:tcMar>
              <w:top w:w="40" w:type="dxa"/>
              <w:left w:w="0" w:type="dxa"/>
              <w:bottom w:w="40" w:type="dxa"/>
              <w:right w:w="20" w:type="dxa"/>
            </w:tcMar>
            <w:vAlign w:val="bottom"/>
          </w:tcPr>
          <w:p w14:paraId="1860187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87D"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87E" w14:textId="77777777" w:rsidR="00A91885" w:rsidRDefault="009C4196">
            <w:pPr>
              <w:jc w:val="right"/>
              <w:textAlignment w:val="bottom"/>
            </w:pPr>
            <w:r>
              <w:rPr>
                <w:rFonts w:ascii="Arial" w:eastAsia="宋体" w:hAnsi="Arial" w:cs="Arial"/>
                <w:color w:val="000000"/>
                <w:sz w:val="18"/>
                <w:szCs w:val="18"/>
              </w:rPr>
              <w:t>(27)</w:t>
            </w:r>
          </w:p>
        </w:tc>
        <w:tc>
          <w:tcPr>
            <w:tcW w:w="0" w:type="auto"/>
            <w:shd w:val="clear" w:color="auto" w:fill="E2E2E2"/>
            <w:tcMar>
              <w:top w:w="40" w:type="dxa"/>
              <w:left w:w="0" w:type="dxa"/>
              <w:bottom w:w="40" w:type="dxa"/>
              <w:right w:w="20" w:type="dxa"/>
            </w:tcMar>
            <w:vAlign w:val="bottom"/>
          </w:tcPr>
          <w:p w14:paraId="1860187F"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880"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881" w14:textId="77777777" w:rsidR="00A91885" w:rsidRDefault="009C4196">
            <w:pPr>
              <w:jc w:val="right"/>
              <w:textAlignment w:val="bottom"/>
            </w:pPr>
            <w:r>
              <w:rPr>
                <w:rFonts w:ascii="Arial" w:eastAsia="宋体" w:hAnsi="Arial" w:cs="Arial"/>
                <w:color w:val="000000"/>
                <w:sz w:val="18"/>
                <w:szCs w:val="18"/>
              </w:rPr>
              <w:t>(25)</w:t>
            </w:r>
          </w:p>
        </w:tc>
        <w:tc>
          <w:tcPr>
            <w:tcW w:w="0" w:type="auto"/>
            <w:shd w:val="clear" w:color="auto" w:fill="E2E2E2"/>
            <w:tcMar>
              <w:top w:w="40" w:type="dxa"/>
              <w:left w:w="0" w:type="dxa"/>
              <w:bottom w:w="40" w:type="dxa"/>
              <w:right w:w="20" w:type="dxa"/>
            </w:tcMar>
            <w:vAlign w:val="bottom"/>
          </w:tcPr>
          <w:p w14:paraId="18601882"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883"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1884"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1885" w14:textId="77777777" w:rsidR="00A91885" w:rsidRDefault="009C4196">
            <w:pPr>
              <w:jc w:val="right"/>
              <w:textAlignment w:val="bottom"/>
            </w:pPr>
            <w:r>
              <w:rPr>
                <w:rFonts w:ascii="Arial" w:eastAsia="宋体" w:hAnsi="Arial" w:cs="Arial"/>
                <w:color w:val="000000"/>
                <w:sz w:val="18"/>
                <w:szCs w:val="18"/>
              </w:rPr>
              <w:t>253 </w:t>
            </w:r>
          </w:p>
        </w:tc>
        <w:tc>
          <w:tcPr>
            <w:tcW w:w="0" w:type="auto"/>
            <w:shd w:val="clear" w:color="auto" w:fill="E2E2E2"/>
            <w:tcMar>
              <w:top w:w="40" w:type="dxa"/>
              <w:left w:w="0" w:type="dxa"/>
              <w:bottom w:w="40" w:type="dxa"/>
              <w:right w:w="20" w:type="dxa"/>
            </w:tcMar>
            <w:vAlign w:val="bottom"/>
          </w:tcPr>
          <w:p w14:paraId="1860188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887"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1888"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1889" w14:textId="77777777" w:rsidR="00A91885" w:rsidRDefault="009C4196">
            <w:pPr>
              <w:jc w:val="right"/>
              <w:textAlignment w:val="bottom"/>
            </w:pPr>
            <w:r>
              <w:rPr>
                <w:rFonts w:ascii="Arial" w:eastAsia="宋体" w:hAnsi="Arial" w:cs="Arial"/>
                <w:color w:val="000000"/>
                <w:sz w:val="18"/>
                <w:szCs w:val="18"/>
              </w:rPr>
              <w:t>334 </w:t>
            </w:r>
          </w:p>
        </w:tc>
        <w:tc>
          <w:tcPr>
            <w:tcW w:w="0" w:type="auto"/>
            <w:shd w:val="clear" w:color="auto" w:fill="E2E2E2"/>
            <w:tcMar>
              <w:top w:w="40" w:type="dxa"/>
              <w:left w:w="0" w:type="dxa"/>
              <w:bottom w:w="40" w:type="dxa"/>
              <w:right w:w="20" w:type="dxa"/>
            </w:tcMar>
            <w:vAlign w:val="bottom"/>
          </w:tcPr>
          <w:p w14:paraId="1860188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88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88C" w14:textId="77777777" w:rsidR="00A91885" w:rsidRDefault="009C4196">
            <w:pPr>
              <w:jc w:val="right"/>
              <w:textAlignment w:val="bottom"/>
            </w:pPr>
            <w:r>
              <w:rPr>
                <w:rFonts w:ascii="Arial" w:eastAsia="宋体" w:hAnsi="Arial" w:cs="Arial"/>
                <w:color w:val="000000"/>
                <w:sz w:val="18"/>
                <w:szCs w:val="18"/>
              </w:rPr>
              <w:t>(24)</w:t>
            </w:r>
          </w:p>
        </w:tc>
        <w:tc>
          <w:tcPr>
            <w:tcW w:w="0" w:type="auto"/>
            <w:shd w:val="clear" w:color="auto" w:fill="E2E2E2"/>
            <w:tcMar>
              <w:top w:w="40" w:type="dxa"/>
              <w:left w:w="0" w:type="dxa"/>
              <w:bottom w:w="40" w:type="dxa"/>
              <w:right w:w="20" w:type="dxa"/>
            </w:tcMar>
            <w:vAlign w:val="bottom"/>
          </w:tcPr>
          <w:p w14:paraId="1860188D"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88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88F" w14:textId="77777777" w:rsidR="00A91885" w:rsidRDefault="009C4196">
            <w:pPr>
              <w:jc w:val="right"/>
              <w:textAlignment w:val="bottom"/>
            </w:pPr>
            <w:r>
              <w:rPr>
                <w:rFonts w:ascii="Arial" w:eastAsia="宋体" w:hAnsi="Arial" w:cs="Arial"/>
                <w:color w:val="000000"/>
                <w:sz w:val="18"/>
                <w:szCs w:val="18"/>
              </w:rPr>
              <w:t>(22)</w:t>
            </w:r>
          </w:p>
        </w:tc>
        <w:tc>
          <w:tcPr>
            <w:tcW w:w="0" w:type="auto"/>
            <w:shd w:val="clear" w:color="auto" w:fill="E2E2E2"/>
            <w:tcMar>
              <w:top w:w="40" w:type="dxa"/>
              <w:left w:w="0" w:type="dxa"/>
              <w:bottom w:w="40" w:type="dxa"/>
              <w:right w:w="20" w:type="dxa"/>
            </w:tcMar>
            <w:vAlign w:val="bottom"/>
          </w:tcPr>
          <w:p w14:paraId="18601890" w14:textId="77777777" w:rsidR="00A91885" w:rsidRDefault="009C4196">
            <w:pPr>
              <w:jc w:val="right"/>
              <w:textAlignment w:val="bottom"/>
            </w:pPr>
            <w:r>
              <w:rPr>
                <w:rFonts w:ascii="Arial" w:eastAsia="宋体" w:hAnsi="Arial" w:cs="Arial"/>
                <w:color w:val="000000"/>
                <w:sz w:val="18"/>
                <w:szCs w:val="18"/>
              </w:rPr>
              <w:t>%</w:t>
            </w:r>
          </w:p>
        </w:tc>
      </w:tr>
      <w:tr w:rsidR="00A91885" w14:paraId="186018A2" w14:textId="77777777">
        <w:trPr>
          <w:hidden/>
        </w:trPr>
        <w:tc>
          <w:tcPr>
            <w:tcW w:w="0" w:type="auto"/>
            <w:gridSpan w:val="3"/>
            <w:shd w:val="clear" w:color="auto" w:fill="auto"/>
            <w:vAlign w:val="bottom"/>
          </w:tcPr>
          <w:p w14:paraId="18601892" w14:textId="77777777" w:rsidR="00A91885" w:rsidRDefault="00A91885">
            <w:pPr>
              <w:rPr>
                <w:rFonts w:ascii="宋体"/>
                <w:vanish/>
              </w:rPr>
            </w:pPr>
          </w:p>
        </w:tc>
        <w:tc>
          <w:tcPr>
            <w:tcW w:w="0" w:type="auto"/>
            <w:gridSpan w:val="3"/>
            <w:shd w:val="clear" w:color="auto" w:fill="auto"/>
            <w:vAlign w:val="bottom"/>
          </w:tcPr>
          <w:p w14:paraId="18601893" w14:textId="77777777" w:rsidR="00A91885" w:rsidRDefault="00A91885">
            <w:pPr>
              <w:rPr>
                <w:rFonts w:ascii="宋体"/>
                <w:vanish/>
              </w:rPr>
            </w:pPr>
          </w:p>
        </w:tc>
        <w:tc>
          <w:tcPr>
            <w:tcW w:w="0" w:type="auto"/>
            <w:gridSpan w:val="3"/>
            <w:shd w:val="clear" w:color="auto" w:fill="auto"/>
            <w:vAlign w:val="bottom"/>
          </w:tcPr>
          <w:p w14:paraId="18601894" w14:textId="77777777" w:rsidR="00A91885" w:rsidRDefault="00A91885">
            <w:pPr>
              <w:rPr>
                <w:rFonts w:ascii="宋体"/>
                <w:vanish/>
              </w:rPr>
            </w:pPr>
          </w:p>
        </w:tc>
        <w:tc>
          <w:tcPr>
            <w:tcW w:w="0" w:type="auto"/>
            <w:gridSpan w:val="3"/>
            <w:shd w:val="clear" w:color="auto" w:fill="auto"/>
            <w:vAlign w:val="bottom"/>
          </w:tcPr>
          <w:p w14:paraId="18601895" w14:textId="77777777" w:rsidR="00A91885" w:rsidRDefault="00A91885">
            <w:pPr>
              <w:rPr>
                <w:rFonts w:ascii="宋体"/>
                <w:vanish/>
              </w:rPr>
            </w:pPr>
          </w:p>
        </w:tc>
        <w:tc>
          <w:tcPr>
            <w:tcW w:w="0" w:type="auto"/>
            <w:gridSpan w:val="3"/>
            <w:shd w:val="clear" w:color="auto" w:fill="auto"/>
            <w:vAlign w:val="bottom"/>
          </w:tcPr>
          <w:p w14:paraId="18601896" w14:textId="77777777" w:rsidR="00A91885" w:rsidRDefault="00A91885">
            <w:pPr>
              <w:rPr>
                <w:rFonts w:ascii="宋体"/>
                <w:vanish/>
              </w:rPr>
            </w:pPr>
          </w:p>
        </w:tc>
        <w:tc>
          <w:tcPr>
            <w:tcW w:w="0" w:type="auto"/>
            <w:gridSpan w:val="3"/>
            <w:shd w:val="clear" w:color="auto" w:fill="auto"/>
            <w:vAlign w:val="bottom"/>
          </w:tcPr>
          <w:p w14:paraId="18601897" w14:textId="77777777" w:rsidR="00A91885" w:rsidRDefault="00A91885">
            <w:pPr>
              <w:rPr>
                <w:rFonts w:ascii="宋体"/>
                <w:vanish/>
              </w:rPr>
            </w:pPr>
          </w:p>
        </w:tc>
        <w:tc>
          <w:tcPr>
            <w:tcW w:w="0" w:type="auto"/>
            <w:gridSpan w:val="3"/>
            <w:shd w:val="clear" w:color="auto" w:fill="auto"/>
            <w:vAlign w:val="bottom"/>
          </w:tcPr>
          <w:p w14:paraId="18601898" w14:textId="77777777" w:rsidR="00A91885" w:rsidRDefault="00A91885">
            <w:pPr>
              <w:rPr>
                <w:rFonts w:ascii="宋体"/>
                <w:vanish/>
              </w:rPr>
            </w:pPr>
          </w:p>
        </w:tc>
        <w:tc>
          <w:tcPr>
            <w:tcW w:w="0" w:type="auto"/>
            <w:gridSpan w:val="3"/>
            <w:shd w:val="clear" w:color="auto" w:fill="auto"/>
            <w:vAlign w:val="bottom"/>
          </w:tcPr>
          <w:p w14:paraId="18601899" w14:textId="77777777" w:rsidR="00A91885" w:rsidRDefault="00A91885">
            <w:pPr>
              <w:rPr>
                <w:rFonts w:ascii="宋体"/>
                <w:vanish/>
              </w:rPr>
            </w:pPr>
          </w:p>
        </w:tc>
        <w:tc>
          <w:tcPr>
            <w:tcW w:w="0" w:type="auto"/>
            <w:gridSpan w:val="3"/>
            <w:shd w:val="clear" w:color="auto" w:fill="auto"/>
            <w:vAlign w:val="bottom"/>
          </w:tcPr>
          <w:p w14:paraId="1860189A" w14:textId="77777777" w:rsidR="00A91885" w:rsidRDefault="00A91885">
            <w:pPr>
              <w:rPr>
                <w:rFonts w:ascii="宋体"/>
                <w:vanish/>
              </w:rPr>
            </w:pPr>
          </w:p>
        </w:tc>
        <w:tc>
          <w:tcPr>
            <w:tcW w:w="0" w:type="auto"/>
            <w:gridSpan w:val="3"/>
            <w:shd w:val="clear" w:color="auto" w:fill="auto"/>
            <w:vAlign w:val="bottom"/>
          </w:tcPr>
          <w:p w14:paraId="1860189B" w14:textId="77777777" w:rsidR="00A91885" w:rsidRDefault="00A91885">
            <w:pPr>
              <w:rPr>
                <w:rFonts w:ascii="宋体"/>
                <w:vanish/>
              </w:rPr>
            </w:pPr>
          </w:p>
        </w:tc>
        <w:tc>
          <w:tcPr>
            <w:tcW w:w="0" w:type="auto"/>
            <w:gridSpan w:val="3"/>
            <w:shd w:val="clear" w:color="auto" w:fill="auto"/>
            <w:vAlign w:val="bottom"/>
          </w:tcPr>
          <w:p w14:paraId="1860189C" w14:textId="77777777" w:rsidR="00A91885" w:rsidRDefault="00A91885">
            <w:pPr>
              <w:rPr>
                <w:rFonts w:ascii="宋体"/>
                <w:vanish/>
              </w:rPr>
            </w:pPr>
          </w:p>
        </w:tc>
        <w:tc>
          <w:tcPr>
            <w:tcW w:w="0" w:type="auto"/>
            <w:gridSpan w:val="3"/>
            <w:shd w:val="clear" w:color="auto" w:fill="auto"/>
            <w:vAlign w:val="bottom"/>
          </w:tcPr>
          <w:p w14:paraId="1860189D" w14:textId="77777777" w:rsidR="00A91885" w:rsidRDefault="00A91885">
            <w:pPr>
              <w:rPr>
                <w:rFonts w:ascii="宋体"/>
                <w:vanish/>
              </w:rPr>
            </w:pPr>
          </w:p>
        </w:tc>
        <w:tc>
          <w:tcPr>
            <w:tcW w:w="0" w:type="auto"/>
            <w:gridSpan w:val="3"/>
            <w:shd w:val="clear" w:color="auto" w:fill="auto"/>
            <w:vAlign w:val="bottom"/>
          </w:tcPr>
          <w:p w14:paraId="1860189E" w14:textId="77777777" w:rsidR="00A91885" w:rsidRDefault="00A91885">
            <w:pPr>
              <w:rPr>
                <w:rFonts w:ascii="宋体"/>
                <w:vanish/>
              </w:rPr>
            </w:pPr>
          </w:p>
        </w:tc>
        <w:tc>
          <w:tcPr>
            <w:tcW w:w="0" w:type="auto"/>
            <w:gridSpan w:val="3"/>
            <w:shd w:val="clear" w:color="auto" w:fill="auto"/>
            <w:vAlign w:val="bottom"/>
          </w:tcPr>
          <w:p w14:paraId="1860189F" w14:textId="77777777" w:rsidR="00A91885" w:rsidRDefault="00A91885">
            <w:pPr>
              <w:rPr>
                <w:rFonts w:ascii="宋体"/>
                <w:vanish/>
              </w:rPr>
            </w:pPr>
          </w:p>
        </w:tc>
        <w:tc>
          <w:tcPr>
            <w:tcW w:w="0" w:type="auto"/>
            <w:gridSpan w:val="3"/>
            <w:shd w:val="clear" w:color="auto" w:fill="auto"/>
            <w:vAlign w:val="bottom"/>
          </w:tcPr>
          <w:p w14:paraId="186018A0" w14:textId="77777777" w:rsidR="00A91885" w:rsidRDefault="00A91885">
            <w:pPr>
              <w:rPr>
                <w:rFonts w:ascii="宋体"/>
                <w:vanish/>
              </w:rPr>
            </w:pPr>
          </w:p>
        </w:tc>
        <w:tc>
          <w:tcPr>
            <w:tcW w:w="0" w:type="auto"/>
            <w:gridSpan w:val="3"/>
            <w:shd w:val="clear" w:color="auto" w:fill="auto"/>
            <w:vAlign w:val="bottom"/>
          </w:tcPr>
          <w:p w14:paraId="186018A1" w14:textId="77777777" w:rsidR="00A91885" w:rsidRDefault="00A91885">
            <w:pPr>
              <w:rPr>
                <w:rFonts w:ascii="宋体"/>
                <w:vanish/>
              </w:rPr>
            </w:pPr>
          </w:p>
        </w:tc>
      </w:tr>
      <w:tr w:rsidR="00A91885" w14:paraId="186018B3" w14:textId="77777777">
        <w:trPr>
          <w:hidden/>
        </w:trPr>
        <w:tc>
          <w:tcPr>
            <w:tcW w:w="0" w:type="auto"/>
            <w:gridSpan w:val="3"/>
            <w:shd w:val="clear" w:color="auto" w:fill="auto"/>
            <w:vAlign w:val="bottom"/>
          </w:tcPr>
          <w:p w14:paraId="186018A3" w14:textId="77777777" w:rsidR="00A91885" w:rsidRDefault="00A91885">
            <w:pPr>
              <w:rPr>
                <w:rFonts w:ascii="宋体"/>
                <w:vanish/>
              </w:rPr>
            </w:pPr>
          </w:p>
        </w:tc>
        <w:tc>
          <w:tcPr>
            <w:tcW w:w="0" w:type="auto"/>
            <w:gridSpan w:val="3"/>
            <w:shd w:val="clear" w:color="auto" w:fill="auto"/>
            <w:vAlign w:val="bottom"/>
          </w:tcPr>
          <w:p w14:paraId="186018A4" w14:textId="77777777" w:rsidR="00A91885" w:rsidRDefault="00A91885">
            <w:pPr>
              <w:rPr>
                <w:rFonts w:ascii="宋体"/>
                <w:vanish/>
              </w:rPr>
            </w:pPr>
          </w:p>
        </w:tc>
        <w:tc>
          <w:tcPr>
            <w:tcW w:w="0" w:type="auto"/>
            <w:gridSpan w:val="3"/>
            <w:shd w:val="clear" w:color="auto" w:fill="auto"/>
            <w:vAlign w:val="bottom"/>
          </w:tcPr>
          <w:p w14:paraId="186018A5" w14:textId="77777777" w:rsidR="00A91885" w:rsidRDefault="00A91885">
            <w:pPr>
              <w:rPr>
                <w:rFonts w:ascii="宋体"/>
                <w:vanish/>
              </w:rPr>
            </w:pPr>
          </w:p>
        </w:tc>
        <w:tc>
          <w:tcPr>
            <w:tcW w:w="0" w:type="auto"/>
            <w:gridSpan w:val="3"/>
            <w:shd w:val="clear" w:color="auto" w:fill="auto"/>
            <w:vAlign w:val="bottom"/>
          </w:tcPr>
          <w:p w14:paraId="186018A6" w14:textId="77777777" w:rsidR="00A91885" w:rsidRDefault="00A91885">
            <w:pPr>
              <w:rPr>
                <w:rFonts w:ascii="宋体"/>
                <w:vanish/>
              </w:rPr>
            </w:pPr>
          </w:p>
        </w:tc>
        <w:tc>
          <w:tcPr>
            <w:tcW w:w="0" w:type="auto"/>
            <w:gridSpan w:val="3"/>
            <w:shd w:val="clear" w:color="auto" w:fill="auto"/>
            <w:vAlign w:val="bottom"/>
          </w:tcPr>
          <w:p w14:paraId="186018A7" w14:textId="77777777" w:rsidR="00A91885" w:rsidRDefault="00A91885">
            <w:pPr>
              <w:rPr>
                <w:rFonts w:ascii="宋体"/>
                <w:vanish/>
              </w:rPr>
            </w:pPr>
          </w:p>
        </w:tc>
        <w:tc>
          <w:tcPr>
            <w:tcW w:w="0" w:type="auto"/>
            <w:gridSpan w:val="3"/>
            <w:shd w:val="clear" w:color="auto" w:fill="auto"/>
            <w:vAlign w:val="bottom"/>
          </w:tcPr>
          <w:p w14:paraId="186018A8" w14:textId="77777777" w:rsidR="00A91885" w:rsidRDefault="00A91885">
            <w:pPr>
              <w:rPr>
                <w:rFonts w:ascii="宋体"/>
                <w:vanish/>
              </w:rPr>
            </w:pPr>
          </w:p>
        </w:tc>
        <w:tc>
          <w:tcPr>
            <w:tcW w:w="0" w:type="auto"/>
            <w:gridSpan w:val="3"/>
            <w:shd w:val="clear" w:color="auto" w:fill="auto"/>
            <w:vAlign w:val="bottom"/>
          </w:tcPr>
          <w:p w14:paraId="186018A9" w14:textId="77777777" w:rsidR="00A91885" w:rsidRDefault="00A91885">
            <w:pPr>
              <w:rPr>
                <w:rFonts w:ascii="宋体"/>
                <w:vanish/>
              </w:rPr>
            </w:pPr>
          </w:p>
        </w:tc>
        <w:tc>
          <w:tcPr>
            <w:tcW w:w="0" w:type="auto"/>
            <w:gridSpan w:val="3"/>
            <w:shd w:val="clear" w:color="auto" w:fill="auto"/>
            <w:vAlign w:val="bottom"/>
          </w:tcPr>
          <w:p w14:paraId="186018AA" w14:textId="77777777" w:rsidR="00A91885" w:rsidRDefault="00A91885">
            <w:pPr>
              <w:rPr>
                <w:rFonts w:ascii="宋体"/>
                <w:vanish/>
              </w:rPr>
            </w:pPr>
          </w:p>
        </w:tc>
        <w:tc>
          <w:tcPr>
            <w:tcW w:w="0" w:type="auto"/>
            <w:gridSpan w:val="3"/>
            <w:shd w:val="clear" w:color="auto" w:fill="auto"/>
            <w:vAlign w:val="bottom"/>
          </w:tcPr>
          <w:p w14:paraId="186018AB" w14:textId="77777777" w:rsidR="00A91885" w:rsidRDefault="00A91885">
            <w:pPr>
              <w:rPr>
                <w:rFonts w:ascii="宋体"/>
                <w:vanish/>
              </w:rPr>
            </w:pPr>
          </w:p>
        </w:tc>
        <w:tc>
          <w:tcPr>
            <w:tcW w:w="0" w:type="auto"/>
            <w:gridSpan w:val="3"/>
            <w:shd w:val="clear" w:color="auto" w:fill="auto"/>
            <w:vAlign w:val="bottom"/>
          </w:tcPr>
          <w:p w14:paraId="186018AC" w14:textId="77777777" w:rsidR="00A91885" w:rsidRDefault="00A91885">
            <w:pPr>
              <w:rPr>
                <w:rFonts w:ascii="宋体"/>
                <w:vanish/>
              </w:rPr>
            </w:pPr>
          </w:p>
        </w:tc>
        <w:tc>
          <w:tcPr>
            <w:tcW w:w="0" w:type="auto"/>
            <w:gridSpan w:val="3"/>
            <w:shd w:val="clear" w:color="auto" w:fill="auto"/>
            <w:vAlign w:val="bottom"/>
          </w:tcPr>
          <w:p w14:paraId="186018AD" w14:textId="77777777" w:rsidR="00A91885" w:rsidRDefault="00A91885">
            <w:pPr>
              <w:rPr>
                <w:rFonts w:ascii="宋体"/>
                <w:vanish/>
              </w:rPr>
            </w:pPr>
          </w:p>
        </w:tc>
        <w:tc>
          <w:tcPr>
            <w:tcW w:w="0" w:type="auto"/>
            <w:gridSpan w:val="3"/>
            <w:shd w:val="clear" w:color="auto" w:fill="auto"/>
            <w:vAlign w:val="bottom"/>
          </w:tcPr>
          <w:p w14:paraId="186018AE" w14:textId="77777777" w:rsidR="00A91885" w:rsidRDefault="00A91885">
            <w:pPr>
              <w:rPr>
                <w:rFonts w:ascii="宋体"/>
                <w:vanish/>
              </w:rPr>
            </w:pPr>
          </w:p>
        </w:tc>
        <w:tc>
          <w:tcPr>
            <w:tcW w:w="0" w:type="auto"/>
            <w:gridSpan w:val="3"/>
            <w:shd w:val="clear" w:color="auto" w:fill="auto"/>
            <w:vAlign w:val="bottom"/>
          </w:tcPr>
          <w:p w14:paraId="186018AF" w14:textId="77777777" w:rsidR="00A91885" w:rsidRDefault="00A91885">
            <w:pPr>
              <w:rPr>
                <w:rFonts w:ascii="宋体"/>
                <w:vanish/>
              </w:rPr>
            </w:pPr>
          </w:p>
        </w:tc>
        <w:tc>
          <w:tcPr>
            <w:tcW w:w="0" w:type="auto"/>
            <w:gridSpan w:val="3"/>
            <w:shd w:val="clear" w:color="auto" w:fill="auto"/>
            <w:vAlign w:val="bottom"/>
          </w:tcPr>
          <w:p w14:paraId="186018B0" w14:textId="77777777" w:rsidR="00A91885" w:rsidRDefault="00A91885">
            <w:pPr>
              <w:rPr>
                <w:rFonts w:ascii="宋体"/>
                <w:vanish/>
              </w:rPr>
            </w:pPr>
          </w:p>
        </w:tc>
        <w:tc>
          <w:tcPr>
            <w:tcW w:w="0" w:type="auto"/>
            <w:gridSpan w:val="3"/>
            <w:shd w:val="clear" w:color="auto" w:fill="auto"/>
            <w:vAlign w:val="bottom"/>
          </w:tcPr>
          <w:p w14:paraId="186018B1" w14:textId="77777777" w:rsidR="00A91885" w:rsidRDefault="00A91885">
            <w:pPr>
              <w:rPr>
                <w:rFonts w:ascii="宋体"/>
                <w:vanish/>
              </w:rPr>
            </w:pPr>
          </w:p>
        </w:tc>
        <w:tc>
          <w:tcPr>
            <w:tcW w:w="0" w:type="auto"/>
            <w:gridSpan w:val="3"/>
            <w:shd w:val="clear" w:color="auto" w:fill="auto"/>
            <w:vAlign w:val="bottom"/>
          </w:tcPr>
          <w:p w14:paraId="186018B2" w14:textId="77777777" w:rsidR="00A91885" w:rsidRDefault="00A91885">
            <w:pPr>
              <w:rPr>
                <w:rFonts w:ascii="宋体"/>
                <w:vanish/>
              </w:rPr>
            </w:pPr>
          </w:p>
        </w:tc>
      </w:tr>
      <w:tr w:rsidR="00A91885" w14:paraId="186018C4" w14:textId="77777777">
        <w:trPr>
          <w:hidden/>
        </w:trPr>
        <w:tc>
          <w:tcPr>
            <w:tcW w:w="0" w:type="auto"/>
            <w:gridSpan w:val="3"/>
            <w:shd w:val="clear" w:color="auto" w:fill="auto"/>
            <w:vAlign w:val="bottom"/>
          </w:tcPr>
          <w:p w14:paraId="186018B4" w14:textId="77777777" w:rsidR="00A91885" w:rsidRDefault="00A91885">
            <w:pPr>
              <w:rPr>
                <w:rFonts w:ascii="宋体"/>
                <w:vanish/>
              </w:rPr>
            </w:pPr>
          </w:p>
        </w:tc>
        <w:tc>
          <w:tcPr>
            <w:tcW w:w="0" w:type="auto"/>
            <w:gridSpan w:val="3"/>
            <w:shd w:val="clear" w:color="auto" w:fill="auto"/>
            <w:vAlign w:val="bottom"/>
          </w:tcPr>
          <w:p w14:paraId="186018B5" w14:textId="77777777" w:rsidR="00A91885" w:rsidRDefault="00A91885">
            <w:pPr>
              <w:rPr>
                <w:rFonts w:ascii="宋体"/>
                <w:vanish/>
              </w:rPr>
            </w:pPr>
          </w:p>
        </w:tc>
        <w:tc>
          <w:tcPr>
            <w:tcW w:w="0" w:type="auto"/>
            <w:gridSpan w:val="3"/>
            <w:shd w:val="clear" w:color="auto" w:fill="auto"/>
            <w:vAlign w:val="bottom"/>
          </w:tcPr>
          <w:p w14:paraId="186018B6" w14:textId="77777777" w:rsidR="00A91885" w:rsidRDefault="00A91885">
            <w:pPr>
              <w:rPr>
                <w:rFonts w:ascii="宋体"/>
                <w:vanish/>
              </w:rPr>
            </w:pPr>
          </w:p>
        </w:tc>
        <w:tc>
          <w:tcPr>
            <w:tcW w:w="0" w:type="auto"/>
            <w:gridSpan w:val="3"/>
            <w:shd w:val="clear" w:color="auto" w:fill="auto"/>
            <w:vAlign w:val="bottom"/>
          </w:tcPr>
          <w:p w14:paraId="186018B7" w14:textId="77777777" w:rsidR="00A91885" w:rsidRDefault="00A91885">
            <w:pPr>
              <w:rPr>
                <w:rFonts w:ascii="宋体"/>
                <w:vanish/>
              </w:rPr>
            </w:pPr>
          </w:p>
        </w:tc>
        <w:tc>
          <w:tcPr>
            <w:tcW w:w="0" w:type="auto"/>
            <w:gridSpan w:val="3"/>
            <w:shd w:val="clear" w:color="auto" w:fill="auto"/>
            <w:vAlign w:val="bottom"/>
          </w:tcPr>
          <w:p w14:paraId="186018B8" w14:textId="77777777" w:rsidR="00A91885" w:rsidRDefault="00A91885">
            <w:pPr>
              <w:rPr>
                <w:rFonts w:ascii="宋体"/>
                <w:vanish/>
              </w:rPr>
            </w:pPr>
          </w:p>
        </w:tc>
        <w:tc>
          <w:tcPr>
            <w:tcW w:w="0" w:type="auto"/>
            <w:gridSpan w:val="3"/>
            <w:shd w:val="clear" w:color="auto" w:fill="auto"/>
            <w:vAlign w:val="bottom"/>
          </w:tcPr>
          <w:p w14:paraId="186018B9" w14:textId="77777777" w:rsidR="00A91885" w:rsidRDefault="00A91885">
            <w:pPr>
              <w:rPr>
                <w:rFonts w:ascii="宋体"/>
                <w:vanish/>
              </w:rPr>
            </w:pPr>
          </w:p>
        </w:tc>
        <w:tc>
          <w:tcPr>
            <w:tcW w:w="0" w:type="auto"/>
            <w:gridSpan w:val="3"/>
            <w:shd w:val="clear" w:color="auto" w:fill="auto"/>
            <w:vAlign w:val="bottom"/>
          </w:tcPr>
          <w:p w14:paraId="186018BA" w14:textId="77777777" w:rsidR="00A91885" w:rsidRDefault="00A91885">
            <w:pPr>
              <w:rPr>
                <w:rFonts w:ascii="宋体"/>
                <w:vanish/>
              </w:rPr>
            </w:pPr>
          </w:p>
        </w:tc>
        <w:tc>
          <w:tcPr>
            <w:tcW w:w="0" w:type="auto"/>
            <w:gridSpan w:val="3"/>
            <w:shd w:val="clear" w:color="auto" w:fill="auto"/>
            <w:vAlign w:val="bottom"/>
          </w:tcPr>
          <w:p w14:paraId="186018BB" w14:textId="77777777" w:rsidR="00A91885" w:rsidRDefault="00A91885">
            <w:pPr>
              <w:rPr>
                <w:rFonts w:ascii="宋体"/>
                <w:vanish/>
              </w:rPr>
            </w:pPr>
          </w:p>
        </w:tc>
        <w:tc>
          <w:tcPr>
            <w:tcW w:w="0" w:type="auto"/>
            <w:gridSpan w:val="3"/>
            <w:shd w:val="clear" w:color="auto" w:fill="auto"/>
            <w:vAlign w:val="bottom"/>
          </w:tcPr>
          <w:p w14:paraId="186018BC" w14:textId="77777777" w:rsidR="00A91885" w:rsidRDefault="00A91885">
            <w:pPr>
              <w:rPr>
                <w:rFonts w:ascii="宋体"/>
                <w:vanish/>
              </w:rPr>
            </w:pPr>
          </w:p>
        </w:tc>
        <w:tc>
          <w:tcPr>
            <w:tcW w:w="0" w:type="auto"/>
            <w:gridSpan w:val="3"/>
            <w:shd w:val="clear" w:color="auto" w:fill="auto"/>
            <w:vAlign w:val="bottom"/>
          </w:tcPr>
          <w:p w14:paraId="186018BD" w14:textId="77777777" w:rsidR="00A91885" w:rsidRDefault="00A91885">
            <w:pPr>
              <w:rPr>
                <w:rFonts w:ascii="宋体"/>
                <w:vanish/>
              </w:rPr>
            </w:pPr>
          </w:p>
        </w:tc>
        <w:tc>
          <w:tcPr>
            <w:tcW w:w="0" w:type="auto"/>
            <w:gridSpan w:val="3"/>
            <w:shd w:val="clear" w:color="auto" w:fill="auto"/>
            <w:vAlign w:val="bottom"/>
          </w:tcPr>
          <w:p w14:paraId="186018BE" w14:textId="77777777" w:rsidR="00A91885" w:rsidRDefault="00A91885">
            <w:pPr>
              <w:rPr>
                <w:rFonts w:ascii="宋体"/>
                <w:vanish/>
              </w:rPr>
            </w:pPr>
          </w:p>
        </w:tc>
        <w:tc>
          <w:tcPr>
            <w:tcW w:w="0" w:type="auto"/>
            <w:gridSpan w:val="3"/>
            <w:shd w:val="clear" w:color="auto" w:fill="auto"/>
            <w:vAlign w:val="bottom"/>
          </w:tcPr>
          <w:p w14:paraId="186018BF" w14:textId="77777777" w:rsidR="00A91885" w:rsidRDefault="00A91885">
            <w:pPr>
              <w:rPr>
                <w:rFonts w:ascii="宋体"/>
                <w:vanish/>
              </w:rPr>
            </w:pPr>
          </w:p>
        </w:tc>
        <w:tc>
          <w:tcPr>
            <w:tcW w:w="0" w:type="auto"/>
            <w:gridSpan w:val="3"/>
            <w:shd w:val="clear" w:color="auto" w:fill="auto"/>
            <w:vAlign w:val="bottom"/>
          </w:tcPr>
          <w:p w14:paraId="186018C0" w14:textId="77777777" w:rsidR="00A91885" w:rsidRDefault="00A91885">
            <w:pPr>
              <w:rPr>
                <w:rFonts w:ascii="宋体"/>
                <w:vanish/>
              </w:rPr>
            </w:pPr>
          </w:p>
        </w:tc>
        <w:tc>
          <w:tcPr>
            <w:tcW w:w="0" w:type="auto"/>
            <w:gridSpan w:val="3"/>
            <w:shd w:val="clear" w:color="auto" w:fill="auto"/>
            <w:vAlign w:val="bottom"/>
          </w:tcPr>
          <w:p w14:paraId="186018C1" w14:textId="77777777" w:rsidR="00A91885" w:rsidRDefault="00A91885">
            <w:pPr>
              <w:rPr>
                <w:rFonts w:ascii="宋体"/>
                <w:vanish/>
              </w:rPr>
            </w:pPr>
          </w:p>
        </w:tc>
        <w:tc>
          <w:tcPr>
            <w:tcW w:w="0" w:type="auto"/>
            <w:gridSpan w:val="3"/>
            <w:shd w:val="clear" w:color="auto" w:fill="auto"/>
            <w:vAlign w:val="bottom"/>
          </w:tcPr>
          <w:p w14:paraId="186018C2" w14:textId="77777777" w:rsidR="00A91885" w:rsidRDefault="00A91885">
            <w:pPr>
              <w:rPr>
                <w:rFonts w:ascii="宋体"/>
                <w:vanish/>
              </w:rPr>
            </w:pPr>
          </w:p>
        </w:tc>
        <w:tc>
          <w:tcPr>
            <w:tcW w:w="0" w:type="auto"/>
            <w:gridSpan w:val="3"/>
            <w:shd w:val="clear" w:color="auto" w:fill="auto"/>
            <w:vAlign w:val="bottom"/>
          </w:tcPr>
          <w:p w14:paraId="186018C3" w14:textId="77777777" w:rsidR="00A91885" w:rsidRDefault="00A91885">
            <w:pPr>
              <w:rPr>
                <w:rFonts w:ascii="宋体"/>
                <w:vanish/>
              </w:rPr>
            </w:pPr>
          </w:p>
        </w:tc>
      </w:tr>
      <w:tr w:rsidR="00A91885" w14:paraId="186018D5" w14:textId="77777777">
        <w:trPr>
          <w:hidden/>
        </w:trPr>
        <w:tc>
          <w:tcPr>
            <w:tcW w:w="0" w:type="auto"/>
            <w:gridSpan w:val="3"/>
            <w:shd w:val="clear" w:color="auto" w:fill="auto"/>
            <w:vAlign w:val="bottom"/>
          </w:tcPr>
          <w:p w14:paraId="186018C5" w14:textId="77777777" w:rsidR="00A91885" w:rsidRDefault="00A91885">
            <w:pPr>
              <w:rPr>
                <w:rFonts w:ascii="宋体"/>
                <w:vanish/>
              </w:rPr>
            </w:pPr>
          </w:p>
        </w:tc>
        <w:tc>
          <w:tcPr>
            <w:tcW w:w="0" w:type="auto"/>
            <w:gridSpan w:val="3"/>
            <w:shd w:val="clear" w:color="auto" w:fill="auto"/>
            <w:vAlign w:val="bottom"/>
          </w:tcPr>
          <w:p w14:paraId="186018C6" w14:textId="77777777" w:rsidR="00A91885" w:rsidRDefault="00A91885">
            <w:pPr>
              <w:rPr>
                <w:rFonts w:ascii="宋体"/>
                <w:vanish/>
              </w:rPr>
            </w:pPr>
          </w:p>
        </w:tc>
        <w:tc>
          <w:tcPr>
            <w:tcW w:w="0" w:type="auto"/>
            <w:gridSpan w:val="3"/>
            <w:shd w:val="clear" w:color="auto" w:fill="auto"/>
            <w:vAlign w:val="bottom"/>
          </w:tcPr>
          <w:p w14:paraId="186018C7" w14:textId="77777777" w:rsidR="00A91885" w:rsidRDefault="00A91885">
            <w:pPr>
              <w:rPr>
                <w:rFonts w:ascii="宋体"/>
                <w:vanish/>
              </w:rPr>
            </w:pPr>
          </w:p>
        </w:tc>
        <w:tc>
          <w:tcPr>
            <w:tcW w:w="0" w:type="auto"/>
            <w:gridSpan w:val="3"/>
            <w:shd w:val="clear" w:color="auto" w:fill="auto"/>
            <w:vAlign w:val="bottom"/>
          </w:tcPr>
          <w:p w14:paraId="186018C8" w14:textId="77777777" w:rsidR="00A91885" w:rsidRDefault="00A91885">
            <w:pPr>
              <w:rPr>
                <w:rFonts w:ascii="宋体"/>
                <w:vanish/>
              </w:rPr>
            </w:pPr>
          </w:p>
        </w:tc>
        <w:tc>
          <w:tcPr>
            <w:tcW w:w="0" w:type="auto"/>
            <w:gridSpan w:val="3"/>
            <w:shd w:val="clear" w:color="auto" w:fill="auto"/>
            <w:vAlign w:val="bottom"/>
          </w:tcPr>
          <w:p w14:paraId="186018C9" w14:textId="77777777" w:rsidR="00A91885" w:rsidRDefault="00A91885">
            <w:pPr>
              <w:rPr>
                <w:rFonts w:ascii="宋体"/>
                <w:vanish/>
              </w:rPr>
            </w:pPr>
          </w:p>
        </w:tc>
        <w:tc>
          <w:tcPr>
            <w:tcW w:w="0" w:type="auto"/>
            <w:gridSpan w:val="3"/>
            <w:shd w:val="clear" w:color="auto" w:fill="auto"/>
            <w:vAlign w:val="bottom"/>
          </w:tcPr>
          <w:p w14:paraId="186018CA" w14:textId="77777777" w:rsidR="00A91885" w:rsidRDefault="00A91885">
            <w:pPr>
              <w:rPr>
                <w:rFonts w:ascii="宋体"/>
                <w:vanish/>
              </w:rPr>
            </w:pPr>
          </w:p>
        </w:tc>
        <w:tc>
          <w:tcPr>
            <w:tcW w:w="0" w:type="auto"/>
            <w:gridSpan w:val="3"/>
            <w:shd w:val="clear" w:color="auto" w:fill="auto"/>
            <w:vAlign w:val="bottom"/>
          </w:tcPr>
          <w:p w14:paraId="186018CB" w14:textId="77777777" w:rsidR="00A91885" w:rsidRDefault="00A91885">
            <w:pPr>
              <w:rPr>
                <w:rFonts w:ascii="宋体"/>
                <w:vanish/>
              </w:rPr>
            </w:pPr>
          </w:p>
        </w:tc>
        <w:tc>
          <w:tcPr>
            <w:tcW w:w="0" w:type="auto"/>
            <w:gridSpan w:val="3"/>
            <w:shd w:val="clear" w:color="auto" w:fill="auto"/>
            <w:vAlign w:val="bottom"/>
          </w:tcPr>
          <w:p w14:paraId="186018CC" w14:textId="77777777" w:rsidR="00A91885" w:rsidRDefault="00A91885">
            <w:pPr>
              <w:rPr>
                <w:rFonts w:ascii="宋体"/>
                <w:vanish/>
              </w:rPr>
            </w:pPr>
          </w:p>
        </w:tc>
        <w:tc>
          <w:tcPr>
            <w:tcW w:w="0" w:type="auto"/>
            <w:gridSpan w:val="3"/>
            <w:shd w:val="clear" w:color="auto" w:fill="auto"/>
            <w:vAlign w:val="bottom"/>
          </w:tcPr>
          <w:p w14:paraId="186018CD" w14:textId="77777777" w:rsidR="00A91885" w:rsidRDefault="00A91885">
            <w:pPr>
              <w:rPr>
                <w:rFonts w:ascii="宋体"/>
                <w:vanish/>
              </w:rPr>
            </w:pPr>
          </w:p>
        </w:tc>
        <w:tc>
          <w:tcPr>
            <w:tcW w:w="0" w:type="auto"/>
            <w:gridSpan w:val="3"/>
            <w:shd w:val="clear" w:color="auto" w:fill="auto"/>
            <w:vAlign w:val="bottom"/>
          </w:tcPr>
          <w:p w14:paraId="186018CE" w14:textId="77777777" w:rsidR="00A91885" w:rsidRDefault="00A91885">
            <w:pPr>
              <w:rPr>
                <w:rFonts w:ascii="宋体"/>
                <w:vanish/>
              </w:rPr>
            </w:pPr>
          </w:p>
        </w:tc>
        <w:tc>
          <w:tcPr>
            <w:tcW w:w="0" w:type="auto"/>
            <w:gridSpan w:val="3"/>
            <w:shd w:val="clear" w:color="auto" w:fill="auto"/>
            <w:vAlign w:val="bottom"/>
          </w:tcPr>
          <w:p w14:paraId="186018CF" w14:textId="77777777" w:rsidR="00A91885" w:rsidRDefault="00A91885">
            <w:pPr>
              <w:rPr>
                <w:rFonts w:ascii="宋体"/>
                <w:vanish/>
              </w:rPr>
            </w:pPr>
          </w:p>
        </w:tc>
        <w:tc>
          <w:tcPr>
            <w:tcW w:w="0" w:type="auto"/>
            <w:gridSpan w:val="3"/>
            <w:shd w:val="clear" w:color="auto" w:fill="auto"/>
            <w:vAlign w:val="bottom"/>
          </w:tcPr>
          <w:p w14:paraId="186018D0" w14:textId="77777777" w:rsidR="00A91885" w:rsidRDefault="00A91885">
            <w:pPr>
              <w:rPr>
                <w:rFonts w:ascii="宋体"/>
                <w:vanish/>
              </w:rPr>
            </w:pPr>
          </w:p>
        </w:tc>
        <w:tc>
          <w:tcPr>
            <w:tcW w:w="0" w:type="auto"/>
            <w:gridSpan w:val="3"/>
            <w:shd w:val="clear" w:color="auto" w:fill="auto"/>
            <w:vAlign w:val="bottom"/>
          </w:tcPr>
          <w:p w14:paraId="186018D1" w14:textId="77777777" w:rsidR="00A91885" w:rsidRDefault="00A91885">
            <w:pPr>
              <w:rPr>
                <w:rFonts w:ascii="宋体"/>
                <w:vanish/>
              </w:rPr>
            </w:pPr>
          </w:p>
        </w:tc>
        <w:tc>
          <w:tcPr>
            <w:tcW w:w="0" w:type="auto"/>
            <w:gridSpan w:val="3"/>
            <w:shd w:val="clear" w:color="auto" w:fill="auto"/>
            <w:vAlign w:val="bottom"/>
          </w:tcPr>
          <w:p w14:paraId="186018D2" w14:textId="77777777" w:rsidR="00A91885" w:rsidRDefault="00A91885">
            <w:pPr>
              <w:rPr>
                <w:rFonts w:ascii="宋体"/>
                <w:vanish/>
              </w:rPr>
            </w:pPr>
          </w:p>
        </w:tc>
        <w:tc>
          <w:tcPr>
            <w:tcW w:w="0" w:type="auto"/>
            <w:gridSpan w:val="3"/>
            <w:shd w:val="clear" w:color="auto" w:fill="auto"/>
            <w:vAlign w:val="bottom"/>
          </w:tcPr>
          <w:p w14:paraId="186018D3" w14:textId="77777777" w:rsidR="00A91885" w:rsidRDefault="00A91885">
            <w:pPr>
              <w:rPr>
                <w:rFonts w:ascii="宋体"/>
                <w:vanish/>
              </w:rPr>
            </w:pPr>
          </w:p>
        </w:tc>
        <w:tc>
          <w:tcPr>
            <w:tcW w:w="0" w:type="auto"/>
            <w:gridSpan w:val="3"/>
            <w:shd w:val="clear" w:color="auto" w:fill="auto"/>
            <w:vAlign w:val="bottom"/>
          </w:tcPr>
          <w:p w14:paraId="186018D4" w14:textId="77777777" w:rsidR="00A91885" w:rsidRDefault="00A91885">
            <w:pPr>
              <w:rPr>
                <w:rFonts w:ascii="宋体"/>
                <w:vanish/>
              </w:rPr>
            </w:pPr>
          </w:p>
        </w:tc>
      </w:tr>
    </w:tbl>
    <w:p w14:paraId="186018D6" w14:textId="77777777" w:rsidR="00A91885" w:rsidRDefault="00A91885">
      <w:pPr>
        <w:ind w:firstLine="540"/>
        <w:jc w:val="both"/>
      </w:pPr>
    </w:p>
    <w:p w14:paraId="186018D7" w14:textId="77777777" w:rsidR="00A91885" w:rsidRDefault="009C4196">
      <w:pPr>
        <w:ind w:firstLine="540"/>
        <w:jc w:val="both"/>
      </w:pPr>
      <w:r>
        <w:rPr>
          <w:rFonts w:ascii="Arial" w:eastAsia="宋体" w:hAnsi="Arial" w:cs="Arial"/>
          <w:color w:val="000000"/>
          <w:sz w:val="20"/>
          <w:szCs w:val="20"/>
        </w:rPr>
        <w:t xml:space="preserve">MS&amp;O revenues decreased during the three and six months ended June 30, 2022 compared to the same periods in </w:t>
      </w:r>
      <w:r>
        <w:rPr>
          <w:rFonts w:ascii="Arial" w:eastAsia="宋体" w:hAnsi="Arial" w:cs="Arial"/>
          <w:color w:val="000000"/>
          <w:sz w:val="20"/>
          <w:szCs w:val="20"/>
        </w:rPr>
        <w:t>2021 primarily due to a decrease in revenues from revenue sharing arrangements for shipping agreements and advertising revenues.</w:t>
      </w:r>
    </w:p>
    <w:p w14:paraId="186018D8" w14:textId="77777777" w:rsidR="00A91885" w:rsidRDefault="00A91885">
      <w:pPr>
        <w:ind w:firstLine="540"/>
        <w:jc w:val="both"/>
      </w:pPr>
    </w:p>
    <w:p w14:paraId="186018D9" w14:textId="77777777" w:rsidR="00A91885" w:rsidRDefault="009C4196">
      <w:pPr>
        <w:ind w:firstLine="270"/>
        <w:jc w:val="both"/>
      </w:pPr>
      <w:r>
        <w:rPr>
          <w:rFonts w:ascii="Arial" w:eastAsia="宋体" w:hAnsi="Arial" w:cs="Arial"/>
          <w:b/>
          <w:bCs/>
          <w:i/>
          <w:iCs/>
          <w:color w:val="000000"/>
          <w:sz w:val="20"/>
          <w:szCs w:val="20"/>
        </w:rPr>
        <w:t>Cost of Net Revenues</w:t>
      </w:r>
    </w:p>
    <w:p w14:paraId="186018DA" w14:textId="77777777" w:rsidR="00A91885" w:rsidRDefault="00A91885"/>
    <w:p w14:paraId="186018DB" w14:textId="77777777" w:rsidR="00A91885" w:rsidRDefault="009C4196">
      <w:pPr>
        <w:spacing w:after="120"/>
        <w:ind w:firstLine="540"/>
        <w:jc w:val="both"/>
      </w:pPr>
      <w:r>
        <w:rPr>
          <w:rFonts w:ascii="Arial" w:eastAsia="宋体" w:hAnsi="Arial" w:cs="Arial"/>
          <w:color w:val="000000"/>
          <w:sz w:val="20"/>
          <w:szCs w:val="20"/>
        </w:rPr>
        <w:t>Cost of net revenues represents costs associated with customer support, site operations and payment proc</w:t>
      </w:r>
      <w:r>
        <w:rPr>
          <w:rFonts w:ascii="Arial" w:eastAsia="宋体" w:hAnsi="Arial" w:cs="Arial"/>
          <w:color w:val="000000"/>
          <w:sz w:val="20"/>
          <w:szCs w:val="20"/>
        </w:rPr>
        <w:t>essing. Significant components of these costs primarily consist of employee compensation including stock-based compensation, contractor costs, facilities costs, depreciation of equipment and amortization expense, bank transaction fees, credit card intercha</w:t>
      </w:r>
      <w:r>
        <w:rPr>
          <w:rFonts w:ascii="Arial" w:eastAsia="宋体" w:hAnsi="Arial" w:cs="Arial"/>
          <w:color w:val="000000"/>
          <w:sz w:val="20"/>
          <w:szCs w:val="20"/>
        </w:rPr>
        <w:t>nge and assessment fees, authentication costs and digital services tax. The following table presents cost of net revenues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8"/>
        <w:gridCol w:w="2391"/>
        <w:gridCol w:w="37"/>
        <w:gridCol w:w="121"/>
        <w:gridCol w:w="631"/>
        <w:gridCol w:w="181"/>
        <w:gridCol w:w="36"/>
        <w:gridCol w:w="36"/>
        <w:gridCol w:w="36"/>
        <w:gridCol w:w="121"/>
        <w:gridCol w:w="631"/>
        <w:gridCol w:w="181"/>
        <w:gridCol w:w="36"/>
        <w:gridCol w:w="36"/>
        <w:gridCol w:w="36"/>
        <w:gridCol w:w="63"/>
        <w:gridCol w:w="595"/>
        <w:gridCol w:w="181"/>
        <w:gridCol w:w="36"/>
        <w:gridCol w:w="36"/>
        <w:gridCol w:w="36"/>
        <w:gridCol w:w="121"/>
        <w:gridCol w:w="551"/>
        <w:gridCol w:w="181"/>
        <w:gridCol w:w="36"/>
        <w:gridCol w:w="36"/>
        <w:gridCol w:w="36"/>
        <w:gridCol w:w="121"/>
        <w:gridCol w:w="631"/>
        <w:gridCol w:w="181"/>
        <w:gridCol w:w="36"/>
        <w:gridCol w:w="36"/>
        <w:gridCol w:w="36"/>
        <w:gridCol w:w="63"/>
        <w:gridCol w:w="595"/>
        <w:gridCol w:w="181"/>
      </w:tblGrid>
      <w:tr w:rsidR="00A91885" w14:paraId="18601900" w14:textId="77777777">
        <w:tc>
          <w:tcPr>
            <w:tcW w:w="50" w:type="pct"/>
            <w:shd w:val="clear" w:color="auto" w:fill="auto"/>
            <w:vAlign w:val="bottom"/>
          </w:tcPr>
          <w:p w14:paraId="186018DC" w14:textId="77777777" w:rsidR="00A91885" w:rsidRDefault="00A91885">
            <w:pPr>
              <w:rPr>
                <w:rFonts w:ascii="宋体"/>
              </w:rPr>
            </w:pPr>
          </w:p>
        </w:tc>
        <w:tc>
          <w:tcPr>
            <w:tcW w:w="1597" w:type="pct"/>
            <w:shd w:val="clear" w:color="auto" w:fill="auto"/>
            <w:vAlign w:val="bottom"/>
          </w:tcPr>
          <w:p w14:paraId="186018DD" w14:textId="77777777" w:rsidR="00A91885" w:rsidRDefault="00A91885">
            <w:pPr>
              <w:rPr>
                <w:rFonts w:ascii="宋体"/>
              </w:rPr>
            </w:pPr>
          </w:p>
        </w:tc>
        <w:tc>
          <w:tcPr>
            <w:tcW w:w="5" w:type="pct"/>
            <w:shd w:val="clear" w:color="auto" w:fill="auto"/>
            <w:vAlign w:val="bottom"/>
          </w:tcPr>
          <w:p w14:paraId="186018DE" w14:textId="77777777" w:rsidR="00A91885" w:rsidRDefault="00A91885">
            <w:pPr>
              <w:rPr>
                <w:rFonts w:ascii="宋体"/>
              </w:rPr>
            </w:pPr>
          </w:p>
        </w:tc>
        <w:tc>
          <w:tcPr>
            <w:tcW w:w="50" w:type="pct"/>
            <w:shd w:val="clear" w:color="auto" w:fill="auto"/>
            <w:vAlign w:val="bottom"/>
          </w:tcPr>
          <w:p w14:paraId="186018DF" w14:textId="77777777" w:rsidR="00A91885" w:rsidRDefault="00A91885">
            <w:pPr>
              <w:rPr>
                <w:rFonts w:ascii="宋体"/>
              </w:rPr>
            </w:pPr>
          </w:p>
        </w:tc>
        <w:tc>
          <w:tcPr>
            <w:tcW w:w="478" w:type="pct"/>
            <w:shd w:val="clear" w:color="auto" w:fill="auto"/>
            <w:vAlign w:val="bottom"/>
          </w:tcPr>
          <w:p w14:paraId="186018E0" w14:textId="77777777" w:rsidR="00A91885" w:rsidRDefault="00A91885">
            <w:pPr>
              <w:rPr>
                <w:rFonts w:ascii="宋体"/>
              </w:rPr>
            </w:pPr>
          </w:p>
        </w:tc>
        <w:tc>
          <w:tcPr>
            <w:tcW w:w="5" w:type="pct"/>
            <w:shd w:val="clear" w:color="auto" w:fill="auto"/>
            <w:vAlign w:val="bottom"/>
          </w:tcPr>
          <w:p w14:paraId="186018E1" w14:textId="77777777" w:rsidR="00A91885" w:rsidRDefault="00A91885">
            <w:pPr>
              <w:rPr>
                <w:rFonts w:ascii="宋体"/>
              </w:rPr>
            </w:pPr>
          </w:p>
        </w:tc>
        <w:tc>
          <w:tcPr>
            <w:tcW w:w="5" w:type="pct"/>
            <w:shd w:val="clear" w:color="auto" w:fill="auto"/>
            <w:vAlign w:val="bottom"/>
          </w:tcPr>
          <w:p w14:paraId="186018E2" w14:textId="77777777" w:rsidR="00A91885" w:rsidRDefault="00A91885">
            <w:pPr>
              <w:rPr>
                <w:rFonts w:ascii="宋体"/>
              </w:rPr>
            </w:pPr>
          </w:p>
        </w:tc>
        <w:tc>
          <w:tcPr>
            <w:tcW w:w="19" w:type="pct"/>
            <w:shd w:val="clear" w:color="auto" w:fill="auto"/>
            <w:vAlign w:val="bottom"/>
          </w:tcPr>
          <w:p w14:paraId="186018E3" w14:textId="77777777" w:rsidR="00A91885" w:rsidRDefault="00A91885">
            <w:pPr>
              <w:rPr>
                <w:rFonts w:ascii="宋体"/>
              </w:rPr>
            </w:pPr>
          </w:p>
        </w:tc>
        <w:tc>
          <w:tcPr>
            <w:tcW w:w="5" w:type="pct"/>
            <w:shd w:val="clear" w:color="auto" w:fill="auto"/>
            <w:vAlign w:val="bottom"/>
          </w:tcPr>
          <w:p w14:paraId="186018E4" w14:textId="77777777" w:rsidR="00A91885" w:rsidRDefault="00A91885">
            <w:pPr>
              <w:rPr>
                <w:rFonts w:ascii="宋体"/>
              </w:rPr>
            </w:pPr>
          </w:p>
        </w:tc>
        <w:tc>
          <w:tcPr>
            <w:tcW w:w="50" w:type="pct"/>
            <w:shd w:val="clear" w:color="auto" w:fill="auto"/>
            <w:vAlign w:val="bottom"/>
          </w:tcPr>
          <w:p w14:paraId="186018E5" w14:textId="77777777" w:rsidR="00A91885" w:rsidRDefault="00A91885">
            <w:pPr>
              <w:rPr>
                <w:rFonts w:ascii="宋体"/>
              </w:rPr>
            </w:pPr>
          </w:p>
        </w:tc>
        <w:tc>
          <w:tcPr>
            <w:tcW w:w="478" w:type="pct"/>
            <w:shd w:val="clear" w:color="auto" w:fill="auto"/>
            <w:vAlign w:val="bottom"/>
          </w:tcPr>
          <w:p w14:paraId="186018E6" w14:textId="77777777" w:rsidR="00A91885" w:rsidRDefault="00A91885">
            <w:pPr>
              <w:rPr>
                <w:rFonts w:ascii="宋体"/>
              </w:rPr>
            </w:pPr>
          </w:p>
        </w:tc>
        <w:tc>
          <w:tcPr>
            <w:tcW w:w="5" w:type="pct"/>
            <w:shd w:val="clear" w:color="auto" w:fill="auto"/>
            <w:vAlign w:val="bottom"/>
          </w:tcPr>
          <w:p w14:paraId="186018E7" w14:textId="77777777" w:rsidR="00A91885" w:rsidRDefault="00A91885">
            <w:pPr>
              <w:rPr>
                <w:rFonts w:ascii="宋体"/>
              </w:rPr>
            </w:pPr>
          </w:p>
        </w:tc>
        <w:tc>
          <w:tcPr>
            <w:tcW w:w="5" w:type="pct"/>
            <w:shd w:val="clear" w:color="auto" w:fill="auto"/>
            <w:vAlign w:val="bottom"/>
          </w:tcPr>
          <w:p w14:paraId="186018E8" w14:textId="77777777" w:rsidR="00A91885" w:rsidRDefault="00A91885">
            <w:pPr>
              <w:rPr>
                <w:rFonts w:ascii="宋体"/>
              </w:rPr>
            </w:pPr>
          </w:p>
        </w:tc>
        <w:tc>
          <w:tcPr>
            <w:tcW w:w="19" w:type="pct"/>
            <w:shd w:val="clear" w:color="auto" w:fill="auto"/>
            <w:vAlign w:val="bottom"/>
          </w:tcPr>
          <w:p w14:paraId="186018E9" w14:textId="77777777" w:rsidR="00A91885" w:rsidRDefault="00A91885">
            <w:pPr>
              <w:rPr>
                <w:rFonts w:ascii="宋体"/>
              </w:rPr>
            </w:pPr>
          </w:p>
        </w:tc>
        <w:tc>
          <w:tcPr>
            <w:tcW w:w="5" w:type="pct"/>
            <w:shd w:val="clear" w:color="auto" w:fill="auto"/>
            <w:vAlign w:val="bottom"/>
          </w:tcPr>
          <w:p w14:paraId="186018EA" w14:textId="77777777" w:rsidR="00A91885" w:rsidRDefault="00A91885">
            <w:pPr>
              <w:rPr>
                <w:rFonts w:ascii="宋体"/>
              </w:rPr>
            </w:pPr>
          </w:p>
        </w:tc>
        <w:tc>
          <w:tcPr>
            <w:tcW w:w="50" w:type="pct"/>
            <w:shd w:val="clear" w:color="auto" w:fill="auto"/>
            <w:vAlign w:val="bottom"/>
          </w:tcPr>
          <w:p w14:paraId="186018EB" w14:textId="77777777" w:rsidR="00A91885" w:rsidRDefault="00A91885">
            <w:pPr>
              <w:rPr>
                <w:rFonts w:ascii="宋体"/>
              </w:rPr>
            </w:pPr>
          </w:p>
        </w:tc>
        <w:tc>
          <w:tcPr>
            <w:tcW w:w="478" w:type="pct"/>
            <w:shd w:val="clear" w:color="auto" w:fill="auto"/>
            <w:vAlign w:val="bottom"/>
          </w:tcPr>
          <w:p w14:paraId="186018EC" w14:textId="77777777" w:rsidR="00A91885" w:rsidRDefault="00A91885">
            <w:pPr>
              <w:rPr>
                <w:rFonts w:ascii="宋体"/>
              </w:rPr>
            </w:pPr>
          </w:p>
        </w:tc>
        <w:tc>
          <w:tcPr>
            <w:tcW w:w="5" w:type="pct"/>
            <w:shd w:val="clear" w:color="auto" w:fill="auto"/>
            <w:vAlign w:val="bottom"/>
          </w:tcPr>
          <w:p w14:paraId="186018ED" w14:textId="77777777" w:rsidR="00A91885" w:rsidRDefault="00A91885">
            <w:pPr>
              <w:rPr>
                <w:rFonts w:ascii="宋体"/>
              </w:rPr>
            </w:pPr>
          </w:p>
        </w:tc>
        <w:tc>
          <w:tcPr>
            <w:tcW w:w="5" w:type="pct"/>
            <w:shd w:val="clear" w:color="auto" w:fill="auto"/>
            <w:vAlign w:val="bottom"/>
          </w:tcPr>
          <w:p w14:paraId="186018EE" w14:textId="77777777" w:rsidR="00A91885" w:rsidRDefault="00A91885">
            <w:pPr>
              <w:rPr>
                <w:rFonts w:ascii="宋体"/>
              </w:rPr>
            </w:pPr>
          </w:p>
        </w:tc>
        <w:tc>
          <w:tcPr>
            <w:tcW w:w="19" w:type="pct"/>
            <w:shd w:val="clear" w:color="auto" w:fill="auto"/>
            <w:vAlign w:val="bottom"/>
          </w:tcPr>
          <w:p w14:paraId="186018EF" w14:textId="77777777" w:rsidR="00A91885" w:rsidRDefault="00A91885">
            <w:pPr>
              <w:rPr>
                <w:rFonts w:ascii="宋体"/>
              </w:rPr>
            </w:pPr>
          </w:p>
        </w:tc>
        <w:tc>
          <w:tcPr>
            <w:tcW w:w="5" w:type="pct"/>
            <w:shd w:val="clear" w:color="auto" w:fill="auto"/>
            <w:vAlign w:val="bottom"/>
          </w:tcPr>
          <w:p w14:paraId="186018F0" w14:textId="77777777" w:rsidR="00A91885" w:rsidRDefault="00A91885">
            <w:pPr>
              <w:rPr>
                <w:rFonts w:ascii="宋体"/>
              </w:rPr>
            </w:pPr>
          </w:p>
        </w:tc>
        <w:tc>
          <w:tcPr>
            <w:tcW w:w="50" w:type="pct"/>
            <w:shd w:val="clear" w:color="auto" w:fill="auto"/>
            <w:vAlign w:val="bottom"/>
          </w:tcPr>
          <w:p w14:paraId="186018F1" w14:textId="77777777" w:rsidR="00A91885" w:rsidRDefault="00A91885">
            <w:pPr>
              <w:rPr>
                <w:rFonts w:ascii="宋体"/>
              </w:rPr>
            </w:pPr>
          </w:p>
        </w:tc>
        <w:tc>
          <w:tcPr>
            <w:tcW w:w="478" w:type="pct"/>
            <w:shd w:val="clear" w:color="auto" w:fill="auto"/>
            <w:vAlign w:val="bottom"/>
          </w:tcPr>
          <w:p w14:paraId="186018F2" w14:textId="77777777" w:rsidR="00A91885" w:rsidRDefault="00A91885">
            <w:pPr>
              <w:rPr>
                <w:rFonts w:ascii="宋体"/>
              </w:rPr>
            </w:pPr>
          </w:p>
        </w:tc>
        <w:tc>
          <w:tcPr>
            <w:tcW w:w="5" w:type="pct"/>
            <w:shd w:val="clear" w:color="auto" w:fill="auto"/>
            <w:vAlign w:val="bottom"/>
          </w:tcPr>
          <w:p w14:paraId="186018F3" w14:textId="77777777" w:rsidR="00A91885" w:rsidRDefault="00A91885">
            <w:pPr>
              <w:rPr>
                <w:rFonts w:ascii="宋体"/>
              </w:rPr>
            </w:pPr>
          </w:p>
        </w:tc>
        <w:tc>
          <w:tcPr>
            <w:tcW w:w="5" w:type="pct"/>
            <w:shd w:val="clear" w:color="auto" w:fill="auto"/>
            <w:vAlign w:val="bottom"/>
          </w:tcPr>
          <w:p w14:paraId="186018F4" w14:textId="77777777" w:rsidR="00A91885" w:rsidRDefault="00A91885">
            <w:pPr>
              <w:rPr>
                <w:rFonts w:ascii="宋体"/>
              </w:rPr>
            </w:pPr>
          </w:p>
        </w:tc>
        <w:tc>
          <w:tcPr>
            <w:tcW w:w="19" w:type="pct"/>
            <w:shd w:val="clear" w:color="auto" w:fill="auto"/>
            <w:vAlign w:val="bottom"/>
          </w:tcPr>
          <w:p w14:paraId="186018F5" w14:textId="77777777" w:rsidR="00A91885" w:rsidRDefault="00A91885">
            <w:pPr>
              <w:rPr>
                <w:rFonts w:ascii="宋体"/>
              </w:rPr>
            </w:pPr>
          </w:p>
        </w:tc>
        <w:tc>
          <w:tcPr>
            <w:tcW w:w="5" w:type="pct"/>
            <w:shd w:val="clear" w:color="auto" w:fill="auto"/>
            <w:vAlign w:val="bottom"/>
          </w:tcPr>
          <w:p w14:paraId="186018F6" w14:textId="77777777" w:rsidR="00A91885" w:rsidRDefault="00A91885">
            <w:pPr>
              <w:rPr>
                <w:rFonts w:ascii="宋体"/>
              </w:rPr>
            </w:pPr>
          </w:p>
        </w:tc>
        <w:tc>
          <w:tcPr>
            <w:tcW w:w="50" w:type="pct"/>
            <w:shd w:val="clear" w:color="auto" w:fill="auto"/>
            <w:vAlign w:val="bottom"/>
          </w:tcPr>
          <w:p w14:paraId="186018F7" w14:textId="77777777" w:rsidR="00A91885" w:rsidRDefault="00A91885">
            <w:pPr>
              <w:rPr>
                <w:rFonts w:ascii="宋体"/>
              </w:rPr>
            </w:pPr>
          </w:p>
        </w:tc>
        <w:tc>
          <w:tcPr>
            <w:tcW w:w="478" w:type="pct"/>
            <w:shd w:val="clear" w:color="auto" w:fill="auto"/>
            <w:vAlign w:val="bottom"/>
          </w:tcPr>
          <w:p w14:paraId="186018F8" w14:textId="77777777" w:rsidR="00A91885" w:rsidRDefault="00A91885">
            <w:pPr>
              <w:rPr>
                <w:rFonts w:ascii="宋体"/>
              </w:rPr>
            </w:pPr>
          </w:p>
        </w:tc>
        <w:tc>
          <w:tcPr>
            <w:tcW w:w="5" w:type="pct"/>
            <w:shd w:val="clear" w:color="auto" w:fill="auto"/>
            <w:vAlign w:val="bottom"/>
          </w:tcPr>
          <w:p w14:paraId="186018F9" w14:textId="77777777" w:rsidR="00A91885" w:rsidRDefault="00A91885">
            <w:pPr>
              <w:rPr>
                <w:rFonts w:ascii="宋体"/>
              </w:rPr>
            </w:pPr>
          </w:p>
        </w:tc>
        <w:tc>
          <w:tcPr>
            <w:tcW w:w="5" w:type="pct"/>
            <w:shd w:val="clear" w:color="auto" w:fill="auto"/>
            <w:vAlign w:val="bottom"/>
          </w:tcPr>
          <w:p w14:paraId="186018FA" w14:textId="77777777" w:rsidR="00A91885" w:rsidRDefault="00A91885">
            <w:pPr>
              <w:rPr>
                <w:rFonts w:ascii="宋体"/>
              </w:rPr>
            </w:pPr>
          </w:p>
        </w:tc>
        <w:tc>
          <w:tcPr>
            <w:tcW w:w="19" w:type="pct"/>
            <w:shd w:val="clear" w:color="auto" w:fill="auto"/>
            <w:vAlign w:val="bottom"/>
          </w:tcPr>
          <w:p w14:paraId="186018FB" w14:textId="77777777" w:rsidR="00A91885" w:rsidRDefault="00A91885">
            <w:pPr>
              <w:rPr>
                <w:rFonts w:ascii="宋体"/>
              </w:rPr>
            </w:pPr>
          </w:p>
        </w:tc>
        <w:tc>
          <w:tcPr>
            <w:tcW w:w="5" w:type="pct"/>
            <w:shd w:val="clear" w:color="auto" w:fill="auto"/>
            <w:vAlign w:val="bottom"/>
          </w:tcPr>
          <w:p w14:paraId="186018FC" w14:textId="77777777" w:rsidR="00A91885" w:rsidRDefault="00A91885">
            <w:pPr>
              <w:rPr>
                <w:rFonts w:ascii="宋体"/>
              </w:rPr>
            </w:pPr>
          </w:p>
        </w:tc>
        <w:tc>
          <w:tcPr>
            <w:tcW w:w="50" w:type="pct"/>
            <w:shd w:val="clear" w:color="auto" w:fill="auto"/>
            <w:vAlign w:val="bottom"/>
          </w:tcPr>
          <w:p w14:paraId="186018FD" w14:textId="77777777" w:rsidR="00A91885" w:rsidRDefault="00A91885">
            <w:pPr>
              <w:rPr>
                <w:rFonts w:ascii="宋体"/>
              </w:rPr>
            </w:pPr>
          </w:p>
        </w:tc>
        <w:tc>
          <w:tcPr>
            <w:tcW w:w="479" w:type="pct"/>
            <w:shd w:val="clear" w:color="auto" w:fill="auto"/>
            <w:vAlign w:val="bottom"/>
          </w:tcPr>
          <w:p w14:paraId="186018FE" w14:textId="77777777" w:rsidR="00A91885" w:rsidRDefault="00A91885">
            <w:pPr>
              <w:rPr>
                <w:rFonts w:ascii="宋体"/>
              </w:rPr>
            </w:pPr>
          </w:p>
        </w:tc>
        <w:tc>
          <w:tcPr>
            <w:tcW w:w="5" w:type="pct"/>
            <w:shd w:val="clear" w:color="auto" w:fill="auto"/>
            <w:vAlign w:val="bottom"/>
          </w:tcPr>
          <w:p w14:paraId="186018FF" w14:textId="77777777" w:rsidR="00A91885" w:rsidRDefault="00A91885">
            <w:pPr>
              <w:rPr>
                <w:rFonts w:ascii="宋体"/>
              </w:rPr>
            </w:pPr>
          </w:p>
        </w:tc>
      </w:tr>
      <w:tr w:rsidR="00A91885" w14:paraId="18601909" w14:textId="77777777">
        <w:tc>
          <w:tcPr>
            <w:tcW w:w="0" w:type="auto"/>
            <w:gridSpan w:val="3"/>
            <w:shd w:val="clear" w:color="auto" w:fill="auto"/>
            <w:tcMar>
              <w:top w:w="40" w:type="dxa"/>
              <w:left w:w="20" w:type="dxa"/>
              <w:bottom w:w="40" w:type="dxa"/>
              <w:right w:w="20" w:type="dxa"/>
            </w:tcMar>
            <w:vAlign w:val="bottom"/>
          </w:tcPr>
          <w:p w14:paraId="18601901" w14:textId="77777777" w:rsidR="00A91885" w:rsidRDefault="009C4196">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18601902"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903"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904"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905"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906"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907"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908" w14:textId="77777777" w:rsidR="00A91885" w:rsidRDefault="00A91885">
            <w:pPr>
              <w:rPr>
                <w:rFonts w:ascii="宋体"/>
              </w:rPr>
            </w:pPr>
          </w:p>
        </w:tc>
      </w:tr>
      <w:tr w:rsidR="00A91885" w14:paraId="18601916" w14:textId="77777777">
        <w:tc>
          <w:tcPr>
            <w:tcW w:w="0" w:type="auto"/>
            <w:gridSpan w:val="3"/>
            <w:shd w:val="clear" w:color="auto" w:fill="auto"/>
            <w:tcMar>
              <w:top w:w="40" w:type="dxa"/>
              <w:left w:w="20" w:type="dxa"/>
              <w:bottom w:w="40" w:type="dxa"/>
              <w:right w:w="20" w:type="dxa"/>
            </w:tcMar>
            <w:vAlign w:val="bottom"/>
          </w:tcPr>
          <w:p w14:paraId="1860190A" w14:textId="77777777" w:rsidR="00A91885" w:rsidRDefault="009C4196">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90B"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90C"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90D"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90E"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90F" w14:textId="77777777" w:rsidR="00A91885" w:rsidRDefault="009C4196">
            <w:pPr>
              <w:jc w:val="center"/>
              <w:textAlignment w:val="bottom"/>
            </w:pPr>
            <w:r>
              <w:rPr>
                <w:rFonts w:ascii="Arial" w:eastAsia="宋体" w:hAnsi="Arial" w:cs="Arial"/>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18601910"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911"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912"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913"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914"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915" w14:textId="77777777" w:rsidR="00A91885" w:rsidRDefault="009C4196">
            <w:pPr>
              <w:jc w:val="center"/>
              <w:textAlignment w:val="bottom"/>
            </w:pPr>
            <w:r>
              <w:rPr>
                <w:rFonts w:ascii="Arial" w:eastAsia="宋体" w:hAnsi="Arial" w:cs="Arial"/>
                <w:b/>
                <w:bCs/>
                <w:color w:val="000000"/>
                <w:sz w:val="17"/>
                <w:szCs w:val="17"/>
              </w:rPr>
              <w:t>% Change</w:t>
            </w:r>
          </w:p>
        </w:tc>
      </w:tr>
      <w:tr w:rsidR="00A91885" w14:paraId="1860192D" w14:textId="77777777">
        <w:tc>
          <w:tcPr>
            <w:tcW w:w="0" w:type="auto"/>
            <w:gridSpan w:val="3"/>
            <w:shd w:val="clear" w:color="auto" w:fill="E2E2E2"/>
            <w:tcMar>
              <w:top w:w="40" w:type="dxa"/>
              <w:left w:w="20" w:type="dxa"/>
              <w:bottom w:w="40" w:type="dxa"/>
              <w:right w:w="20" w:type="dxa"/>
            </w:tcMar>
            <w:vAlign w:val="bottom"/>
          </w:tcPr>
          <w:p w14:paraId="18601917" w14:textId="77777777" w:rsidR="00A91885" w:rsidRDefault="009C4196">
            <w:pPr>
              <w:textAlignment w:val="bottom"/>
            </w:pPr>
            <w:r>
              <w:rPr>
                <w:rFonts w:ascii="Arial" w:eastAsia="宋体" w:hAnsi="Arial" w:cs="Arial"/>
                <w:color w:val="000000"/>
                <w:sz w:val="18"/>
                <w:szCs w:val="18"/>
              </w:rPr>
              <w:t>Cost of net revenues</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191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919" w14:textId="77777777" w:rsidR="00A91885" w:rsidRDefault="009C4196">
            <w:pPr>
              <w:jc w:val="right"/>
              <w:textAlignment w:val="bottom"/>
            </w:pPr>
            <w:r>
              <w:rPr>
                <w:rFonts w:ascii="Arial" w:eastAsia="宋体" w:hAnsi="Arial" w:cs="Arial"/>
                <w:color w:val="000000"/>
                <w:sz w:val="18"/>
                <w:szCs w:val="18"/>
              </w:rPr>
              <w:t>663 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91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1B"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91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91D" w14:textId="77777777" w:rsidR="00A91885" w:rsidRDefault="009C4196">
            <w:pPr>
              <w:jc w:val="right"/>
              <w:textAlignment w:val="bottom"/>
            </w:pPr>
            <w:r>
              <w:rPr>
                <w:rFonts w:ascii="Arial" w:eastAsia="宋体" w:hAnsi="Arial" w:cs="Arial"/>
                <w:color w:val="000000"/>
                <w:sz w:val="18"/>
                <w:szCs w:val="18"/>
              </w:rPr>
              <w:t>672 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91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1F"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1920" w14:textId="77777777" w:rsidR="00A91885" w:rsidRDefault="009C4196">
            <w:pPr>
              <w:jc w:val="right"/>
              <w:textAlignment w:val="bottom"/>
            </w:pPr>
            <w:r>
              <w:rPr>
                <w:rFonts w:ascii="Arial" w:eastAsia="宋体" w:hAnsi="Arial" w:cs="Arial"/>
                <w:color w:val="000000"/>
                <w:sz w:val="18"/>
                <w:szCs w:val="18"/>
              </w:rPr>
              <w:t>(1)</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921"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922"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92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924" w14:textId="77777777" w:rsidR="00A91885" w:rsidRDefault="009C4196">
            <w:pPr>
              <w:jc w:val="right"/>
              <w:textAlignment w:val="bottom"/>
            </w:pPr>
            <w:r>
              <w:rPr>
                <w:rFonts w:ascii="Arial" w:eastAsia="宋体" w:hAnsi="Arial" w:cs="Arial"/>
                <w:color w:val="000000"/>
                <w:sz w:val="18"/>
                <w:szCs w:val="18"/>
              </w:rPr>
              <w:t>1,352 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92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26"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927"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928" w14:textId="77777777" w:rsidR="00A91885" w:rsidRDefault="009C4196">
            <w:pPr>
              <w:jc w:val="right"/>
              <w:textAlignment w:val="bottom"/>
            </w:pPr>
            <w:r>
              <w:rPr>
                <w:rFonts w:ascii="Arial" w:eastAsia="宋体" w:hAnsi="Arial" w:cs="Arial"/>
                <w:color w:val="000000"/>
                <w:sz w:val="18"/>
                <w:szCs w:val="18"/>
              </w:rPr>
              <w:t>1,278 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929"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2A"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192B" w14:textId="77777777" w:rsidR="00A91885" w:rsidRDefault="009C4196">
            <w:pPr>
              <w:jc w:val="right"/>
              <w:textAlignment w:val="bottom"/>
            </w:pPr>
            <w:r>
              <w:rPr>
                <w:rFonts w:ascii="Arial" w:eastAsia="宋体" w:hAnsi="Arial" w:cs="Arial"/>
                <w:color w:val="000000"/>
                <w:sz w:val="18"/>
                <w:szCs w:val="18"/>
              </w:rPr>
              <w:t>6 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92C" w14:textId="77777777" w:rsidR="00A91885" w:rsidRDefault="009C4196">
            <w:pPr>
              <w:jc w:val="right"/>
              <w:textAlignment w:val="bottom"/>
            </w:pPr>
            <w:r>
              <w:rPr>
                <w:rFonts w:ascii="Arial" w:eastAsia="宋体" w:hAnsi="Arial" w:cs="Arial"/>
                <w:color w:val="000000"/>
                <w:sz w:val="18"/>
                <w:szCs w:val="18"/>
              </w:rPr>
              <w:t>%</w:t>
            </w:r>
          </w:p>
        </w:tc>
      </w:tr>
      <w:tr w:rsidR="00A91885" w14:paraId="1860193E" w14:textId="77777777">
        <w:tc>
          <w:tcPr>
            <w:tcW w:w="0" w:type="auto"/>
            <w:gridSpan w:val="3"/>
            <w:shd w:val="clear" w:color="auto" w:fill="FFFFFF"/>
            <w:tcMar>
              <w:top w:w="40" w:type="dxa"/>
              <w:left w:w="155" w:type="dxa"/>
              <w:bottom w:w="40" w:type="dxa"/>
              <w:right w:w="20" w:type="dxa"/>
            </w:tcMar>
            <w:vAlign w:val="bottom"/>
          </w:tcPr>
          <w:p w14:paraId="1860192E" w14:textId="77777777" w:rsidR="00A91885" w:rsidRDefault="009C4196">
            <w:pPr>
              <w:textAlignment w:val="bottom"/>
            </w:pPr>
            <w:r>
              <w:rPr>
                <w:rFonts w:ascii="Arial" w:eastAsia="宋体" w:hAnsi="Arial" w:cs="Arial"/>
                <w:i/>
                <w:iCs/>
                <w:color w:val="000000"/>
                <w:sz w:val="18"/>
                <w:szCs w:val="18"/>
              </w:rPr>
              <w:t>Perce</w:t>
            </w:r>
            <w:r>
              <w:rPr>
                <w:rFonts w:ascii="Arial" w:eastAsia="宋体" w:hAnsi="Arial" w:cs="Arial"/>
                <w:i/>
                <w:iCs/>
                <w:color w:val="000000"/>
                <w:sz w:val="18"/>
                <w:szCs w:val="18"/>
              </w:rPr>
              <w:t>ntage of net revenues</w:t>
            </w:r>
          </w:p>
        </w:tc>
        <w:tc>
          <w:tcPr>
            <w:tcW w:w="0" w:type="auto"/>
            <w:gridSpan w:val="2"/>
            <w:shd w:val="clear" w:color="auto" w:fill="FFFFFF"/>
            <w:tcMar>
              <w:top w:w="40" w:type="dxa"/>
              <w:left w:w="20" w:type="dxa"/>
              <w:bottom w:w="40" w:type="dxa"/>
              <w:right w:w="0" w:type="dxa"/>
            </w:tcMar>
            <w:vAlign w:val="bottom"/>
          </w:tcPr>
          <w:p w14:paraId="1860192F" w14:textId="77777777" w:rsidR="00A91885" w:rsidRDefault="009C4196">
            <w:pPr>
              <w:jc w:val="right"/>
              <w:textAlignment w:val="bottom"/>
            </w:pPr>
            <w:r>
              <w:rPr>
                <w:rFonts w:ascii="Arial" w:eastAsia="宋体" w:hAnsi="Arial" w:cs="Arial"/>
                <w:i/>
                <w:iCs/>
                <w:color w:val="000000"/>
                <w:sz w:val="18"/>
                <w:szCs w:val="18"/>
              </w:rPr>
              <w:t>27.4 </w:t>
            </w:r>
          </w:p>
        </w:tc>
        <w:tc>
          <w:tcPr>
            <w:tcW w:w="0" w:type="auto"/>
            <w:shd w:val="clear" w:color="auto" w:fill="FFFFFF"/>
            <w:tcMar>
              <w:top w:w="40" w:type="dxa"/>
              <w:left w:w="0" w:type="dxa"/>
              <w:bottom w:w="40" w:type="dxa"/>
              <w:right w:w="20" w:type="dxa"/>
            </w:tcMar>
            <w:vAlign w:val="bottom"/>
          </w:tcPr>
          <w:p w14:paraId="18601930"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93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932" w14:textId="77777777" w:rsidR="00A91885" w:rsidRDefault="009C4196">
            <w:pPr>
              <w:jc w:val="right"/>
              <w:textAlignment w:val="bottom"/>
            </w:pPr>
            <w:r>
              <w:rPr>
                <w:rFonts w:ascii="Arial" w:eastAsia="宋体" w:hAnsi="Arial" w:cs="Arial"/>
                <w:i/>
                <w:iCs/>
                <w:color w:val="000000"/>
                <w:sz w:val="18"/>
                <w:szCs w:val="18"/>
              </w:rPr>
              <w:t>25.2 </w:t>
            </w:r>
          </w:p>
        </w:tc>
        <w:tc>
          <w:tcPr>
            <w:tcW w:w="0" w:type="auto"/>
            <w:shd w:val="clear" w:color="auto" w:fill="FFFFFF"/>
            <w:tcMar>
              <w:top w:w="40" w:type="dxa"/>
              <w:left w:w="0" w:type="dxa"/>
              <w:bottom w:w="40" w:type="dxa"/>
              <w:right w:w="20" w:type="dxa"/>
            </w:tcMar>
            <w:vAlign w:val="bottom"/>
          </w:tcPr>
          <w:p w14:paraId="18601933"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934"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1935" w14:textId="77777777" w:rsidR="00A91885" w:rsidRDefault="009C4196">
            <w:pPr>
              <w:jc w:val="right"/>
              <w:textAlignment w:val="bottom"/>
            </w:pPr>
            <w:r>
              <w:rPr>
                <w:rFonts w:ascii="Arial" w:eastAsia="宋体" w:hAnsi="Arial" w:cs="Arial"/>
                <w:i/>
                <w:iCs/>
                <w:color w:val="000000"/>
                <w:sz w:val="18"/>
                <w:szCs w:val="18"/>
              </w:rPr>
              <w:t> </w:t>
            </w:r>
          </w:p>
        </w:tc>
        <w:tc>
          <w:tcPr>
            <w:tcW w:w="0" w:type="auto"/>
            <w:gridSpan w:val="3"/>
            <w:shd w:val="clear" w:color="auto" w:fill="FFFFFF"/>
            <w:tcMar>
              <w:top w:w="0" w:type="dxa"/>
              <w:left w:w="20" w:type="dxa"/>
              <w:bottom w:w="0" w:type="dxa"/>
              <w:right w:w="20" w:type="dxa"/>
            </w:tcMar>
            <w:vAlign w:val="bottom"/>
          </w:tcPr>
          <w:p w14:paraId="18601936"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937" w14:textId="77777777" w:rsidR="00A91885" w:rsidRDefault="009C4196">
            <w:pPr>
              <w:jc w:val="right"/>
              <w:textAlignment w:val="bottom"/>
            </w:pPr>
            <w:r>
              <w:rPr>
                <w:rFonts w:ascii="Arial" w:eastAsia="宋体" w:hAnsi="Arial" w:cs="Arial"/>
                <w:i/>
                <w:iCs/>
                <w:color w:val="000000"/>
                <w:sz w:val="18"/>
                <w:szCs w:val="18"/>
              </w:rPr>
              <w:t>27.6 </w:t>
            </w:r>
          </w:p>
        </w:tc>
        <w:tc>
          <w:tcPr>
            <w:tcW w:w="0" w:type="auto"/>
            <w:shd w:val="clear" w:color="auto" w:fill="FFFFFF"/>
            <w:tcMar>
              <w:top w:w="40" w:type="dxa"/>
              <w:left w:w="0" w:type="dxa"/>
              <w:bottom w:w="40" w:type="dxa"/>
              <w:right w:w="20" w:type="dxa"/>
            </w:tcMar>
            <w:vAlign w:val="bottom"/>
          </w:tcPr>
          <w:p w14:paraId="18601938"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93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93A" w14:textId="77777777" w:rsidR="00A91885" w:rsidRDefault="009C4196">
            <w:pPr>
              <w:jc w:val="right"/>
              <w:textAlignment w:val="bottom"/>
            </w:pPr>
            <w:r>
              <w:rPr>
                <w:rFonts w:ascii="Arial" w:eastAsia="宋体" w:hAnsi="Arial" w:cs="Arial"/>
                <w:i/>
                <w:iCs/>
                <w:color w:val="000000"/>
                <w:sz w:val="18"/>
                <w:szCs w:val="18"/>
              </w:rPr>
              <w:t>24.1 </w:t>
            </w:r>
          </w:p>
        </w:tc>
        <w:tc>
          <w:tcPr>
            <w:tcW w:w="0" w:type="auto"/>
            <w:shd w:val="clear" w:color="auto" w:fill="FFFFFF"/>
            <w:tcMar>
              <w:top w:w="40" w:type="dxa"/>
              <w:left w:w="0" w:type="dxa"/>
              <w:bottom w:w="40" w:type="dxa"/>
              <w:right w:w="20" w:type="dxa"/>
            </w:tcMar>
            <w:vAlign w:val="bottom"/>
          </w:tcPr>
          <w:p w14:paraId="1860193B"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93C"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193D" w14:textId="77777777" w:rsidR="00A91885" w:rsidRDefault="009C4196">
            <w:pPr>
              <w:jc w:val="right"/>
              <w:textAlignment w:val="bottom"/>
            </w:pPr>
            <w:r>
              <w:rPr>
                <w:rFonts w:ascii="Arial" w:eastAsia="宋体" w:hAnsi="Arial" w:cs="Arial"/>
                <w:i/>
                <w:iCs/>
                <w:color w:val="000000"/>
                <w:sz w:val="18"/>
                <w:szCs w:val="18"/>
              </w:rPr>
              <w:t> </w:t>
            </w:r>
          </w:p>
        </w:tc>
      </w:tr>
    </w:tbl>
    <w:p w14:paraId="1860193F" w14:textId="77777777" w:rsidR="00A91885" w:rsidRDefault="00A91885">
      <w:pPr>
        <w:ind w:firstLine="540"/>
        <w:jc w:val="both"/>
      </w:pPr>
    </w:p>
    <w:p w14:paraId="18601940" w14:textId="77777777" w:rsidR="00A91885" w:rsidRDefault="009C4196">
      <w:pPr>
        <w:ind w:firstLine="540"/>
        <w:jc w:val="both"/>
      </w:pPr>
      <w:r>
        <w:rPr>
          <w:rFonts w:ascii="Arial" w:eastAsia="宋体" w:hAnsi="Arial" w:cs="Arial"/>
          <w:color w:val="000000"/>
          <w:sz w:val="20"/>
          <w:szCs w:val="20"/>
        </w:rPr>
        <w:t>Cost of net revenues, net of immaterial hedging activities, was favorably impacted by $20 million and $35 million attributable to foreign currency movements rela</w:t>
      </w:r>
      <w:r>
        <w:rPr>
          <w:rFonts w:ascii="Arial" w:eastAsia="宋体" w:hAnsi="Arial" w:cs="Arial"/>
          <w:color w:val="000000"/>
          <w:sz w:val="20"/>
          <w:szCs w:val="20"/>
        </w:rPr>
        <w:t>tive to the U.S. dollar during the three and six months ended June 30, 2022, respectively, compared to the same periods in 2021.</w:t>
      </w:r>
    </w:p>
    <w:p w14:paraId="18601941" w14:textId="77777777" w:rsidR="00A91885" w:rsidRDefault="00A91885">
      <w:pPr>
        <w:ind w:firstLine="540"/>
        <w:jc w:val="both"/>
      </w:pPr>
    </w:p>
    <w:p w14:paraId="18601942" w14:textId="77777777" w:rsidR="00A91885" w:rsidRDefault="009C4196">
      <w:pPr>
        <w:ind w:firstLine="540"/>
        <w:jc w:val="both"/>
      </w:pPr>
      <w:r>
        <w:rPr>
          <w:rFonts w:ascii="Arial" w:eastAsia="宋体" w:hAnsi="Arial" w:cs="Arial"/>
          <w:color w:val="000000"/>
          <w:sz w:val="20"/>
          <w:szCs w:val="20"/>
        </w:rPr>
        <w:t>The decrease in cost of net revenues during the three months ended June 30, 2022 compared to the same period in 2021 was prima</w:t>
      </w:r>
      <w:r>
        <w:rPr>
          <w:rFonts w:ascii="Arial" w:eastAsia="宋体" w:hAnsi="Arial" w:cs="Arial"/>
          <w:color w:val="000000"/>
          <w:sz w:val="20"/>
          <w:szCs w:val="20"/>
        </w:rPr>
        <w:t>rily due to the favorable foreign currency movements described above, partially offset by higher payment processing costs incurred for managed payments. The migration to managed payments was completed in all markets by the end of 2021.</w:t>
      </w:r>
    </w:p>
    <w:p w14:paraId="18601943" w14:textId="77777777" w:rsidR="00A91885" w:rsidRDefault="00A91885">
      <w:pPr>
        <w:ind w:firstLine="540"/>
        <w:jc w:val="both"/>
      </w:pPr>
    </w:p>
    <w:p w14:paraId="18601944" w14:textId="77777777" w:rsidR="00A91885" w:rsidRDefault="009C4196">
      <w:pPr>
        <w:ind w:firstLine="540"/>
        <w:jc w:val="both"/>
      </w:pPr>
      <w:r>
        <w:rPr>
          <w:rFonts w:ascii="Arial" w:eastAsia="宋体" w:hAnsi="Arial" w:cs="Arial"/>
          <w:color w:val="000000"/>
          <w:sz w:val="20"/>
          <w:szCs w:val="20"/>
        </w:rPr>
        <w:t>The increase in cos</w:t>
      </w:r>
      <w:r>
        <w:rPr>
          <w:rFonts w:ascii="Arial" w:eastAsia="宋体" w:hAnsi="Arial" w:cs="Arial"/>
          <w:color w:val="000000"/>
          <w:sz w:val="20"/>
          <w:szCs w:val="20"/>
        </w:rPr>
        <w:t>t of net revenues during the six months ended June 30, 2022 compared to the same period in 2021 was primarily due to higher payment processing costs incurred for managed payments, partially offset by the favorable impact of foreign currency movements descr</w:t>
      </w:r>
      <w:r>
        <w:rPr>
          <w:rFonts w:ascii="Arial" w:eastAsia="宋体" w:hAnsi="Arial" w:cs="Arial"/>
          <w:color w:val="000000"/>
          <w:sz w:val="20"/>
          <w:szCs w:val="20"/>
        </w:rPr>
        <w:t>ibed above.</w:t>
      </w:r>
    </w:p>
    <w:p w14:paraId="18601945" w14:textId="77777777" w:rsidR="00A91885" w:rsidRDefault="00A91885">
      <w:pPr>
        <w:jc w:val="both"/>
      </w:pPr>
    </w:p>
    <w:p w14:paraId="18601946" w14:textId="77777777" w:rsidR="00A91885" w:rsidRDefault="00A91885">
      <w:pPr>
        <w:jc w:val="center"/>
      </w:pPr>
    </w:p>
    <w:p w14:paraId="18601947" w14:textId="77777777" w:rsidR="00A91885" w:rsidRDefault="009C4196">
      <w:pPr>
        <w:jc w:val="center"/>
      </w:pPr>
      <w:r>
        <w:rPr>
          <w:rFonts w:ascii="Arial" w:eastAsia="宋体" w:hAnsi="Arial" w:cs="Arial"/>
          <w:color w:val="000000"/>
          <w:sz w:val="20"/>
          <w:szCs w:val="20"/>
        </w:rPr>
        <w:t>51</w:t>
      </w:r>
    </w:p>
    <w:p w14:paraId="18601948" w14:textId="77777777" w:rsidR="00A91885" w:rsidRDefault="009C4196">
      <w:r>
        <w:pict w14:anchorId="186021B6">
          <v:rect id="_x0000_i1075" style="width:415.3pt;height:1.5pt" o:hralign="center" o:hrstd="t" o:hr="t" fillcolor="#a0a0a0" stroked="f"/>
        </w:pict>
      </w:r>
    </w:p>
    <w:p w14:paraId="18601949" w14:textId="77777777" w:rsidR="00A91885" w:rsidRDefault="009C4196">
      <w:hyperlink r:id="rId135" w:anchor="ieb971428a625452486c65ae24899afca_7" w:history="1">
        <w:r>
          <w:rPr>
            <w:rStyle w:val="a5"/>
            <w:rFonts w:ascii="Arial" w:eastAsia="宋体" w:hAnsi="Arial" w:cs="Arial"/>
            <w:sz w:val="18"/>
            <w:szCs w:val="18"/>
          </w:rPr>
          <w:t>Table of Contents</w:t>
        </w:r>
      </w:hyperlink>
    </w:p>
    <w:p w14:paraId="1860194A" w14:textId="77777777" w:rsidR="00A91885" w:rsidRDefault="009C4196">
      <w:pPr>
        <w:ind w:firstLine="270"/>
        <w:jc w:val="both"/>
      </w:pPr>
      <w:r>
        <w:rPr>
          <w:rFonts w:ascii="Arial" w:eastAsia="宋体" w:hAnsi="Arial" w:cs="Arial"/>
          <w:b/>
          <w:bCs/>
          <w:i/>
          <w:iCs/>
          <w:color w:val="000000"/>
          <w:sz w:val="20"/>
          <w:szCs w:val="20"/>
        </w:rPr>
        <w:t>Operating Expenses</w:t>
      </w:r>
    </w:p>
    <w:p w14:paraId="1860194B" w14:textId="77777777" w:rsidR="00A91885" w:rsidRDefault="00A91885">
      <w:pPr>
        <w:ind w:firstLine="450"/>
        <w:jc w:val="both"/>
      </w:pPr>
    </w:p>
    <w:p w14:paraId="1860194C" w14:textId="77777777" w:rsidR="00A91885" w:rsidRDefault="009C4196">
      <w:pPr>
        <w:spacing w:after="120"/>
        <w:ind w:firstLine="540"/>
        <w:jc w:val="both"/>
      </w:pPr>
      <w:r>
        <w:rPr>
          <w:rFonts w:ascii="Arial" w:eastAsia="宋体" w:hAnsi="Arial" w:cs="Arial"/>
          <w:color w:val="000000"/>
          <w:sz w:val="20"/>
          <w:szCs w:val="20"/>
        </w:rPr>
        <w:t xml:space="preserve">The following table presents </w:t>
      </w:r>
      <w:r>
        <w:rPr>
          <w:rFonts w:ascii="Arial" w:eastAsia="宋体" w:hAnsi="Arial" w:cs="Arial"/>
          <w:color w:val="000000"/>
          <w:sz w:val="20"/>
          <w:szCs w:val="20"/>
        </w:rPr>
        <w:t>operating expenses for the periods indicated (in millions, except percentages): </w:t>
      </w:r>
    </w:p>
    <w:tbl>
      <w:tblPr>
        <w:tblW w:w="5000" w:type="pct"/>
        <w:tblCellMar>
          <w:top w:w="15" w:type="dxa"/>
          <w:left w:w="15" w:type="dxa"/>
          <w:bottom w:w="15" w:type="dxa"/>
          <w:right w:w="15" w:type="dxa"/>
        </w:tblCellMar>
        <w:tblLook w:val="04A0" w:firstRow="1" w:lastRow="0" w:firstColumn="1" w:lastColumn="0" w:noHBand="0" w:noVBand="1"/>
      </w:tblPr>
      <w:tblGrid>
        <w:gridCol w:w="39"/>
        <w:gridCol w:w="2515"/>
        <w:gridCol w:w="38"/>
        <w:gridCol w:w="121"/>
        <w:gridCol w:w="608"/>
        <w:gridCol w:w="181"/>
        <w:gridCol w:w="36"/>
        <w:gridCol w:w="36"/>
        <w:gridCol w:w="36"/>
        <w:gridCol w:w="121"/>
        <w:gridCol w:w="608"/>
        <w:gridCol w:w="181"/>
        <w:gridCol w:w="36"/>
        <w:gridCol w:w="36"/>
        <w:gridCol w:w="36"/>
        <w:gridCol w:w="68"/>
        <w:gridCol w:w="590"/>
        <w:gridCol w:w="181"/>
        <w:gridCol w:w="36"/>
        <w:gridCol w:w="36"/>
        <w:gridCol w:w="36"/>
        <w:gridCol w:w="121"/>
        <w:gridCol w:w="501"/>
        <w:gridCol w:w="181"/>
        <w:gridCol w:w="36"/>
        <w:gridCol w:w="36"/>
        <w:gridCol w:w="36"/>
        <w:gridCol w:w="121"/>
        <w:gridCol w:w="601"/>
        <w:gridCol w:w="181"/>
        <w:gridCol w:w="36"/>
        <w:gridCol w:w="36"/>
        <w:gridCol w:w="36"/>
        <w:gridCol w:w="68"/>
        <w:gridCol w:w="590"/>
        <w:gridCol w:w="181"/>
      </w:tblGrid>
      <w:tr w:rsidR="00A91885" w14:paraId="18601971" w14:textId="77777777">
        <w:tc>
          <w:tcPr>
            <w:tcW w:w="50" w:type="pct"/>
            <w:shd w:val="clear" w:color="auto" w:fill="auto"/>
            <w:vAlign w:val="bottom"/>
          </w:tcPr>
          <w:p w14:paraId="1860194D" w14:textId="77777777" w:rsidR="00A91885" w:rsidRDefault="00A91885">
            <w:pPr>
              <w:rPr>
                <w:rFonts w:ascii="宋体"/>
              </w:rPr>
            </w:pPr>
          </w:p>
        </w:tc>
        <w:tc>
          <w:tcPr>
            <w:tcW w:w="1684" w:type="pct"/>
            <w:shd w:val="clear" w:color="auto" w:fill="auto"/>
            <w:vAlign w:val="bottom"/>
          </w:tcPr>
          <w:p w14:paraId="1860194E" w14:textId="77777777" w:rsidR="00A91885" w:rsidRDefault="00A91885">
            <w:pPr>
              <w:rPr>
                <w:rFonts w:ascii="宋体"/>
              </w:rPr>
            </w:pPr>
          </w:p>
        </w:tc>
        <w:tc>
          <w:tcPr>
            <w:tcW w:w="5" w:type="pct"/>
            <w:shd w:val="clear" w:color="auto" w:fill="auto"/>
            <w:vAlign w:val="bottom"/>
          </w:tcPr>
          <w:p w14:paraId="1860194F" w14:textId="77777777" w:rsidR="00A91885" w:rsidRDefault="00A91885">
            <w:pPr>
              <w:rPr>
                <w:rFonts w:ascii="宋体"/>
              </w:rPr>
            </w:pPr>
          </w:p>
        </w:tc>
        <w:tc>
          <w:tcPr>
            <w:tcW w:w="50" w:type="pct"/>
            <w:shd w:val="clear" w:color="auto" w:fill="auto"/>
            <w:vAlign w:val="bottom"/>
          </w:tcPr>
          <w:p w14:paraId="18601950" w14:textId="77777777" w:rsidR="00A91885" w:rsidRDefault="00A91885">
            <w:pPr>
              <w:rPr>
                <w:rFonts w:ascii="宋体"/>
              </w:rPr>
            </w:pPr>
          </w:p>
        </w:tc>
        <w:tc>
          <w:tcPr>
            <w:tcW w:w="478" w:type="pct"/>
            <w:shd w:val="clear" w:color="auto" w:fill="auto"/>
            <w:vAlign w:val="bottom"/>
          </w:tcPr>
          <w:p w14:paraId="18601951" w14:textId="77777777" w:rsidR="00A91885" w:rsidRDefault="00A91885">
            <w:pPr>
              <w:rPr>
                <w:rFonts w:ascii="宋体"/>
              </w:rPr>
            </w:pPr>
          </w:p>
        </w:tc>
        <w:tc>
          <w:tcPr>
            <w:tcW w:w="5" w:type="pct"/>
            <w:shd w:val="clear" w:color="auto" w:fill="auto"/>
            <w:vAlign w:val="bottom"/>
          </w:tcPr>
          <w:p w14:paraId="18601952" w14:textId="77777777" w:rsidR="00A91885" w:rsidRDefault="00A91885">
            <w:pPr>
              <w:rPr>
                <w:rFonts w:ascii="宋体"/>
              </w:rPr>
            </w:pPr>
          </w:p>
        </w:tc>
        <w:tc>
          <w:tcPr>
            <w:tcW w:w="5" w:type="pct"/>
            <w:shd w:val="clear" w:color="auto" w:fill="auto"/>
            <w:vAlign w:val="bottom"/>
          </w:tcPr>
          <w:p w14:paraId="18601953" w14:textId="77777777" w:rsidR="00A91885" w:rsidRDefault="00A91885">
            <w:pPr>
              <w:rPr>
                <w:rFonts w:ascii="宋体"/>
              </w:rPr>
            </w:pPr>
          </w:p>
        </w:tc>
        <w:tc>
          <w:tcPr>
            <w:tcW w:w="19" w:type="pct"/>
            <w:shd w:val="clear" w:color="auto" w:fill="auto"/>
            <w:vAlign w:val="bottom"/>
          </w:tcPr>
          <w:p w14:paraId="18601954" w14:textId="77777777" w:rsidR="00A91885" w:rsidRDefault="00A91885">
            <w:pPr>
              <w:rPr>
                <w:rFonts w:ascii="宋体"/>
              </w:rPr>
            </w:pPr>
          </w:p>
        </w:tc>
        <w:tc>
          <w:tcPr>
            <w:tcW w:w="5" w:type="pct"/>
            <w:shd w:val="clear" w:color="auto" w:fill="auto"/>
            <w:vAlign w:val="bottom"/>
          </w:tcPr>
          <w:p w14:paraId="18601955" w14:textId="77777777" w:rsidR="00A91885" w:rsidRDefault="00A91885">
            <w:pPr>
              <w:rPr>
                <w:rFonts w:ascii="宋体"/>
              </w:rPr>
            </w:pPr>
          </w:p>
        </w:tc>
        <w:tc>
          <w:tcPr>
            <w:tcW w:w="50" w:type="pct"/>
            <w:shd w:val="clear" w:color="auto" w:fill="auto"/>
            <w:vAlign w:val="bottom"/>
          </w:tcPr>
          <w:p w14:paraId="18601956" w14:textId="77777777" w:rsidR="00A91885" w:rsidRDefault="00A91885">
            <w:pPr>
              <w:rPr>
                <w:rFonts w:ascii="宋体"/>
              </w:rPr>
            </w:pPr>
          </w:p>
        </w:tc>
        <w:tc>
          <w:tcPr>
            <w:tcW w:w="478" w:type="pct"/>
            <w:shd w:val="clear" w:color="auto" w:fill="auto"/>
            <w:vAlign w:val="bottom"/>
          </w:tcPr>
          <w:p w14:paraId="18601957" w14:textId="77777777" w:rsidR="00A91885" w:rsidRDefault="00A91885">
            <w:pPr>
              <w:rPr>
                <w:rFonts w:ascii="宋体"/>
              </w:rPr>
            </w:pPr>
          </w:p>
        </w:tc>
        <w:tc>
          <w:tcPr>
            <w:tcW w:w="5" w:type="pct"/>
            <w:shd w:val="clear" w:color="auto" w:fill="auto"/>
            <w:vAlign w:val="bottom"/>
          </w:tcPr>
          <w:p w14:paraId="18601958" w14:textId="77777777" w:rsidR="00A91885" w:rsidRDefault="00A91885">
            <w:pPr>
              <w:rPr>
                <w:rFonts w:ascii="宋体"/>
              </w:rPr>
            </w:pPr>
          </w:p>
        </w:tc>
        <w:tc>
          <w:tcPr>
            <w:tcW w:w="5" w:type="pct"/>
            <w:shd w:val="clear" w:color="auto" w:fill="auto"/>
            <w:vAlign w:val="bottom"/>
          </w:tcPr>
          <w:p w14:paraId="18601959" w14:textId="77777777" w:rsidR="00A91885" w:rsidRDefault="00A91885">
            <w:pPr>
              <w:rPr>
                <w:rFonts w:ascii="宋体"/>
              </w:rPr>
            </w:pPr>
          </w:p>
        </w:tc>
        <w:tc>
          <w:tcPr>
            <w:tcW w:w="19" w:type="pct"/>
            <w:shd w:val="clear" w:color="auto" w:fill="auto"/>
            <w:vAlign w:val="bottom"/>
          </w:tcPr>
          <w:p w14:paraId="1860195A" w14:textId="77777777" w:rsidR="00A91885" w:rsidRDefault="00A91885">
            <w:pPr>
              <w:rPr>
                <w:rFonts w:ascii="宋体"/>
              </w:rPr>
            </w:pPr>
          </w:p>
        </w:tc>
        <w:tc>
          <w:tcPr>
            <w:tcW w:w="5" w:type="pct"/>
            <w:shd w:val="clear" w:color="auto" w:fill="auto"/>
            <w:vAlign w:val="bottom"/>
          </w:tcPr>
          <w:p w14:paraId="1860195B" w14:textId="77777777" w:rsidR="00A91885" w:rsidRDefault="00A91885">
            <w:pPr>
              <w:rPr>
                <w:rFonts w:ascii="宋体"/>
              </w:rPr>
            </w:pPr>
          </w:p>
        </w:tc>
        <w:tc>
          <w:tcPr>
            <w:tcW w:w="50" w:type="pct"/>
            <w:shd w:val="clear" w:color="auto" w:fill="auto"/>
            <w:vAlign w:val="bottom"/>
          </w:tcPr>
          <w:p w14:paraId="1860195C" w14:textId="77777777" w:rsidR="00A91885" w:rsidRDefault="00A91885">
            <w:pPr>
              <w:rPr>
                <w:rFonts w:ascii="宋体"/>
              </w:rPr>
            </w:pPr>
          </w:p>
        </w:tc>
        <w:tc>
          <w:tcPr>
            <w:tcW w:w="434" w:type="pct"/>
            <w:shd w:val="clear" w:color="auto" w:fill="auto"/>
            <w:vAlign w:val="bottom"/>
          </w:tcPr>
          <w:p w14:paraId="1860195D" w14:textId="77777777" w:rsidR="00A91885" w:rsidRDefault="00A91885">
            <w:pPr>
              <w:rPr>
                <w:rFonts w:ascii="宋体"/>
              </w:rPr>
            </w:pPr>
          </w:p>
        </w:tc>
        <w:tc>
          <w:tcPr>
            <w:tcW w:w="5" w:type="pct"/>
            <w:shd w:val="clear" w:color="auto" w:fill="auto"/>
            <w:vAlign w:val="bottom"/>
          </w:tcPr>
          <w:p w14:paraId="1860195E" w14:textId="77777777" w:rsidR="00A91885" w:rsidRDefault="00A91885">
            <w:pPr>
              <w:rPr>
                <w:rFonts w:ascii="宋体"/>
              </w:rPr>
            </w:pPr>
          </w:p>
        </w:tc>
        <w:tc>
          <w:tcPr>
            <w:tcW w:w="5" w:type="pct"/>
            <w:shd w:val="clear" w:color="auto" w:fill="auto"/>
            <w:vAlign w:val="bottom"/>
          </w:tcPr>
          <w:p w14:paraId="1860195F" w14:textId="77777777" w:rsidR="00A91885" w:rsidRDefault="00A91885">
            <w:pPr>
              <w:rPr>
                <w:rFonts w:ascii="宋体"/>
              </w:rPr>
            </w:pPr>
          </w:p>
        </w:tc>
        <w:tc>
          <w:tcPr>
            <w:tcW w:w="19" w:type="pct"/>
            <w:shd w:val="clear" w:color="auto" w:fill="auto"/>
            <w:vAlign w:val="bottom"/>
          </w:tcPr>
          <w:p w14:paraId="18601960" w14:textId="77777777" w:rsidR="00A91885" w:rsidRDefault="00A91885">
            <w:pPr>
              <w:rPr>
                <w:rFonts w:ascii="宋体"/>
              </w:rPr>
            </w:pPr>
          </w:p>
        </w:tc>
        <w:tc>
          <w:tcPr>
            <w:tcW w:w="5" w:type="pct"/>
            <w:shd w:val="clear" w:color="auto" w:fill="auto"/>
            <w:vAlign w:val="bottom"/>
          </w:tcPr>
          <w:p w14:paraId="18601961" w14:textId="77777777" w:rsidR="00A91885" w:rsidRDefault="00A91885">
            <w:pPr>
              <w:rPr>
                <w:rFonts w:ascii="宋体"/>
              </w:rPr>
            </w:pPr>
          </w:p>
        </w:tc>
        <w:tc>
          <w:tcPr>
            <w:tcW w:w="50" w:type="pct"/>
            <w:shd w:val="clear" w:color="auto" w:fill="auto"/>
            <w:vAlign w:val="bottom"/>
          </w:tcPr>
          <w:p w14:paraId="18601962" w14:textId="77777777" w:rsidR="00A91885" w:rsidRDefault="00A91885">
            <w:pPr>
              <w:rPr>
                <w:rFonts w:ascii="宋体"/>
              </w:rPr>
            </w:pPr>
          </w:p>
        </w:tc>
        <w:tc>
          <w:tcPr>
            <w:tcW w:w="478" w:type="pct"/>
            <w:shd w:val="clear" w:color="auto" w:fill="auto"/>
            <w:vAlign w:val="bottom"/>
          </w:tcPr>
          <w:p w14:paraId="18601963" w14:textId="77777777" w:rsidR="00A91885" w:rsidRDefault="00A91885">
            <w:pPr>
              <w:rPr>
                <w:rFonts w:ascii="宋体"/>
              </w:rPr>
            </w:pPr>
          </w:p>
        </w:tc>
        <w:tc>
          <w:tcPr>
            <w:tcW w:w="5" w:type="pct"/>
            <w:shd w:val="clear" w:color="auto" w:fill="auto"/>
            <w:vAlign w:val="bottom"/>
          </w:tcPr>
          <w:p w14:paraId="18601964" w14:textId="77777777" w:rsidR="00A91885" w:rsidRDefault="00A91885">
            <w:pPr>
              <w:rPr>
                <w:rFonts w:ascii="宋体"/>
              </w:rPr>
            </w:pPr>
          </w:p>
        </w:tc>
        <w:tc>
          <w:tcPr>
            <w:tcW w:w="5" w:type="pct"/>
            <w:shd w:val="clear" w:color="auto" w:fill="auto"/>
            <w:vAlign w:val="bottom"/>
          </w:tcPr>
          <w:p w14:paraId="18601965" w14:textId="77777777" w:rsidR="00A91885" w:rsidRDefault="00A91885">
            <w:pPr>
              <w:rPr>
                <w:rFonts w:ascii="宋体"/>
              </w:rPr>
            </w:pPr>
          </w:p>
        </w:tc>
        <w:tc>
          <w:tcPr>
            <w:tcW w:w="19" w:type="pct"/>
            <w:shd w:val="clear" w:color="auto" w:fill="auto"/>
            <w:vAlign w:val="bottom"/>
          </w:tcPr>
          <w:p w14:paraId="18601966" w14:textId="77777777" w:rsidR="00A91885" w:rsidRDefault="00A91885">
            <w:pPr>
              <w:rPr>
                <w:rFonts w:ascii="宋体"/>
              </w:rPr>
            </w:pPr>
          </w:p>
        </w:tc>
        <w:tc>
          <w:tcPr>
            <w:tcW w:w="5" w:type="pct"/>
            <w:shd w:val="clear" w:color="auto" w:fill="auto"/>
            <w:vAlign w:val="bottom"/>
          </w:tcPr>
          <w:p w14:paraId="18601967" w14:textId="77777777" w:rsidR="00A91885" w:rsidRDefault="00A91885">
            <w:pPr>
              <w:rPr>
                <w:rFonts w:ascii="宋体"/>
              </w:rPr>
            </w:pPr>
          </w:p>
        </w:tc>
        <w:tc>
          <w:tcPr>
            <w:tcW w:w="50" w:type="pct"/>
            <w:shd w:val="clear" w:color="auto" w:fill="auto"/>
            <w:vAlign w:val="bottom"/>
          </w:tcPr>
          <w:p w14:paraId="18601968" w14:textId="77777777" w:rsidR="00A91885" w:rsidRDefault="00A91885">
            <w:pPr>
              <w:rPr>
                <w:rFonts w:ascii="宋体"/>
              </w:rPr>
            </w:pPr>
          </w:p>
        </w:tc>
        <w:tc>
          <w:tcPr>
            <w:tcW w:w="478" w:type="pct"/>
            <w:shd w:val="clear" w:color="auto" w:fill="auto"/>
            <w:vAlign w:val="bottom"/>
          </w:tcPr>
          <w:p w14:paraId="18601969" w14:textId="77777777" w:rsidR="00A91885" w:rsidRDefault="00A91885">
            <w:pPr>
              <w:rPr>
                <w:rFonts w:ascii="宋体"/>
              </w:rPr>
            </w:pPr>
          </w:p>
        </w:tc>
        <w:tc>
          <w:tcPr>
            <w:tcW w:w="5" w:type="pct"/>
            <w:shd w:val="clear" w:color="auto" w:fill="auto"/>
            <w:vAlign w:val="bottom"/>
          </w:tcPr>
          <w:p w14:paraId="1860196A" w14:textId="77777777" w:rsidR="00A91885" w:rsidRDefault="00A91885">
            <w:pPr>
              <w:rPr>
                <w:rFonts w:ascii="宋体"/>
              </w:rPr>
            </w:pPr>
          </w:p>
        </w:tc>
        <w:tc>
          <w:tcPr>
            <w:tcW w:w="5" w:type="pct"/>
            <w:shd w:val="clear" w:color="auto" w:fill="auto"/>
            <w:vAlign w:val="bottom"/>
          </w:tcPr>
          <w:p w14:paraId="1860196B" w14:textId="77777777" w:rsidR="00A91885" w:rsidRDefault="00A91885">
            <w:pPr>
              <w:rPr>
                <w:rFonts w:ascii="宋体"/>
              </w:rPr>
            </w:pPr>
          </w:p>
        </w:tc>
        <w:tc>
          <w:tcPr>
            <w:tcW w:w="19" w:type="pct"/>
            <w:shd w:val="clear" w:color="auto" w:fill="auto"/>
            <w:vAlign w:val="bottom"/>
          </w:tcPr>
          <w:p w14:paraId="1860196C" w14:textId="77777777" w:rsidR="00A91885" w:rsidRDefault="00A91885">
            <w:pPr>
              <w:rPr>
                <w:rFonts w:ascii="宋体"/>
              </w:rPr>
            </w:pPr>
          </w:p>
        </w:tc>
        <w:tc>
          <w:tcPr>
            <w:tcW w:w="5" w:type="pct"/>
            <w:shd w:val="clear" w:color="auto" w:fill="auto"/>
            <w:vAlign w:val="bottom"/>
          </w:tcPr>
          <w:p w14:paraId="1860196D" w14:textId="77777777" w:rsidR="00A91885" w:rsidRDefault="00A91885">
            <w:pPr>
              <w:rPr>
                <w:rFonts w:ascii="宋体"/>
              </w:rPr>
            </w:pPr>
          </w:p>
        </w:tc>
        <w:tc>
          <w:tcPr>
            <w:tcW w:w="50" w:type="pct"/>
            <w:shd w:val="clear" w:color="auto" w:fill="auto"/>
            <w:vAlign w:val="bottom"/>
          </w:tcPr>
          <w:p w14:paraId="1860196E" w14:textId="77777777" w:rsidR="00A91885" w:rsidRDefault="00A91885">
            <w:pPr>
              <w:rPr>
                <w:rFonts w:ascii="宋体"/>
              </w:rPr>
            </w:pPr>
          </w:p>
        </w:tc>
        <w:tc>
          <w:tcPr>
            <w:tcW w:w="435" w:type="pct"/>
            <w:shd w:val="clear" w:color="auto" w:fill="auto"/>
            <w:vAlign w:val="bottom"/>
          </w:tcPr>
          <w:p w14:paraId="1860196F" w14:textId="77777777" w:rsidR="00A91885" w:rsidRDefault="00A91885">
            <w:pPr>
              <w:rPr>
                <w:rFonts w:ascii="宋体"/>
              </w:rPr>
            </w:pPr>
          </w:p>
        </w:tc>
        <w:tc>
          <w:tcPr>
            <w:tcW w:w="5" w:type="pct"/>
            <w:shd w:val="clear" w:color="auto" w:fill="auto"/>
            <w:vAlign w:val="bottom"/>
          </w:tcPr>
          <w:p w14:paraId="18601970" w14:textId="77777777" w:rsidR="00A91885" w:rsidRDefault="00A91885">
            <w:pPr>
              <w:rPr>
                <w:rFonts w:ascii="宋体"/>
              </w:rPr>
            </w:pPr>
          </w:p>
        </w:tc>
      </w:tr>
      <w:tr w:rsidR="00A91885" w14:paraId="1860197A" w14:textId="77777777">
        <w:tc>
          <w:tcPr>
            <w:tcW w:w="0" w:type="auto"/>
            <w:gridSpan w:val="3"/>
            <w:shd w:val="clear" w:color="auto" w:fill="auto"/>
            <w:tcMar>
              <w:top w:w="40" w:type="dxa"/>
              <w:left w:w="20" w:type="dxa"/>
              <w:bottom w:w="40" w:type="dxa"/>
              <w:right w:w="20" w:type="dxa"/>
            </w:tcMar>
            <w:vAlign w:val="bottom"/>
          </w:tcPr>
          <w:p w14:paraId="18601972" w14:textId="77777777" w:rsidR="00A91885" w:rsidRDefault="009C4196">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18601973"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974"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975"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976"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977"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978"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979" w14:textId="77777777" w:rsidR="00A91885" w:rsidRDefault="00A91885">
            <w:pPr>
              <w:rPr>
                <w:rFonts w:ascii="宋体"/>
              </w:rPr>
            </w:pPr>
          </w:p>
        </w:tc>
      </w:tr>
      <w:tr w:rsidR="00A91885" w14:paraId="18601987" w14:textId="77777777">
        <w:tc>
          <w:tcPr>
            <w:tcW w:w="0" w:type="auto"/>
            <w:gridSpan w:val="3"/>
            <w:shd w:val="clear" w:color="auto" w:fill="auto"/>
            <w:tcMar>
              <w:top w:w="40" w:type="dxa"/>
              <w:left w:w="20" w:type="dxa"/>
              <w:bottom w:w="40" w:type="dxa"/>
              <w:right w:w="20" w:type="dxa"/>
            </w:tcMar>
            <w:vAlign w:val="bottom"/>
          </w:tcPr>
          <w:p w14:paraId="1860197B" w14:textId="77777777" w:rsidR="00A91885" w:rsidRDefault="009C4196">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97C"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97D"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97E"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97F"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980" w14:textId="77777777" w:rsidR="00A91885" w:rsidRDefault="009C4196">
            <w:pPr>
              <w:jc w:val="center"/>
              <w:textAlignment w:val="bottom"/>
            </w:pPr>
            <w:r>
              <w:rPr>
                <w:rFonts w:ascii="Arial" w:eastAsia="宋体" w:hAnsi="Arial" w:cs="Arial"/>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18601981"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982"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983"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984"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985"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986" w14:textId="77777777" w:rsidR="00A91885" w:rsidRDefault="009C4196">
            <w:pPr>
              <w:jc w:val="center"/>
              <w:textAlignment w:val="bottom"/>
            </w:pPr>
            <w:r>
              <w:rPr>
                <w:rFonts w:ascii="Arial" w:eastAsia="宋体" w:hAnsi="Arial" w:cs="Arial"/>
                <w:b/>
                <w:bCs/>
                <w:color w:val="000000"/>
                <w:sz w:val="17"/>
                <w:szCs w:val="17"/>
              </w:rPr>
              <w:t>% Change</w:t>
            </w:r>
          </w:p>
        </w:tc>
      </w:tr>
      <w:tr w:rsidR="00A91885" w14:paraId="1860199E" w14:textId="77777777">
        <w:tc>
          <w:tcPr>
            <w:tcW w:w="0" w:type="auto"/>
            <w:gridSpan w:val="3"/>
            <w:shd w:val="clear" w:color="auto" w:fill="E2E2E2"/>
            <w:tcMar>
              <w:top w:w="40" w:type="dxa"/>
              <w:left w:w="20" w:type="dxa"/>
              <w:bottom w:w="40" w:type="dxa"/>
              <w:right w:w="20" w:type="dxa"/>
            </w:tcMar>
            <w:vAlign w:val="bottom"/>
          </w:tcPr>
          <w:p w14:paraId="18601988" w14:textId="77777777" w:rsidR="00A91885" w:rsidRDefault="009C4196">
            <w:pPr>
              <w:textAlignment w:val="bottom"/>
            </w:pPr>
            <w:r>
              <w:rPr>
                <w:rFonts w:ascii="Arial" w:eastAsia="宋体" w:hAnsi="Arial" w:cs="Arial"/>
                <w:color w:val="000000"/>
                <w:sz w:val="18"/>
                <w:szCs w:val="18"/>
              </w:rPr>
              <w:t>Sales and marketing</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1989"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98A" w14:textId="77777777" w:rsidR="00A91885" w:rsidRDefault="009C4196">
            <w:pPr>
              <w:jc w:val="right"/>
              <w:textAlignment w:val="bottom"/>
            </w:pPr>
            <w:r>
              <w:rPr>
                <w:rFonts w:ascii="Arial" w:eastAsia="宋体" w:hAnsi="Arial" w:cs="Arial"/>
                <w:color w:val="000000"/>
                <w:sz w:val="18"/>
                <w:szCs w:val="18"/>
              </w:rPr>
              <w:t>566 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98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8C"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98D"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98E" w14:textId="77777777" w:rsidR="00A91885" w:rsidRDefault="009C4196">
            <w:pPr>
              <w:jc w:val="right"/>
              <w:textAlignment w:val="bottom"/>
            </w:pPr>
            <w:r>
              <w:rPr>
                <w:rFonts w:ascii="Arial" w:eastAsia="宋体" w:hAnsi="Arial" w:cs="Arial"/>
                <w:color w:val="000000"/>
                <w:sz w:val="18"/>
                <w:szCs w:val="18"/>
              </w:rPr>
              <w:t>559 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98F"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90"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1991" w14:textId="77777777" w:rsidR="00A91885" w:rsidRDefault="009C4196">
            <w:pPr>
              <w:jc w:val="right"/>
              <w:textAlignment w:val="bottom"/>
            </w:pPr>
            <w:r>
              <w:rPr>
                <w:rFonts w:ascii="Arial" w:eastAsia="宋体" w:hAnsi="Arial" w:cs="Arial"/>
                <w:color w:val="000000"/>
                <w:sz w:val="18"/>
                <w:szCs w:val="18"/>
              </w:rPr>
              <w:t>1 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992"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993"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99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995" w14:textId="77777777" w:rsidR="00A91885" w:rsidRDefault="009C4196">
            <w:pPr>
              <w:jc w:val="right"/>
              <w:textAlignment w:val="bottom"/>
            </w:pPr>
            <w:r>
              <w:rPr>
                <w:rFonts w:ascii="Arial" w:eastAsia="宋体" w:hAnsi="Arial" w:cs="Arial"/>
                <w:color w:val="000000"/>
                <w:sz w:val="18"/>
                <w:szCs w:val="18"/>
              </w:rPr>
              <w:t>1,044 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99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97"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99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999" w14:textId="77777777" w:rsidR="00A91885" w:rsidRDefault="009C4196">
            <w:pPr>
              <w:jc w:val="right"/>
              <w:textAlignment w:val="bottom"/>
            </w:pPr>
            <w:r>
              <w:rPr>
                <w:rFonts w:ascii="Arial" w:eastAsia="宋体" w:hAnsi="Arial" w:cs="Arial"/>
                <w:color w:val="000000"/>
                <w:sz w:val="18"/>
                <w:szCs w:val="18"/>
              </w:rPr>
              <w:t>1,105 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99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9B"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199C" w14:textId="77777777" w:rsidR="00A91885" w:rsidRDefault="009C4196">
            <w:pPr>
              <w:jc w:val="right"/>
              <w:textAlignment w:val="bottom"/>
            </w:pPr>
            <w:r>
              <w:rPr>
                <w:rFonts w:ascii="Arial" w:eastAsia="宋体" w:hAnsi="Arial" w:cs="Arial"/>
                <w:color w:val="000000"/>
                <w:sz w:val="18"/>
                <w:szCs w:val="18"/>
              </w:rPr>
              <w:t>(6)</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99D" w14:textId="77777777" w:rsidR="00A91885" w:rsidRDefault="009C4196">
            <w:pPr>
              <w:jc w:val="right"/>
              <w:textAlignment w:val="bottom"/>
            </w:pPr>
            <w:r>
              <w:rPr>
                <w:rFonts w:ascii="Arial" w:eastAsia="宋体" w:hAnsi="Arial" w:cs="Arial"/>
                <w:color w:val="000000"/>
                <w:sz w:val="18"/>
                <w:szCs w:val="18"/>
              </w:rPr>
              <w:t>%</w:t>
            </w:r>
          </w:p>
        </w:tc>
      </w:tr>
      <w:tr w:rsidR="00A91885" w14:paraId="186019AF" w14:textId="77777777">
        <w:tc>
          <w:tcPr>
            <w:tcW w:w="0" w:type="auto"/>
            <w:gridSpan w:val="3"/>
            <w:shd w:val="clear" w:color="auto" w:fill="FFFFFF"/>
            <w:tcMar>
              <w:top w:w="40" w:type="dxa"/>
              <w:left w:w="155" w:type="dxa"/>
              <w:bottom w:w="40" w:type="dxa"/>
              <w:right w:w="20" w:type="dxa"/>
            </w:tcMar>
            <w:vAlign w:val="bottom"/>
          </w:tcPr>
          <w:p w14:paraId="1860199F" w14:textId="77777777" w:rsidR="00A91885" w:rsidRDefault="009C4196">
            <w:pPr>
              <w:textAlignment w:val="bottom"/>
            </w:pPr>
            <w:r>
              <w:rPr>
                <w:rFonts w:ascii="Arial" w:eastAsia="宋体" w:hAnsi="Arial" w:cs="Arial"/>
                <w:i/>
                <w:iCs/>
                <w:color w:val="000000"/>
                <w:sz w:val="18"/>
                <w:szCs w:val="18"/>
              </w:rPr>
              <w:t>Perce</w:t>
            </w:r>
            <w:r>
              <w:rPr>
                <w:rFonts w:ascii="Arial" w:eastAsia="宋体" w:hAnsi="Arial" w:cs="Arial"/>
                <w:i/>
                <w:iCs/>
                <w:color w:val="000000"/>
                <w:sz w:val="18"/>
                <w:szCs w:val="18"/>
              </w:rPr>
              <w:t>ntage of net revenues</w:t>
            </w:r>
          </w:p>
        </w:tc>
        <w:tc>
          <w:tcPr>
            <w:tcW w:w="0" w:type="auto"/>
            <w:gridSpan w:val="2"/>
            <w:shd w:val="clear" w:color="auto" w:fill="FFFFFF"/>
            <w:tcMar>
              <w:top w:w="40" w:type="dxa"/>
              <w:left w:w="20" w:type="dxa"/>
              <w:bottom w:w="40" w:type="dxa"/>
              <w:right w:w="0" w:type="dxa"/>
            </w:tcMar>
            <w:vAlign w:val="bottom"/>
          </w:tcPr>
          <w:p w14:paraId="186019A0" w14:textId="77777777" w:rsidR="00A91885" w:rsidRDefault="009C4196">
            <w:pPr>
              <w:jc w:val="right"/>
              <w:textAlignment w:val="bottom"/>
            </w:pPr>
            <w:r>
              <w:rPr>
                <w:rFonts w:ascii="Arial" w:eastAsia="宋体" w:hAnsi="Arial" w:cs="Arial"/>
                <w:i/>
                <w:iCs/>
                <w:color w:val="000000"/>
                <w:sz w:val="18"/>
                <w:szCs w:val="18"/>
              </w:rPr>
              <w:t>23 </w:t>
            </w:r>
          </w:p>
        </w:tc>
        <w:tc>
          <w:tcPr>
            <w:tcW w:w="0" w:type="auto"/>
            <w:shd w:val="clear" w:color="auto" w:fill="FFFFFF"/>
            <w:tcMar>
              <w:top w:w="40" w:type="dxa"/>
              <w:left w:w="0" w:type="dxa"/>
              <w:bottom w:w="40" w:type="dxa"/>
              <w:right w:w="20" w:type="dxa"/>
            </w:tcMar>
            <w:vAlign w:val="bottom"/>
          </w:tcPr>
          <w:p w14:paraId="186019A1"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9A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9A3" w14:textId="77777777" w:rsidR="00A91885" w:rsidRDefault="009C4196">
            <w:pPr>
              <w:jc w:val="right"/>
              <w:textAlignment w:val="bottom"/>
            </w:pPr>
            <w:r>
              <w:rPr>
                <w:rFonts w:ascii="Arial" w:eastAsia="宋体" w:hAnsi="Arial" w:cs="Arial"/>
                <w:i/>
                <w:iCs/>
                <w:color w:val="000000"/>
                <w:sz w:val="18"/>
                <w:szCs w:val="18"/>
              </w:rPr>
              <w:t>21 </w:t>
            </w:r>
          </w:p>
        </w:tc>
        <w:tc>
          <w:tcPr>
            <w:tcW w:w="0" w:type="auto"/>
            <w:shd w:val="clear" w:color="auto" w:fill="FFFFFF"/>
            <w:tcMar>
              <w:top w:w="40" w:type="dxa"/>
              <w:left w:w="0" w:type="dxa"/>
              <w:bottom w:w="40" w:type="dxa"/>
              <w:right w:w="20" w:type="dxa"/>
            </w:tcMar>
            <w:vAlign w:val="bottom"/>
          </w:tcPr>
          <w:p w14:paraId="186019A4"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9A5"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9A6"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9A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9A8" w14:textId="77777777" w:rsidR="00A91885" w:rsidRDefault="009C4196">
            <w:pPr>
              <w:jc w:val="right"/>
              <w:textAlignment w:val="bottom"/>
            </w:pPr>
            <w:r>
              <w:rPr>
                <w:rFonts w:ascii="Arial" w:eastAsia="宋体" w:hAnsi="Arial" w:cs="Arial"/>
                <w:i/>
                <w:iCs/>
                <w:color w:val="000000"/>
                <w:sz w:val="18"/>
                <w:szCs w:val="18"/>
              </w:rPr>
              <w:t>21 </w:t>
            </w:r>
          </w:p>
        </w:tc>
        <w:tc>
          <w:tcPr>
            <w:tcW w:w="0" w:type="auto"/>
            <w:shd w:val="clear" w:color="auto" w:fill="FFFFFF"/>
            <w:tcMar>
              <w:top w:w="40" w:type="dxa"/>
              <w:left w:w="0" w:type="dxa"/>
              <w:bottom w:w="40" w:type="dxa"/>
              <w:right w:w="20" w:type="dxa"/>
            </w:tcMar>
            <w:vAlign w:val="bottom"/>
          </w:tcPr>
          <w:p w14:paraId="186019A9"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9A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9AB" w14:textId="77777777" w:rsidR="00A91885" w:rsidRDefault="009C4196">
            <w:pPr>
              <w:jc w:val="right"/>
              <w:textAlignment w:val="bottom"/>
            </w:pPr>
            <w:r>
              <w:rPr>
                <w:rFonts w:ascii="Arial" w:eastAsia="宋体" w:hAnsi="Arial" w:cs="Arial"/>
                <w:i/>
                <w:iCs/>
                <w:color w:val="000000"/>
                <w:sz w:val="18"/>
                <w:szCs w:val="18"/>
              </w:rPr>
              <w:t>21 </w:t>
            </w:r>
          </w:p>
        </w:tc>
        <w:tc>
          <w:tcPr>
            <w:tcW w:w="0" w:type="auto"/>
            <w:shd w:val="clear" w:color="auto" w:fill="FFFFFF"/>
            <w:tcMar>
              <w:top w:w="40" w:type="dxa"/>
              <w:left w:w="0" w:type="dxa"/>
              <w:bottom w:w="40" w:type="dxa"/>
              <w:right w:w="20" w:type="dxa"/>
            </w:tcMar>
            <w:vAlign w:val="bottom"/>
          </w:tcPr>
          <w:p w14:paraId="186019AC"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9A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9AE" w14:textId="77777777" w:rsidR="00A91885" w:rsidRDefault="00A91885">
            <w:pPr>
              <w:rPr>
                <w:rFonts w:ascii="宋体"/>
              </w:rPr>
            </w:pPr>
          </w:p>
        </w:tc>
      </w:tr>
      <w:tr w:rsidR="00A91885" w14:paraId="186019C2" w14:textId="77777777">
        <w:tc>
          <w:tcPr>
            <w:tcW w:w="0" w:type="auto"/>
            <w:gridSpan w:val="3"/>
            <w:shd w:val="clear" w:color="auto" w:fill="E2E2E2"/>
            <w:tcMar>
              <w:top w:w="40" w:type="dxa"/>
              <w:left w:w="20" w:type="dxa"/>
              <w:bottom w:w="40" w:type="dxa"/>
              <w:right w:w="20" w:type="dxa"/>
            </w:tcMar>
            <w:vAlign w:val="bottom"/>
          </w:tcPr>
          <w:p w14:paraId="186019B0" w14:textId="77777777" w:rsidR="00A91885" w:rsidRDefault="009C4196">
            <w:pPr>
              <w:textAlignment w:val="bottom"/>
            </w:pPr>
            <w:r>
              <w:rPr>
                <w:rFonts w:ascii="Arial" w:eastAsia="宋体" w:hAnsi="Arial" w:cs="Arial"/>
                <w:color w:val="000000"/>
                <w:sz w:val="18"/>
                <w:szCs w:val="18"/>
              </w:rPr>
              <w:t>Product development</w:t>
            </w:r>
          </w:p>
        </w:tc>
        <w:tc>
          <w:tcPr>
            <w:tcW w:w="0" w:type="auto"/>
            <w:gridSpan w:val="2"/>
            <w:shd w:val="clear" w:color="auto" w:fill="E2E2E2"/>
            <w:tcMar>
              <w:top w:w="40" w:type="dxa"/>
              <w:left w:w="20" w:type="dxa"/>
              <w:bottom w:w="40" w:type="dxa"/>
              <w:right w:w="0" w:type="dxa"/>
            </w:tcMar>
            <w:vAlign w:val="bottom"/>
          </w:tcPr>
          <w:p w14:paraId="186019B1" w14:textId="77777777" w:rsidR="00A91885" w:rsidRDefault="009C4196">
            <w:pPr>
              <w:jc w:val="right"/>
              <w:textAlignment w:val="bottom"/>
            </w:pPr>
            <w:r>
              <w:rPr>
                <w:rFonts w:ascii="Arial" w:eastAsia="宋体" w:hAnsi="Arial" w:cs="Arial"/>
                <w:color w:val="000000"/>
                <w:sz w:val="18"/>
                <w:szCs w:val="18"/>
              </w:rPr>
              <w:t>344 </w:t>
            </w:r>
          </w:p>
        </w:tc>
        <w:tc>
          <w:tcPr>
            <w:tcW w:w="0" w:type="auto"/>
            <w:shd w:val="clear" w:color="auto" w:fill="E2E2E2"/>
            <w:tcMar>
              <w:top w:w="40" w:type="dxa"/>
              <w:left w:w="0" w:type="dxa"/>
              <w:bottom w:w="40" w:type="dxa"/>
              <w:right w:w="20" w:type="dxa"/>
            </w:tcMar>
            <w:vAlign w:val="bottom"/>
          </w:tcPr>
          <w:p w14:paraId="186019B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B3"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9B4" w14:textId="77777777" w:rsidR="00A91885" w:rsidRDefault="009C4196">
            <w:pPr>
              <w:jc w:val="right"/>
              <w:textAlignment w:val="bottom"/>
            </w:pPr>
            <w:r>
              <w:rPr>
                <w:rFonts w:ascii="Arial" w:eastAsia="宋体" w:hAnsi="Arial" w:cs="Arial"/>
                <w:color w:val="000000"/>
                <w:sz w:val="18"/>
                <w:szCs w:val="18"/>
              </w:rPr>
              <w:t>350 </w:t>
            </w:r>
          </w:p>
        </w:tc>
        <w:tc>
          <w:tcPr>
            <w:tcW w:w="0" w:type="auto"/>
            <w:shd w:val="clear" w:color="auto" w:fill="E2E2E2"/>
            <w:tcMar>
              <w:top w:w="40" w:type="dxa"/>
              <w:left w:w="0" w:type="dxa"/>
              <w:bottom w:w="40" w:type="dxa"/>
              <w:right w:w="20" w:type="dxa"/>
            </w:tcMar>
            <w:vAlign w:val="bottom"/>
          </w:tcPr>
          <w:p w14:paraId="186019B5"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B6"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9B7"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E2E2E2"/>
            <w:tcMar>
              <w:top w:w="40" w:type="dxa"/>
              <w:left w:w="0" w:type="dxa"/>
              <w:bottom w:w="40" w:type="dxa"/>
              <w:right w:w="20" w:type="dxa"/>
            </w:tcMar>
            <w:vAlign w:val="bottom"/>
          </w:tcPr>
          <w:p w14:paraId="186019B8"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9B9"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9BA" w14:textId="77777777" w:rsidR="00A91885" w:rsidRDefault="009C4196">
            <w:pPr>
              <w:jc w:val="right"/>
              <w:textAlignment w:val="bottom"/>
            </w:pPr>
            <w:r>
              <w:rPr>
                <w:rFonts w:ascii="Arial" w:eastAsia="宋体" w:hAnsi="Arial" w:cs="Arial"/>
                <w:color w:val="000000"/>
                <w:sz w:val="18"/>
                <w:szCs w:val="18"/>
              </w:rPr>
              <w:t>645 </w:t>
            </w:r>
          </w:p>
        </w:tc>
        <w:tc>
          <w:tcPr>
            <w:tcW w:w="0" w:type="auto"/>
            <w:shd w:val="clear" w:color="auto" w:fill="E2E2E2"/>
            <w:tcMar>
              <w:top w:w="40" w:type="dxa"/>
              <w:left w:w="0" w:type="dxa"/>
              <w:bottom w:w="40" w:type="dxa"/>
              <w:right w:w="20" w:type="dxa"/>
            </w:tcMar>
            <w:vAlign w:val="bottom"/>
          </w:tcPr>
          <w:p w14:paraId="186019B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BC"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9BD" w14:textId="77777777" w:rsidR="00A91885" w:rsidRDefault="009C4196">
            <w:pPr>
              <w:jc w:val="right"/>
              <w:textAlignment w:val="bottom"/>
            </w:pPr>
            <w:r>
              <w:rPr>
                <w:rFonts w:ascii="Arial" w:eastAsia="宋体" w:hAnsi="Arial" w:cs="Arial"/>
                <w:color w:val="000000"/>
                <w:sz w:val="18"/>
                <w:szCs w:val="18"/>
              </w:rPr>
              <w:t>654 </w:t>
            </w:r>
          </w:p>
        </w:tc>
        <w:tc>
          <w:tcPr>
            <w:tcW w:w="0" w:type="auto"/>
            <w:shd w:val="clear" w:color="auto" w:fill="E2E2E2"/>
            <w:tcMar>
              <w:top w:w="40" w:type="dxa"/>
              <w:left w:w="0" w:type="dxa"/>
              <w:bottom w:w="40" w:type="dxa"/>
              <w:right w:w="20" w:type="dxa"/>
            </w:tcMar>
            <w:vAlign w:val="bottom"/>
          </w:tcPr>
          <w:p w14:paraId="186019B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BF"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9C0" w14:textId="77777777" w:rsidR="00A91885" w:rsidRDefault="009C4196">
            <w:pPr>
              <w:jc w:val="right"/>
              <w:textAlignment w:val="bottom"/>
            </w:pPr>
            <w:r>
              <w:rPr>
                <w:rFonts w:ascii="Arial" w:eastAsia="宋体" w:hAnsi="Arial" w:cs="Arial"/>
                <w:color w:val="000000"/>
                <w:sz w:val="18"/>
                <w:szCs w:val="18"/>
              </w:rPr>
              <w:t>(1)</w:t>
            </w:r>
          </w:p>
        </w:tc>
        <w:tc>
          <w:tcPr>
            <w:tcW w:w="0" w:type="auto"/>
            <w:shd w:val="clear" w:color="auto" w:fill="E2E2E2"/>
            <w:tcMar>
              <w:top w:w="40" w:type="dxa"/>
              <w:left w:w="0" w:type="dxa"/>
              <w:bottom w:w="40" w:type="dxa"/>
              <w:right w:w="20" w:type="dxa"/>
            </w:tcMar>
            <w:vAlign w:val="bottom"/>
          </w:tcPr>
          <w:p w14:paraId="186019C1" w14:textId="77777777" w:rsidR="00A91885" w:rsidRDefault="009C4196">
            <w:pPr>
              <w:jc w:val="right"/>
              <w:textAlignment w:val="bottom"/>
            </w:pPr>
            <w:r>
              <w:rPr>
                <w:rFonts w:ascii="Arial" w:eastAsia="宋体" w:hAnsi="Arial" w:cs="Arial"/>
                <w:color w:val="000000"/>
                <w:sz w:val="18"/>
                <w:szCs w:val="18"/>
              </w:rPr>
              <w:t>%</w:t>
            </w:r>
          </w:p>
        </w:tc>
      </w:tr>
      <w:tr w:rsidR="00A91885" w14:paraId="186019D3" w14:textId="77777777">
        <w:tc>
          <w:tcPr>
            <w:tcW w:w="0" w:type="auto"/>
            <w:gridSpan w:val="3"/>
            <w:shd w:val="clear" w:color="auto" w:fill="FFFFFF"/>
            <w:tcMar>
              <w:top w:w="40" w:type="dxa"/>
              <w:left w:w="155" w:type="dxa"/>
              <w:bottom w:w="40" w:type="dxa"/>
              <w:right w:w="20" w:type="dxa"/>
            </w:tcMar>
            <w:vAlign w:val="bottom"/>
          </w:tcPr>
          <w:p w14:paraId="186019C3" w14:textId="77777777" w:rsidR="00A91885" w:rsidRDefault="009C4196">
            <w:pPr>
              <w:textAlignment w:val="bottom"/>
            </w:pPr>
            <w:r>
              <w:rPr>
                <w:rFonts w:ascii="Arial" w:eastAsia="宋体" w:hAnsi="Arial" w:cs="Arial"/>
                <w:i/>
                <w:iCs/>
                <w:color w:val="000000"/>
                <w:sz w:val="18"/>
                <w:szCs w:val="18"/>
              </w:rPr>
              <w:t>Percentage of net revenues</w:t>
            </w:r>
          </w:p>
        </w:tc>
        <w:tc>
          <w:tcPr>
            <w:tcW w:w="0" w:type="auto"/>
            <w:gridSpan w:val="2"/>
            <w:shd w:val="clear" w:color="auto" w:fill="FFFFFF"/>
            <w:tcMar>
              <w:top w:w="40" w:type="dxa"/>
              <w:left w:w="20" w:type="dxa"/>
              <w:bottom w:w="40" w:type="dxa"/>
              <w:right w:w="0" w:type="dxa"/>
            </w:tcMar>
            <w:vAlign w:val="bottom"/>
          </w:tcPr>
          <w:p w14:paraId="186019C4" w14:textId="77777777" w:rsidR="00A91885" w:rsidRDefault="009C4196">
            <w:pPr>
              <w:jc w:val="right"/>
              <w:textAlignment w:val="bottom"/>
            </w:pPr>
            <w:r>
              <w:rPr>
                <w:rFonts w:ascii="Arial" w:eastAsia="宋体" w:hAnsi="Arial" w:cs="Arial"/>
                <w:i/>
                <w:iCs/>
                <w:color w:val="000000"/>
                <w:sz w:val="18"/>
                <w:szCs w:val="18"/>
              </w:rPr>
              <w:t>14 </w:t>
            </w:r>
          </w:p>
        </w:tc>
        <w:tc>
          <w:tcPr>
            <w:tcW w:w="0" w:type="auto"/>
            <w:shd w:val="clear" w:color="auto" w:fill="FFFFFF"/>
            <w:tcMar>
              <w:top w:w="40" w:type="dxa"/>
              <w:left w:w="0" w:type="dxa"/>
              <w:bottom w:w="40" w:type="dxa"/>
              <w:right w:w="20" w:type="dxa"/>
            </w:tcMar>
            <w:vAlign w:val="bottom"/>
          </w:tcPr>
          <w:p w14:paraId="186019C5"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9C6"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9C7" w14:textId="77777777" w:rsidR="00A91885" w:rsidRDefault="009C4196">
            <w:pPr>
              <w:jc w:val="right"/>
              <w:textAlignment w:val="bottom"/>
            </w:pPr>
            <w:r>
              <w:rPr>
                <w:rFonts w:ascii="Arial" w:eastAsia="宋体" w:hAnsi="Arial" w:cs="Arial"/>
                <w:i/>
                <w:iCs/>
                <w:color w:val="000000"/>
                <w:sz w:val="18"/>
                <w:szCs w:val="18"/>
              </w:rPr>
              <w:t>13 </w:t>
            </w:r>
          </w:p>
        </w:tc>
        <w:tc>
          <w:tcPr>
            <w:tcW w:w="0" w:type="auto"/>
            <w:shd w:val="clear" w:color="auto" w:fill="FFFFFF"/>
            <w:tcMar>
              <w:top w:w="40" w:type="dxa"/>
              <w:left w:w="0" w:type="dxa"/>
              <w:bottom w:w="40" w:type="dxa"/>
              <w:right w:w="20" w:type="dxa"/>
            </w:tcMar>
            <w:vAlign w:val="bottom"/>
          </w:tcPr>
          <w:p w14:paraId="186019C8"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9C9"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9C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9C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9CC" w14:textId="77777777" w:rsidR="00A91885" w:rsidRDefault="009C4196">
            <w:pPr>
              <w:jc w:val="right"/>
              <w:textAlignment w:val="bottom"/>
            </w:pPr>
            <w:r>
              <w:rPr>
                <w:rFonts w:ascii="Arial" w:eastAsia="宋体" w:hAnsi="Arial" w:cs="Arial"/>
                <w:i/>
                <w:iCs/>
                <w:color w:val="000000"/>
                <w:sz w:val="18"/>
                <w:szCs w:val="18"/>
              </w:rPr>
              <w:t>13 </w:t>
            </w:r>
          </w:p>
        </w:tc>
        <w:tc>
          <w:tcPr>
            <w:tcW w:w="0" w:type="auto"/>
            <w:shd w:val="clear" w:color="auto" w:fill="FFFFFF"/>
            <w:tcMar>
              <w:top w:w="40" w:type="dxa"/>
              <w:left w:w="0" w:type="dxa"/>
              <w:bottom w:w="40" w:type="dxa"/>
              <w:right w:w="20" w:type="dxa"/>
            </w:tcMar>
            <w:vAlign w:val="bottom"/>
          </w:tcPr>
          <w:p w14:paraId="186019CD"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9C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9CF" w14:textId="77777777" w:rsidR="00A91885" w:rsidRDefault="009C4196">
            <w:pPr>
              <w:jc w:val="right"/>
              <w:textAlignment w:val="bottom"/>
            </w:pPr>
            <w:r>
              <w:rPr>
                <w:rFonts w:ascii="Arial" w:eastAsia="宋体" w:hAnsi="Arial" w:cs="Arial"/>
                <w:i/>
                <w:iCs/>
                <w:color w:val="000000"/>
                <w:sz w:val="18"/>
                <w:szCs w:val="18"/>
              </w:rPr>
              <w:t>12 </w:t>
            </w:r>
          </w:p>
        </w:tc>
        <w:tc>
          <w:tcPr>
            <w:tcW w:w="0" w:type="auto"/>
            <w:shd w:val="clear" w:color="auto" w:fill="FFFFFF"/>
            <w:tcMar>
              <w:top w:w="40" w:type="dxa"/>
              <w:left w:w="0" w:type="dxa"/>
              <w:bottom w:w="40" w:type="dxa"/>
              <w:right w:w="20" w:type="dxa"/>
            </w:tcMar>
            <w:vAlign w:val="bottom"/>
          </w:tcPr>
          <w:p w14:paraId="186019D0"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9D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9D2" w14:textId="77777777" w:rsidR="00A91885" w:rsidRDefault="00A91885">
            <w:pPr>
              <w:rPr>
                <w:rFonts w:ascii="宋体"/>
              </w:rPr>
            </w:pPr>
          </w:p>
        </w:tc>
      </w:tr>
      <w:tr w:rsidR="00A91885" w14:paraId="186019E6" w14:textId="77777777">
        <w:tc>
          <w:tcPr>
            <w:tcW w:w="0" w:type="auto"/>
            <w:gridSpan w:val="3"/>
            <w:shd w:val="clear" w:color="auto" w:fill="E2E2E2"/>
            <w:tcMar>
              <w:top w:w="40" w:type="dxa"/>
              <w:left w:w="20" w:type="dxa"/>
              <w:bottom w:w="40" w:type="dxa"/>
              <w:right w:w="20" w:type="dxa"/>
            </w:tcMar>
            <w:vAlign w:val="bottom"/>
          </w:tcPr>
          <w:p w14:paraId="186019D4" w14:textId="77777777" w:rsidR="00A91885" w:rsidRDefault="009C4196">
            <w:pPr>
              <w:textAlignment w:val="bottom"/>
            </w:pPr>
            <w:r>
              <w:rPr>
                <w:rFonts w:ascii="Arial" w:eastAsia="宋体" w:hAnsi="Arial" w:cs="Arial"/>
                <w:color w:val="000000"/>
                <w:sz w:val="18"/>
                <w:szCs w:val="18"/>
              </w:rPr>
              <w:t>General and administrative</w:t>
            </w:r>
          </w:p>
        </w:tc>
        <w:tc>
          <w:tcPr>
            <w:tcW w:w="0" w:type="auto"/>
            <w:gridSpan w:val="2"/>
            <w:shd w:val="clear" w:color="auto" w:fill="E2E2E2"/>
            <w:tcMar>
              <w:top w:w="40" w:type="dxa"/>
              <w:left w:w="20" w:type="dxa"/>
              <w:bottom w:w="40" w:type="dxa"/>
              <w:right w:w="0" w:type="dxa"/>
            </w:tcMar>
            <w:vAlign w:val="bottom"/>
          </w:tcPr>
          <w:p w14:paraId="186019D5" w14:textId="77777777" w:rsidR="00A91885" w:rsidRDefault="009C4196">
            <w:pPr>
              <w:jc w:val="right"/>
              <w:textAlignment w:val="bottom"/>
            </w:pPr>
            <w:r>
              <w:rPr>
                <w:rFonts w:ascii="Arial" w:eastAsia="宋体" w:hAnsi="Arial" w:cs="Arial"/>
                <w:color w:val="000000"/>
                <w:sz w:val="18"/>
                <w:szCs w:val="18"/>
              </w:rPr>
              <w:t>237 </w:t>
            </w:r>
          </w:p>
        </w:tc>
        <w:tc>
          <w:tcPr>
            <w:tcW w:w="0" w:type="auto"/>
            <w:shd w:val="clear" w:color="auto" w:fill="E2E2E2"/>
            <w:tcMar>
              <w:top w:w="40" w:type="dxa"/>
              <w:left w:w="0" w:type="dxa"/>
              <w:bottom w:w="40" w:type="dxa"/>
              <w:right w:w="20" w:type="dxa"/>
            </w:tcMar>
            <w:vAlign w:val="bottom"/>
          </w:tcPr>
          <w:p w14:paraId="186019D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D7"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9D8" w14:textId="77777777" w:rsidR="00A91885" w:rsidRDefault="009C4196">
            <w:pPr>
              <w:jc w:val="right"/>
              <w:textAlignment w:val="bottom"/>
            </w:pPr>
            <w:r>
              <w:rPr>
                <w:rFonts w:ascii="Arial" w:eastAsia="宋体" w:hAnsi="Arial" w:cs="Arial"/>
                <w:color w:val="000000"/>
                <w:sz w:val="18"/>
                <w:szCs w:val="18"/>
              </w:rPr>
              <w:t>250 </w:t>
            </w:r>
          </w:p>
        </w:tc>
        <w:tc>
          <w:tcPr>
            <w:tcW w:w="0" w:type="auto"/>
            <w:shd w:val="clear" w:color="auto" w:fill="E2E2E2"/>
            <w:tcMar>
              <w:top w:w="40" w:type="dxa"/>
              <w:left w:w="0" w:type="dxa"/>
              <w:bottom w:w="40" w:type="dxa"/>
              <w:right w:w="20" w:type="dxa"/>
            </w:tcMar>
            <w:vAlign w:val="bottom"/>
          </w:tcPr>
          <w:p w14:paraId="186019D9"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DA"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9DB" w14:textId="77777777" w:rsidR="00A91885" w:rsidRDefault="009C4196">
            <w:pPr>
              <w:jc w:val="right"/>
              <w:textAlignment w:val="bottom"/>
            </w:pPr>
            <w:r>
              <w:rPr>
                <w:rFonts w:ascii="Arial" w:eastAsia="宋体" w:hAnsi="Arial" w:cs="Arial"/>
                <w:color w:val="000000"/>
                <w:sz w:val="18"/>
                <w:szCs w:val="18"/>
              </w:rPr>
              <w:t>(5)</w:t>
            </w:r>
          </w:p>
        </w:tc>
        <w:tc>
          <w:tcPr>
            <w:tcW w:w="0" w:type="auto"/>
            <w:shd w:val="clear" w:color="auto" w:fill="E2E2E2"/>
            <w:tcMar>
              <w:top w:w="40" w:type="dxa"/>
              <w:left w:w="0" w:type="dxa"/>
              <w:bottom w:w="40" w:type="dxa"/>
              <w:right w:w="20" w:type="dxa"/>
            </w:tcMar>
            <w:vAlign w:val="bottom"/>
          </w:tcPr>
          <w:p w14:paraId="186019DC"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9DD"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9DE" w14:textId="77777777" w:rsidR="00A91885" w:rsidRDefault="009C4196">
            <w:pPr>
              <w:jc w:val="right"/>
              <w:textAlignment w:val="bottom"/>
            </w:pPr>
            <w:r>
              <w:rPr>
                <w:rFonts w:ascii="Arial" w:eastAsia="宋体" w:hAnsi="Arial" w:cs="Arial"/>
                <w:color w:val="000000"/>
                <w:sz w:val="18"/>
                <w:szCs w:val="18"/>
              </w:rPr>
              <w:t>463 </w:t>
            </w:r>
          </w:p>
        </w:tc>
        <w:tc>
          <w:tcPr>
            <w:tcW w:w="0" w:type="auto"/>
            <w:shd w:val="clear" w:color="auto" w:fill="E2E2E2"/>
            <w:tcMar>
              <w:top w:w="40" w:type="dxa"/>
              <w:left w:w="0" w:type="dxa"/>
              <w:bottom w:w="40" w:type="dxa"/>
              <w:right w:w="20" w:type="dxa"/>
            </w:tcMar>
            <w:vAlign w:val="bottom"/>
          </w:tcPr>
          <w:p w14:paraId="186019DF"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E0"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9E1" w14:textId="77777777" w:rsidR="00A91885" w:rsidRDefault="009C4196">
            <w:pPr>
              <w:jc w:val="right"/>
              <w:textAlignment w:val="bottom"/>
            </w:pPr>
            <w:r>
              <w:rPr>
                <w:rFonts w:ascii="Arial" w:eastAsia="宋体" w:hAnsi="Arial" w:cs="Arial"/>
                <w:color w:val="000000"/>
                <w:sz w:val="18"/>
                <w:szCs w:val="18"/>
              </w:rPr>
              <w:t>496 </w:t>
            </w:r>
          </w:p>
        </w:tc>
        <w:tc>
          <w:tcPr>
            <w:tcW w:w="0" w:type="auto"/>
            <w:shd w:val="clear" w:color="auto" w:fill="E2E2E2"/>
            <w:tcMar>
              <w:top w:w="40" w:type="dxa"/>
              <w:left w:w="0" w:type="dxa"/>
              <w:bottom w:w="40" w:type="dxa"/>
              <w:right w:w="20" w:type="dxa"/>
            </w:tcMar>
            <w:vAlign w:val="bottom"/>
          </w:tcPr>
          <w:p w14:paraId="186019E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E3"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9E4" w14:textId="77777777" w:rsidR="00A91885" w:rsidRDefault="009C4196">
            <w:pPr>
              <w:jc w:val="right"/>
              <w:textAlignment w:val="bottom"/>
            </w:pPr>
            <w:r>
              <w:rPr>
                <w:rFonts w:ascii="Arial" w:eastAsia="宋体" w:hAnsi="Arial" w:cs="Arial"/>
                <w:color w:val="000000"/>
                <w:sz w:val="18"/>
                <w:szCs w:val="18"/>
              </w:rPr>
              <w:t>(7)</w:t>
            </w:r>
          </w:p>
        </w:tc>
        <w:tc>
          <w:tcPr>
            <w:tcW w:w="0" w:type="auto"/>
            <w:shd w:val="clear" w:color="auto" w:fill="E2E2E2"/>
            <w:tcMar>
              <w:top w:w="40" w:type="dxa"/>
              <w:left w:w="0" w:type="dxa"/>
              <w:bottom w:w="40" w:type="dxa"/>
              <w:right w:w="20" w:type="dxa"/>
            </w:tcMar>
            <w:vAlign w:val="bottom"/>
          </w:tcPr>
          <w:p w14:paraId="186019E5" w14:textId="77777777" w:rsidR="00A91885" w:rsidRDefault="009C4196">
            <w:pPr>
              <w:jc w:val="right"/>
              <w:textAlignment w:val="bottom"/>
            </w:pPr>
            <w:r>
              <w:rPr>
                <w:rFonts w:ascii="Arial" w:eastAsia="宋体" w:hAnsi="Arial" w:cs="Arial"/>
                <w:color w:val="000000"/>
                <w:sz w:val="18"/>
                <w:szCs w:val="18"/>
              </w:rPr>
              <w:t>%</w:t>
            </w:r>
          </w:p>
        </w:tc>
      </w:tr>
      <w:tr w:rsidR="00A91885" w14:paraId="186019F7" w14:textId="77777777">
        <w:tc>
          <w:tcPr>
            <w:tcW w:w="0" w:type="auto"/>
            <w:gridSpan w:val="3"/>
            <w:shd w:val="clear" w:color="auto" w:fill="FFFFFF"/>
            <w:tcMar>
              <w:top w:w="40" w:type="dxa"/>
              <w:left w:w="155" w:type="dxa"/>
              <w:bottom w:w="40" w:type="dxa"/>
              <w:right w:w="20" w:type="dxa"/>
            </w:tcMar>
            <w:vAlign w:val="bottom"/>
          </w:tcPr>
          <w:p w14:paraId="186019E7" w14:textId="77777777" w:rsidR="00A91885" w:rsidRDefault="009C4196">
            <w:pPr>
              <w:textAlignment w:val="bottom"/>
            </w:pPr>
            <w:r>
              <w:rPr>
                <w:rFonts w:ascii="Arial" w:eastAsia="宋体" w:hAnsi="Arial" w:cs="Arial"/>
                <w:i/>
                <w:iCs/>
                <w:color w:val="000000"/>
                <w:sz w:val="18"/>
                <w:szCs w:val="18"/>
              </w:rPr>
              <w:t>Percentage of net revenues</w:t>
            </w:r>
          </w:p>
        </w:tc>
        <w:tc>
          <w:tcPr>
            <w:tcW w:w="0" w:type="auto"/>
            <w:gridSpan w:val="2"/>
            <w:shd w:val="clear" w:color="auto" w:fill="FFFFFF"/>
            <w:tcMar>
              <w:top w:w="40" w:type="dxa"/>
              <w:left w:w="20" w:type="dxa"/>
              <w:bottom w:w="40" w:type="dxa"/>
              <w:right w:w="0" w:type="dxa"/>
            </w:tcMar>
            <w:vAlign w:val="bottom"/>
          </w:tcPr>
          <w:p w14:paraId="186019E8" w14:textId="77777777" w:rsidR="00A91885" w:rsidRDefault="009C4196">
            <w:pPr>
              <w:jc w:val="right"/>
              <w:textAlignment w:val="bottom"/>
            </w:pPr>
            <w:r>
              <w:rPr>
                <w:rFonts w:ascii="Arial" w:eastAsia="宋体" w:hAnsi="Arial" w:cs="Arial"/>
                <w:i/>
                <w:iCs/>
                <w:color w:val="000000"/>
                <w:sz w:val="18"/>
                <w:szCs w:val="18"/>
              </w:rPr>
              <w:t>10 </w:t>
            </w:r>
          </w:p>
        </w:tc>
        <w:tc>
          <w:tcPr>
            <w:tcW w:w="0" w:type="auto"/>
            <w:shd w:val="clear" w:color="auto" w:fill="FFFFFF"/>
            <w:tcMar>
              <w:top w:w="40" w:type="dxa"/>
              <w:left w:w="0" w:type="dxa"/>
              <w:bottom w:w="40" w:type="dxa"/>
              <w:right w:w="20" w:type="dxa"/>
            </w:tcMar>
            <w:vAlign w:val="bottom"/>
          </w:tcPr>
          <w:p w14:paraId="186019E9"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9E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9EB" w14:textId="77777777" w:rsidR="00A91885" w:rsidRDefault="009C4196">
            <w:pPr>
              <w:jc w:val="right"/>
              <w:textAlignment w:val="bottom"/>
            </w:pPr>
            <w:r>
              <w:rPr>
                <w:rFonts w:ascii="Arial" w:eastAsia="宋体" w:hAnsi="Arial" w:cs="Arial"/>
                <w:i/>
                <w:iCs/>
                <w:color w:val="000000"/>
                <w:sz w:val="18"/>
                <w:szCs w:val="18"/>
              </w:rPr>
              <w:t>9 </w:t>
            </w:r>
          </w:p>
        </w:tc>
        <w:tc>
          <w:tcPr>
            <w:tcW w:w="0" w:type="auto"/>
            <w:shd w:val="clear" w:color="auto" w:fill="FFFFFF"/>
            <w:tcMar>
              <w:top w:w="40" w:type="dxa"/>
              <w:left w:w="0" w:type="dxa"/>
              <w:bottom w:w="40" w:type="dxa"/>
              <w:right w:w="20" w:type="dxa"/>
            </w:tcMar>
            <w:vAlign w:val="bottom"/>
          </w:tcPr>
          <w:p w14:paraId="186019EC"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9E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9E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9E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9F0" w14:textId="77777777" w:rsidR="00A91885" w:rsidRDefault="009C4196">
            <w:pPr>
              <w:jc w:val="right"/>
              <w:textAlignment w:val="bottom"/>
            </w:pPr>
            <w:r>
              <w:rPr>
                <w:rFonts w:ascii="Arial" w:eastAsia="宋体" w:hAnsi="Arial" w:cs="Arial"/>
                <w:i/>
                <w:iCs/>
                <w:color w:val="000000"/>
                <w:sz w:val="18"/>
                <w:szCs w:val="18"/>
              </w:rPr>
              <w:t>9 </w:t>
            </w:r>
          </w:p>
        </w:tc>
        <w:tc>
          <w:tcPr>
            <w:tcW w:w="0" w:type="auto"/>
            <w:shd w:val="clear" w:color="auto" w:fill="FFFFFF"/>
            <w:tcMar>
              <w:top w:w="40" w:type="dxa"/>
              <w:left w:w="0" w:type="dxa"/>
              <w:bottom w:w="40" w:type="dxa"/>
              <w:right w:w="20" w:type="dxa"/>
            </w:tcMar>
            <w:vAlign w:val="bottom"/>
          </w:tcPr>
          <w:p w14:paraId="186019F1"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9F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9F3" w14:textId="77777777" w:rsidR="00A91885" w:rsidRDefault="009C4196">
            <w:pPr>
              <w:jc w:val="right"/>
              <w:textAlignment w:val="bottom"/>
            </w:pPr>
            <w:r>
              <w:rPr>
                <w:rFonts w:ascii="Arial" w:eastAsia="宋体" w:hAnsi="Arial" w:cs="Arial"/>
                <w:i/>
                <w:iCs/>
                <w:color w:val="000000"/>
                <w:sz w:val="18"/>
                <w:szCs w:val="18"/>
              </w:rPr>
              <w:t>9 </w:t>
            </w:r>
          </w:p>
        </w:tc>
        <w:tc>
          <w:tcPr>
            <w:tcW w:w="0" w:type="auto"/>
            <w:shd w:val="clear" w:color="auto" w:fill="FFFFFF"/>
            <w:tcMar>
              <w:top w:w="40" w:type="dxa"/>
              <w:left w:w="0" w:type="dxa"/>
              <w:bottom w:w="40" w:type="dxa"/>
              <w:right w:w="20" w:type="dxa"/>
            </w:tcMar>
            <w:vAlign w:val="bottom"/>
          </w:tcPr>
          <w:p w14:paraId="186019F4"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9F5"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9F6" w14:textId="77777777" w:rsidR="00A91885" w:rsidRDefault="00A91885">
            <w:pPr>
              <w:rPr>
                <w:rFonts w:ascii="宋体"/>
              </w:rPr>
            </w:pPr>
          </w:p>
        </w:tc>
      </w:tr>
      <w:tr w:rsidR="00A91885" w14:paraId="18601A0A" w14:textId="77777777">
        <w:tc>
          <w:tcPr>
            <w:tcW w:w="0" w:type="auto"/>
            <w:gridSpan w:val="3"/>
            <w:shd w:val="clear" w:color="auto" w:fill="E2E2E2"/>
            <w:tcMar>
              <w:top w:w="40" w:type="dxa"/>
              <w:left w:w="20" w:type="dxa"/>
              <w:bottom w:w="40" w:type="dxa"/>
              <w:right w:w="20" w:type="dxa"/>
            </w:tcMar>
            <w:vAlign w:val="bottom"/>
          </w:tcPr>
          <w:p w14:paraId="186019F8" w14:textId="77777777" w:rsidR="00A91885" w:rsidRDefault="009C4196">
            <w:pPr>
              <w:textAlignment w:val="bottom"/>
            </w:pPr>
            <w:r>
              <w:rPr>
                <w:rFonts w:ascii="Arial" w:eastAsia="宋体" w:hAnsi="Arial" w:cs="Arial"/>
                <w:color w:val="000000"/>
                <w:sz w:val="18"/>
                <w:szCs w:val="18"/>
              </w:rPr>
              <w:t>Provision for transaction losses</w:t>
            </w:r>
          </w:p>
        </w:tc>
        <w:tc>
          <w:tcPr>
            <w:tcW w:w="0" w:type="auto"/>
            <w:gridSpan w:val="2"/>
            <w:shd w:val="clear" w:color="auto" w:fill="E2E2E2"/>
            <w:tcMar>
              <w:top w:w="40" w:type="dxa"/>
              <w:left w:w="20" w:type="dxa"/>
              <w:bottom w:w="40" w:type="dxa"/>
              <w:right w:w="0" w:type="dxa"/>
            </w:tcMar>
            <w:vAlign w:val="bottom"/>
          </w:tcPr>
          <w:p w14:paraId="186019F9" w14:textId="77777777" w:rsidR="00A91885" w:rsidRDefault="009C4196">
            <w:pPr>
              <w:jc w:val="right"/>
              <w:textAlignment w:val="bottom"/>
            </w:pPr>
            <w:r>
              <w:rPr>
                <w:rFonts w:ascii="Arial" w:eastAsia="宋体" w:hAnsi="Arial" w:cs="Arial"/>
                <w:color w:val="000000"/>
                <w:sz w:val="18"/>
                <w:szCs w:val="18"/>
              </w:rPr>
              <w:t>86 </w:t>
            </w:r>
          </w:p>
        </w:tc>
        <w:tc>
          <w:tcPr>
            <w:tcW w:w="0" w:type="auto"/>
            <w:shd w:val="clear" w:color="auto" w:fill="E2E2E2"/>
            <w:tcMar>
              <w:top w:w="40" w:type="dxa"/>
              <w:left w:w="0" w:type="dxa"/>
              <w:bottom w:w="40" w:type="dxa"/>
              <w:right w:w="20" w:type="dxa"/>
            </w:tcMar>
            <w:vAlign w:val="bottom"/>
          </w:tcPr>
          <w:p w14:paraId="186019F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F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9FC" w14:textId="77777777" w:rsidR="00A91885" w:rsidRDefault="009C4196">
            <w:pPr>
              <w:jc w:val="right"/>
              <w:textAlignment w:val="bottom"/>
            </w:pPr>
            <w:r>
              <w:rPr>
                <w:rFonts w:ascii="Arial" w:eastAsia="宋体" w:hAnsi="Arial" w:cs="Arial"/>
                <w:color w:val="000000"/>
                <w:sz w:val="18"/>
                <w:szCs w:val="18"/>
              </w:rPr>
              <w:t>103 </w:t>
            </w:r>
          </w:p>
        </w:tc>
        <w:tc>
          <w:tcPr>
            <w:tcW w:w="0" w:type="auto"/>
            <w:shd w:val="clear" w:color="auto" w:fill="E2E2E2"/>
            <w:tcMar>
              <w:top w:w="40" w:type="dxa"/>
              <w:left w:w="0" w:type="dxa"/>
              <w:bottom w:w="40" w:type="dxa"/>
              <w:right w:w="20" w:type="dxa"/>
            </w:tcMar>
            <w:vAlign w:val="bottom"/>
          </w:tcPr>
          <w:p w14:paraId="186019F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9F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9FF" w14:textId="77777777" w:rsidR="00A91885" w:rsidRDefault="009C4196">
            <w:pPr>
              <w:jc w:val="right"/>
              <w:textAlignment w:val="bottom"/>
            </w:pPr>
            <w:r>
              <w:rPr>
                <w:rFonts w:ascii="Arial" w:eastAsia="宋体" w:hAnsi="Arial" w:cs="Arial"/>
                <w:color w:val="000000"/>
                <w:sz w:val="18"/>
                <w:szCs w:val="18"/>
              </w:rPr>
              <w:t>(17)</w:t>
            </w:r>
          </w:p>
        </w:tc>
        <w:tc>
          <w:tcPr>
            <w:tcW w:w="0" w:type="auto"/>
            <w:shd w:val="clear" w:color="auto" w:fill="E2E2E2"/>
            <w:tcMar>
              <w:top w:w="40" w:type="dxa"/>
              <w:left w:w="0" w:type="dxa"/>
              <w:bottom w:w="40" w:type="dxa"/>
              <w:right w:w="20" w:type="dxa"/>
            </w:tcMar>
            <w:vAlign w:val="bottom"/>
          </w:tcPr>
          <w:p w14:paraId="18601A00"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A0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A02" w14:textId="77777777" w:rsidR="00A91885" w:rsidRDefault="009C4196">
            <w:pPr>
              <w:jc w:val="right"/>
              <w:textAlignment w:val="bottom"/>
            </w:pPr>
            <w:r>
              <w:rPr>
                <w:rFonts w:ascii="Arial" w:eastAsia="宋体" w:hAnsi="Arial" w:cs="Arial"/>
                <w:color w:val="000000"/>
                <w:sz w:val="18"/>
                <w:szCs w:val="18"/>
              </w:rPr>
              <w:t>182 </w:t>
            </w:r>
          </w:p>
        </w:tc>
        <w:tc>
          <w:tcPr>
            <w:tcW w:w="0" w:type="auto"/>
            <w:shd w:val="clear" w:color="auto" w:fill="E2E2E2"/>
            <w:tcMar>
              <w:top w:w="40" w:type="dxa"/>
              <w:left w:w="0" w:type="dxa"/>
              <w:bottom w:w="40" w:type="dxa"/>
              <w:right w:w="20" w:type="dxa"/>
            </w:tcMar>
            <w:vAlign w:val="bottom"/>
          </w:tcPr>
          <w:p w14:paraId="18601A0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A04"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A05" w14:textId="77777777" w:rsidR="00A91885" w:rsidRDefault="009C4196">
            <w:pPr>
              <w:jc w:val="right"/>
              <w:textAlignment w:val="bottom"/>
            </w:pPr>
            <w:r>
              <w:rPr>
                <w:rFonts w:ascii="Arial" w:eastAsia="宋体" w:hAnsi="Arial" w:cs="Arial"/>
                <w:color w:val="000000"/>
                <w:sz w:val="18"/>
                <w:szCs w:val="18"/>
              </w:rPr>
              <w:t>191 </w:t>
            </w:r>
          </w:p>
        </w:tc>
        <w:tc>
          <w:tcPr>
            <w:tcW w:w="0" w:type="auto"/>
            <w:shd w:val="clear" w:color="auto" w:fill="E2E2E2"/>
            <w:tcMar>
              <w:top w:w="40" w:type="dxa"/>
              <w:left w:w="0" w:type="dxa"/>
              <w:bottom w:w="40" w:type="dxa"/>
              <w:right w:w="20" w:type="dxa"/>
            </w:tcMar>
            <w:vAlign w:val="bottom"/>
          </w:tcPr>
          <w:p w14:paraId="18601A0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A07"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A08" w14:textId="77777777" w:rsidR="00A91885" w:rsidRDefault="009C4196">
            <w:pPr>
              <w:jc w:val="right"/>
              <w:textAlignment w:val="bottom"/>
            </w:pPr>
            <w:r>
              <w:rPr>
                <w:rFonts w:ascii="Arial" w:eastAsia="宋体" w:hAnsi="Arial" w:cs="Arial"/>
                <w:color w:val="000000"/>
                <w:sz w:val="18"/>
                <w:szCs w:val="18"/>
              </w:rPr>
              <w:t>(5)</w:t>
            </w:r>
          </w:p>
        </w:tc>
        <w:tc>
          <w:tcPr>
            <w:tcW w:w="0" w:type="auto"/>
            <w:shd w:val="clear" w:color="auto" w:fill="E2E2E2"/>
            <w:tcMar>
              <w:top w:w="40" w:type="dxa"/>
              <w:left w:w="0" w:type="dxa"/>
              <w:bottom w:w="40" w:type="dxa"/>
              <w:right w:w="20" w:type="dxa"/>
            </w:tcMar>
            <w:vAlign w:val="bottom"/>
          </w:tcPr>
          <w:p w14:paraId="18601A09" w14:textId="77777777" w:rsidR="00A91885" w:rsidRDefault="009C4196">
            <w:pPr>
              <w:jc w:val="right"/>
              <w:textAlignment w:val="bottom"/>
            </w:pPr>
            <w:r>
              <w:rPr>
                <w:rFonts w:ascii="Arial" w:eastAsia="宋体" w:hAnsi="Arial" w:cs="Arial"/>
                <w:color w:val="000000"/>
                <w:sz w:val="18"/>
                <w:szCs w:val="18"/>
              </w:rPr>
              <w:t>%</w:t>
            </w:r>
          </w:p>
        </w:tc>
      </w:tr>
      <w:tr w:rsidR="00A91885" w14:paraId="18601A1B" w14:textId="77777777">
        <w:tc>
          <w:tcPr>
            <w:tcW w:w="0" w:type="auto"/>
            <w:gridSpan w:val="3"/>
            <w:shd w:val="clear" w:color="auto" w:fill="FFFFFF"/>
            <w:tcMar>
              <w:top w:w="40" w:type="dxa"/>
              <w:left w:w="155" w:type="dxa"/>
              <w:bottom w:w="40" w:type="dxa"/>
              <w:right w:w="20" w:type="dxa"/>
            </w:tcMar>
            <w:vAlign w:val="bottom"/>
          </w:tcPr>
          <w:p w14:paraId="18601A0B" w14:textId="77777777" w:rsidR="00A91885" w:rsidRDefault="009C4196">
            <w:pPr>
              <w:textAlignment w:val="bottom"/>
            </w:pPr>
            <w:r>
              <w:rPr>
                <w:rFonts w:ascii="Arial" w:eastAsia="宋体" w:hAnsi="Arial" w:cs="Arial"/>
                <w:i/>
                <w:iCs/>
                <w:color w:val="000000"/>
                <w:sz w:val="18"/>
                <w:szCs w:val="18"/>
              </w:rPr>
              <w:t>Percentage of net revenues</w:t>
            </w:r>
          </w:p>
        </w:tc>
        <w:tc>
          <w:tcPr>
            <w:tcW w:w="0" w:type="auto"/>
            <w:gridSpan w:val="2"/>
            <w:shd w:val="clear" w:color="auto" w:fill="FFFFFF"/>
            <w:tcMar>
              <w:top w:w="40" w:type="dxa"/>
              <w:left w:w="20" w:type="dxa"/>
              <w:bottom w:w="40" w:type="dxa"/>
              <w:right w:w="0" w:type="dxa"/>
            </w:tcMar>
            <w:vAlign w:val="bottom"/>
          </w:tcPr>
          <w:p w14:paraId="18601A0C" w14:textId="77777777" w:rsidR="00A91885" w:rsidRDefault="009C4196">
            <w:pPr>
              <w:jc w:val="right"/>
              <w:textAlignment w:val="bottom"/>
            </w:pPr>
            <w:r>
              <w:rPr>
                <w:rFonts w:ascii="Arial" w:eastAsia="宋体" w:hAnsi="Arial" w:cs="Arial"/>
                <w:i/>
                <w:iCs/>
                <w:color w:val="000000"/>
                <w:sz w:val="18"/>
                <w:szCs w:val="18"/>
              </w:rPr>
              <w:t>4 </w:t>
            </w:r>
          </w:p>
        </w:tc>
        <w:tc>
          <w:tcPr>
            <w:tcW w:w="0" w:type="auto"/>
            <w:shd w:val="clear" w:color="auto" w:fill="FFFFFF"/>
            <w:tcMar>
              <w:top w:w="40" w:type="dxa"/>
              <w:left w:w="0" w:type="dxa"/>
              <w:bottom w:w="40" w:type="dxa"/>
              <w:right w:w="20" w:type="dxa"/>
            </w:tcMar>
            <w:vAlign w:val="bottom"/>
          </w:tcPr>
          <w:p w14:paraId="18601A0D"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A0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A0F" w14:textId="77777777" w:rsidR="00A91885" w:rsidRDefault="009C4196">
            <w:pPr>
              <w:jc w:val="right"/>
              <w:textAlignment w:val="bottom"/>
            </w:pPr>
            <w:r>
              <w:rPr>
                <w:rFonts w:ascii="Arial" w:eastAsia="宋体" w:hAnsi="Arial" w:cs="Arial"/>
                <w:i/>
                <w:iCs/>
                <w:color w:val="000000"/>
                <w:sz w:val="18"/>
                <w:szCs w:val="18"/>
              </w:rPr>
              <w:t>4 </w:t>
            </w:r>
          </w:p>
        </w:tc>
        <w:tc>
          <w:tcPr>
            <w:tcW w:w="0" w:type="auto"/>
            <w:shd w:val="clear" w:color="auto" w:fill="FFFFFF"/>
            <w:tcMar>
              <w:top w:w="40" w:type="dxa"/>
              <w:left w:w="0" w:type="dxa"/>
              <w:bottom w:w="40" w:type="dxa"/>
              <w:right w:w="20" w:type="dxa"/>
            </w:tcMar>
            <w:vAlign w:val="bottom"/>
          </w:tcPr>
          <w:p w14:paraId="18601A10"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A1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A12"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A13"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A14" w14:textId="77777777" w:rsidR="00A91885" w:rsidRDefault="009C4196">
            <w:pPr>
              <w:jc w:val="right"/>
              <w:textAlignment w:val="bottom"/>
            </w:pPr>
            <w:r>
              <w:rPr>
                <w:rFonts w:ascii="Arial" w:eastAsia="宋体" w:hAnsi="Arial" w:cs="Arial"/>
                <w:i/>
                <w:iCs/>
                <w:color w:val="000000"/>
                <w:sz w:val="18"/>
                <w:szCs w:val="18"/>
              </w:rPr>
              <w:t>4 </w:t>
            </w:r>
          </w:p>
        </w:tc>
        <w:tc>
          <w:tcPr>
            <w:tcW w:w="0" w:type="auto"/>
            <w:shd w:val="clear" w:color="auto" w:fill="FFFFFF"/>
            <w:tcMar>
              <w:top w:w="40" w:type="dxa"/>
              <w:left w:w="0" w:type="dxa"/>
              <w:bottom w:w="40" w:type="dxa"/>
              <w:right w:w="20" w:type="dxa"/>
            </w:tcMar>
            <w:vAlign w:val="bottom"/>
          </w:tcPr>
          <w:p w14:paraId="18601A15"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A16"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A17" w14:textId="77777777" w:rsidR="00A91885" w:rsidRDefault="009C4196">
            <w:pPr>
              <w:jc w:val="right"/>
              <w:textAlignment w:val="bottom"/>
            </w:pPr>
            <w:r>
              <w:rPr>
                <w:rFonts w:ascii="Arial" w:eastAsia="宋体" w:hAnsi="Arial" w:cs="Arial"/>
                <w:i/>
                <w:iCs/>
                <w:color w:val="000000"/>
                <w:sz w:val="18"/>
                <w:szCs w:val="18"/>
              </w:rPr>
              <w:t>4 </w:t>
            </w:r>
          </w:p>
        </w:tc>
        <w:tc>
          <w:tcPr>
            <w:tcW w:w="0" w:type="auto"/>
            <w:shd w:val="clear" w:color="auto" w:fill="FFFFFF"/>
            <w:tcMar>
              <w:top w:w="40" w:type="dxa"/>
              <w:left w:w="0" w:type="dxa"/>
              <w:bottom w:w="40" w:type="dxa"/>
              <w:right w:w="20" w:type="dxa"/>
            </w:tcMar>
            <w:vAlign w:val="bottom"/>
          </w:tcPr>
          <w:p w14:paraId="18601A18"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A19"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A1A" w14:textId="77777777" w:rsidR="00A91885" w:rsidRDefault="00A91885">
            <w:pPr>
              <w:rPr>
                <w:rFonts w:ascii="宋体"/>
              </w:rPr>
            </w:pPr>
          </w:p>
        </w:tc>
      </w:tr>
      <w:tr w:rsidR="00A91885" w14:paraId="18601A2E" w14:textId="77777777">
        <w:tc>
          <w:tcPr>
            <w:tcW w:w="0" w:type="auto"/>
            <w:gridSpan w:val="3"/>
            <w:shd w:val="clear" w:color="auto" w:fill="E2E2E2"/>
            <w:tcMar>
              <w:top w:w="40" w:type="dxa"/>
              <w:left w:w="20" w:type="dxa"/>
              <w:bottom w:w="40" w:type="dxa"/>
              <w:right w:w="20" w:type="dxa"/>
            </w:tcMar>
            <w:vAlign w:val="bottom"/>
          </w:tcPr>
          <w:p w14:paraId="18601A1C" w14:textId="77777777" w:rsidR="00A91885" w:rsidRDefault="009C4196">
            <w:pPr>
              <w:textAlignment w:val="bottom"/>
            </w:pPr>
            <w:r>
              <w:rPr>
                <w:rFonts w:ascii="Arial" w:eastAsia="宋体" w:hAnsi="Arial" w:cs="Arial"/>
                <w:color w:val="000000"/>
                <w:sz w:val="18"/>
                <w:szCs w:val="18"/>
              </w:rPr>
              <w:t>Amortization of acquired intangible assets</w:t>
            </w:r>
          </w:p>
        </w:tc>
        <w:tc>
          <w:tcPr>
            <w:tcW w:w="0" w:type="auto"/>
            <w:gridSpan w:val="2"/>
            <w:shd w:val="clear" w:color="auto" w:fill="E2E2E2"/>
            <w:tcMar>
              <w:top w:w="40" w:type="dxa"/>
              <w:left w:w="20" w:type="dxa"/>
              <w:bottom w:w="40" w:type="dxa"/>
              <w:right w:w="0" w:type="dxa"/>
            </w:tcMar>
            <w:vAlign w:val="bottom"/>
          </w:tcPr>
          <w:p w14:paraId="18601A1D" w14:textId="77777777" w:rsidR="00A91885" w:rsidRDefault="009C4196">
            <w:pPr>
              <w:jc w:val="right"/>
              <w:textAlignment w:val="bottom"/>
            </w:pPr>
            <w:r>
              <w:rPr>
                <w:rFonts w:ascii="Arial" w:eastAsia="宋体" w:hAnsi="Arial" w:cs="Arial"/>
                <w:color w:val="000000"/>
                <w:sz w:val="18"/>
                <w:szCs w:val="18"/>
              </w:rPr>
              <w:t>1 </w:t>
            </w:r>
          </w:p>
        </w:tc>
        <w:tc>
          <w:tcPr>
            <w:tcW w:w="0" w:type="auto"/>
            <w:shd w:val="clear" w:color="auto" w:fill="E2E2E2"/>
            <w:tcMar>
              <w:top w:w="40" w:type="dxa"/>
              <w:left w:w="0" w:type="dxa"/>
              <w:bottom w:w="40" w:type="dxa"/>
              <w:right w:w="20" w:type="dxa"/>
            </w:tcMar>
            <w:vAlign w:val="bottom"/>
          </w:tcPr>
          <w:p w14:paraId="18601A1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A1F"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A20"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18601A2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A22"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A23" w14:textId="77777777" w:rsidR="00A91885" w:rsidRDefault="009C4196">
            <w:pPr>
              <w:jc w:val="right"/>
              <w:textAlignment w:val="bottom"/>
            </w:pPr>
            <w:r>
              <w:rPr>
                <w:rFonts w:ascii="Arial" w:eastAsia="宋体" w:hAnsi="Arial" w:cs="Arial"/>
                <w:color w:val="000000"/>
                <w:sz w:val="18"/>
                <w:szCs w:val="18"/>
              </w:rPr>
              <w:t>(50)</w:t>
            </w:r>
          </w:p>
        </w:tc>
        <w:tc>
          <w:tcPr>
            <w:tcW w:w="0" w:type="auto"/>
            <w:shd w:val="clear" w:color="auto" w:fill="E2E2E2"/>
            <w:tcMar>
              <w:top w:w="40" w:type="dxa"/>
              <w:left w:w="0" w:type="dxa"/>
              <w:bottom w:w="40" w:type="dxa"/>
              <w:right w:w="20" w:type="dxa"/>
            </w:tcMar>
            <w:vAlign w:val="bottom"/>
          </w:tcPr>
          <w:p w14:paraId="18601A24"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A2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A26" w14:textId="77777777" w:rsidR="00A91885" w:rsidRDefault="009C4196">
            <w:pPr>
              <w:jc w:val="right"/>
              <w:textAlignment w:val="bottom"/>
            </w:pPr>
            <w:r>
              <w:rPr>
                <w:rFonts w:ascii="Arial" w:eastAsia="宋体" w:hAnsi="Arial" w:cs="Arial"/>
                <w:color w:val="000000"/>
                <w:sz w:val="18"/>
                <w:szCs w:val="18"/>
              </w:rPr>
              <w:t>2 </w:t>
            </w:r>
          </w:p>
        </w:tc>
        <w:tc>
          <w:tcPr>
            <w:tcW w:w="0" w:type="auto"/>
            <w:shd w:val="clear" w:color="auto" w:fill="E2E2E2"/>
            <w:tcMar>
              <w:top w:w="40" w:type="dxa"/>
              <w:left w:w="0" w:type="dxa"/>
              <w:bottom w:w="40" w:type="dxa"/>
              <w:right w:w="20" w:type="dxa"/>
            </w:tcMar>
            <w:vAlign w:val="bottom"/>
          </w:tcPr>
          <w:p w14:paraId="18601A2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A28"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A29" w14:textId="77777777" w:rsidR="00A91885" w:rsidRDefault="009C4196">
            <w:pPr>
              <w:jc w:val="right"/>
              <w:textAlignment w:val="bottom"/>
            </w:pPr>
            <w:r>
              <w:rPr>
                <w:rFonts w:ascii="Arial" w:eastAsia="宋体" w:hAnsi="Arial" w:cs="Arial"/>
                <w:color w:val="000000"/>
                <w:sz w:val="18"/>
                <w:szCs w:val="18"/>
              </w:rPr>
              <w:t>9 </w:t>
            </w:r>
          </w:p>
        </w:tc>
        <w:tc>
          <w:tcPr>
            <w:tcW w:w="0" w:type="auto"/>
            <w:shd w:val="clear" w:color="auto" w:fill="E2E2E2"/>
            <w:tcMar>
              <w:top w:w="40" w:type="dxa"/>
              <w:left w:w="0" w:type="dxa"/>
              <w:bottom w:w="40" w:type="dxa"/>
              <w:right w:w="20" w:type="dxa"/>
            </w:tcMar>
            <w:vAlign w:val="bottom"/>
          </w:tcPr>
          <w:p w14:paraId="18601A2A"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A2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A2C" w14:textId="77777777" w:rsidR="00A91885" w:rsidRDefault="009C4196">
            <w:pPr>
              <w:jc w:val="right"/>
              <w:textAlignment w:val="bottom"/>
            </w:pPr>
            <w:r>
              <w:rPr>
                <w:rFonts w:ascii="Arial" w:eastAsia="宋体" w:hAnsi="Arial" w:cs="Arial"/>
                <w:color w:val="000000"/>
                <w:sz w:val="18"/>
                <w:szCs w:val="18"/>
              </w:rPr>
              <w:t>(78)</w:t>
            </w:r>
          </w:p>
        </w:tc>
        <w:tc>
          <w:tcPr>
            <w:tcW w:w="0" w:type="auto"/>
            <w:shd w:val="clear" w:color="auto" w:fill="E2E2E2"/>
            <w:tcMar>
              <w:top w:w="40" w:type="dxa"/>
              <w:left w:w="0" w:type="dxa"/>
              <w:bottom w:w="40" w:type="dxa"/>
              <w:right w:w="20" w:type="dxa"/>
            </w:tcMar>
            <w:vAlign w:val="bottom"/>
          </w:tcPr>
          <w:p w14:paraId="18601A2D" w14:textId="77777777" w:rsidR="00A91885" w:rsidRDefault="009C4196">
            <w:pPr>
              <w:jc w:val="right"/>
              <w:textAlignment w:val="bottom"/>
            </w:pPr>
            <w:r>
              <w:rPr>
                <w:rFonts w:ascii="Arial" w:eastAsia="宋体" w:hAnsi="Arial" w:cs="Arial"/>
                <w:color w:val="000000"/>
                <w:sz w:val="18"/>
                <w:szCs w:val="18"/>
              </w:rPr>
              <w:t>%</w:t>
            </w:r>
          </w:p>
        </w:tc>
      </w:tr>
      <w:tr w:rsidR="00A91885" w14:paraId="18601A45" w14:textId="77777777">
        <w:tc>
          <w:tcPr>
            <w:tcW w:w="0" w:type="auto"/>
            <w:gridSpan w:val="3"/>
            <w:shd w:val="clear" w:color="auto" w:fill="FFFFFF"/>
            <w:tcMar>
              <w:top w:w="40" w:type="dxa"/>
              <w:left w:w="245" w:type="dxa"/>
              <w:bottom w:w="40" w:type="dxa"/>
              <w:right w:w="20" w:type="dxa"/>
            </w:tcMar>
            <w:vAlign w:val="bottom"/>
          </w:tcPr>
          <w:p w14:paraId="18601A2F" w14:textId="77777777" w:rsidR="00A91885" w:rsidRDefault="009C4196">
            <w:pPr>
              <w:textAlignment w:val="bottom"/>
            </w:pPr>
            <w:r>
              <w:rPr>
                <w:rFonts w:ascii="Arial" w:eastAsia="宋体" w:hAnsi="Arial" w:cs="Arial"/>
                <w:color w:val="000000"/>
                <w:sz w:val="18"/>
                <w:szCs w:val="18"/>
              </w:rPr>
              <w:t>Total operating expenses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1A3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1A31" w14:textId="77777777" w:rsidR="00A91885" w:rsidRDefault="009C4196">
            <w:pPr>
              <w:jc w:val="right"/>
              <w:textAlignment w:val="bottom"/>
            </w:pPr>
            <w:r>
              <w:rPr>
                <w:rFonts w:ascii="Arial" w:eastAsia="宋体" w:hAnsi="Arial" w:cs="Arial"/>
                <w:color w:val="000000"/>
                <w:sz w:val="18"/>
                <w:szCs w:val="18"/>
              </w:rPr>
              <w:t>1,234 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1A3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A33"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1A3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1A35" w14:textId="77777777" w:rsidR="00A91885" w:rsidRDefault="009C4196">
            <w:pPr>
              <w:jc w:val="right"/>
              <w:textAlignment w:val="bottom"/>
            </w:pPr>
            <w:r>
              <w:rPr>
                <w:rFonts w:ascii="Arial" w:eastAsia="宋体" w:hAnsi="Arial" w:cs="Arial"/>
                <w:color w:val="000000"/>
                <w:sz w:val="18"/>
                <w:szCs w:val="18"/>
              </w:rPr>
              <w:t>1,264 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1A3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A3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A38" w14:textId="77777777" w:rsidR="00A91885" w:rsidRDefault="009C4196">
            <w:pPr>
              <w:jc w:val="right"/>
              <w:textAlignment w:val="bottom"/>
            </w:pPr>
            <w:r>
              <w:rPr>
                <w:rFonts w:ascii="Arial" w:eastAsia="宋体" w:hAnsi="Arial" w:cs="Arial"/>
                <w:color w:val="000000"/>
                <w:sz w:val="18"/>
                <w:szCs w:val="18"/>
              </w:rPr>
              <w:t>(2)</w:t>
            </w:r>
          </w:p>
        </w:tc>
        <w:tc>
          <w:tcPr>
            <w:tcW w:w="0" w:type="auto"/>
            <w:shd w:val="clear" w:color="auto" w:fill="FFFFFF"/>
            <w:tcMar>
              <w:top w:w="40" w:type="dxa"/>
              <w:left w:w="0" w:type="dxa"/>
              <w:bottom w:w="40" w:type="dxa"/>
              <w:right w:w="20" w:type="dxa"/>
            </w:tcMar>
            <w:vAlign w:val="bottom"/>
          </w:tcPr>
          <w:p w14:paraId="18601A39"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A3A"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1A3B"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1A3C" w14:textId="77777777" w:rsidR="00A91885" w:rsidRDefault="009C4196">
            <w:pPr>
              <w:jc w:val="right"/>
              <w:textAlignment w:val="bottom"/>
            </w:pPr>
            <w:r>
              <w:rPr>
                <w:rFonts w:ascii="Arial" w:eastAsia="宋体" w:hAnsi="Arial" w:cs="Arial"/>
                <w:color w:val="000000"/>
                <w:sz w:val="18"/>
                <w:szCs w:val="18"/>
              </w:rPr>
              <w:t>2,336 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1A3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A3E"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1A3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1A40" w14:textId="77777777" w:rsidR="00A91885" w:rsidRDefault="009C4196">
            <w:pPr>
              <w:jc w:val="right"/>
              <w:textAlignment w:val="bottom"/>
            </w:pPr>
            <w:r>
              <w:rPr>
                <w:rFonts w:ascii="Arial" w:eastAsia="宋体" w:hAnsi="Arial" w:cs="Arial"/>
                <w:color w:val="000000"/>
                <w:sz w:val="18"/>
                <w:szCs w:val="18"/>
              </w:rPr>
              <w:t>2,455 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1A4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A4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A43" w14:textId="77777777" w:rsidR="00A91885" w:rsidRDefault="009C4196">
            <w:pPr>
              <w:jc w:val="right"/>
              <w:textAlignment w:val="bottom"/>
            </w:pPr>
            <w:r>
              <w:rPr>
                <w:rFonts w:ascii="Arial" w:eastAsia="宋体" w:hAnsi="Arial" w:cs="Arial"/>
                <w:color w:val="000000"/>
                <w:sz w:val="18"/>
                <w:szCs w:val="18"/>
              </w:rPr>
              <w:t>(5)</w:t>
            </w:r>
          </w:p>
        </w:tc>
        <w:tc>
          <w:tcPr>
            <w:tcW w:w="0" w:type="auto"/>
            <w:shd w:val="clear" w:color="auto" w:fill="FFFFFF"/>
            <w:tcMar>
              <w:top w:w="40" w:type="dxa"/>
              <w:left w:w="0" w:type="dxa"/>
              <w:bottom w:w="40" w:type="dxa"/>
              <w:right w:w="20" w:type="dxa"/>
            </w:tcMar>
            <w:vAlign w:val="bottom"/>
          </w:tcPr>
          <w:p w14:paraId="18601A44" w14:textId="77777777" w:rsidR="00A91885" w:rsidRDefault="009C4196">
            <w:pPr>
              <w:jc w:val="right"/>
              <w:textAlignment w:val="bottom"/>
            </w:pPr>
            <w:r>
              <w:rPr>
                <w:rFonts w:ascii="Arial" w:eastAsia="宋体" w:hAnsi="Arial" w:cs="Arial"/>
                <w:color w:val="000000"/>
                <w:sz w:val="18"/>
                <w:szCs w:val="18"/>
              </w:rPr>
              <w:t>%</w:t>
            </w:r>
          </w:p>
        </w:tc>
      </w:tr>
    </w:tbl>
    <w:p w14:paraId="18601A46" w14:textId="77777777" w:rsidR="00A91885" w:rsidRDefault="00A91885">
      <w:pPr>
        <w:ind w:firstLine="540"/>
        <w:jc w:val="both"/>
      </w:pPr>
    </w:p>
    <w:p w14:paraId="18601A47" w14:textId="77777777" w:rsidR="00A91885" w:rsidRDefault="009C4196">
      <w:pPr>
        <w:ind w:firstLine="540"/>
        <w:jc w:val="both"/>
      </w:pPr>
      <w:r>
        <w:rPr>
          <w:rFonts w:ascii="Arial" w:eastAsia="宋体" w:hAnsi="Arial" w:cs="Arial"/>
          <w:color w:val="000000"/>
          <w:sz w:val="20"/>
          <w:szCs w:val="20"/>
        </w:rPr>
        <w:t>Foreign currency movements relative to the U.S. dollar had a favorable impact of $53 million and $81 million on operating expenses during the three and six months ended June 30, 2022, respectively, compared to the same periods in 2021. There was no hedging</w:t>
      </w:r>
      <w:r>
        <w:rPr>
          <w:rFonts w:ascii="Arial" w:eastAsia="宋体" w:hAnsi="Arial" w:cs="Arial"/>
          <w:color w:val="000000"/>
          <w:sz w:val="20"/>
          <w:szCs w:val="20"/>
        </w:rPr>
        <w:t xml:space="preserve"> activity within operating expenses. </w:t>
      </w:r>
    </w:p>
    <w:p w14:paraId="18601A48" w14:textId="77777777" w:rsidR="00A91885" w:rsidRDefault="00A91885">
      <w:pPr>
        <w:jc w:val="both"/>
      </w:pPr>
    </w:p>
    <w:p w14:paraId="18601A49" w14:textId="77777777" w:rsidR="00A91885" w:rsidRDefault="009C4196">
      <w:pPr>
        <w:ind w:firstLine="540"/>
      </w:pPr>
      <w:r>
        <w:rPr>
          <w:rFonts w:ascii="Arial" w:eastAsia="宋体" w:hAnsi="Arial" w:cs="Arial"/>
          <w:i/>
          <w:iCs/>
          <w:color w:val="000000"/>
          <w:sz w:val="20"/>
          <w:szCs w:val="20"/>
        </w:rPr>
        <w:t>Sales and Marketing</w:t>
      </w:r>
    </w:p>
    <w:p w14:paraId="18601A4A" w14:textId="77777777" w:rsidR="00A91885" w:rsidRDefault="009C4196">
      <w:pPr>
        <w:jc w:val="both"/>
      </w:pPr>
      <w:r>
        <w:rPr>
          <w:rFonts w:ascii="Arial" w:eastAsia="宋体" w:hAnsi="Arial" w:cs="Arial"/>
          <w:color w:val="000000"/>
          <w:sz w:val="20"/>
          <w:szCs w:val="20"/>
        </w:rPr>
        <w:t> </w:t>
      </w:r>
    </w:p>
    <w:p w14:paraId="18601A4B" w14:textId="77777777" w:rsidR="00A91885" w:rsidRDefault="009C4196">
      <w:pPr>
        <w:ind w:firstLine="540"/>
        <w:jc w:val="both"/>
      </w:pPr>
      <w:r>
        <w:rPr>
          <w:rFonts w:ascii="Arial" w:eastAsia="宋体" w:hAnsi="Arial" w:cs="Arial"/>
          <w:color w:val="000000"/>
          <w:sz w:val="20"/>
          <w:szCs w:val="20"/>
        </w:rPr>
        <w:t>Sales and marketing expenses primarily consist of advertising and marketing program costs (both online and offline), employee compensation including stock-based compensation, certain user coupons</w:t>
      </w:r>
      <w:r>
        <w:rPr>
          <w:rFonts w:ascii="Arial" w:eastAsia="宋体" w:hAnsi="Arial" w:cs="Arial"/>
          <w:color w:val="000000"/>
          <w:sz w:val="20"/>
          <w:szCs w:val="20"/>
        </w:rPr>
        <w:t xml:space="preserve"> and rewards, contractor costs, facilities costs and depreciation on equipment. Online marketing expenses represent traffic acquisition costs in various channels such as paid search, affiliates marketing and display advertising. Offline advertising primari</w:t>
      </w:r>
      <w:r>
        <w:rPr>
          <w:rFonts w:ascii="Arial" w:eastAsia="宋体" w:hAnsi="Arial" w:cs="Arial"/>
          <w:color w:val="000000"/>
          <w:sz w:val="20"/>
          <w:szCs w:val="20"/>
        </w:rPr>
        <w:t>ly includes brand campaigns and buyer/seller communications.</w:t>
      </w:r>
    </w:p>
    <w:p w14:paraId="18601A4C" w14:textId="77777777" w:rsidR="00A91885" w:rsidRDefault="00A91885">
      <w:pPr>
        <w:ind w:firstLine="495"/>
        <w:jc w:val="both"/>
      </w:pPr>
    </w:p>
    <w:p w14:paraId="18601A4D" w14:textId="77777777" w:rsidR="00A91885" w:rsidRDefault="009C4196">
      <w:pPr>
        <w:ind w:firstLine="540"/>
        <w:jc w:val="both"/>
      </w:pPr>
      <w:r>
        <w:rPr>
          <w:rFonts w:ascii="Arial" w:eastAsia="宋体" w:hAnsi="Arial" w:cs="Arial"/>
          <w:color w:val="000000"/>
          <w:sz w:val="20"/>
          <w:szCs w:val="20"/>
        </w:rPr>
        <w:t>The increase in sales and marketing expenses during the three months ended June 30, 2022 compared to the same period in 2021 was primarily due to an increase in online and offline advertising ex</w:t>
      </w:r>
      <w:r>
        <w:rPr>
          <w:rFonts w:ascii="Arial" w:eastAsia="宋体" w:hAnsi="Arial" w:cs="Arial"/>
          <w:color w:val="000000"/>
          <w:sz w:val="20"/>
          <w:szCs w:val="20"/>
        </w:rPr>
        <w:t>penses of $46 million, partially offset by the favorable impact of foreign currency movements of $29 million and a decrease in certain user coupons and rewards of $14 million.</w:t>
      </w:r>
    </w:p>
    <w:p w14:paraId="18601A4E" w14:textId="77777777" w:rsidR="00A91885" w:rsidRDefault="00A91885">
      <w:pPr>
        <w:ind w:firstLine="540"/>
        <w:jc w:val="both"/>
      </w:pPr>
    </w:p>
    <w:p w14:paraId="18601A4F" w14:textId="77777777" w:rsidR="00A91885" w:rsidRDefault="009C4196">
      <w:pPr>
        <w:ind w:firstLine="540"/>
        <w:jc w:val="both"/>
      </w:pPr>
      <w:r>
        <w:rPr>
          <w:rFonts w:ascii="Arial" w:eastAsia="宋体" w:hAnsi="Arial" w:cs="Arial"/>
          <w:color w:val="000000"/>
          <w:sz w:val="20"/>
          <w:szCs w:val="20"/>
        </w:rPr>
        <w:t>The decrease in sales and marketing expenses during the six months ended June 3</w:t>
      </w:r>
      <w:r>
        <w:rPr>
          <w:rFonts w:ascii="Arial" w:eastAsia="宋体" w:hAnsi="Arial" w:cs="Arial"/>
          <w:color w:val="000000"/>
          <w:sz w:val="20"/>
          <w:szCs w:val="20"/>
        </w:rPr>
        <w:t>0, 2022 compared to the same period in 2021 was primarily due to the favorable impact of foreign currency movements of $50 million and a decrease in certain user coupons and rewards of $33 million. These decreases were partially offset by an increase in on</w:t>
      </w:r>
      <w:r>
        <w:rPr>
          <w:rFonts w:ascii="Arial" w:eastAsia="宋体" w:hAnsi="Arial" w:cs="Arial"/>
          <w:color w:val="000000"/>
          <w:sz w:val="20"/>
          <w:szCs w:val="20"/>
        </w:rPr>
        <w:t>line and offline advertising expenses of $25 million.</w:t>
      </w:r>
    </w:p>
    <w:p w14:paraId="18601A50" w14:textId="77777777" w:rsidR="00A91885" w:rsidRDefault="00A91885">
      <w:pPr>
        <w:ind w:firstLine="540"/>
        <w:jc w:val="both"/>
      </w:pPr>
    </w:p>
    <w:p w14:paraId="18601A51" w14:textId="77777777" w:rsidR="00A91885" w:rsidRDefault="009C4196">
      <w:r>
        <w:rPr>
          <w:rFonts w:ascii="Arial" w:eastAsia="宋体" w:hAnsi="Arial" w:cs="Arial"/>
          <w:i/>
          <w:iCs/>
          <w:color w:val="000000"/>
          <w:sz w:val="20"/>
          <w:szCs w:val="20"/>
        </w:rPr>
        <w:t>Product Development</w:t>
      </w:r>
    </w:p>
    <w:p w14:paraId="18601A52" w14:textId="77777777" w:rsidR="00A91885" w:rsidRDefault="009C4196">
      <w:pPr>
        <w:jc w:val="both"/>
      </w:pPr>
      <w:r>
        <w:rPr>
          <w:rFonts w:ascii="Arial" w:eastAsia="宋体" w:hAnsi="Arial" w:cs="Arial"/>
          <w:color w:val="000000"/>
          <w:sz w:val="20"/>
          <w:szCs w:val="20"/>
        </w:rPr>
        <w:t> </w:t>
      </w:r>
    </w:p>
    <w:p w14:paraId="18601A53" w14:textId="77777777" w:rsidR="00A91885" w:rsidRDefault="009C4196">
      <w:pPr>
        <w:ind w:firstLine="540"/>
        <w:jc w:val="both"/>
      </w:pPr>
      <w:r>
        <w:rPr>
          <w:rFonts w:ascii="Arial" w:eastAsia="宋体" w:hAnsi="Arial" w:cs="Arial"/>
          <w:color w:val="000000"/>
          <w:sz w:val="20"/>
          <w:szCs w:val="20"/>
        </w:rPr>
        <w:t>Product development expenses primarily consist of employee compensation including stock-based compensation, contractor costs, facilities costs and depreciation on equipment. Produ</w:t>
      </w:r>
      <w:r>
        <w:rPr>
          <w:rFonts w:ascii="Arial" w:eastAsia="宋体" w:hAnsi="Arial" w:cs="Arial"/>
          <w:color w:val="000000"/>
          <w:sz w:val="20"/>
          <w:szCs w:val="20"/>
        </w:rPr>
        <w:t>ct development expenses are net of required capitalization of major platform and other product development efforts, including the development and maintenance of our technology platform. Our top technology priorities include the implementation of our strate</w:t>
      </w:r>
      <w:r>
        <w:rPr>
          <w:rFonts w:ascii="Arial" w:eastAsia="宋体" w:hAnsi="Arial" w:cs="Arial"/>
          <w:color w:val="000000"/>
          <w:sz w:val="20"/>
          <w:szCs w:val="20"/>
        </w:rPr>
        <w:t>gic plan including payment intermediation capabilities, improved seller tools and buyer experiences.</w:t>
      </w:r>
    </w:p>
    <w:p w14:paraId="18601A54" w14:textId="77777777" w:rsidR="00A91885" w:rsidRDefault="00A91885">
      <w:pPr>
        <w:ind w:firstLine="495"/>
        <w:jc w:val="both"/>
      </w:pPr>
    </w:p>
    <w:p w14:paraId="18601A55" w14:textId="77777777" w:rsidR="00A91885" w:rsidRDefault="009C4196">
      <w:pPr>
        <w:ind w:firstLine="540"/>
        <w:jc w:val="both"/>
      </w:pPr>
      <w:r>
        <w:rPr>
          <w:rFonts w:ascii="Arial" w:eastAsia="宋体" w:hAnsi="Arial" w:cs="Arial"/>
          <w:color w:val="000000"/>
          <w:sz w:val="20"/>
          <w:szCs w:val="20"/>
        </w:rPr>
        <w:t>The decrease in product development expenses during the three and six months ended June 30, 2022 compared to the same periods in 2021 was primarily due to</w:t>
      </w:r>
      <w:r>
        <w:rPr>
          <w:rFonts w:ascii="Arial" w:eastAsia="宋体" w:hAnsi="Arial" w:cs="Arial"/>
          <w:color w:val="000000"/>
          <w:sz w:val="20"/>
          <w:szCs w:val="20"/>
        </w:rPr>
        <w:t xml:space="preserve"> a decrease in employee related costs.</w:t>
      </w:r>
    </w:p>
    <w:p w14:paraId="18601A56" w14:textId="77777777" w:rsidR="00A91885" w:rsidRDefault="00A91885">
      <w:pPr>
        <w:ind w:firstLine="540"/>
        <w:jc w:val="both"/>
      </w:pPr>
    </w:p>
    <w:p w14:paraId="18601A57" w14:textId="77777777" w:rsidR="00A91885" w:rsidRDefault="009C4196">
      <w:pPr>
        <w:ind w:firstLine="540"/>
        <w:jc w:val="both"/>
      </w:pPr>
      <w:r>
        <w:rPr>
          <w:rFonts w:ascii="Arial" w:eastAsia="宋体" w:hAnsi="Arial" w:cs="Arial"/>
          <w:color w:val="000000"/>
          <w:sz w:val="20"/>
          <w:szCs w:val="20"/>
        </w:rPr>
        <w:t>Capitalized internal use and platform development costs were $30 million and $62 million in the three and six months ended June 30, 2022, respectively, compared to $32 million and $63 million in the same periods in 2</w:t>
      </w:r>
      <w:r>
        <w:rPr>
          <w:rFonts w:ascii="Arial" w:eastAsia="宋体" w:hAnsi="Arial" w:cs="Arial"/>
          <w:color w:val="000000"/>
          <w:sz w:val="20"/>
          <w:szCs w:val="20"/>
        </w:rPr>
        <w:t>021. These costs are primarily reflected as a cost of net revenues when amortized in future periods.</w:t>
      </w:r>
    </w:p>
    <w:p w14:paraId="18601A58" w14:textId="77777777" w:rsidR="00A91885" w:rsidRDefault="00A91885">
      <w:pPr>
        <w:ind w:firstLine="540"/>
        <w:jc w:val="both"/>
      </w:pPr>
    </w:p>
    <w:p w14:paraId="18601A59" w14:textId="77777777" w:rsidR="00A91885" w:rsidRDefault="00A91885">
      <w:pPr>
        <w:jc w:val="center"/>
      </w:pPr>
    </w:p>
    <w:p w14:paraId="18601A5A" w14:textId="77777777" w:rsidR="00A91885" w:rsidRDefault="009C4196">
      <w:pPr>
        <w:jc w:val="center"/>
      </w:pPr>
      <w:r>
        <w:rPr>
          <w:rFonts w:ascii="Arial" w:eastAsia="宋体" w:hAnsi="Arial" w:cs="Arial"/>
          <w:color w:val="000000"/>
          <w:sz w:val="20"/>
          <w:szCs w:val="20"/>
        </w:rPr>
        <w:t>52</w:t>
      </w:r>
    </w:p>
    <w:p w14:paraId="18601A5B" w14:textId="77777777" w:rsidR="00A91885" w:rsidRDefault="009C4196">
      <w:r>
        <w:pict w14:anchorId="186021B7">
          <v:rect id="_x0000_i1076" style="width:415.3pt;height:1.5pt" o:hralign="center" o:hrstd="t" o:hr="t" fillcolor="#a0a0a0" stroked="f"/>
        </w:pict>
      </w:r>
    </w:p>
    <w:p w14:paraId="18601A5C" w14:textId="77777777" w:rsidR="00A91885" w:rsidRDefault="009C4196">
      <w:hyperlink r:id="rId136" w:anchor="ieb971428a625452486c65ae24899afca_7" w:history="1">
        <w:r>
          <w:rPr>
            <w:rStyle w:val="a5"/>
            <w:rFonts w:ascii="Arial" w:eastAsia="宋体" w:hAnsi="Arial" w:cs="Arial"/>
            <w:sz w:val="18"/>
            <w:szCs w:val="18"/>
          </w:rPr>
          <w:t>Table of Contents</w:t>
        </w:r>
      </w:hyperlink>
    </w:p>
    <w:p w14:paraId="18601A5D" w14:textId="77777777" w:rsidR="00A91885" w:rsidRDefault="009C4196">
      <w:r>
        <w:rPr>
          <w:rFonts w:ascii="Arial" w:eastAsia="宋体" w:hAnsi="Arial" w:cs="Arial"/>
          <w:i/>
          <w:iCs/>
          <w:color w:val="000000"/>
          <w:sz w:val="20"/>
          <w:szCs w:val="20"/>
        </w:rPr>
        <w:t>General and Administrative</w:t>
      </w:r>
    </w:p>
    <w:p w14:paraId="18601A5E" w14:textId="77777777" w:rsidR="00A91885" w:rsidRDefault="009C4196">
      <w:pPr>
        <w:jc w:val="both"/>
      </w:pPr>
      <w:r>
        <w:rPr>
          <w:rFonts w:ascii="Arial" w:eastAsia="宋体" w:hAnsi="Arial" w:cs="Arial"/>
          <w:color w:val="000000"/>
          <w:sz w:val="20"/>
          <w:szCs w:val="20"/>
        </w:rPr>
        <w:t> </w:t>
      </w:r>
    </w:p>
    <w:p w14:paraId="18601A5F" w14:textId="77777777" w:rsidR="00A91885" w:rsidRDefault="009C4196">
      <w:pPr>
        <w:ind w:firstLine="540"/>
        <w:jc w:val="both"/>
      </w:pPr>
      <w:r>
        <w:rPr>
          <w:rFonts w:ascii="Arial" w:eastAsia="宋体" w:hAnsi="Arial" w:cs="Arial"/>
          <w:color w:val="000000"/>
          <w:sz w:val="20"/>
          <w:szCs w:val="20"/>
        </w:rPr>
        <w:t xml:space="preserve">General and administrative expenses primarily consist of employee compensation including stock-based compensation, contractor costs, facilities costs, depreciation of equipment, employer payroll </w:t>
      </w:r>
      <w:r>
        <w:rPr>
          <w:rFonts w:ascii="Arial" w:eastAsia="宋体" w:hAnsi="Arial" w:cs="Arial"/>
          <w:color w:val="000000"/>
          <w:sz w:val="20"/>
          <w:szCs w:val="20"/>
        </w:rPr>
        <w:t>taxes on stock-based compensation, legal expenses, restructuring, insurance premiums and professional fees. Our legal expenses, including those related to various ongoing legal proceedings, may fluctuate substantially from period to period.</w:t>
      </w:r>
    </w:p>
    <w:p w14:paraId="18601A60" w14:textId="77777777" w:rsidR="00A91885" w:rsidRDefault="00A91885">
      <w:pPr>
        <w:ind w:firstLine="540"/>
        <w:jc w:val="both"/>
      </w:pPr>
    </w:p>
    <w:p w14:paraId="18601A61" w14:textId="77777777" w:rsidR="00A91885" w:rsidRDefault="009C4196">
      <w:pPr>
        <w:ind w:firstLine="540"/>
        <w:jc w:val="both"/>
      </w:pPr>
      <w:r>
        <w:rPr>
          <w:rFonts w:ascii="Arial" w:eastAsia="宋体" w:hAnsi="Arial" w:cs="Arial"/>
          <w:color w:val="000000"/>
          <w:sz w:val="20"/>
          <w:szCs w:val="20"/>
        </w:rPr>
        <w:t>The decrease i</w:t>
      </w:r>
      <w:r>
        <w:rPr>
          <w:rFonts w:ascii="Arial" w:eastAsia="宋体" w:hAnsi="Arial" w:cs="Arial"/>
          <w:color w:val="000000"/>
          <w:sz w:val="20"/>
          <w:szCs w:val="20"/>
        </w:rPr>
        <w:t>n general and administrative expenses during the three months ended June 30, 2022 compared to the same period in 2021 was primarily due to a decrease in employee related costs of $16 million and the favorable impact of foreign currency movements, partially</w:t>
      </w:r>
      <w:r>
        <w:rPr>
          <w:rFonts w:ascii="Arial" w:eastAsia="宋体" w:hAnsi="Arial" w:cs="Arial"/>
          <w:color w:val="000000"/>
          <w:sz w:val="20"/>
          <w:szCs w:val="20"/>
        </w:rPr>
        <w:t xml:space="preserve"> offset by exit costs of $13 million related to the announcement to close our marketplace in Turkey.</w:t>
      </w:r>
    </w:p>
    <w:p w14:paraId="18601A62" w14:textId="77777777" w:rsidR="00A91885" w:rsidRDefault="00A91885">
      <w:pPr>
        <w:ind w:firstLine="540"/>
        <w:jc w:val="both"/>
      </w:pPr>
    </w:p>
    <w:p w14:paraId="18601A63" w14:textId="77777777" w:rsidR="00A91885" w:rsidRDefault="009C4196">
      <w:pPr>
        <w:ind w:firstLine="540"/>
        <w:jc w:val="both"/>
      </w:pPr>
      <w:r>
        <w:rPr>
          <w:rFonts w:ascii="Arial" w:eastAsia="宋体" w:hAnsi="Arial" w:cs="Arial"/>
          <w:color w:val="000000"/>
          <w:sz w:val="20"/>
          <w:szCs w:val="20"/>
        </w:rPr>
        <w:t>The decrease in general and administrative expenses during the six months ended June 30, 2022 compared to the same period in 2021 was primarily due to a d</w:t>
      </w:r>
      <w:r>
        <w:rPr>
          <w:rFonts w:ascii="Arial" w:eastAsia="宋体" w:hAnsi="Arial" w:cs="Arial"/>
          <w:color w:val="000000"/>
          <w:sz w:val="20"/>
          <w:szCs w:val="20"/>
        </w:rPr>
        <w:t>ecrease in restructuring and exit costs of approximately $20 million and the favorable impact of foreign currency movements.</w:t>
      </w:r>
    </w:p>
    <w:p w14:paraId="18601A64" w14:textId="77777777" w:rsidR="00A91885" w:rsidRDefault="00A91885">
      <w:pPr>
        <w:ind w:firstLine="540"/>
        <w:jc w:val="both"/>
      </w:pPr>
    </w:p>
    <w:p w14:paraId="18601A65" w14:textId="77777777" w:rsidR="00A91885" w:rsidRDefault="009C4196">
      <w:r>
        <w:rPr>
          <w:rFonts w:ascii="Arial" w:eastAsia="宋体" w:hAnsi="Arial" w:cs="Arial"/>
          <w:i/>
          <w:iCs/>
          <w:color w:val="000000"/>
          <w:sz w:val="20"/>
          <w:szCs w:val="20"/>
        </w:rPr>
        <w:t>Provision for Transaction Losses</w:t>
      </w:r>
    </w:p>
    <w:p w14:paraId="18601A66" w14:textId="77777777" w:rsidR="00A91885" w:rsidRDefault="00A91885">
      <w:pPr>
        <w:ind w:firstLine="495"/>
        <w:jc w:val="both"/>
      </w:pPr>
    </w:p>
    <w:p w14:paraId="18601A67" w14:textId="77777777" w:rsidR="00A91885" w:rsidRDefault="009C4196">
      <w:pPr>
        <w:ind w:firstLine="540"/>
        <w:jc w:val="both"/>
      </w:pPr>
      <w:r>
        <w:rPr>
          <w:rFonts w:ascii="Arial" w:eastAsia="宋体" w:hAnsi="Arial" w:cs="Arial"/>
          <w:color w:val="000000"/>
          <w:sz w:val="20"/>
          <w:szCs w:val="20"/>
        </w:rPr>
        <w:t xml:space="preserve">Provision for transaction losses primarily consists of transaction loss expense associated with </w:t>
      </w:r>
      <w:r>
        <w:rPr>
          <w:rFonts w:ascii="Arial" w:eastAsia="宋体" w:hAnsi="Arial" w:cs="Arial"/>
          <w:color w:val="000000"/>
          <w:sz w:val="20"/>
          <w:szCs w:val="20"/>
        </w:rPr>
        <w:t>our buyer protection programs, losses from our managed payments services, fraud and bad debt expense associated with our accounts receivable balance. We expect our provision for transaction losses to fluctuate depending on many factors, including changes t</w:t>
      </w:r>
      <w:r>
        <w:rPr>
          <w:rFonts w:ascii="Arial" w:eastAsia="宋体" w:hAnsi="Arial" w:cs="Arial"/>
          <w:color w:val="000000"/>
          <w:sz w:val="20"/>
          <w:szCs w:val="20"/>
        </w:rPr>
        <w:t>o our protection programs and the impact of regulatory changes.</w:t>
      </w:r>
    </w:p>
    <w:p w14:paraId="18601A68" w14:textId="77777777" w:rsidR="00A91885" w:rsidRDefault="00A91885">
      <w:pPr>
        <w:ind w:firstLine="540"/>
        <w:jc w:val="both"/>
      </w:pPr>
    </w:p>
    <w:p w14:paraId="18601A69" w14:textId="77777777" w:rsidR="00A91885" w:rsidRDefault="009C4196">
      <w:pPr>
        <w:ind w:firstLine="540"/>
        <w:jc w:val="both"/>
      </w:pPr>
      <w:r>
        <w:rPr>
          <w:rFonts w:ascii="Arial" w:eastAsia="宋体" w:hAnsi="Arial" w:cs="Arial"/>
          <w:color w:val="000000"/>
          <w:sz w:val="20"/>
          <w:szCs w:val="20"/>
        </w:rPr>
        <w:t>The decrease in provision for transaction losses during the three months ended June 30, 2022 compared to the same period in 2021 was primarily due to lower bad debt expense as a result of fee</w:t>
      </w:r>
      <w:r>
        <w:rPr>
          <w:rFonts w:ascii="Arial" w:eastAsia="宋体" w:hAnsi="Arial" w:cs="Arial"/>
          <w:color w:val="000000"/>
          <w:sz w:val="20"/>
          <w:szCs w:val="20"/>
        </w:rPr>
        <w:t xml:space="preserve">s collected through the managed payments platform of $20 million. </w:t>
      </w:r>
    </w:p>
    <w:p w14:paraId="18601A6A" w14:textId="77777777" w:rsidR="00A91885" w:rsidRDefault="00A91885">
      <w:pPr>
        <w:ind w:firstLine="540"/>
        <w:jc w:val="both"/>
      </w:pPr>
    </w:p>
    <w:p w14:paraId="18601A6B" w14:textId="77777777" w:rsidR="00A91885" w:rsidRDefault="009C4196">
      <w:pPr>
        <w:ind w:firstLine="540"/>
        <w:jc w:val="both"/>
      </w:pPr>
      <w:r>
        <w:rPr>
          <w:rFonts w:ascii="Arial" w:eastAsia="宋体" w:hAnsi="Arial" w:cs="Arial"/>
          <w:color w:val="000000"/>
          <w:sz w:val="20"/>
          <w:szCs w:val="20"/>
        </w:rPr>
        <w:t>The decrease in provision for transaction losses during the six months ended June 30, 2022 compared to the same period in 2021 was primarily due to lower bad debt expense as a result of fe</w:t>
      </w:r>
      <w:r>
        <w:rPr>
          <w:rFonts w:ascii="Arial" w:eastAsia="宋体" w:hAnsi="Arial" w:cs="Arial"/>
          <w:color w:val="000000"/>
          <w:sz w:val="20"/>
          <w:szCs w:val="20"/>
        </w:rPr>
        <w:t>es collected through the managed payments platform of $30 million, partially offset by higher chargeback losses of $22 million incurred for managed payments.</w:t>
      </w:r>
    </w:p>
    <w:p w14:paraId="18601A6C" w14:textId="77777777" w:rsidR="00A91885" w:rsidRDefault="00A91885">
      <w:pPr>
        <w:ind w:firstLine="540"/>
        <w:jc w:val="both"/>
      </w:pPr>
    </w:p>
    <w:p w14:paraId="18601A6D" w14:textId="77777777" w:rsidR="00A91885" w:rsidRDefault="00A91885">
      <w:pPr>
        <w:ind w:firstLine="540"/>
        <w:jc w:val="both"/>
      </w:pPr>
    </w:p>
    <w:p w14:paraId="18601A6E" w14:textId="77777777" w:rsidR="00A91885" w:rsidRDefault="00A91885">
      <w:pPr>
        <w:jc w:val="center"/>
      </w:pPr>
    </w:p>
    <w:p w14:paraId="18601A6F" w14:textId="77777777" w:rsidR="00A91885" w:rsidRDefault="009C4196">
      <w:pPr>
        <w:jc w:val="center"/>
      </w:pPr>
      <w:r>
        <w:rPr>
          <w:rFonts w:ascii="Arial" w:eastAsia="宋体" w:hAnsi="Arial" w:cs="Arial"/>
          <w:color w:val="000000"/>
          <w:sz w:val="20"/>
          <w:szCs w:val="20"/>
        </w:rPr>
        <w:t>53</w:t>
      </w:r>
    </w:p>
    <w:p w14:paraId="18601A70" w14:textId="77777777" w:rsidR="00A91885" w:rsidRDefault="009C4196">
      <w:r>
        <w:pict w14:anchorId="186021B8">
          <v:rect id="_x0000_i1077" style="width:415.3pt;height:1.5pt" o:hralign="center" o:hrstd="t" o:hr="t" fillcolor="#a0a0a0" stroked="f"/>
        </w:pict>
      </w:r>
    </w:p>
    <w:p w14:paraId="18601A71" w14:textId="77777777" w:rsidR="00A91885" w:rsidRDefault="009C4196">
      <w:hyperlink r:id="rId137" w:anchor="ieb971428a625452486c65ae24899afca_7" w:history="1">
        <w:r>
          <w:rPr>
            <w:rStyle w:val="a5"/>
            <w:rFonts w:ascii="Arial" w:eastAsia="宋体" w:hAnsi="Arial" w:cs="Arial"/>
            <w:sz w:val="18"/>
            <w:szCs w:val="18"/>
          </w:rPr>
          <w:t>Table of Contents</w:t>
        </w:r>
      </w:hyperlink>
    </w:p>
    <w:p w14:paraId="18601A72" w14:textId="77777777" w:rsidR="00A91885" w:rsidRDefault="009C4196">
      <w:pPr>
        <w:jc w:val="both"/>
      </w:pPr>
      <w:r>
        <w:rPr>
          <w:rFonts w:ascii="Arial" w:eastAsia="宋体" w:hAnsi="Arial" w:cs="Arial"/>
          <w:b/>
          <w:bCs/>
          <w:i/>
          <w:iCs/>
          <w:color w:val="000000"/>
          <w:sz w:val="20"/>
          <w:szCs w:val="20"/>
        </w:rPr>
        <w:t>Gain (Loss) on Equity Investments and Warrant, Net</w:t>
      </w:r>
    </w:p>
    <w:p w14:paraId="18601A73" w14:textId="77777777" w:rsidR="00A91885" w:rsidRDefault="00A91885">
      <w:pPr>
        <w:jc w:val="both"/>
      </w:pPr>
    </w:p>
    <w:p w14:paraId="18601A74" w14:textId="77777777" w:rsidR="00A91885" w:rsidRDefault="009C4196">
      <w:pPr>
        <w:spacing w:after="120"/>
        <w:ind w:firstLine="540"/>
        <w:jc w:val="both"/>
      </w:pPr>
      <w:r>
        <w:rPr>
          <w:rFonts w:ascii="Arial" w:eastAsia="宋体" w:hAnsi="Arial" w:cs="Arial"/>
          <w:color w:val="000000"/>
          <w:sz w:val="20"/>
          <w:szCs w:val="20"/>
        </w:rPr>
        <w:t>Gain (loss) on equity investments and warrant, net primarily consists of realized and unrealized gains and losses related t</w:t>
      </w:r>
      <w:r>
        <w:rPr>
          <w:rFonts w:ascii="Arial" w:eastAsia="宋体" w:hAnsi="Arial" w:cs="Arial"/>
          <w:color w:val="000000"/>
          <w:sz w:val="20"/>
          <w:szCs w:val="20"/>
        </w:rPr>
        <w:t xml:space="preserve">o our various types of equity investments, including our equity investments in Adevinta, Adyen, KakaoBank and Gmarket, and gains and losses due to changes in fair value of the warrant received from Adyen. The following table presents gain (loss) on equity </w:t>
      </w:r>
      <w:r>
        <w:rPr>
          <w:rFonts w:ascii="Arial" w:eastAsia="宋体" w:hAnsi="Arial" w:cs="Arial"/>
          <w:color w:val="000000"/>
          <w:sz w:val="20"/>
          <w:szCs w:val="20"/>
        </w:rPr>
        <w:t>investments and warrant, net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2800"/>
        <w:gridCol w:w="38"/>
        <w:gridCol w:w="121"/>
        <w:gridCol w:w="571"/>
        <w:gridCol w:w="181"/>
        <w:gridCol w:w="37"/>
        <w:gridCol w:w="88"/>
        <w:gridCol w:w="36"/>
        <w:gridCol w:w="121"/>
        <w:gridCol w:w="421"/>
        <w:gridCol w:w="181"/>
        <w:gridCol w:w="36"/>
        <w:gridCol w:w="36"/>
        <w:gridCol w:w="36"/>
        <w:gridCol w:w="90"/>
        <w:gridCol w:w="566"/>
        <w:gridCol w:w="181"/>
        <w:gridCol w:w="36"/>
        <w:gridCol w:w="36"/>
        <w:gridCol w:w="36"/>
        <w:gridCol w:w="121"/>
        <w:gridCol w:w="571"/>
        <w:gridCol w:w="181"/>
        <w:gridCol w:w="36"/>
        <w:gridCol w:w="36"/>
        <w:gridCol w:w="36"/>
        <w:gridCol w:w="121"/>
        <w:gridCol w:w="421"/>
        <w:gridCol w:w="181"/>
        <w:gridCol w:w="36"/>
        <w:gridCol w:w="36"/>
        <w:gridCol w:w="36"/>
        <w:gridCol w:w="90"/>
        <w:gridCol w:w="566"/>
        <w:gridCol w:w="181"/>
      </w:tblGrid>
      <w:tr w:rsidR="00A91885" w14:paraId="18601A99" w14:textId="77777777">
        <w:tc>
          <w:tcPr>
            <w:tcW w:w="50" w:type="pct"/>
            <w:shd w:val="clear" w:color="auto" w:fill="auto"/>
            <w:vAlign w:val="bottom"/>
          </w:tcPr>
          <w:p w14:paraId="18601A75" w14:textId="77777777" w:rsidR="00A91885" w:rsidRDefault="00A91885">
            <w:pPr>
              <w:rPr>
                <w:rFonts w:ascii="宋体"/>
              </w:rPr>
            </w:pPr>
          </w:p>
        </w:tc>
        <w:tc>
          <w:tcPr>
            <w:tcW w:w="2211" w:type="pct"/>
            <w:shd w:val="clear" w:color="auto" w:fill="auto"/>
            <w:vAlign w:val="bottom"/>
          </w:tcPr>
          <w:p w14:paraId="18601A76" w14:textId="77777777" w:rsidR="00A91885" w:rsidRDefault="00A91885">
            <w:pPr>
              <w:rPr>
                <w:rFonts w:ascii="宋体"/>
              </w:rPr>
            </w:pPr>
          </w:p>
        </w:tc>
        <w:tc>
          <w:tcPr>
            <w:tcW w:w="5" w:type="pct"/>
            <w:shd w:val="clear" w:color="auto" w:fill="auto"/>
            <w:vAlign w:val="bottom"/>
          </w:tcPr>
          <w:p w14:paraId="18601A77" w14:textId="77777777" w:rsidR="00A91885" w:rsidRDefault="00A91885">
            <w:pPr>
              <w:rPr>
                <w:rFonts w:ascii="宋体"/>
              </w:rPr>
            </w:pPr>
          </w:p>
        </w:tc>
        <w:tc>
          <w:tcPr>
            <w:tcW w:w="50" w:type="pct"/>
            <w:shd w:val="clear" w:color="auto" w:fill="auto"/>
            <w:vAlign w:val="bottom"/>
          </w:tcPr>
          <w:p w14:paraId="18601A78" w14:textId="77777777" w:rsidR="00A91885" w:rsidRDefault="00A91885">
            <w:pPr>
              <w:rPr>
                <w:rFonts w:ascii="宋体"/>
              </w:rPr>
            </w:pPr>
          </w:p>
        </w:tc>
        <w:tc>
          <w:tcPr>
            <w:tcW w:w="405" w:type="pct"/>
            <w:shd w:val="clear" w:color="auto" w:fill="auto"/>
            <w:vAlign w:val="bottom"/>
          </w:tcPr>
          <w:p w14:paraId="18601A79" w14:textId="77777777" w:rsidR="00A91885" w:rsidRDefault="00A91885">
            <w:pPr>
              <w:rPr>
                <w:rFonts w:ascii="宋体"/>
              </w:rPr>
            </w:pPr>
          </w:p>
        </w:tc>
        <w:tc>
          <w:tcPr>
            <w:tcW w:w="5" w:type="pct"/>
            <w:shd w:val="clear" w:color="auto" w:fill="auto"/>
            <w:vAlign w:val="bottom"/>
          </w:tcPr>
          <w:p w14:paraId="18601A7A" w14:textId="77777777" w:rsidR="00A91885" w:rsidRDefault="00A91885">
            <w:pPr>
              <w:rPr>
                <w:rFonts w:ascii="宋体"/>
              </w:rPr>
            </w:pPr>
          </w:p>
        </w:tc>
        <w:tc>
          <w:tcPr>
            <w:tcW w:w="5" w:type="pct"/>
            <w:shd w:val="clear" w:color="auto" w:fill="auto"/>
            <w:vAlign w:val="bottom"/>
          </w:tcPr>
          <w:p w14:paraId="18601A7B" w14:textId="77777777" w:rsidR="00A91885" w:rsidRDefault="00A91885">
            <w:pPr>
              <w:rPr>
                <w:rFonts w:ascii="宋体"/>
              </w:rPr>
            </w:pPr>
          </w:p>
        </w:tc>
        <w:tc>
          <w:tcPr>
            <w:tcW w:w="19" w:type="pct"/>
            <w:shd w:val="clear" w:color="auto" w:fill="auto"/>
            <w:vAlign w:val="bottom"/>
          </w:tcPr>
          <w:p w14:paraId="18601A7C" w14:textId="77777777" w:rsidR="00A91885" w:rsidRDefault="00A91885">
            <w:pPr>
              <w:rPr>
                <w:rFonts w:ascii="宋体"/>
              </w:rPr>
            </w:pPr>
          </w:p>
        </w:tc>
        <w:tc>
          <w:tcPr>
            <w:tcW w:w="5" w:type="pct"/>
            <w:shd w:val="clear" w:color="auto" w:fill="auto"/>
            <w:vAlign w:val="bottom"/>
          </w:tcPr>
          <w:p w14:paraId="18601A7D" w14:textId="77777777" w:rsidR="00A91885" w:rsidRDefault="00A91885">
            <w:pPr>
              <w:rPr>
                <w:rFonts w:ascii="宋体"/>
              </w:rPr>
            </w:pPr>
          </w:p>
        </w:tc>
        <w:tc>
          <w:tcPr>
            <w:tcW w:w="50" w:type="pct"/>
            <w:shd w:val="clear" w:color="auto" w:fill="auto"/>
            <w:vAlign w:val="bottom"/>
          </w:tcPr>
          <w:p w14:paraId="18601A7E" w14:textId="77777777" w:rsidR="00A91885" w:rsidRDefault="00A91885">
            <w:pPr>
              <w:rPr>
                <w:rFonts w:ascii="宋体"/>
              </w:rPr>
            </w:pPr>
          </w:p>
        </w:tc>
        <w:tc>
          <w:tcPr>
            <w:tcW w:w="405" w:type="pct"/>
            <w:shd w:val="clear" w:color="auto" w:fill="auto"/>
            <w:vAlign w:val="bottom"/>
          </w:tcPr>
          <w:p w14:paraId="18601A7F" w14:textId="77777777" w:rsidR="00A91885" w:rsidRDefault="00A91885">
            <w:pPr>
              <w:rPr>
                <w:rFonts w:ascii="宋体"/>
              </w:rPr>
            </w:pPr>
          </w:p>
        </w:tc>
        <w:tc>
          <w:tcPr>
            <w:tcW w:w="5" w:type="pct"/>
            <w:shd w:val="clear" w:color="auto" w:fill="auto"/>
            <w:vAlign w:val="bottom"/>
          </w:tcPr>
          <w:p w14:paraId="18601A80" w14:textId="77777777" w:rsidR="00A91885" w:rsidRDefault="00A91885">
            <w:pPr>
              <w:rPr>
                <w:rFonts w:ascii="宋体"/>
              </w:rPr>
            </w:pPr>
          </w:p>
        </w:tc>
        <w:tc>
          <w:tcPr>
            <w:tcW w:w="5" w:type="pct"/>
            <w:shd w:val="clear" w:color="auto" w:fill="auto"/>
            <w:vAlign w:val="bottom"/>
          </w:tcPr>
          <w:p w14:paraId="18601A81" w14:textId="77777777" w:rsidR="00A91885" w:rsidRDefault="00A91885">
            <w:pPr>
              <w:rPr>
                <w:rFonts w:ascii="宋体"/>
              </w:rPr>
            </w:pPr>
          </w:p>
        </w:tc>
        <w:tc>
          <w:tcPr>
            <w:tcW w:w="19" w:type="pct"/>
            <w:shd w:val="clear" w:color="auto" w:fill="auto"/>
            <w:vAlign w:val="bottom"/>
          </w:tcPr>
          <w:p w14:paraId="18601A82" w14:textId="77777777" w:rsidR="00A91885" w:rsidRDefault="00A91885">
            <w:pPr>
              <w:rPr>
                <w:rFonts w:ascii="宋体"/>
              </w:rPr>
            </w:pPr>
          </w:p>
        </w:tc>
        <w:tc>
          <w:tcPr>
            <w:tcW w:w="5" w:type="pct"/>
            <w:shd w:val="clear" w:color="auto" w:fill="auto"/>
            <w:vAlign w:val="bottom"/>
          </w:tcPr>
          <w:p w14:paraId="18601A83" w14:textId="77777777" w:rsidR="00A91885" w:rsidRDefault="00A91885">
            <w:pPr>
              <w:rPr>
                <w:rFonts w:ascii="宋体"/>
              </w:rPr>
            </w:pPr>
          </w:p>
        </w:tc>
        <w:tc>
          <w:tcPr>
            <w:tcW w:w="50" w:type="pct"/>
            <w:shd w:val="clear" w:color="auto" w:fill="auto"/>
            <w:vAlign w:val="bottom"/>
          </w:tcPr>
          <w:p w14:paraId="18601A84" w14:textId="77777777" w:rsidR="00A91885" w:rsidRDefault="00A91885">
            <w:pPr>
              <w:rPr>
                <w:rFonts w:ascii="宋体"/>
              </w:rPr>
            </w:pPr>
          </w:p>
        </w:tc>
        <w:tc>
          <w:tcPr>
            <w:tcW w:w="317" w:type="pct"/>
            <w:shd w:val="clear" w:color="auto" w:fill="auto"/>
            <w:vAlign w:val="bottom"/>
          </w:tcPr>
          <w:p w14:paraId="18601A85" w14:textId="77777777" w:rsidR="00A91885" w:rsidRDefault="00A91885">
            <w:pPr>
              <w:rPr>
                <w:rFonts w:ascii="宋体"/>
              </w:rPr>
            </w:pPr>
          </w:p>
        </w:tc>
        <w:tc>
          <w:tcPr>
            <w:tcW w:w="5" w:type="pct"/>
            <w:shd w:val="clear" w:color="auto" w:fill="auto"/>
            <w:vAlign w:val="bottom"/>
          </w:tcPr>
          <w:p w14:paraId="18601A86" w14:textId="77777777" w:rsidR="00A91885" w:rsidRDefault="00A91885">
            <w:pPr>
              <w:rPr>
                <w:rFonts w:ascii="宋体"/>
              </w:rPr>
            </w:pPr>
          </w:p>
        </w:tc>
        <w:tc>
          <w:tcPr>
            <w:tcW w:w="5" w:type="pct"/>
            <w:shd w:val="clear" w:color="auto" w:fill="auto"/>
            <w:vAlign w:val="bottom"/>
          </w:tcPr>
          <w:p w14:paraId="18601A87" w14:textId="77777777" w:rsidR="00A91885" w:rsidRDefault="00A91885">
            <w:pPr>
              <w:rPr>
                <w:rFonts w:ascii="宋体"/>
              </w:rPr>
            </w:pPr>
          </w:p>
        </w:tc>
        <w:tc>
          <w:tcPr>
            <w:tcW w:w="19" w:type="pct"/>
            <w:shd w:val="clear" w:color="auto" w:fill="auto"/>
            <w:vAlign w:val="bottom"/>
          </w:tcPr>
          <w:p w14:paraId="18601A88" w14:textId="77777777" w:rsidR="00A91885" w:rsidRDefault="00A91885">
            <w:pPr>
              <w:rPr>
                <w:rFonts w:ascii="宋体"/>
              </w:rPr>
            </w:pPr>
          </w:p>
        </w:tc>
        <w:tc>
          <w:tcPr>
            <w:tcW w:w="5" w:type="pct"/>
            <w:shd w:val="clear" w:color="auto" w:fill="auto"/>
            <w:vAlign w:val="bottom"/>
          </w:tcPr>
          <w:p w14:paraId="18601A89" w14:textId="77777777" w:rsidR="00A91885" w:rsidRDefault="00A91885">
            <w:pPr>
              <w:rPr>
                <w:rFonts w:ascii="宋体"/>
              </w:rPr>
            </w:pPr>
          </w:p>
        </w:tc>
        <w:tc>
          <w:tcPr>
            <w:tcW w:w="50" w:type="pct"/>
            <w:shd w:val="clear" w:color="auto" w:fill="auto"/>
            <w:vAlign w:val="bottom"/>
          </w:tcPr>
          <w:p w14:paraId="18601A8A" w14:textId="77777777" w:rsidR="00A91885" w:rsidRDefault="00A91885">
            <w:pPr>
              <w:rPr>
                <w:rFonts w:ascii="宋体"/>
              </w:rPr>
            </w:pPr>
          </w:p>
        </w:tc>
        <w:tc>
          <w:tcPr>
            <w:tcW w:w="405" w:type="pct"/>
            <w:shd w:val="clear" w:color="auto" w:fill="auto"/>
            <w:vAlign w:val="bottom"/>
          </w:tcPr>
          <w:p w14:paraId="18601A8B" w14:textId="77777777" w:rsidR="00A91885" w:rsidRDefault="00A91885">
            <w:pPr>
              <w:rPr>
                <w:rFonts w:ascii="宋体"/>
              </w:rPr>
            </w:pPr>
          </w:p>
        </w:tc>
        <w:tc>
          <w:tcPr>
            <w:tcW w:w="5" w:type="pct"/>
            <w:shd w:val="clear" w:color="auto" w:fill="auto"/>
            <w:vAlign w:val="bottom"/>
          </w:tcPr>
          <w:p w14:paraId="18601A8C" w14:textId="77777777" w:rsidR="00A91885" w:rsidRDefault="00A91885">
            <w:pPr>
              <w:rPr>
                <w:rFonts w:ascii="宋体"/>
              </w:rPr>
            </w:pPr>
          </w:p>
        </w:tc>
        <w:tc>
          <w:tcPr>
            <w:tcW w:w="5" w:type="pct"/>
            <w:shd w:val="clear" w:color="auto" w:fill="auto"/>
            <w:vAlign w:val="bottom"/>
          </w:tcPr>
          <w:p w14:paraId="18601A8D" w14:textId="77777777" w:rsidR="00A91885" w:rsidRDefault="00A91885">
            <w:pPr>
              <w:rPr>
                <w:rFonts w:ascii="宋体"/>
              </w:rPr>
            </w:pPr>
          </w:p>
        </w:tc>
        <w:tc>
          <w:tcPr>
            <w:tcW w:w="19" w:type="pct"/>
            <w:shd w:val="clear" w:color="auto" w:fill="auto"/>
            <w:vAlign w:val="bottom"/>
          </w:tcPr>
          <w:p w14:paraId="18601A8E" w14:textId="77777777" w:rsidR="00A91885" w:rsidRDefault="00A91885">
            <w:pPr>
              <w:rPr>
                <w:rFonts w:ascii="宋体"/>
              </w:rPr>
            </w:pPr>
          </w:p>
        </w:tc>
        <w:tc>
          <w:tcPr>
            <w:tcW w:w="5" w:type="pct"/>
            <w:shd w:val="clear" w:color="auto" w:fill="auto"/>
            <w:vAlign w:val="bottom"/>
          </w:tcPr>
          <w:p w14:paraId="18601A8F" w14:textId="77777777" w:rsidR="00A91885" w:rsidRDefault="00A91885">
            <w:pPr>
              <w:rPr>
                <w:rFonts w:ascii="宋体"/>
              </w:rPr>
            </w:pPr>
          </w:p>
        </w:tc>
        <w:tc>
          <w:tcPr>
            <w:tcW w:w="50" w:type="pct"/>
            <w:shd w:val="clear" w:color="auto" w:fill="auto"/>
            <w:vAlign w:val="bottom"/>
          </w:tcPr>
          <w:p w14:paraId="18601A90" w14:textId="77777777" w:rsidR="00A91885" w:rsidRDefault="00A91885">
            <w:pPr>
              <w:rPr>
                <w:rFonts w:ascii="宋体"/>
              </w:rPr>
            </w:pPr>
          </w:p>
        </w:tc>
        <w:tc>
          <w:tcPr>
            <w:tcW w:w="405" w:type="pct"/>
            <w:shd w:val="clear" w:color="auto" w:fill="auto"/>
            <w:vAlign w:val="bottom"/>
          </w:tcPr>
          <w:p w14:paraId="18601A91" w14:textId="77777777" w:rsidR="00A91885" w:rsidRDefault="00A91885">
            <w:pPr>
              <w:rPr>
                <w:rFonts w:ascii="宋体"/>
              </w:rPr>
            </w:pPr>
          </w:p>
        </w:tc>
        <w:tc>
          <w:tcPr>
            <w:tcW w:w="5" w:type="pct"/>
            <w:shd w:val="clear" w:color="auto" w:fill="auto"/>
            <w:vAlign w:val="bottom"/>
          </w:tcPr>
          <w:p w14:paraId="18601A92" w14:textId="77777777" w:rsidR="00A91885" w:rsidRDefault="00A91885">
            <w:pPr>
              <w:rPr>
                <w:rFonts w:ascii="宋体"/>
              </w:rPr>
            </w:pPr>
          </w:p>
        </w:tc>
        <w:tc>
          <w:tcPr>
            <w:tcW w:w="5" w:type="pct"/>
            <w:shd w:val="clear" w:color="auto" w:fill="auto"/>
            <w:vAlign w:val="bottom"/>
          </w:tcPr>
          <w:p w14:paraId="18601A93" w14:textId="77777777" w:rsidR="00A91885" w:rsidRDefault="00A91885">
            <w:pPr>
              <w:rPr>
                <w:rFonts w:ascii="宋体"/>
              </w:rPr>
            </w:pPr>
          </w:p>
        </w:tc>
        <w:tc>
          <w:tcPr>
            <w:tcW w:w="19" w:type="pct"/>
            <w:shd w:val="clear" w:color="auto" w:fill="auto"/>
            <w:vAlign w:val="bottom"/>
          </w:tcPr>
          <w:p w14:paraId="18601A94" w14:textId="77777777" w:rsidR="00A91885" w:rsidRDefault="00A91885">
            <w:pPr>
              <w:rPr>
                <w:rFonts w:ascii="宋体"/>
              </w:rPr>
            </w:pPr>
          </w:p>
        </w:tc>
        <w:tc>
          <w:tcPr>
            <w:tcW w:w="5" w:type="pct"/>
            <w:shd w:val="clear" w:color="auto" w:fill="auto"/>
            <w:vAlign w:val="bottom"/>
          </w:tcPr>
          <w:p w14:paraId="18601A95" w14:textId="77777777" w:rsidR="00A91885" w:rsidRDefault="00A91885">
            <w:pPr>
              <w:rPr>
                <w:rFonts w:ascii="宋体"/>
              </w:rPr>
            </w:pPr>
          </w:p>
        </w:tc>
        <w:tc>
          <w:tcPr>
            <w:tcW w:w="50" w:type="pct"/>
            <w:shd w:val="clear" w:color="auto" w:fill="auto"/>
            <w:vAlign w:val="bottom"/>
          </w:tcPr>
          <w:p w14:paraId="18601A96" w14:textId="77777777" w:rsidR="00A91885" w:rsidRDefault="00A91885">
            <w:pPr>
              <w:rPr>
                <w:rFonts w:ascii="宋体"/>
              </w:rPr>
            </w:pPr>
          </w:p>
        </w:tc>
        <w:tc>
          <w:tcPr>
            <w:tcW w:w="318" w:type="pct"/>
            <w:shd w:val="clear" w:color="auto" w:fill="auto"/>
            <w:vAlign w:val="bottom"/>
          </w:tcPr>
          <w:p w14:paraId="18601A97" w14:textId="77777777" w:rsidR="00A91885" w:rsidRDefault="00A91885">
            <w:pPr>
              <w:rPr>
                <w:rFonts w:ascii="宋体"/>
              </w:rPr>
            </w:pPr>
          </w:p>
        </w:tc>
        <w:tc>
          <w:tcPr>
            <w:tcW w:w="5" w:type="pct"/>
            <w:shd w:val="clear" w:color="auto" w:fill="auto"/>
            <w:vAlign w:val="bottom"/>
          </w:tcPr>
          <w:p w14:paraId="18601A98" w14:textId="77777777" w:rsidR="00A91885" w:rsidRDefault="00A91885">
            <w:pPr>
              <w:rPr>
                <w:rFonts w:ascii="宋体"/>
              </w:rPr>
            </w:pPr>
          </w:p>
        </w:tc>
      </w:tr>
      <w:tr w:rsidR="00A91885" w14:paraId="18601AA2" w14:textId="77777777">
        <w:tc>
          <w:tcPr>
            <w:tcW w:w="0" w:type="auto"/>
            <w:gridSpan w:val="3"/>
            <w:shd w:val="clear" w:color="auto" w:fill="auto"/>
            <w:tcMar>
              <w:top w:w="40" w:type="dxa"/>
              <w:left w:w="20" w:type="dxa"/>
              <w:bottom w:w="40" w:type="dxa"/>
              <w:right w:w="20" w:type="dxa"/>
            </w:tcMar>
            <w:vAlign w:val="bottom"/>
          </w:tcPr>
          <w:p w14:paraId="18601A9A" w14:textId="77777777" w:rsidR="00A91885" w:rsidRDefault="009C4196">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18601A9B"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A9C"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A9D"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A9E"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A9F"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AA0"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AA1" w14:textId="77777777" w:rsidR="00A91885" w:rsidRDefault="00A91885">
            <w:pPr>
              <w:rPr>
                <w:rFonts w:ascii="宋体"/>
              </w:rPr>
            </w:pPr>
          </w:p>
        </w:tc>
      </w:tr>
      <w:tr w:rsidR="00A91885" w14:paraId="18601AAF" w14:textId="77777777">
        <w:tc>
          <w:tcPr>
            <w:tcW w:w="0" w:type="auto"/>
            <w:gridSpan w:val="3"/>
            <w:shd w:val="clear" w:color="auto" w:fill="auto"/>
            <w:tcMar>
              <w:top w:w="40" w:type="dxa"/>
              <w:left w:w="20" w:type="dxa"/>
              <w:bottom w:w="40" w:type="dxa"/>
              <w:right w:w="20" w:type="dxa"/>
            </w:tcMar>
            <w:vAlign w:val="bottom"/>
          </w:tcPr>
          <w:p w14:paraId="18601AA3" w14:textId="77777777" w:rsidR="00A91885" w:rsidRDefault="009C4196">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AA4"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AA5" w14:textId="77777777" w:rsidR="00A91885" w:rsidRDefault="009C4196">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AA6"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AA7"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AA8" w14:textId="77777777" w:rsidR="00A91885" w:rsidRDefault="009C4196">
            <w:pPr>
              <w:jc w:val="center"/>
              <w:textAlignment w:val="bottom"/>
            </w:pPr>
            <w:r>
              <w:rPr>
                <w:rFonts w:ascii="Arial" w:eastAsia="宋体" w:hAnsi="Arial" w:cs="Arial"/>
                <w:b/>
                <w:bCs/>
                <w:color w:val="000000"/>
                <w:sz w:val="17"/>
                <w:szCs w:val="17"/>
              </w:rPr>
              <w:t xml:space="preserve">% </w:t>
            </w:r>
            <w:r>
              <w:rPr>
                <w:rFonts w:ascii="Arial" w:eastAsia="宋体" w:hAnsi="Arial" w:cs="Arial"/>
                <w:b/>
                <w:bCs/>
                <w:color w:val="000000"/>
                <w:sz w:val="17"/>
                <w:szCs w:val="17"/>
              </w:rPr>
              <w:t>Change</w:t>
            </w:r>
          </w:p>
        </w:tc>
        <w:tc>
          <w:tcPr>
            <w:tcW w:w="0" w:type="auto"/>
            <w:gridSpan w:val="3"/>
            <w:shd w:val="clear" w:color="auto" w:fill="auto"/>
            <w:tcMar>
              <w:top w:w="0" w:type="dxa"/>
              <w:left w:w="20" w:type="dxa"/>
              <w:bottom w:w="0" w:type="dxa"/>
              <w:right w:w="20" w:type="dxa"/>
            </w:tcMar>
            <w:vAlign w:val="bottom"/>
          </w:tcPr>
          <w:p w14:paraId="18601AA9"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AAA"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AAB"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AAC"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AAD"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AAE" w14:textId="77777777" w:rsidR="00A91885" w:rsidRDefault="009C4196">
            <w:pPr>
              <w:jc w:val="center"/>
              <w:textAlignment w:val="bottom"/>
            </w:pPr>
            <w:r>
              <w:rPr>
                <w:rFonts w:ascii="Arial" w:eastAsia="宋体" w:hAnsi="Arial" w:cs="Arial"/>
                <w:b/>
                <w:bCs/>
                <w:color w:val="000000"/>
                <w:sz w:val="17"/>
                <w:szCs w:val="17"/>
              </w:rPr>
              <w:t>% Change</w:t>
            </w:r>
          </w:p>
        </w:tc>
      </w:tr>
      <w:tr w:rsidR="00A91885" w14:paraId="18601AC5" w14:textId="77777777">
        <w:tc>
          <w:tcPr>
            <w:tcW w:w="0" w:type="auto"/>
            <w:gridSpan w:val="3"/>
            <w:shd w:val="clear" w:color="auto" w:fill="E2E2E2"/>
            <w:tcMar>
              <w:top w:w="40" w:type="dxa"/>
              <w:left w:w="20" w:type="dxa"/>
              <w:bottom w:w="40" w:type="dxa"/>
              <w:right w:w="20" w:type="dxa"/>
            </w:tcMar>
            <w:vAlign w:val="bottom"/>
          </w:tcPr>
          <w:p w14:paraId="18601AB0" w14:textId="77777777" w:rsidR="00A91885" w:rsidRDefault="009C4196">
            <w:pPr>
              <w:textAlignment w:val="bottom"/>
            </w:pPr>
            <w:r>
              <w:rPr>
                <w:rFonts w:ascii="Arial" w:eastAsia="宋体" w:hAnsi="Arial" w:cs="Arial"/>
                <w:color w:val="000000"/>
                <w:sz w:val="18"/>
                <w:szCs w:val="18"/>
              </w:rPr>
              <w:t>Change in fair value of equity investment in Adevinta</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1AB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AB2" w14:textId="77777777" w:rsidR="00A91885" w:rsidRDefault="009C4196">
            <w:pPr>
              <w:jc w:val="right"/>
              <w:textAlignment w:val="bottom"/>
            </w:pPr>
            <w:r>
              <w:rPr>
                <w:rFonts w:ascii="Arial" w:eastAsia="宋体" w:hAnsi="Arial" w:cs="Arial"/>
                <w:color w:val="000000"/>
                <w:sz w:val="18"/>
                <w:szCs w:val="18"/>
              </w:rPr>
              <w:t>(829)</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AB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AB4"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AB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AB6" w14:textId="77777777" w:rsidR="00A91885" w:rsidRDefault="009C4196">
            <w:pPr>
              <w:jc w:val="right"/>
              <w:textAlignment w:val="bottom"/>
            </w:pPr>
            <w:r>
              <w:rPr>
                <w:rFonts w:ascii="Arial" w:eastAsia="宋体" w:hAnsi="Arial" w:cs="Arial"/>
                <w:color w:val="000000"/>
                <w:sz w:val="18"/>
                <w:szCs w:val="18"/>
              </w:rPr>
              <w:t>(422)</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AB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AB8"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1AB9" w14:textId="77777777" w:rsidR="00A91885" w:rsidRDefault="009C4196">
            <w:pPr>
              <w:jc w:val="right"/>
              <w:textAlignment w:val="bottom"/>
            </w:pPr>
            <w:r>
              <w:rPr>
                <w:rFonts w:ascii="Arial" w:eastAsia="宋体" w:hAnsi="Arial" w:cs="Arial"/>
                <w:color w:val="000000"/>
                <w:sz w:val="18"/>
                <w:szCs w:val="18"/>
              </w:rPr>
              <w:t>96 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ABA"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ABB"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AB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ABD" w14:textId="77777777" w:rsidR="00A91885" w:rsidRDefault="009C4196">
            <w:pPr>
              <w:jc w:val="right"/>
              <w:textAlignment w:val="bottom"/>
            </w:pPr>
            <w:r>
              <w:rPr>
                <w:rFonts w:ascii="Arial" w:eastAsia="宋体" w:hAnsi="Arial" w:cs="Arial"/>
                <w:color w:val="000000"/>
                <w:sz w:val="18"/>
                <w:szCs w:val="18"/>
              </w:rPr>
              <w:t>(2,472)</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AB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ABF"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AC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AC1" w14:textId="77777777" w:rsidR="00A91885" w:rsidRDefault="009C4196">
            <w:pPr>
              <w:jc w:val="right"/>
              <w:textAlignment w:val="bottom"/>
            </w:pPr>
            <w:r>
              <w:rPr>
                <w:rFonts w:ascii="Arial" w:eastAsia="宋体" w:hAnsi="Arial" w:cs="Arial"/>
                <w:color w:val="000000"/>
                <w:sz w:val="18"/>
                <w:szCs w:val="18"/>
              </w:rPr>
              <w:t>(422)</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AC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AC3" w14:textId="77777777" w:rsidR="00A91885" w:rsidRDefault="00A91885">
            <w:pPr>
              <w:rPr>
                <w:rFonts w:ascii="宋体"/>
              </w:rPr>
            </w:pPr>
          </w:p>
        </w:tc>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8601AC4" w14:textId="77777777" w:rsidR="00A91885" w:rsidRDefault="009C4196">
            <w:pPr>
              <w:jc w:val="right"/>
              <w:textAlignment w:val="bottom"/>
            </w:pPr>
            <w:r>
              <w:rPr>
                <w:rFonts w:ascii="Arial" w:eastAsia="宋体" w:hAnsi="Arial" w:cs="Arial"/>
                <w:color w:val="000000"/>
                <w:sz w:val="18"/>
                <w:szCs w:val="18"/>
              </w:rPr>
              <w:t>**</w:t>
            </w:r>
          </w:p>
        </w:tc>
      </w:tr>
      <w:tr w:rsidR="00A91885" w14:paraId="18601AD6" w14:textId="77777777">
        <w:tc>
          <w:tcPr>
            <w:tcW w:w="0" w:type="auto"/>
            <w:gridSpan w:val="3"/>
            <w:shd w:val="clear" w:color="auto" w:fill="FFFFFF"/>
            <w:tcMar>
              <w:top w:w="40" w:type="dxa"/>
              <w:left w:w="20" w:type="dxa"/>
              <w:bottom w:w="40" w:type="dxa"/>
              <w:right w:w="20" w:type="dxa"/>
            </w:tcMar>
            <w:vAlign w:val="bottom"/>
          </w:tcPr>
          <w:p w14:paraId="18601AC6" w14:textId="77777777" w:rsidR="00A91885" w:rsidRDefault="009C4196">
            <w:pPr>
              <w:textAlignment w:val="bottom"/>
            </w:pPr>
            <w:r>
              <w:rPr>
                <w:rFonts w:ascii="Arial" w:eastAsia="宋体" w:hAnsi="Arial" w:cs="Arial"/>
                <w:color w:val="000000"/>
                <w:sz w:val="18"/>
                <w:szCs w:val="18"/>
              </w:rPr>
              <w:t xml:space="preserve">Change in fair value of </w:t>
            </w:r>
            <w:r>
              <w:rPr>
                <w:rFonts w:ascii="Arial" w:eastAsia="宋体" w:hAnsi="Arial" w:cs="Arial"/>
                <w:color w:val="000000"/>
                <w:sz w:val="18"/>
                <w:szCs w:val="18"/>
              </w:rPr>
              <w:t>equity investment in Gmarket</w:t>
            </w:r>
          </w:p>
        </w:tc>
        <w:tc>
          <w:tcPr>
            <w:tcW w:w="0" w:type="auto"/>
            <w:gridSpan w:val="2"/>
            <w:shd w:val="clear" w:color="auto" w:fill="FFFFFF"/>
            <w:tcMar>
              <w:top w:w="40" w:type="dxa"/>
              <w:left w:w="20" w:type="dxa"/>
              <w:bottom w:w="40" w:type="dxa"/>
              <w:right w:w="0" w:type="dxa"/>
            </w:tcMar>
            <w:vAlign w:val="bottom"/>
          </w:tcPr>
          <w:p w14:paraId="18601AC7" w14:textId="77777777" w:rsidR="00A91885" w:rsidRDefault="009C4196">
            <w:pPr>
              <w:jc w:val="right"/>
              <w:textAlignment w:val="bottom"/>
            </w:pPr>
            <w:r>
              <w:rPr>
                <w:rFonts w:ascii="Arial" w:eastAsia="宋体" w:hAnsi="Arial" w:cs="Arial"/>
                <w:color w:val="000000"/>
                <w:sz w:val="18"/>
                <w:szCs w:val="18"/>
              </w:rPr>
              <w:t>(77)</w:t>
            </w:r>
          </w:p>
        </w:tc>
        <w:tc>
          <w:tcPr>
            <w:tcW w:w="0" w:type="auto"/>
            <w:shd w:val="clear" w:color="auto" w:fill="FFFFFF"/>
            <w:tcMar>
              <w:top w:w="40" w:type="dxa"/>
              <w:left w:w="0" w:type="dxa"/>
              <w:bottom w:w="40" w:type="dxa"/>
              <w:right w:w="20" w:type="dxa"/>
            </w:tcMar>
            <w:vAlign w:val="bottom"/>
          </w:tcPr>
          <w:p w14:paraId="18601AC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AC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ACA"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1AC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ACC"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1ACD"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ACE"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ACF" w14:textId="77777777" w:rsidR="00A91885" w:rsidRDefault="009C4196">
            <w:pPr>
              <w:jc w:val="right"/>
              <w:textAlignment w:val="bottom"/>
            </w:pPr>
            <w:r>
              <w:rPr>
                <w:rFonts w:ascii="Arial" w:eastAsia="宋体" w:hAnsi="Arial" w:cs="Arial"/>
                <w:color w:val="000000"/>
                <w:sz w:val="18"/>
                <w:szCs w:val="18"/>
              </w:rPr>
              <w:t>(259)</w:t>
            </w:r>
          </w:p>
        </w:tc>
        <w:tc>
          <w:tcPr>
            <w:tcW w:w="0" w:type="auto"/>
            <w:shd w:val="clear" w:color="auto" w:fill="FFFFFF"/>
            <w:tcMar>
              <w:top w:w="40" w:type="dxa"/>
              <w:left w:w="0" w:type="dxa"/>
              <w:bottom w:w="40" w:type="dxa"/>
              <w:right w:w="20" w:type="dxa"/>
            </w:tcMar>
            <w:vAlign w:val="bottom"/>
          </w:tcPr>
          <w:p w14:paraId="18601AD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AD1"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AD2"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1AD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AD4"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1AD5" w14:textId="77777777" w:rsidR="00A91885" w:rsidRDefault="009C4196">
            <w:pPr>
              <w:jc w:val="right"/>
              <w:textAlignment w:val="bottom"/>
            </w:pPr>
            <w:r>
              <w:rPr>
                <w:rFonts w:ascii="Arial" w:eastAsia="宋体" w:hAnsi="Arial" w:cs="Arial"/>
                <w:color w:val="000000"/>
                <w:sz w:val="18"/>
                <w:szCs w:val="18"/>
              </w:rPr>
              <w:t>**</w:t>
            </w:r>
          </w:p>
        </w:tc>
      </w:tr>
      <w:tr w:rsidR="00A91885" w14:paraId="18601AE7" w14:textId="77777777">
        <w:tc>
          <w:tcPr>
            <w:tcW w:w="0" w:type="auto"/>
            <w:gridSpan w:val="3"/>
            <w:shd w:val="clear" w:color="auto" w:fill="E2E2E2"/>
            <w:tcMar>
              <w:top w:w="40" w:type="dxa"/>
              <w:left w:w="20" w:type="dxa"/>
              <w:bottom w:w="40" w:type="dxa"/>
              <w:right w:w="20" w:type="dxa"/>
            </w:tcMar>
            <w:vAlign w:val="bottom"/>
          </w:tcPr>
          <w:p w14:paraId="18601AD7" w14:textId="77777777" w:rsidR="00A91885" w:rsidRDefault="009C4196">
            <w:pPr>
              <w:textAlignment w:val="bottom"/>
            </w:pPr>
            <w:r>
              <w:rPr>
                <w:rFonts w:ascii="Arial" w:eastAsia="宋体" w:hAnsi="Arial" w:cs="Arial"/>
                <w:color w:val="000000"/>
                <w:sz w:val="18"/>
                <w:szCs w:val="18"/>
              </w:rPr>
              <w:t>Unrealized change in fair value of equity investment in KakaoBank</w:t>
            </w:r>
          </w:p>
        </w:tc>
        <w:tc>
          <w:tcPr>
            <w:tcW w:w="0" w:type="auto"/>
            <w:gridSpan w:val="2"/>
            <w:shd w:val="clear" w:color="auto" w:fill="E2E2E2"/>
            <w:tcMar>
              <w:top w:w="40" w:type="dxa"/>
              <w:left w:w="20" w:type="dxa"/>
              <w:bottom w:w="40" w:type="dxa"/>
              <w:right w:w="0" w:type="dxa"/>
            </w:tcMar>
            <w:vAlign w:val="bottom"/>
          </w:tcPr>
          <w:p w14:paraId="18601AD8" w14:textId="77777777" w:rsidR="00A91885" w:rsidRDefault="009C4196">
            <w:pPr>
              <w:jc w:val="right"/>
              <w:textAlignment w:val="bottom"/>
            </w:pPr>
            <w:r>
              <w:rPr>
                <w:rFonts w:ascii="Arial" w:eastAsia="宋体" w:hAnsi="Arial" w:cs="Arial"/>
                <w:color w:val="000000"/>
                <w:sz w:val="18"/>
                <w:szCs w:val="18"/>
              </w:rPr>
              <w:t>(105)</w:t>
            </w:r>
          </w:p>
        </w:tc>
        <w:tc>
          <w:tcPr>
            <w:tcW w:w="0" w:type="auto"/>
            <w:shd w:val="clear" w:color="auto" w:fill="E2E2E2"/>
            <w:tcMar>
              <w:top w:w="40" w:type="dxa"/>
              <w:left w:w="0" w:type="dxa"/>
              <w:bottom w:w="40" w:type="dxa"/>
              <w:right w:w="20" w:type="dxa"/>
            </w:tcMar>
            <w:vAlign w:val="bottom"/>
          </w:tcPr>
          <w:p w14:paraId="18601AD9"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ADA"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ADB"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1AD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ADD" w14:textId="77777777" w:rsidR="00A91885" w:rsidRDefault="00A91885">
            <w:pPr>
              <w:rPr>
                <w:rFonts w:ascii="宋体"/>
              </w:rPr>
            </w:pPr>
          </w:p>
        </w:tc>
        <w:tc>
          <w:tcPr>
            <w:tcW w:w="0" w:type="auto"/>
            <w:gridSpan w:val="3"/>
            <w:shd w:val="clear" w:color="auto" w:fill="E2E2E2"/>
            <w:tcMar>
              <w:top w:w="40" w:type="dxa"/>
              <w:left w:w="20" w:type="dxa"/>
              <w:bottom w:w="40" w:type="dxa"/>
              <w:right w:w="20" w:type="dxa"/>
            </w:tcMar>
            <w:vAlign w:val="bottom"/>
          </w:tcPr>
          <w:p w14:paraId="18601ADE"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ADF"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AE0" w14:textId="77777777" w:rsidR="00A91885" w:rsidRDefault="009C4196">
            <w:pPr>
              <w:jc w:val="right"/>
              <w:textAlignment w:val="bottom"/>
            </w:pPr>
            <w:r>
              <w:rPr>
                <w:rFonts w:ascii="Arial" w:eastAsia="宋体" w:hAnsi="Arial" w:cs="Arial"/>
                <w:color w:val="000000"/>
                <w:sz w:val="18"/>
                <w:szCs w:val="18"/>
              </w:rPr>
              <w:t>(196)</w:t>
            </w:r>
          </w:p>
        </w:tc>
        <w:tc>
          <w:tcPr>
            <w:tcW w:w="0" w:type="auto"/>
            <w:shd w:val="clear" w:color="auto" w:fill="E2E2E2"/>
            <w:tcMar>
              <w:top w:w="40" w:type="dxa"/>
              <w:left w:w="0" w:type="dxa"/>
              <w:bottom w:w="40" w:type="dxa"/>
              <w:right w:w="20" w:type="dxa"/>
            </w:tcMar>
            <w:vAlign w:val="bottom"/>
          </w:tcPr>
          <w:p w14:paraId="18601AE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AE2"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AE3"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1AE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AE5" w14:textId="77777777" w:rsidR="00A91885" w:rsidRDefault="00A91885">
            <w:pPr>
              <w:rPr>
                <w:rFonts w:ascii="宋体"/>
              </w:rPr>
            </w:pPr>
          </w:p>
        </w:tc>
        <w:tc>
          <w:tcPr>
            <w:tcW w:w="0" w:type="auto"/>
            <w:gridSpan w:val="3"/>
            <w:shd w:val="clear" w:color="auto" w:fill="E2E2E2"/>
            <w:tcMar>
              <w:top w:w="40" w:type="dxa"/>
              <w:left w:w="20" w:type="dxa"/>
              <w:bottom w:w="40" w:type="dxa"/>
              <w:right w:w="20" w:type="dxa"/>
            </w:tcMar>
            <w:vAlign w:val="bottom"/>
          </w:tcPr>
          <w:p w14:paraId="18601AE6" w14:textId="77777777" w:rsidR="00A91885" w:rsidRDefault="009C4196">
            <w:pPr>
              <w:jc w:val="right"/>
              <w:textAlignment w:val="bottom"/>
            </w:pPr>
            <w:r>
              <w:rPr>
                <w:rFonts w:ascii="Arial" w:eastAsia="宋体" w:hAnsi="Arial" w:cs="Arial"/>
                <w:color w:val="000000"/>
                <w:sz w:val="18"/>
                <w:szCs w:val="18"/>
              </w:rPr>
              <w:t>**</w:t>
            </w:r>
          </w:p>
        </w:tc>
      </w:tr>
      <w:tr w:rsidR="00A91885" w14:paraId="18601AF8" w14:textId="77777777">
        <w:tc>
          <w:tcPr>
            <w:tcW w:w="0" w:type="auto"/>
            <w:gridSpan w:val="3"/>
            <w:shd w:val="clear" w:color="auto" w:fill="FFFFFF"/>
            <w:tcMar>
              <w:top w:w="40" w:type="dxa"/>
              <w:left w:w="20" w:type="dxa"/>
              <w:bottom w:w="40" w:type="dxa"/>
              <w:right w:w="20" w:type="dxa"/>
            </w:tcMar>
            <w:vAlign w:val="bottom"/>
          </w:tcPr>
          <w:p w14:paraId="18601AE8" w14:textId="77777777" w:rsidR="00A91885" w:rsidRDefault="009C4196">
            <w:pPr>
              <w:textAlignment w:val="bottom"/>
            </w:pPr>
            <w:r>
              <w:rPr>
                <w:rFonts w:ascii="Arial" w:eastAsia="宋体" w:hAnsi="Arial" w:cs="Arial"/>
                <w:color w:val="000000"/>
                <w:sz w:val="18"/>
                <w:szCs w:val="18"/>
              </w:rPr>
              <w:t>Unrealized change in fair value of equity investment in Adyen</w:t>
            </w:r>
          </w:p>
        </w:tc>
        <w:tc>
          <w:tcPr>
            <w:tcW w:w="0" w:type="auto"/>
            <w:gridSpan w:val="2"/>
            <w:shd w:val="clear" w:color="auto" w:fill="FFFFFF"/>
            <w:tcMar>
              <w:top w:w="40" w:type="dxa"/>
              <w:left w:w="20" w:type="dxa"/>
              <w:bottom w:w="40" w:type="dxa"/>
              <w:right w:w="0" w:type="dxa"/>
            </w:tcMar>
            <w:vAlign w:val="bottom"/>
          </w:tcPr>
          <w:p w14:paraId="18601AE9" w14:textId="77777777" w:rsidR="00A91885" w:rsidRDefault="009C4196">
            <w:pPr>
              <w:jc w:val="right"/>
              <w:textAlignment w:val="bottom"/>
            </w:pPr>
            <w:r>
              <w:rPr>
                <w:rFonts w:ascii="Arial" w:eastAsia="宋体" w:hAnsi="Arial" w:cs="Arial"/>
                <w:color w:val="000000"/>
                <w:sz w:val="18"/>
                <w:szCs w:val="18"/>
              </w:rPr>
              <w:t>(38)</w:t>
            </w:r>
          </w:p>
        </w:tc>
        <w:tc>
          <w:tcPr>
            <w:tcW w:w="0" w:type="auto"/>
            <w:shd w:val="clear" w:color="auto" w:fill="FFFFFF"/>
            <w:tcMar>
              <w:top w:w="40" w:type="dxa"/>
              <w:left w:w="0" w:type="dxa"/>
              <w:bottom w:w="40" w:type="dxa"/>
              <w:right w:w="20" w:type="dxa"/>
            </w:tcMar>
            <w:vAlign w:val="bottom"/>
          </w:tcPr>
          <w:p w14:paraId="18601AE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AE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AEC"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1AE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AEE"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1AEF"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AF0"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AF1" w14:textId="77777777" w:rsidR="00A91885" w:rsidRDefault="009C4196">
            <w:pPr>
              <w:jc w:val="right"/>
              <w:textAlignment w:val="bottom"/>
            </w:pPr>
            <w:r>
              <w:rPr>
                <w:rFonts w:ascii="Arial" w:eastAsia="宋体" w:hAnsi="Arial" w:cs="Arial"/>
                <w:color w:val="000000"/>
                <w:sz w:val="18"/>
                <w:szCs w:val="18"/>
              </w:rPr>
              <w:t>(118)</w:t>
            </w:r>
          </w:p>
        </w:tc>
        <w:tc>
          <w:tcPr>
            <w:tcW w:w="0" w:type="auto"/>
            <w:shd w:val="clear" w:color="auto" w:fill="FFFFFF"/>
            <w:tcMar>
              <w:top w:w="40" w:type="dxa"/>
              <w:left w:w="0" w:type="dxa"/>
              <w:bottom w:w="40" w:type="dxa"/>
              <w:right w:w="20" w:type="dxa"/>
            </w:tcMar>
            <w:vAlign w:val="bottom"/>
          </w:tcPr>
          <w:p w14:paraId="18601AF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AF3"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AF4"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1AF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AF6"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1AF7" w14:textId="77777777" w:rsidR="00A91885" w:rsidRDefault="009C4196">
            <w:pPr>
              <w:jc w:val="right"/>
              <w:textAlignment w:val="bottom"/>
            </w:pPr>
            <w:r>
              <w:rPr>
                <w:rFonts w:ascii="Arial" w:eastAsia="宋体" w:hAnsi="Arial" w:cs="Arial"/>
                <w:color w:val="000000"/>
                <w:sz w:val="18"/>
                <w:szCs w:val="18"/>
              </w:rPr>
              <w:t>**</w:t>
            </w:r>
          </w:p>
        </w:tc>
      </w:tr>
      <w:tr w:rsidR="00A91885" w14:paraId="18601B09" w14:textId="77777777">
        <w:tc>
          <w:tcPr>
            <w:tcW w:w="0" w:type="auto"/>
            <w:gridSpan w:val="3"/>
            <w:shd w:val="clear" w:color="auto" w:fill="E2E2E2"/>
            <w:tcMar>
              <w:top w:w="40" w:type="dxa"/>
              <w:left w:w="20" w:type="dxa"/>
              <w:bottom w:w="40" w:type="dxa"/>
              <w:right w:w="20" w:type="dxa"/>
            </w:tcMar>
            <w:vAlign w:val="bottom"/>
          </w:tcPr>
          <w:p w14:paraId="18601AF9" w14:textId="77777777" w:rsidR="00A91885" w:rsidRDefault="009C4196">
            <w:pPr>
              <w:textAlignment w:val="bottom"/>
            </w:pPr>
            <w:r>
              <w:rPr>
                <w:rFonts w:ascii="Arial" w:eastAsia="宋体" w:hAnsi="Arial" w:cs="Arial"/>
                <w:color w:val="000000"/>
                <w:sz w:val="18"/>
                <w:szCs w:val="18"/>
              </w:rPr>
              <w:t>Realized change in fair value of shares sold in Adyen</w:t>
            </w:r>
          </w:p>
        </w:tc>
        <w:tc>
          <w:tcPr>
            <w:tcW w:w="0" w:type="auto"/>
            <w:gridSpan w:val="2"/>
            <w:shd w:val="clear" w:color="auto" w:fill="E2E2E2"/>
            <w:tcMar>
              <w:top w:w="40" w:type="dxa"/>
              <w:left w:w="20" w:type="dxa"/>
              <w:bottom w:w="40" w:type="dxa"/>
              <w:right w:w="0" w:type="dxa"/>
            </w:tcMar>
            <w:vAlign w:val="bottom"/>
          </w:tcPr>
          <w:p w14:paraId="18601AFA" w14:textId="77777777" w:rsidR="00A91885" w:rsidRDefault="009C4196">
            <w:pPr>
              <w:jc w:val="right"/>
              <w:textAlignment w:val="bottom"/>
            </w:pPr>
            <w:r>
              <w:rPr>
                <w:rFonts w:ascii="Arial" w:eastAsia="宋体" w:hAnsi="Arial" w:cs="Arial"/>
                <w:color w:val="000000"/>
                <w:sz w:val="18"/>
                <w:szCs w:val="18"/>
              </w:rPr>
              <w:t>(1)</w:t>
            </w:r>
          </w:p>
        </w:tc>
        <w:tc>
          <w:tcPr>
            <w:tcW w:w="0" w:type="auto"/>
            <w:shd w:val="clear" w:color="auto" w:fill="E2E2E2"/>
            <w:tcMar>
              <w:top w:w="40" w:type="dxa"/>
              <w:left w:w="0" w:type="dxa"/>
              <w:bottom w:w="40" w:type="dxa"/>
              <w:right w:w="20" w:type="dxa"/>
            </w:tcMar>
            <w:vAlign w:val="bottom"/>
          </w:tcPr>
          <w:p w14:paraId="18601AFB"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AFC"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AFD"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1AFE"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AFF" w14:textId="77777777" w:rsidR="00A91885" w:rsidRDefault="00A91885">
            <w:pPr>
              <w:rPr>
                <w:rFonts w:ascii="宋体"/>
              </w:rPr>
            </w:pPr>
          </w:p>
        </w:tc>
        <w:tc>
          <w:tcPr>
            <w:tcW w:w="0" w:type="auto"/>
            <w:gridSpan w:val="3"/>
            <w:shd w:val="clear" w:color="auto" w:fill="E2E2E2"/>
            <w:tcMar>
              <w:top w:w="40" w:type="dxa"/>
              <w:left w:w="20" w:type="dxa"/>
              <w:bottom w:w="40" w:type="dxa"/>
              <w:right w:w="20" w:type="dxa"/>
            </w:tcMar>
            <w:vAlign w:val="bottom"/>
          </w:tcPr>
          <w:p w14:paraId="18601B00"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B0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B02" w14:textId="77777777" w:rsidR="00A91885" w:rsidRDefault="009C4196">
            <w:pPr>
              <w:jc w:val="right"/>
              <w:textAlignment w:val="bottom"/>
            </w:pPr>
            <w:r>
              <w:rPr>
                <w:rFonts w:ascii="Arial" w:eastAsia="宋体" w:hAnsi="Arial" w:cs="Arial"/>
                <w:color w:val="000000"/>
                <w:sz w:val="18"/>
                <w:szCs w:val="18"/>
              </w:rPr>
              <w:t>(167)</w:t>
            </w:r>
          </w:p>
        </w:tc>
        <w:tc>
          <w:tcPr>
            <w:tcW w:w="0" w:type="auto"/>
            <w:shd w:val="clear" w:color="auto" w:fill="E2E2E2"/>
            <w:tcMar>
              <w:top w:w="40" w:type="dxa"/>
              <w:left w:w="0" w:type="dxa"/>
              <w:bottom w:w="40" w:type="dxa"/>
              <w:right w:w="20" w:type="dxa"/>
            </w:tcMar>
            <w:vAlign w:val="bottom"/>
          </w:tcPr>
          <w:p w14:paraId="18601B03"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B04"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B05"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E2E2E2"/>
            <w:tcMar>
              <w:top w:w="40" w:type="dxa"/>
              <w:left w:w="0" w:type="dxa"/>
              <w:bottom w:w="40" w:type="dxa"/>
              <w:right w:w="20" w:type="dxa"/>
            </w:tcMar>
            <w:vAlign w:val="bottom"/>
          </w:tcPr>
          <w:p w14:paraId="18601B0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B07" w14:textId="77777777" w:rsidR="00A91885" w:rsidRDefault="00A91885">
            <w:pPr>
              <w:rPr>
                <w:rFonts w:ascii="宋体"/>
              </w:rPr>
            </w:pPr>
          </w:p>
        </w:tc>
        <w:tc>
          <w:tcPr>
            <w:tcW w:w="0" w:type="auto"/>
            <w:gridSpan w:val="3"/>
            <w:shd w:val="clear" w:color="auto" w:fill="E2E2E2"/>
            <w:tcMar>
              <w:top w:w="40" w:type="dxa"/>
              <w:left w:w="20" w:type="dxa"/>
              <w:bottom w:w="40" w:type="dxa"/>
              <w:right w:w="20" w:type="dxa"/>
            </w:tcMar>
            <w:vAlign w:val="bottom"/>
          </w:tcPr>
          <w:p w14:paraId="18601B08" w14:textId="77777777" w:rsidR="00A91885" w:rsidRDefault="009C4196">
            <w:pPr>
              <w:jc w:val="right"/>
              <w:textAlignment w:val="bottom"/>
            </w:pPr>
            <w:r>
              <w:rPr>
                <w:rFonts w:ascii="Arial" w:eastAsia="宋体" w:hAnsi="Arial" w:cs="Arial"/>
                <w:color w:val="000000"/>
                <w:sz w:val="18"/>
                <w:szCs w:val="18"/>
              </w:rPr>
              <w:t>**</w:t>
            </w:r>
          </w:p>
        </w:tc>
      </w:tr>
      <w:tr w:rsidR="00A91885" w14:paraId="18601B1A" w14:textId="77777777">
        <w:tc>
          <w:tcPr>
            <w:tcW w:w="0" w:type="auto"/>
            <w:gridSpan w:val="3"/>
            <w:shd w:val="clear" w:color="auto" w:fill="FFFFFF"/>
            <w:tcMar>
              <w:top w:w="40" w:type="dxa"/>
              <w:left w:w="20" w:type="dxa"/>
              <w:bottom w:w="40" w:type="dxa"/>
              <w:right w:w="20" w:type="dxa"/>
            </w:tcMar>
            <w:vAlign w:val="bottom"/>
          </w:tcPr>
          <w:p w14:paraId="18601B0A" w14:textId="77777777" w:rsidR="00A91885" w:rsidRDefault="009C4196">
            <w:pPr>
              <w:textAlignment w:val="bottom"/>
            </w:pPr>
            <w:r>
              <w:rPr>
                <w:rFonts w:ascii="Arial" w:eastAsia="宋体" w:hAnsi="Arial" w:cs="Arial"/>
                <w:color w:val="000000"/>
                <w:sz w:val="18"/>
                <w:szCs w:val="18"/>
              </w:rPr>
              <w:t>Realized change in fair value of shares sold in KakaoBank</w:t>
            </w:r>
          </w:p>
        </w:tc>
        <w:tc>
          <w:tcPr>
            <w:tcW w:w="0" w:type="auto"/>
            <w:gridSpan w:val="2"/>
            <w:shd w:val="clear" w:color="auto" w:fill="FFFFFF"/>
            <w:tcMar>
              <w:top w:w="40" w:type="dxa"/>
              <w:left w:w="20" w:type="dxa"/>
              <w:bottom w:w="40" w:type="dxa"/>
              <w:right w:w="0" w:type="dxa"/>
            </w:tcMar>
            <w:vAlign w:val="bottom"/>
          </w:tcPr>
          <w:p w14:paraId="18601B0B" w14:textId="77777777" w:rsidR="00A91885" w:rsidRDefault="009C4196">
            <w:pPr>
              <w:jc w:val="right"/>
              <w:textAlignment w:val="bottom"/>
            </w:pPr>
            <w:r>
              <w:rPr>
                <w:rFonts w:ascii="Arial" w:eastAsia="宋体" w:hAnsi="Arial" w:cs="Arial"/>
                <w:color w:val="000000"/>
                <w:sz w:val="18"/>
                <w:szCs w:val="18"/>
              </w:rPr>
              <w:t>(67)</w:t>
            </w:r>
          </w:p>
        </w:tc>
        <w:tc>
          <w:tcPr>
            <w:tcW w:w="0" w:type="auto"/>
            <w:shd w:val="clear" w:color="auto" w:fill="FFFFFF"/>
            <w:tcMar>
              <w:top w:w="40" w:type="dxa"/>
              <w:left w:w="0" w:type="dxa"/>
              <w:bottom w:w="40" w:type="dxa"/>
              <w:right w:w="20" w:type="dxa"/>
            </w:tcMar>
            <w:vAlign w:val="bottom"/>
          </w:tcPr>
          <w:p w14:paraId="18601B0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B0D"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B0E"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1B0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B10"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1B11"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B1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B13" w14:textId="77777777" w:rsidR="00A91885" w:rsidRDefault="009C4196">
            <w:pPr>
              <w:jc w:val="right"/>
              <w:textAlignment w:val="bottom"/>
            </w:pPr>
            <w:r>
              <w:rPr>
                <w:rFonts w:ascii="Arial" w:eastAsia="宋体" w:hAnsi="Arial" w:cs="Arial"/>
                <w:color w:val="000000"/>
                <w:sz w:val="18"/>
                <w:szCs w:val="18"/>
              </w:rPr>
              <w:t>(75)</w:t>
            </w:r>
          </w:p>
        </w:tc>
        <w:tc>
          <w:tcPr>
            <w:tcW w:w="0" w:type="auto"/>
            <w:shd w:val="clear" w:color="auto" w:fill="FFFFFF"/>
            <w:tcMar>
              <w:top w:w="40" w:type="dxa"/>
              <w:left w:w="0" w:type="dxa"/>
              <w:bottom w:w="40" w:type="dxa"/>
              <w:right w:w="20" w:type="dxa"/>
            </w:tcMar>
            <w:vAlign w:val="bottom"/>
          </w:tcPr>
          <w:p w14:paraId="18601B1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B1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B16"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1B1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B18" w14:textId="77777777" w:rsidR="00A91885" w:rsidRDefault="00A91885">
            <w:pPr>
              <w:rPr>
                <w:rFonts w:ascii="宋体"/>
              </w:rPr>
            </w:pPr>
          </w:p>
        </w:tc>
        <w:tc>
          <w:tcPr>
            <w:tcW w:w="0" w:type="auto"/>
            <w:gridSpan w:val="3"/>
            <w:shd w:val="clear" w:color="auto" w:fill="FFFFFF"/>
            <w:tcMar>
              <w:top w:w="40" w:type="dxa"/>
              <w:left w:w="20" w:type="dxa"/>
              <w:bottom w:w="40" w:type="dxa"/>
              <w:right w:w="20" w:type="dxa"/>
            </w:tcMar>
            <w:vAlign w:val="bottom"/>
          </w:tcPr>
          <w:p w14:paraId="18601B19" w14:textId="77777777" w:rsidR="00A91885" w:rsidRDefault="009C4196">
            <w:pPr>
              <w:jc w:val="right"/>
              <w:textAlignment w:val="bottom"/>
            </w:pPr>
            <w:r>
              <w:rPr>
                <w:rFonts w:ascii="Arial" w:eastAsia="宋体" w:hAnsi="Arial" w:cs="Arial"/>
                <w:color w:val="000000"/>
                <w:sz w:val="18"/>
                <w:szCs w:val="18"/>
              </w:rPr>
              <w:t>**</w:t>
            </w:r>
          </w:p>
        </w:tc>
      </w:tr>
      <w:tr w:rsidR="00A91885" w14:paraId="18601B2C" w14:textId="77777777">
        <w:tc>
          <w:tcPr>
            <w:tcW w:w="0" w:type="auto"/>
            <w:gridSpan w:val="3"/>
            <w:shd w:val="clear" w:color="auto" w:fill="E2E2E2"/>
            <w:tcMar>
              <w:top w:w="40" w:type="dxa"/>
              <w:left w:w="20" w:type="dxa"/>
              <w:bottom w:w="40" w:type="dxa"/>
              <w:right w:w="20" w:type="dxa"/>
            </w:tcMar>
            <w:vAlign w:val="bottom"/>
          </w:tcPr>
          <w:p w14:paraId="18601B1B" w14:textId="77777777" w:rsidR="00A91885" w:rsidRDefault="009C4196">
            <w:pPr>
              <w:textAlignment w:val="bottom"/>
            </w:pPr>
            <w:r>
              <w:rPr>
                <w:rFonts w:ascii="Arial" w:eastAsia="宋体" w:hAnsi="Arial" w:cs="Arial"/>
                <w:color w:val="000000"/>
                <w:sz w:val="18"/>
                <w:szCs w:val="18"/>
              </w:rPr>
              <w:t>Change in fair value of warrant</w:t>
            </w:r>
          </w:p>
        </w:tc>
        <w:tc>
          <w:tcPr>
            <w:tcW w:w="0" w:type="auto"/>
            <w:gridSpan w:val="2"/>
            <w:shd w:val="clear" w:color="auto" w:fill="E2E2E2"/>
            <w:tcMar>
              <w:top w:w="40" w:type="dxa"/>
              <w:left w:w="20" w:type="dxa"/>
              <w:bottom w:w="40" w:type="dxa"/>
              <w:right w:w="0" w:type="dxa"/>
            </w:tcMar>
            <w:vAlign w:val="bottom"/>
          </w:tcPr>
          <w:p w14:paraId="18601B1C" w14:textId="77777777" w:rsidR="00A91885" w:rsidRDefault="009C4196">
            <w:pPr>
              <w:jc w:val="right"/>
              <w:textAlignment w:val="bottom"/>
            </w:pPr>
            <w:r>
              <w:rPr>
                <w:rFonts w:ascii="Arial" w:eastAsia="宋体" w:hAnsi="Arial" w:cs="Arial"/>
                <w:color w:val="000000"/>
                <w:sz w:val="18"/>
                <w:szCs w:val="18"/>
              </w:rPr>
              <w:t>(104)</w:t>
            </w:r>
          </w:p>
        </w:tc>
        <w:tc>
          <w:tcPr>
            <w:tcW w:w="0" w:type="auto"/>
            <w:shd w:val="clear" w:color="auto" w:fill="E2E2E2"/>
            <w:tcMar>
              <w:top w:w="40" w:type="dxa"/>
              <w:left w:w="0" w:type="dxa"/>
              <w:bottom w:w="40" w:type="dxa"/>
              <w:right w:w="20" w:type="dxa"/>
            </w:tcMar>
            <w:vAlign w:val="bottom"/>
          </w:tcPr>
          <w:p w14:paraId="18601B1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B1E"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B1F" w14:textId="77777777" w:rsidR="00A91885" w:rsidRDefault="009C4196">
            <w:pPr>
              <w:jc w:val="right"/>
              <w:textAlignment w:val="bottom"/>
            </w:pPr>
            <w:r>
              <w:rPr>
                <w:rFonts w:ascii="Arial" w:eastAsia="宋体" w:hAnsi="Arial" w:cs="Arial"/>
                <w:color w:val="000000"/>
                <w:sz w:val="18"/>
                <w:szCs w:val="18"/>
              </w:rPr>
              <w:t>108 </w:t>
            </w:r>
          </w:p>
        </w:tc>
        <w:tc>
          <w:tcPr>
            <w:tcW w:w="0" w:type="auto"/>
            <w:shd w:val="clear" w:color="auto" w:fill="E2E2E2"/>
            <w:tcMar>
              <w:top w:w="40" w:type="dxa"/>
              <w:left w:w="0" w:type="dxa"/>
              <w:bottom w:w="40" w:type="dxa"/>
              <w:right w:w="20" w:type="dxa"/>
            </w:tcMar>
            <w:vAlign w:val="bottom"/>
          </w:tcPr>
          <w:p w14:paraId="18601B20"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B21"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B22" w14:textId="77777777" w:rsidR="00A91885" w:rsidRDefault="009C4196">
            <w:pPr>
              <w:jc w:val="right"/>
              <w:textAlignment w:val="bottom"/>
            </w:pPr>
            <w:r>
              <w:rPr>
                <w:rFonts w:ascii="Arial" w:eastAsia="宋体" w:hAnsi="Arial" w:cs="Arial"/>
                <w:color w:val="000000"/>
                <w:sz w:val="18"/>
                <w:szCs w:val="18"/>
              </w:rPr>
              <w:t>(196)</w:t>
            </w:r>
          </w:p>
        </w:tc>
        <w:tc>
          <w:tcPr>
            <w:tcW w:w="0" w:type="auto"/>
            <w:shd w:val="clear" w:color="auto" w:fill="E2E2E2"/>
            <w:tcMar>
              <w:top w:w="40" w:type="dxa"/>
              <w:left w:w="0" w:type="dxa"/>
              <w:bottom w:w="40" w:type="dxa"/>
              <w:right w:w="20" w:type="dxa"/>
            </w:tcMar>
            <w:vAlign w:val="bottom"/>
          </w:tcPr>
          <w:p w14:paraId="18601B23"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B24"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B25" w14:textId="77777777" w:rsidR="00A91885" w:rsidRDefault="009C4196">
            <w:pPr>
              <w:jc w:val="right"/>
              <w:textAlignment w:val="bottom"/>
            </w:pPr>
            <w:r>
              <w:rPr>
                <w:rFonts w:ascii="Arial" w:eastAsia="宋体" w:hAnsi="Arial" w:cs="Arial"/>
                <w:color w:val="000000"/>
                <w:sz w:val="18"/>
                <w:szCs w:val="18"/>
              </w:rPr>
              <w:t>(219)</w:t>
            </w:r>
          </w:p>
        </w:tc>
        <w:tc>
          <w:tcPr>
            <w:tcW w:w="0" w:type="auto"/>
            <w:shd w:val="clear" w:color="auto" w:fill="E2E2E2"/>
            <w:tcMar>
              <w:top w:w="40" w:type="dxa"/>
              <w:left w:w="0" w:type="dxa"/>
              <w:bottom w:w="40" w:type="dxa"/>
              <w:right w:w="20" w:type="dxa"/>
            </w:tcMar>
            <w:vAlign w:val="bottom"/>
          </w:tcPr>
          <w:p w14:paraId="18601B26"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B27"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B28" w14:textId="77777777" w:rsidR="00A91885" w:rsidRDefault="009C4196">
            <w:pPr>
              <w:jc w:val="right"/>
              <w:textAlignment w:val="bottom"/>
            </w:pPr>
            <w:r>
              <w:rPr>
                <w:rFonts w:ascii="Arial" w:eastAsia="宋体" w:hAnsi="Arial" w:cs="Arial"/>
                <w:color w:val="000000"/>
                <w:sz w:val="18"/>
                <w:szCs w:val="18"/>
              </w:rPr>
              <w:t>72 </w:t>
            </w:r>
          </w:p>
        </w:tc>
        <w:tc>
          <w:tcPr>
            <w:tcW w:w="0" w:type="auto"/>
            <w:shd w:val="clear" w:color="auto" w:fill="E2E2E2"/>
            <w:tcMar>
              <w:top w:w="40" w:type="dxa"/>
              <w:left w:w="0" w:type="dxa"/>
              <w:bottom w:w="40" w:type="dxa"/>
              <w:right w:w="20" w:type="dxa"/>
            </w:tcMar>
            <w:vAlign w:val="bottom"/>
          </w:tcPr>
          <w:p w14:paraId="18601B29"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B2A" w14:textId="77777777" w:rsidR="00A91885" w:rsidRDefault="00A91885">
            <w:pPr>
              <w:rPr>
                <w:rFonts w:ascii="宋体"/>
              </w:rPr>
            </w:pPr>
          </w:p>
        </w:tc>
        <w:tc>
          <w:tcPr>
            <w:tcW w:w="0" w:type="auto"/>
            <w:gridSpan w:val="3"/>
            <w:shd w:val="clear" w:color="auto" w:fill="E2E2E2"/>
            <w:tcMar>
              <w:top w:w="40" w:type="dxa"/>
              <w:left w:w="20" w:type="dxa"/>
              <w:bottom w:w="40" w:type="dxa"/>
              <w:right w:w="20" w:type="dxa"/>
            </w:tcMar>
            <w:vAlign w:val="bottom"/>
          </w:tcPr>
          <w:p w14:paraId="18601B2B" w14:textId="77777777" w:rsidR="00A91885" w:rsidRDefault="009C4196">
            <w:pPr>
              <w:jc w:val="right"/>
              <w:textAlignment w:val="bottom"/>
            </w:pPr>
            <w:r>
              <w:rPr>
                <w:rFonts w:ascii="Arial" w:eastAsia="宋体" w:hAnsi="Arial" w:cs="Arial"/>
                <w:color w:val="000000"/>
                <w:sz w:val="18"/>
                <w:szCs w:val="18"/>
              </w:rPr>
              <w:t>**</w:t>
            </w:r>
          </w:p>
        </w:tc>
      </w:tr>
      <w:tr w:rsidR="00A91885" w14:paraId="18601B3F" w14:textId="77777777">
        <w:tc>
          <w:tcPr>
            <w:tcW w:w="0" w:type="auto"/>
            <w:gridSpan w:val="3"/>
            <w:shd w:val="clear" w:color="auto" w:fill="FFFFFF"/>
            <w:tcMar>
              <w:top w:w="40" w:type="dxa"/>
              <w:left w:w="20" w:type="dxa"/>
              <w:bottom w:w="40" w:type="dxa"/>
              <w:right w:w="20" w:type="dxa"/>
            </w:tcMar>
            <w:vAlign w:val="bottom"/>
          </w:tcPr>
          <w:p w14:paraId="18601B2D" w14:textId="77777777" w:rsidR="00A91885" w:rsidRDefault="009C4196">
            <w:pPr>
              <w:textAlignment w:val="bottom"/>
            </w:pPr>
            <w:r>
              <w:rPr>
                <w:rFonts w:ascii="Arial" w:eastAsia="宋体" w:hAnsi="Arial" w:cs="Arial"/>
                <w:color w:val="000000"/>
                <w:sz w:val="18"/>
                <w:szCs w:val="18"/>
              </w:rPr>
              <w:t>Gain (loss) on other investments</w:t>
            </w:r>
          </w:p>
        </w:tc>
        <w:tc>
          <w:tcPr>
            <w:tcW w:w="0" w:type="auto"/>
            <w:gridSpan w:val="2"/>
            <w:shd w:val="clear" w:color="auto" w:fill="FFFFFF"/>
            <w:tcMar>
              <w:top w:w="40" w:type="dxa"/>
              <w:left w:w="20" w:type="dxa"/>
              <w:bottom w:w="40" w:type="dxa"/>
              <w:right w:w="0" w:type="dxa"/>
            </w:tcMar>
            <w:vAlign w:val="bottom"/>
          </w:tcPr>
          <w:p w14:paraId="18601B2E" w14:textId="77777777" w:rsidR="00A91885" w:rsidRDefault="009C4196">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18601B2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B30"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B31" w14:textId="77777777" w:rsidR="00A91885" w:rsidRDefault="009C4196">
            <w:pPr>
              <w:jc w:val="right"/>
              <w:textAlignment w:val="bottom"/>
            </w:pPr>
            <w:r>
              <w:rPr>
                <w:rFonts w:ascii="Arial" w:eastAsia="宋体" w:hAnsi="Arial" w:cs="Arial"/>
                <w:color w:val="000000"/>
                <w:sz w:val="18"/>
                <w:szCs w:val="18"/>
              </w:rPr>
              <w:t>41 </w:t>
            </w:r>
          </w:p>
        </w:tc>
        <w:tc>
          <w:tcPr>
            <w:tcW w:w="0" w:type="auto"/>
            <w:shd w:val="clear" w:color="auto" w:fill="FFFFFF"/>
            <w:tcMar>
              <w:top w:w="40" w:type="dxa"/>
              <w:left w:w="0" w:type="dxa"/>
              <w:bottom w:w="40" w:type="dxa"/>
              <w:right w:w="20" w:type="dxa"/>
            </w:tcMar>
            <w:vAlign w:val="bottom"/>
          </w:tcPr>
          <w:p w14:paraId="18601B3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B33"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B34" w14:textId="77777777" w:rsidR="00A91885" w:rsidRDefault="009C4196">
            <w:pPr>
              <w:jc w:val="right"/>
              <w:textAlignment w:val="bottom"/>
            </w:pPr>
            <w:r>
              <w:rPr>
                <w:rFonts w:ascii="Arial" w:eastAsia="宋体" w:hAnsi="Arial" w:cs="Arial"/>
                <w:color w:val="000000"/>
                <w:sz w:val="18"/>
                <w:szCs w:val="18"/>
              </w:rPr>
              <w:t>(100)</w:t>
            </w:r>
          </w:p>
        </w:tc>
        <w:tc>
          <w:tcPr>
            <w:tcW w:w="0" w:type="auto"/>
            <w:shd w:val="clear" w:color="auto" w:fill="FFFFFF"/>
            <w:tcMar>
              <w:top w:w="40" w:type="dxa"/>
              <w:left w:w="0" w:type="dxa"/>
              <w:bottom w:w="40" w:type="dxa"/>
              <w:right w:w="20" w:type="dxa"/>
            </w:tcMar>
            <w:vAlign w:val="bottom"/>
          </w:tcPr>
          <w:p w14:paraId="18601B35"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B36"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B37" w14:textId="77777777" w:rsidR="00A91885" w:rsidRDefault="009C4196">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18601B3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B3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B3A" w14:textId="77777777" w:rsidR="00A91885" w:rsidRDefault="009C4196">
            <w:pPr>
              <w:jc w:val="right"/>
              <w:textAlignment w:val="bottom"/>
            </w:pPr>
            <w:r>
              <w:rPr>
                <w:rFonts w:ascii="Arial" w:eastAsia="宋体" w:hAnsi="Arial" w:cs="Arial"/>
                <w:color w:val="000000"/>
                <w:sz w:val="18"/>
                <w:szCs w:val="18"/>
              </w:rPr>
              <w:t>41 </w:t>
            </w:r>
          </w:p>
        </w:tc>
        <w:tc>
          <w:tcPr>
            <w:tcW w:w="0" w:type="auto"/>
            <w:shd w:val="clear" w:color="auto" w:fill="FFFFFF"/>
            <w:tcMar>
              <w:top w:w="40" w:type="dxa"/>
              <w:left w:w="0" w:type="dxa"/>
              <w:bottom w:w="40" w:type="dxa"/>
              <w:right w:w="20" w:type="dxa"/>
            </w:tcMar>
            <w:vAlign w:val="bottom"/>
          </w:tcPr>
          <w:p w14:paraId="18601B3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B3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B3D" w14:textId="77777777" w:rsidR="00A91885" w:rsidRDefault="009C4196">
            <w:pPr>
              <w:jc w:val="right"/>
              <w:textAlignment w:val="bottom"/>
            </w:pPr>
            <w:r>
              <w:rPr>
                <w:rFonts w:ascii="Arial" w:eastAsia="宋体" w:hAnsi="Arial" w:cs="Arial"/>
                <w:color w:val="000000"/>
                <w:sz w:val="18"/>
                <w:szCs w:val="18"/>
              </w:rPr>
              <w:t>(115)</w:t>
            </w:r>
          </w:p>
        </w:tc>
        <w:tc>
          <w:tcPr>
            <w:tcW w:w="0" w:type="auto"/>
            <w:shd w:val="clear" w:color="auto" w:fill="FFFFFF"/>
            <w:tcMar>
              <w:top w:w="40" w:type="dxa"/>
              <w:left w:w="0" w:type="dxa"/>
              <w:bottom w:w="40" w:type="dxa"/>
              <w:right w:w="20" w:type="dxa"/>
            </w:tcMar>
            <w:vAlign w:val="bottom"/>
          </w:tcPr>
          <w:p w14:paraId="18601B3E" w14:textId="77777777" w:rsidR="00A91885" w:rsidRDefault="009C4196">
            <w:pPr>
              <w:jc w:val="right"/>
              <w:textAlignment w:val="bottom"/>
            </w:pPr>
            <w:r>
              <w:rPr>
                <w:rFonts w:ascii="Arial" w:eastAsia="宋体" w:hAnsi="Arial" w:cs="Arial"/>
                <w:color w:val="000000"/>
                <w:sz w:val="18"/>
                <w:szCs w:val="18"/>
              </w:rPr>
              <w:t>%</w:t>
            </w:r>
          </w:p>
        </w:tc>
      </w:tr>
      <w:tr w:rsidR="00A91885" w14:paraId="18601B54" w14:textId="77777777">
        <w:tc>
          <w:tcPr>
            <w:tcW w:w="0" w:type="auto"/>
            <w:gridSpan w:val="3"/>
            <w:shd w:val="clear" w:color="auto" w:fill="E2E2E2"/>
            <w:tcMar>
              <w:top w:w="40" w:type="dxa"/>
              <w:left w:w="155" w:type="dxa"/>
              <w:bottom w:w="40" w:type="dxa"/>
              <w:right w:w="20" w:type="dxa"/>
            </w:tcMar>
            <w:vAlign w:val="bottom"/>
          </w:tcPr>
          <w:p w14:paraId="18601B40" w14:textId="77777777" w:rsidR="00A91885" w:rsidRDefault="009C4196">
            <w:pPr>
              <w:textAlignment w:val="bottom"/>
            </w:pPr>
            <w:r>
              <w:rPr>
                <w:rFonts w:ascii="Arial" w:eastAsia="宋体" w:hAnsi="Arial" w:cs="Arial"/>
                <w:color w:val="000000"/>
                <w:sz w:val="18"/>
                <w:szCs w:val="18"/>
              </w:rPr>
              <w:t>Total gain (loss) on equity investments and warrant, net</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1B4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B42" w14:textId="77777777" w:rsidR="00A91885" w:rsidRDefault="009C4196">
            <w:pPr>
              <w:jc w:val="right"/>
              <w:textAlignment w:val="bottom"/>
            </w:pPr>
            <w:r>
              <w:rPr>
                <w:rFonts w:ascii="Arial" w:eastAsia="宋体" w:hAnsi="Arial" w:cs="Arial"/>
                <w:color w:val="000000"/>
                <w:sz w:val="18"/>
                <w:szCs w:val="18"/>
              </w:rPr>
              <w:t>(1,221)</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B43" w14:textId="77777777" w:rsidR="00A91885" w:rsidRDefault="00A91885">
            <w:pPr>
              <w:jc w:val="right"/>
              <w:rPr>
                <w:rFonts w:ascii="宋体"/>
              </w:rPr>
            </w:pPr>
          </w:p>
        </w:tc>
        <w:tc>
          <w:tcPr>
            <w:tcW w:w="0" w:type="auto"/>
            <w:gridSpan w:val="3"/>
            <w:shd w:val="clear" w:color="auto" w:fill="E2E2E2"/>
            <w:tcMar>
              <w:top w:w="40" w:type="dxa"/>
              <w:left w:w="20" w:type="dxa"/>
              <w:bottom w:w="40" w:type="dxa"/>
              <w:right w:w="20" w:type="dxa"/>
            </w:tcMar>
            <w:vAlign w:val="bottom"/>
          </w:tcPr>
          <w:p w14:paraId="18601B44" w14:textId="77777777" w:rsidR="00A91885" w:rsidRDefault="009C4196">
            <w:pPr>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1B4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B46" w14:textId="77777777" w:rsidR="00A91885" w:rsidRDefault="009C4196">
            <w:pPr>
              <w:jc w:val="right"/>
              <w:textAlignment w:val="bottom"/>
            </w:pPr>
            <w:r>
              <w:rPr>
                <w:rFonts w:ascii="Arial" w:eastAsia="宋体" w:hAnsi="Arial" w:cs="Arial"/>
                <w:color w:val="000000"/>
                <w:sz w:val="18"/>
                <w:szCs w:val="18"/>
              </w:rPr>
              <w:t>(273)</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B47"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B48" w14:textId="77777777" w:rsidR="00A91885" w:rsidRDefault="00A91885">
            <w:pPr>
              <w:rPr>
                <w:rFonts w:ascii="宋体"/>
              </w:rPr>
            </w:pPr>
          </w:p>
        </w:tc>
        <w:tc>
          <w:tcPr>
            <w:tcW w:w="0" w:type="auto"/>
            <w:gridSpan w:val="3"/>
            <w:shd w:val="clear" w:color="auto" w:fill="E2E2E2"/>
            <w:tcMar>
              <w:top w:w="40" w:type="dxa"/>
              <w:left w:w="20" w:type="dxa"/>
              <w:bottom w:w="40" w:type="dxa"/>
              <w:right w:w="20" w:type="dxa"/>
            </w:tcMar>
            <w:vAlign w:val="bottom"/>
          </w:tcPr>
          <w:p w14:paraId="18601B49"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2E2E2"/>
            <w:tcMar>
              <w:top w:w="0" w:type="dxa"/>
              <w:left w:w="20" w:type="dxa"/>
              <w:bottom w:w="0" w:type="dxa"/>
              <w:right w:w="20" w:type="dxa"/>
            </w:tcMar>
            <w:vAlign w:val="bottom"/>
          </w:tcPr>
          <w:p w14:paraId="18601B4A"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B4B"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B4C" w14:textId="77777777" w:rsidR="00A91885" w:rsidRDefault="009C4196">
            <w:pPr>
              <w:jc w:val="right"/>
              <w:textAlignment w:val="bottom"/>
            </w:pPr>
            <w:r>
              <w:rPr>
                <w:rFonts w:ascii="Arial" w:eastAsia="宋体" w:hAnsi="Arial" w:cs="Arial"/>
                <w:color w:val="000000"/>
                <w:sz w:val="18"/>
                <w:szCs w:val="18"/>
              </w:rPr>
              <w:t>(3,512)</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B4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B4E"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B4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1B50" w14:textId="77777777" w:rsidR="00A91885" w:rsidRDefault="009C4196">
            <w:pPr>
              <w:jc w:val="right"/>
              <w:textAlignment w:val="bottom"/>
            </w:pPr>
            <w:r>
              <w:rPr>
                <w:rFonts w:ascii="Arial" w:eastAsia="宋体" w:hAnsi="Arial" w:cs="Arial"/>
                <w:color w:val="000000"/>
                <w:sz w:val="18"/>
                <w:szCs w:val="18"/>
              </w:rPr>
              <w:t>(309)</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1B5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B52" w14:textId="77777777" w:rsidR="00A91885" w:rsidRDefault="00A91885">
            <w:pPr>
              <w:rPr>
                <w:rFonts w:ascii="宋体"/>
              </w:rPr>
            </w:pPr>
          </w:p>
        </w:tc>
        <w:tc>
          <w:tcPr>
            <w:tcW w:w="0" w:type="auto"/>
            <w:gridSpan w:val="3"/>
            <w:shd w:val="clear" w:color="auto" w:fill="E2E2E2"/>
            <w:tcMar>
              <w:top w:w="40" w:type="dxa"/>
              <w:left w:w="20" w:type="dxa"/>
              <w:bottom w:w="40" w:type="dxa"/>
              <w:right w:w="20" w:type="dxa"/>
            </w:tcMar>
            <w:vAlign w:val="bottom"/>
          </w:tcPr>
          <w:p w14:paraId="18601B53" w14:textId="77777777" w:rsidR="00A91885" w:rsidRDefault="009C4196">
            <w:pPr>
              <w:jc w:val="right"/>
              <w:textAlignment w:val="bottom"/>
            </w:pPr>
            <w:r>
              <w:rPr>
                <w:rFonts w:ascii="Arial" w:eastAsia="宋体" w:hAnsi="Arial" w:cs="Arial"/>
                <w:color w:val="000000"/>
                <w:sz w:val="18"/>
                <w:szCs w:val="18"/>
              </w:rPr>
              <w:t>**</w:t>
            </w:r>
          </w:p>
        </w:tc>
      </w:tr>
      <w:tr w:rsidR="00A91885" w14:paraId="18601B65" w14:textId="77777777">
        <w:tc>
          <w:tcPr>
            <w:tcW w:w="0" w:type="auto"/>
            <w:gridSpan w:val="3"/>
            <w:shd w:val="clear" w:color="auto" w:fill="FFFFFF"/>
            <w:tcMar>
              <w:top w:w="40" w:type="dxa"/>
              <w:left w:w="155" w:type="dxa"/>
              <w:bottom w:w="40" w:type="dxa"/>
              <w:right w:w="20" w:type="dxa"/>
            </w:tcMar>
            <w:vAlign w:val="bottom"/>
          </w:tcPr>
          <w:p w14:paraId="18601B55" w14:textId="77777777" w:rsidR="00A91885" w:rsidRDefault="009C4196">
            <w:pPr>
              <w:textAlignment w:val="bottom"/>
            </w:pPr>
            <w:r>
              <w:rPr>
                <w:rFonts w:ascii="Arial" w:eastAsia="宋体" w:hAnsi="Arial" w:cs="Arial"/>
                <w:i/>
                <w:iCs/>
                <w:color w:val="000000"/>
                <w:sz w:val="18"/>
                <w:szCs w:val="18"/>
              </w:rPr>
              <w:t>Percentage of net revenues</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8601B56" w14:textId="77777777" w:rsidR="00A91885" w:rsidRDefault="009C4196">
            <w:pPr>
              <w:jc w:val="right"/>
              <w:textAlignment w:val="bottom"/>
            </w:pPr>
            <w:r>
              <w:rPr>
                <w:rFonts w:ascii="Arial" w:eastAsia="宋体" w:hAnsi="Arial" w:cs="Arial"/>
                <w:i/>
                <w:iCs/>
                <w:color w:val="000000"/>
                <w:sz w:val="18"/>
                <w:szCs w:val="18"/>
              </w:rPr>
              <w:t>(50)</w:t>
            </w:r>
          </w:p>
        </w:tc>
        <w:tc>
          <w:tcPr>
            <w:tcW w:w="0" w:type="auto"/>
            <w:tcBorders>
              <w:top w:val="double" w:sz="6" w:space="0" w:color="000000"/>
            </w:tcBorders>
            <w:shd w:val="clear" w:color="auto" w:fill="FFFFFF"/>
            <w:tcMar>
              <w:top w:w="40" w:type="dxa"/>
              <w:left w:w="0" w:type="dxa"/>
              <w:bottom w:w="40" w:type="dxa"/>
              <w:right w:w="20" w:type="dxa"/>
            </w:tcMar>
            <w:vAlign w:val="bottom"/>
          </w:tcPr>
          <w:p w14:paraId="18601B57"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B58" w14:textId="77777777" w:rsidR="00A91885" w:rsidRDefault="00A91885">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8601B59" w14:textId="77777777" w:rsidR="00A91885" w:rsidRDefault="009C4196">
            <w:pPr>
              <w:jc w:val="right"/>
              <w:textAlignment w:val="bottom"/>
            </w:pPr>
            <w:r>
              <w:rPr>
                <w:rFonts w:ascii="Arial" w:eastAsia="宋体" w:hAnsi="Arial" w:cs="Arial"/>
                <w:i/>
                <w:iCs/>
                <w:color w:val="000000"/>
                <w:sz w:val="18"/>
                <w:szCs w:val="18"/>
              </w:rPr>
              <w:t>(10)</w:t>
            </w:r>
          </w:p>
        </w:tc>
        <w:tc>
          <w:tcPr>
            <w:tcW w:w="0" w:type="auto"/>
            <w:tcBorders>
              <w:top w:val="double" w:sz="6" w:space="0" w:color="000000"/>
            </w:tcBorders>
            <w:shd w:val="clear" w:color="auto" w:fill="FFFFFF"/>
            <w:tcMar>
              <w:top w:w="40" w:type="dxa"/>
              <w:left w:w="0" w:type="dxa"/>
              <w:bottom w:w="40" w:type="dxa"/>
              <w:right w:w="20" w:type="dxa"/>
            </w:tcMar>
            <w:vAlign w:val="bottom"/>
          </w:tcPr>
          <w:p w14:paraId="18601B5A"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B5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B5C"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B5D" w14:textId="77777777" w:rsidR="00A91885" w:rsidRDefault="00A91885">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8601B5E" w14:textId="77777777" w:rsidR="00A91885" w:rsidRDefault="009C4196">
            <w:pPr>
              <w:jc w:val="right"/>
              <w:textAlignment w:val="bottom"/>
            </w:pPr>
            <w:r>
              <w:rPr>
                <w:rFonts w:ascii="Arial" w:eastAsia="宋体" w:hAnsi="Arial" w:cs="Arial"/>
                <w:i/>
                <w:iCs/>
                <w:color w:val="000000"/>
                <w:sz w:val="18"/>
                <w:szCs w:val="18"/>
              </w:rPr>
              <w:t>(72)</w:t>
            </w:r>
          </w:p>
        </w:tc>
        <w:tc>
          <w:tcPr>
            <w:tcW w:w="0" w:type="auto"/>
            <w:tcBorders>
              <w:top w:val="double" w:sz="6" w:space="0" w:color="000000"/>
            </w:tcBorders>
            <w:shd w:val="clear" w:color="auto" w:fill="FFFFFF"/>
            <w:tcMar>
              <w:top w:w="40" w:type="dxa"/>
              <w:left w:w="0" w:type="dxa"/>
              <w:bottom w:w="40" w:type="dxa"/>
              <w:right w:w="20" w:type="dxa"/>
            </w:tcMar>
            <w:vAlign w:val="bottom"/>
          </w:tcPr>
          <w:p w14:paraId="18601B5F"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B60" w14:textId="77777777" w:rsidR="00A91885" w:rsidRDefault="00A91885">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18601B61" w14:textId="77777777" w:rsidR="00A91885" w:rsidRDefault="009C4196">
            <w:pPr>
              <w:jc w:val="right"/>
              <w:textAlignment w:val="bottom"/>
            </w:pPr>
            <w:r>
              <w:rPr>
                <w:rFonts w:ascii="Arial" w:eastAsia="宋体" w:hAnsi="Arial" w:cs="Arial"/>
                <w:i/>
                <w:iCs/>
                <w:color w:val="000000"/>
                <w:sz w:val="18"/>
                <w:szCs w:val="18"/>
              </w:rPr>
              <w:t>(6)</w:t>
            </w:r>
          </w:p>
        </w:tc>
        <w:tc>
          <w:tcPr>
            <w:tcW w:w="0" w:type="auto"/>
            <w:tcBorders>
              <w:top w:val="double" w:sz="6" w:space="0" w:color="000000"/>
            </w:tcBorders>
            <w:shd w:val="clear" w:color="auto" w:fill="FFFFFF"/>
            <w:tcMar>
              <w:top w:w="40" w:type="dxa"/>
              <w:left w:w="0" w:type="dxa"/>
              <w:bottom w:w="40" w:type="dxa"/>
              <w:right w:w="20" w:type="dxa"/>
            </w:tcMar>
            <w:vAlign w:val="bottom"/>
          </w:tcPr>
          <w:p w14:paraId="18601B62"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B63"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B64" w14:textId="77777777" w:rsidR="00A91885" w:rsidRDefault="00A91885">
            <w:pPr>
              <w:rPr>
                <w:rFonts w:ascii="宋体"/>
              </w:rPr>
            </w:pPr>
          </w:p>
        </w:tc>
      </w:tr>
    </w:tbl>
    <w:p w14:paraId="18601B66" w14:textId="77777777" w:rsidR="00A91885" w:rsidRDefault="009C4196">
      <w:pPr>
        <w:ind w:hanging="360"/>
        <w:jc w:val="both"/>
      </w:pPr>
      <w:r>
        <w:rPr>
          <w:rFonts w:ascii="Arial" w:eastAsia="宋体" w:hAnsi="Arial" w:cs="Arial"/>
          <w:color w:val="000000"/>
          <w:sz w:val="16"/>
          <w:szCs w:val="16"/>
        </w:rPr>
        <w:t>** Not meaningful</w:t>
      </w:r>
    </w:p>
    <w:p w14:paraId="18601B67" w14:textId="77777777" w:rsidR="00A91885" w:rsidRDefault="00A91885">
      <w:pPr>
        <w:ind w:hanging="360"/>
        <w:jc w:val="both"/>
      </w:pPr>
    </w:p>
    <w:p w14:paraId="18601B68" w14:textId="77777777" w:rsidR="00A91885" w:rsidRDefault="009C4196">
      <w:pPr>
        <w:ind w:firstLine="540"/>
        <w:jc w:val="both"/>
      </w:pPr>
      <w:r>
        <w:rPr>
          <w:rFonts w:ascii="Arial" w:eastAsia="宋体" w:hAnsi="Arial" w:cs="Arial"/>
          <w:color w:val="000000"/>
          <w:sz w:val="20"/>
          <w:szCs w:val="20"/>
        </w:rPr>
        <w:t>The increase in gain (loss) on equity method investments and warrant, net during the three months ended June 30, 2022 compared to the same per</w:t>
      </w:r>
      <w:r>
        <w:rPr>
          <w:rFonts w:ascii="Arial" w:eastAsia="宋体" w:hAnsi="Arial" w:cs="Arial"/>
          <w:color w:val="000000"/>
          <w:sz w:val="20"/>
          <w:szCs w:val="20"/>
        </w:rPr>
        <w:t>iod in 2021 was primarily driven by a $407 million change in the loss recorded from the change in fair value of our equity investment in Adevinta and a $212 million change in the loss recorded from the change in fair value of the warrant.</w:t>
      </w:r>
    </w:p>
    <w:p w14:paraId="18601B69" w14:textId="77777777" w:rsidR="00A91885" w:rsidRDefault="00A91885">
      <w:pPr>
        <w:ind w:firstLine="540"/>
        <w:jc w:val="both"/>
      </w:pPr>
    </w:p>
    <w:p w14:paraId="18601B6A" w14:textId="77777777" w:rsidR="00A91885" w:rsidRDefault="009C4196">
      <w:pPr>
        <w:ind w:firstLine="540"/>
        <w:jc w:val="both"/>
      </w:pPr>
      <w:r>
        <w:rPr>
          <w:rFonts w:ascii="Arial" w:eastAsia="宋体" w:hAnsi="Arial" w:cs="Arial"/>
          <w:color w:val="000000"/>
          <w:sz w:val="20"/>
          <w:szCs w:val="20"/>
        </w:rPr>
        <w:t xml:space="preserve">The increase in </w:t>
      </w:r>
      <w:r>
        <w:rPr>
          <w:rFonts w:ascii="Arial" w:eastAsia="宋体" w:hAnsi="Arial" w:cs="Arial"/>
          <w:color w:val="000000"/>
          <w:sz w:val="20"/>
          <w:szCs w:val="20"/>
        </w:rPr>
        <w:t>gain (loss) on equity method investments and warrant, net during the six months ended June 30, 2022 compared to the same period in 2021 was primarily driven by a $2.1 billion change in the loss recorded from the change in fair value of our equity investmen</w:t>
      </w:r>
      <w:r>
        <w:rPr>
          <w:rFonts w:ascii="Arial" w:eastAsia="宋体" w:hAnsi="Arial" w:cs="Arial"/>
          <w:color w:val="000000"/>
          <w:sz w:val="20"/>
          <w:szCs w:val="20"/>
        </w:rPr>
        <w:t>t in Adevinta.</w:t>
      </w:r>
    </w:p>
    <w:p w14:paraId="18601B6B" w14:textId="77777777" w:rsidR="00A91885" w:rsidRDefault="00A91885">
      <w:pPr>
        <w:jc w:val="both"/>
      </w:pPr>
    </w:p>
    <w:p w14:paraId="18601B6C" w14:textId="77777777" w:rsidR="00A91885" w:rsidRDefault="009C4196">
      <w:pPr>
        <w:jc w:val="both"/>
      </w:pPr>
      <w:r>
        <w:rPr>
          <w:rFonts w:ascii="Arial" w:eastAsia="宋体" w:hAnsi="Arial" w:cs="Arial"/>
          <w:b/>
          <w:bCs/>
          <w:i/>
          <w:iCs/>
          <w:color w:val="000000"/>
          <w:sz w:val="20"/>
          <w:szCs w:val="20"/>
        </w:rPr>
        <w:t>Interest and Other, Net</w:t>
      </w:r>
    </w:p>
    <w:p w14:paraId="18601B6D" w14:textId="77777777" w:rsidR="00A91885" w:rsidRDefault="009C4196">
      <w:pPr>
        <w:jc w:val="both"/>
      </w:pPr>
      <w:r>
        <w:rPr>
          <w:rFonts w:ascii="Arial" w:eastAsia="宋体" w:hAnsi="Arial" w:cs="Arial"/>
          <w:color w:val="000000"/>
          <w:sz w:val="20"/>
          <w:szCs w:val="20"/>
        </w:rPr>
        <w:t> </w:t>
      </w:r>
    </w:p>
    <w:p w14:paraId="18601B6E" w14:textId="77777777" w:rsidR="00A91885" w:rsidRDefault="009C4196">
      <w:pPr>
        <w:spacing w:after="120"/>
        <w:ind w:firstLine="540"/>
        <w:jc w:val="both"/>
      </w:pPr>
      <w:r>
        <w:rPr>
          <w:rFonts w:ascii="Arial" w:eastAsia="宋体" w:hAnsi="Arial" w:cs="Arial"/>
          <w:color w:val="000000"/>
          <w:sz w:val="20"/>
          <w:szCs w:val="20"/>
        </w:rPr>
        <w:t>Interest and other, net primarily consists of interest earned on cash, cash equivalents and investments, as well as foreign exchange transaction gains and losses, gain/loss on acquisitions or disposals and interest</w:t>
      </w:r>
      <w:r>
        <w:rPr>
          <w:rFonts w:ascii="Arial" w:eastAsia="宋体" w:hAnsi="Arial" w:cs="Arial"/>
          <w:color w:val="000000"/>
          <w:sz w:val="20"/>
          <w:szCs w:val="20"/>
        </w:rPr>
        <w:t xml:space="preserve"> expense, consisting of interest charges on any amounts borrowed and commitment fees on unborrowed amounts under our credit agreement and interest expense on our outstanding debt securities and commercial paper, if any. The following table presents interes</w:t>
      </w:r>
      <w:r>
        <w:rPr>
          <w:rFonts w:ascii="Arial" w:eastAsia="宋体" w:hAnsi="Arial" w:cs="Arial"/>
          <w:color w:val="000000"/>
          <w:sz w:val="20"/>
          <w:szCs w:val="20"/>
        </w:rPr>
        <w:t>t and other, net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39"/>
        <w:gridCol w:w="3199"/>
        <w:gridCol w:w="37"/>
        <w:gridCol w:w="121"/>
        <w:gridCol w:w="406"/>
        <w:gridCol w:w="181"/>
        <w:gridCol w:w="36"/>
        <w:gridCol w:w="36"/>
        <w:gridCol w:w="36"/>
        <w:gridCol w:w="121"/>
        <w:gridCol w:w="406"/>
        <w:gridCol w:w="181"/>
        <w:gridCol w:w="36"/>
        <w:gridCol w:w="36"/>
        <w:gridCol w:w="36"/>
        <w:gridCol w:w="90"/>
        <w:gridCol w:w="566"/>
        <w:gridCol w:w="181"/>
        <w:gridCol w:w="36"/>
        <w:gridCol w:w="36"/>
        <w:gridCol w:w="36"/>
        <w:gridCol w:w="121"/>
        <w:gridCol w:w="406"/>
        <w:gridCol w:w="181"/>
        <w:gridCol w:w="36"/>
        <w:gridCol w:w="36"/>
        <w:gridCol w:w="36"/>
        <w:gridCol w:w="121"/>
        <w:gridCol w:w="421"/>
        <w:gridCol w:w="181"/>
        <w:gridCol w:w="36"/>
        <w:gridCol w:w="36"/>
        <w:gridCol w:w="36"/>
        <w:gridCol w:w="90"/>
        <w:gridCol w:w="566"/>
        <w:gridCol w:w="181"/>
      </w:tblGrid>
      <w:tr w:rsidR="00A91885" w14:paraId="18601B93" w14:textId="77777777">
        <w:tc>
          <w:tcPr>
            <w:tcW w:w="50" w:type="pct"/>
            <w:shd w:val="clear" w:color="auto" w:fill="auto"/>
            <w:vAlign w:val="bottom"/>
          </w:tcPr>
          <w:p w14:paraId="18601B6F" w14:textId="77777777" w:rsidR="00A91885" w:rsidRDefault="00A91885">
            <w:pPr>
              <w:rPr>
                <w:rFonts w:ascii="宋体"/>
              </w:rPr>
            </w:pPr>
          </w:p>
        </w:tc>
        <w:tc>
          <w:tcPr>
            <w:tcW w:w="2211" w:type="pct"/>
            <w:shd w:val="clear" w:color="auto" w:fill="auto"/>
            <w:vAlign w:val="bottom"/>
          </w:tcPr>
          <w:p w14:paraId="18601B70" w14:textId="77777777" w:rsidR="00A91885" w:rsidRDefault="00A91885">
            <w:pPr>
              <w:rPr>
                <w:rFonts w:ascii="宋体"/>
              </w:rPr>
            </w:pPr>
          </w:p>
        </w:tc>
        <w:tc>
          <w:tcPr>
            <w:tcW w:w="5" w:type="pct"/>
            <w:shd w:val="clear" w:color="auto" w:fill="auto"/>
            <w:vAlign w:val="bottom"/>
          </w:tcPr>
          <w:p w14:paraId="18601B71" w14:textId="77777777" w:rsidR="00A91885" w:rsidRDefault="00A91885">
            <w:pPr>
              <w:rPr>
                <w:rFonts w:ascii="宋体"/>
              </w:rPr>
            </w:pPr>
          </w:p>
        </w:tc>
        <w:tc>
          <w:tcPr>
            <w:tcW w:w="50" w:type="pct"/>
            <w:shd w:val="clear" w:color="auto" w:fill="auto"/>
            <w:vAlign w:val="bottom"/>
          </w:tcPr>
          <w:p w14:paraId="18601B72" w14:textId="77777777" w:rsidR="00A91885" w:rsidRDefault="00A91885">
            <w:pPr>
              <w:rPr>
                <w:rFonts w:ascii="宋体"/>
              </w:rPr>
            </w:pPr>
          </w:p>
        </w:tc>
        <w:tc>
          <w:tcPr>
            <w:tcW w:w="405" w:type="pct"/>
            <w:shd w:val="clear" w:color="auto" w:fill="auto"/>
            <w:vAlign w:val="bottom"/>
          </w:tcPr>
          <w:p w14:paraId="18601B73" w14:textId="77777777" w:rsidR="00A91885" w:rsidRDefault="00A91885">
            <w:pPr>
              <w:rPr>
                <w:rFonts w:ascii="宋体"/>
              </w:rPr>
            </w:pPr>
          </w:p>
        </w:tc>
        <w:tc>
          <w:tcPr>
            <w:tcW w:w="5" w:type="pct"/>
            <w:shd w:val="clear" w:color="auto" w:fill="auto"/>
            <w:vAlign w:val="bottom"/>
          </w:tcPr>
          <w:p w14:paraId="18601B74" w14:textId="77777777" w:rsidR="00A91885" w:rsidRDefault="00A91885">
            <w:pPr>
              <w:rPr>
                <w:rFonts w:ascii="宋体"/>
              </w:rPr>
            </w:pPr>
          </w:p>
        </w:tc>
        <w:tc>
          <w:tcPr>
            <w:tcW w:w="5" w:type="pct"/>
            <w:shd w:val="clear" w:color="auto" w:fill="auto"/>
            <w:vAlign w:val="bottom"/>
          </w:tcPr>
          <w:p w14:paraId="18601B75" w14:textId="77777777" w:rsidR="00A91885" w:rsidRDefault="00A91885">
            <w:pPr>
              <w:rPr>
                <w:rFonts w:ascii="宋体"/>
              </w:rPr>
            </w:pPr>
          </w:p>
        </w:tc>
        <w:tc>
          <w:tcPr>
            <w:tcW w:w="19" w:type="pct"/>
            <w:shd w:val="clear" w:color="auto" w:fill="auto"/>
            <w:vAlign w:val="bottom"/>
          </w:tcPr>
          <w:p w14:paraId="18601B76" w14:textId="77777777" w:rsidR="00A91885" w:rsidRDefault="00A91885">
            <w:pPr>
              <w:rPr>
                <w:rFonts w:ascii="宋体"/>
              </w:rPr>
            </w:pPr>
          </w:p>
        </w:tc>
        <w:tc>
          <w:tcPr>
            <w:tcW w:w="5" w:type="pct"/>
            <w:shd w:val="clear" w:color="auto" w:fill="auto"/>
            <w:vAlign w:val="bottom"/>
          </w:tcPr>
          <w:p w14:paraId="18601B77" w14:textId="77777777" w:rsidR="00A91885" w:rsidRDefault="00A91885">
            <w:pPr>
              <w:rPr>
                <w:rFonts w:ascii="宋体"/>
              </w:rPr>
            </w:pPr>
          </w:p>
        </w:tc>
        <w:tc>
          <w:tcPr>
            <w:tcW w:w="50" w:type="pct"/>
            <w:shd w:val="clear" w:color="auto" w:fill="auto"/>
            <w:vAlign w:val="bottom"/>
          </w:tcPr>
          <w:p w14:paraId="18601B78" w14:textId="77777777" w:rsidR="00A91885" w:rsidRDefault="00A91885">
            <w:pPr>
              <w:rPr>
                <w:rFonts w:ascii="宋体"/>
              </w:rPr>
            </w:pPr>
          </w:p>
        </w:tc>
        <w:tc>
          <w:tcPr>
            <w:tcW w:w="405" w:type="pct"/>
            <w:shd w:val="clear" w:color="auto" w:fill="auto"/>
            <w:vAlign w:val="bottom"/>
          </w:tcPr>
          <w:p w14:paraId="18601B79" w14:textId="77777777" w:rsidR="00A91885" w:rsidRDefault="00A91885">
            <w:pPr>
              <w:rPr>
                <w:rFonts w:ascii="宋体"/>
              </w:rPr>
            </w:pPr>
          </w:p>
        </w:tc>
        <w:tc>
          <w:tcPr>
            <w:tcW w:w="5" w:type="pct"/>
            <w:shd w:val="clear" w:color="auto" w:fill="auto"/>
            <w:vAlign w:val="bottom"/>
          </w:tcPr>
          <w:p w14:paraId="18601B7A" w14:textId="77777777" w:rsidR="00A91885" w:rsidRDefault="00A91885">
            <w:pPr>
              <w:rPr>
                <w:rFonts w:ascii="宋体"/>
              </w:rPr>
            </w:pPr>
          </w:p>
        </w:tc>
        <w:tc>
          <w:tcPr>
            <w:tcW w:w="5" w:type="pct"/>
            <w:shd w:val="clear" w:color="auto" w:fill="auto"/>
            <w:vAlign w:val="bottom"/>
          </w:tcPr>
          <w:p w14:paraId="18601B7B" w14:textId="77777777" w:rsidR="00A91885" w:rsidRDefault="00A91885">
            <w:pPr>
              <w:rPr>
                <w:rFonts w:ascii="宋体"/>
              </w:rPr>
            </w:pPr>
          </w:p>
        </w:tc>
        <w:tc>
          <w:tcPr>
            <w:tcW w:w="19" w:type="pct"/>
            <w:shd w:val="clear" w:color="auto" w:fill="auto"/>
            <w:vAlign w:val="bottom"/>
          </w:tcPr>
          <w:p w14:paraId="18601B7C" w14:textId="77777777" w:rsidR="00A91885" w:rsidRDefault="00A91885">
            <w:pPr>
              <w:rPr>
                <w:rFonts w:ascii="宋体"/>
              </w:rPr>
            </w:pPr>
          </w:p>
        </w:tc>
        <w:tc>
          <w:tcPr>
            <w:tcW w:w="5" w:type="pct"/>
            <w:shd w:val="clear" w:color="auto" w:fill="auto"/>
            <w:vAlign w:val="bottom"/>
          </w:tcPr>
          <w:p w14:paraId="18601B7D" w14:textId="77777777" w:rsidR="00A91885" w:rsidRDefault="00A91885">
            <w:pPr>
              <w:rPr>
                <w:rFonts w:ascii="宋体"/>
              </w:rPr>
            </w:pPr>
          </w:p>
        </w:tc>
        <w:tc>
          <w:tcPr>
            <w:tcW w:w="50" w:type="pct"/>
            <w:shd w:val="clear" w:color="auto" w:fill="auto"/>
            <w:vAlign w:val="bottom"/>
          </w:tcPr>
          <w:p w14:paraId="18601B7E" w14:textId="77777777" w:rsidR="00A91885" w:rsidRDefault="00A91885">
            <w:pPr>
              <w:rPr>
                <w:rFonts w:ascii="宋体"/>
              </w:rPr>
            </w:pPr>
          </w:p>
        </w:tc>
        <w:tc>
          <w:tcPr>
            <w:tcW w:w="317" w:type="pct"/>
            <w:shd w:val="clear" w:color="auto" w:fill="auto"/>
            <w:vAlign w:val="bottom"/>
          </w:tcPr>
          <w:p w14:paraId="18601B7F" w14:textId="77777777" w:rsidR="00A91885" w:rsidRDefault="00A91885">
            <w:pPr>
              <w:rPr>
                <w:rFonts w:ascii="宋体"/>
              </w:rPr>
            </w:pPr>
          </w:p>
        </w:tc>
        <w:tc>
          <w:tcPr>
            <w:tcW w:w="5" w:type="pct"/>
            <w:shd w:val="clear" w:color="auto" w:fill="auto"/>
            <w:vAlign w:val="bottom"/>
          </w:tcPr>
          <w:p w14:paraId="18601B80" w14:textId="77777777" w:rsidR="00A91885" w:rsidRDefault="00A91885">
            <w:pPr>
              <w:rPr>
                <w:rFonts w:ascii="宋体"/>
              </w:rPr>
            </w:pPr>
          </w:p>
        </w:tc>
        <w:tc>
          <w:tcPr>
            <w:tcW w:w="5" w:type="pct"/>
            <w:shd w:val="clear" w:color="auto" w:fill="auto"/>
            <w:vAlign w:val="bottom"/>
          </w:tcPr>
          <w:p w14:paraId="18601B81" w14:textId="77777777" w:rsidR="00A91885" w:rsidRDefault="00A91885">
            <w:pPr>
              <w:rPr>
                <w:rFonts w:ascii="宋体"/>
              </w:rPr>
            </w:pPr>
          </w:p>
        </w:tc>
        <w:tc>
          <w:tcPr>
            <w:tcW w:w="19" w:type="pct"/>
            <w:shd w:val="clear" w:color="auto" w:fill="auto"/>
            <w:vAlign w:val="bottom"/>
          </w:tcPr>
          <w:p w14:paraId="18601B82" w14:textId="77777777" w:rsidR="00A91885" w:rsidRDefault="00A91885">
            <w:pPr>
              <w:rPr>
                <w:rFonts w:ascii="宋体"/>
              </w:rPr>
            </w:pPr>
          </w:p>
        </w:tc>
        <w:tc>
          <w:tcPr>
            <w:tcW w:w="5" w:type="pct"/>
            <w:shd w:val="clear" w:color="auto" w:fill="auto"/>
            <w:vAlign w:val="bottom"/>
          </w:tcPr>
          <w:p w14:paraId="18601B83" w14:textId="77777777" w:rsidR="00A91885" w:rsidRDefault="00A91885">
            <w:pPr>
              <w:rPr>
                <w:rFonts w:ascii="宋体"/>
              </w:rPr>
            </w:pPr>
          </w:p>
        </w:tc>
        <w:tc>
          <w:tcPr>
            <w:tcW w:w="50" w:type="pct"/>
            <w:shd w:val="clear" w:color="auto" w:fill="auto"/>
            <w:vAlign w:val="bottom"/>
          </w:tcPr>
          <w:p w14:paraId="18601B84" w14:textId="77777777" w:rsidR="00A91885" w:rsidRDefault="00A91885">
            <w:pPr>
              <w:rPr>
                <w:rFonts w:ascii="宋体"/>
              </w:rPr>
            </w:pPr>
          </w:p>
        </w:tc>
        <w:tc>
          <w:tcPr>
            <w:tcW w:w="405" w:type="pct"/>
            <w:shd w:val="clear" w:color="auto" w:fill="auto"/>
            <w:vAlign w:val="bottom"/>
          </w:tcPr>
          <w:p w14:paraId="18601B85" w14:textId="77777777" w:rsidR="00A91885" w:rsidRDefault="00A91885">
            <w:pPr>
              <w:rPr>
                <w:rFonts w:ascii="宋体"/>
              </w:rPr>
            </w:pPr>
          </w:p>
        </w:tc>
        <w:tc>
          <w:tcPr>
            <w:tcW w:w="5" w:type="pct"/>
            <w:shd w:val="clear" w:color="auto" w:fill="auto"/>
            <w:vAlign w:val="bottom"/>
          </w:tcPr>
          <w:p w14:paraId="18601B86" w14:textId="77777777" w:rsidR="00A91885" w:rsidRDefault="00A91885">
            <w:pPr>
              <w:rPr>
                <w:rFonts w:ascii="宋体"/>
              </w:rPr>
            </w:pPr>
          </w:p>
        </w:tc>
        <w:tc>
          <w:tcPr>
            <w:tcW w:w="5" w:type="pct"/>
            <w:shd w:val="clear" w:color="auto" w:fill="auto"/>
            <w:vAlign w:val="bottom"/>
          </w:tcPr>
          <w:p w14:paraId="18601B87" w14:textId="77777777" w:rsidR="00A91885" w:rsidRDefault="00A91885">
            <w:pPr>
              <w:rPr>
                <w:rFonts w:ascii="宋体"/>
              </w:rPr>
            </w:pPr>
          </w:p>
        </w:tc>
        <w:tc>
          <w:tcPr>
            <w:tcW w:w="19" w:type="pct"/>
            <w:shd w:val="clear" w:color="auto" w:fill="auto"/>
            <w:vAlign w:val="bottom"/>
          </w:tcPr>
          <w:p w14:paraId="18601B88" w14:textId="77777777" w:rsidR="00A91885" w:rsidRDefault="00A91885">
            <w:pPr>
              <w:rPr>
                <w:rFonts w:ascii="宋体"/>
              </w:rPr>
            </w:pPr>
          </w:p>
        </w:tc>
        <w:tc>
          <w:tcPr>
            <w:tcW w:w="5" w:type="pct"/>
            <w:shd w:val="clear" w:color="auto" w:fill="auto"/>
            <w:vAlign w:val="bottom"/>
          </w:tcPr>
          <w:p w14:paraId="18601B89" w14:textId="77777777" w:rsidR="00A91885" w:rsidRDefault="00A91885">
            <w:pPr>
              <w:rPr>
                <w:rFonts w:ascii="宋体"/>
              </w:rPr>
            </w:pPr>
          </w:p>
        </w:tc>
        <w:tc>
          <w:tcPr>
            <w:tcW w:w="50" w:type="pct"/>
            <w:shd w:val="clear" w:color="auto" w:fill="auto"/>
            <w:vAlign w:val="bottom"/>
          </w:tcPr>
          <w:p w14:paraId="18601B8A" w14:textId="77777777" w:rsidR="00A91885" w:rsidRDefault="00A91885">
            <w:pPr>
              <w:rPr>
                <w:rFonts w:ascii="宋体"/>
              </w:rPr>
            </w:pPr>
          </w:p>
        </w:tc>
        <w:tc>
          <w:tcPr>
            <w:tcW w:w="405" w:type="pct"/>
            <w:shd w:val="clear" w:color="auto" w:fill="auto"/>
            <w:vAlign w:val="bottom"/>
          </w:tcPr>
          <w:p w14:paraId="18601B8B" w14:textId="77777777" w:rsidR="00A91885" w:rsidRDefault="00A91885">
            <w:pPr>
              <w:rPr>
                <w:rFonts w:ascii="宋体"/>
              </w:rPr>
            </w:pPr>
          </w:p>
        </w:tc>
        <w:tc>
          <w:tcPr>
            <w:tcW w:w="5" w:type="pct"/>
            <w:shd w:val="clear" w:color="auto" w:fill="auto"/>
            <w:vAlign w:val="bottom"/>
          </w:tcPr>
          <w:p w14:paraId="18601B8C" w14:textId="77777777" w:rsidR="00A91885" w:rsidRDefault="00A91885">
            <w:pPr>
              <w:rPr>
                <w:rFonts w:ascii="宋体"/>
              </w:rPr>
            </w:pPr>
          </w:p>
        </w:tc>
        <w:tc>
          <w:tcPr>
            <w:tcW w:w="5" w:type="pct"/>
            <w:shd w:val="clear" w:color="auto" w:fill="auto"/>
            <w:vAlign w:val="bottom"/>
          </w:tcPr>
          <w:p w14:paraId="18601B8D" w14:textId="77777777" w:rsidR="00A91885" w:rsidRDefault="00A91885">
            <w:pPr>
              <w:rPr>
                <w:rFonts w:ascii="宋体"/>
              </w:rPr>
            </w:pPr>
          </w:p>
        </w:tc>
        <w:tc>
          <w:tcPr>
            <w:tcW w:w="19" w:type="pct"/>
            <w:shd w:val="clear" w:color="auto" w:fill="auto"/>
            <w:vAlign w:val="bottom"/>
          </w:tcPr>
          <w:p w14:paraId="18601B8E" w14:textId="77777777" w:rsidR="00A91885" w:rsidRDefault="00A91885">
            <w:pPr>
              <w:rPr>
                <w:rFonts w:ascii="宋体"/>
              </w:rPr>
            </w:pPr>
          </w:p>
        </w:tc>
        <w:tc>
          <w:tcPr>
            <w:tcW w:w="5" w:type="pct"/>
            <w:shd w:val="clear" w:color="auto" w:fill="auto"/>
            <w:vAlign w:val="bottom"/>
          </w:tcPr>
          <w:p w14:paraId="18601B8F" w14:textId="77777777" w:rsidR="00A91885" w:rsidRDefault="00A91885">
            <w:pPr>
              <w:rPr>
                <w:rFonts w:ascii="宋体"/>
              </w:rPr>
            </w:pPr>
          </w:p>
        </w:tc>
        <w:tc>
          <w:tcPr>
            <w:tcW w:w="50" w:type="pct"/>
            <w:shd w:val="clear" w:color="auto" w:fill="auto"/>
            <w:vAlign w:val="bottom"/>
          </w:tcPr>
          <w:p w14:paraId="18601B90" w14:textId="77777777" w:rsidR="00A91885" w:rsidRDefault="00A91885">
            <w:pPr>
              <w:rPr>
                <w:rFonts w:ascii="宋体"/>
              </w:rPr>
            </w:pPr>
          </w:p>
        </w:tc>
        <w:tc>
          <w:tcPr>
            <w:tcW w:w="318" w:type="pct"/>
            <w:shd w:val="clear" w:color="auto" w:fill="auto"/>
            <w:vAlign w:val="bottom"/>
          </w:tcPr>
          <w:p w14:paraId="18601B91" w14:textId="77777777" w:rsidR="00A91885" w:rsidRDefault="00A91885">
            <w:pPr>
              <w:rPr>
                <w:rFonts w:ascii="宋体"/>
              </w:rPr>
            </w:pPr>
          </w:p>
        </w:tc>
        <w:tc>
          <w:tcPr>
            <w:tcW w:w="5" w:type="pct"/>
            <w:shd w:val="clear" w:color="auto" w:fill="auto"/>
            <w:vAlign w:val="bottom"/>
          </w:tcPr>
          <w:p w14:paraId="18601B92" w14:textId="77777777" w:rsidR="00A91885" w:rsidRDefault="00A91885">
            <w:pPr>
              <w:rPr>
                <w:rFonts w:ascii="宋体"/>
              </w:rPr>
            </w:pPr>
          </w:p>
        </w:tc>
      </w:tr>
      <w:tr w:rsidR="00A91885" w14:paraId="18601B9C" w14:textId="77777777">
        <w:tc>
          <w:tcPr>
            <w:tcW w:w="0" w:type="auto"/>
            <w:gridSpan w:val="3"/>
            <w:shd w:val="clear" w:color="auto" w:fill="auto"/>
            <w:tcMar>
              <w:top w:w="40" w:type="dxa"/>
              <w:left w:w="155" w:type="dxa"/>
              <w:bottom w:w="40" w:type="dxa"/>
              <w:right w:w="20" w:type="dxa"/>
            </w:tcMar>
            <w:vAlign w:val="bottom"/>
          </w:tcPr>
          <w:p w14:paraId="18601B94" w14:textId="77777777" w:rsidR="00A91885" w:rsidRDefault="009C4196">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18601B95"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B96"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B97"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B98"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B99"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B9A"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1B9B" w14:textId="77777777" w:rsidR="00A91885" w:rsidRDefault="00A91885">
            <w:pPr>
              <w:rPr>
                <w:rFonts w:ascii="宋体"/>
              </w:rPr>
            </w:pPr>
          </w:p>
        </w:tc>
      </w:tr>
      <w:tr w:rsidR="00A91885" w14:paraId="18601BA9" w14:textId="77777777">
        <w:tc>
          <w:tcPr>
            <w:tcW w:w="0" w:type="auto"/>
            <w:gridSpan w:val="3"/>
            <w:shd w:val="clear" w:color="auto" w:fill="auto"/>
            <w:tcMar>
              <w:top w:w="40" w:type="dxa"/>
              <w:left w:w="20" w:type="dxa"/>
              <w:bottom w:w="40" w:type="dxa"/>
              <w:right w:w="20" w:type="dxa"/>
            </w:tcMar>
            <w:vAlign w:val="bottom"/>
          </w:tcPr>
          <w:p w14:paraId="18601B9D" w14:textId="77777777" w:rsidR="00A91885" w:rsidRDefault="009C4196">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B9E"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B9F"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BA0"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BA1"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BA2" w14:textId="77777777" w:rsidR="00A91885" w:rsidRDefault="009C4196">
            <w:pPr>
              <w:jc w:val="center"/>
              <w:textAlignment w:val="bottom"/>
            </w:pPr>
            <w:r>
              <w:rPr>
                <w:rFonts w:ascii="Arial" w:eastAsia="宋体" w:hAnsi="Arial" w:cs="Arial"/>
                <w:b/>
                <w:bCs/>
                <w:color w:val="000000"/>
                <w:sz w:val="17"/>
                <w:szCs w:val="17"/>
              </w:rPr>
              <w:t>% Change</w:t>
            </w:r>
          </w:p>
        </w:tc>
        <w:tc>
          <w:tcPr>
            <w:tcW w:w="0" w:type="auto"/>
            <w:gridSpan w:val="3"/>
            <w:shd w:val="clear" w:color="auto" w:fill="auto"/>
            <w:tcMar>
              <w:top w:w="0" w:type="dxa"/>
              <w:left w:w="20" w:type="dxa"/>
              <w:bottom w:w="0" w:type="dxa"/>
              <w:right w:w="20" w:type="dxa"/>
            </w:tcMar>
            <w:vAlign w:val="bottom"/>
          </w:tcPr>
          <w:p w14:paraId="18601BA3"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BA4"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BA5"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BA6"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BA7"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BA8" w14:textId="77777777" w:rsidR="00A91885" w:rsidRDefault="009C4196">
            <w:pPr>
              <w:jc w:val="center"/>
              <w:textAlignment w:val="bottom"/>
            </w:pPr>
            <w:r>
              <w:rPr>
                <w:rFonts w:ascii="Arial" w:eastAsia="宋体" w:hAnsi="Arial" w:cs="Arial"/>
                <w:b/>
                <w:bCs/>
                <w:color w:val="000000"/>
                <w:sz w:val="17"/>
                <w:szCs w:val="17"/>
              </w:rPr>
              <w:t>% Change</w:t>
            </w:r>
          </w:p>
        </w:tc>
      </w:tr>
      <w:tr w:rsidR="00A91885" w14:paraId="18601BB6" w14:textId="77777777">
        <w:trPr>
          <w:hidden/>
        </w:trPr>
        <w:tc>
          <w:tcPr>
            <w:tcW w:w="0" w:type="auto"/>
            <w:gridSpan w:val="3"/>
            <w:shd w:val="clear" w:color="auto" w:fill="auto"/>
            <w:vAlign w:val="bottom"/>
          </w:tcPr>
          <w:p w14:paraId="18601BAA" w14:textId="77777777" w:rsidR="00A91885" w:rsidRDefault="00A91885">
            <w:pPr>
              <w:rPr>
                <w:rFonts w:ascii="宋体"/>
                <w:vanish/>
              </w:rPr>
            </w:pPr>
          </w:p>
        </w:tc>
        <w:tc>
          <w:tcPr>
            <w:tcW w:w="0" w:type="auto"/>
            <w:gridSpan w:val="3"/>
            <w:shd w:val="clear" w:color="auto" w:fill="auto"/>
            <w:vAlign w:val="bottom"/>
          </w:tcPr>
          <w:p w14:paraId="18601BAB" w14:textId="77777777" w:rsidR="00A91885" w:rsidRDefault="00A91885">
            <w:pPr>
              <w:rPr>
                <w:rFonts w:ascii="宋体"/>
                <w:vanish/>
              </w:rPr>
            </w:pPr>
          </w:p>
        </w:tc>
        <w:tc>
          <w:tcPr>
            <w:tcW w:w="0" w:type="auto"/>
            <w:gridSpan w:val="3"/>
            <w:shd w:val="clear" w:color="auto" w:fill="auto"/>
            <w:vAlign w:val="bottom"/>
          </w:tcPr>
          <w:p w14:paraId="18601BAC" w14:textId="77777777" w:rsidR="00A91885" w:rsidRDefault="00A91885">
            <w:pPr>
              <w:rPr>
                <w:rFonts w:ascii="宋体"/>
                <w:vanish/>
              </w:rPr>
            </w:pPr>
          </w:p>
        </w:tc>
        <w:tc>
          <w:tcPr>
            <w:tcW w:w="0" w:type="auto"/>
            <w:gridSpan w:val="3"/>
            <w:shd w:val="clear" w:color="auto" w:fill="auto"/>
            <w:vAlign w:val="bottom"/>
          </w:tcPr>
          <w:p w14:paraId="18601BAD" w14:textId="77777777" w:rsidR="00A91885" w:rsidRDefault="00A91885">
            <w:pPr>
              <w:rPr>
                <w:rFonts w:ascii="宋体"/>
                <w:vanish/>
              </w:rPr>
            </w:pPr>
          </w:p>
        </w:tc>
        <w:tc>
          <w:tcPr>
            <w:tcW w:w="0" w:type="auto"/>
            <w:gridSpan w:val="3"/>
            <w:shd w:val="clear" w:color="auto" w:fill="auto"/>
            <w:vAlign w:val="bottom"/>
          </w:tcPr>
          <w:p w14:paraId="18601BAE" w14:textId="77777777" w:rsidR="00A91885" w:rsidRDefault="00A91885">
            <w:pPr>
              <w:rPr>
                <w:rFonts w:ascii="宋体"/>
                <w:vanish/>
              </w:rPr>
            </w:pPr>
          </w:p>
        </w:tc>
        <w:tc>
          <w:tcPr>
            <w:tcW w:w="0" w:type="auto"/>
            <w:gridSpan w:val="3"/>
            <w:shd w:val="clear" w:color="auto" w:fill="auto"/>
            <w:vAlign w:val="bottom"/>
          </w:tcPr>
          <w:p w14:paraId="18601BAF" w14:textId="77777777" w:rsidR="00A91885" w:rsidRDefault="00A91885">
            <w:pPr>
              <w:rPr>
                <w:rFonts w:ascii="宋体"/>
                <w:vanish/>
              </w:rPr>
            </w:pPr>
          </w:p>
        </w:tc>
        <w:tc>
          <w:tcPr>
            <w:tcW w:w="0" w:type="auto"/>
            <w:gridSpan w:val="3"/>
            <w:shd w:val="clear" w:color="auto" w:fill="auto"/>
            <w:vAlign w:val="bottom"/>
          </w:tcPr>
          <w:p w14:paraId="18601BB0" w14:textId="77777777" w:rsidR="00A91885" w:rsidRDefault="00A91885">
            <w:pPr>
              <w:rPr>
                <w:rFonts w:ascii="宋体"/>
                <w:vanish/>
              </w:rPr>
            </w:pPr>
          </w:p>
        </w:tc>
        <w:tc>
          <w:tcPr>
            <w:tcW w:w="0" w:type="auto"/>
            <w:gridSpan w:val="3"/>
            <w:shd w:val="clear" w:color="auto" w:fill="auto"/>
            <w:vAlign w:val="bottom"/>
          </w:tcPr>
          <w:p w14:paraId="18601BB1" w14:textId="77777777" w:rsidR="00A91885" w:rsidRDefault="00A91885">
            <w:pPr>
              <w:rPr>
                <w:rFonts w:ascii="宋体"/>
                <w:vanish/>
              </w:rPr>
            </w:pPr>
          </w:p>
        </w:tc>
        <w:tc>
          <w:tcPr>
            <w:tcW w:w="0" w:type="auto"/>
            <w:gridSpan w:val="3"/>
            <w:shd w:val="clear" w:color="auto" w:fill="auto"/>
            <w:vAlign w:val="bottom"/>
          </w:tcPr>
          <w:p w14:paraId="18601BB2" w14:textId="77777777" w:rsidR="00A91885" w:rsidRDefault="00A91885">
            <w:pPr>
              <w:rPr>
                <w:rFonts w:ascii="宋体"/>
                <w:vanish/>
              </w:rPr>
            </w:pPr>
          </w:p>
        </w:tc>
        <w:tc>
          <w:tcPr>
            <w:tcW w:w="0" w:type="auto"/>
            <w:gridSpan w:val="3"/>
            <w:shd w:val="clear" w:color="auto" w:fill="auto"/>
            <w:vAlign w:val="bottom"/>
          </w:tcPr>
          <w:p w14:paraId="18601BB3" w14:textId="77777777" w:rsidR="00A91885" w:rsidRDefault="00A91885">
            <w:pPr>
              <w:rPr>
                <w:rFonts w:ascii="宋体"/>
                <w:vanish/>
              </w:rPr>
            </w:pPr>
          </w:p>
        </w:tc>
        <w:tc>
          <w:tcPr>
            <w:tcW w:w="0" w:type="auto"/>
            <w:gridSpan w:val="3"/>
            <w:shd w:val="clear" w:color="auto" w:fill="auto"/>
            <w:vAlign w:val="bottom"/>
          </w:tcPr>
          <w:p w14:paraId="18601BB4" w14:textId="77777777" w:rsidR="00A91885" w:rsidRDefault="00A91885">
            <w:pPr>
              <w:rPr>
                <w:rFonts w:ascii="宋体"/>
                <w:vanish/>
              </w:rPr>
            </w:pPr>
          </w:p>
        </w:tc>
        <w:tc>
          <w:tcPr>
            <w:tcW w:w="0" w:type="auto"/>
            <w:gridSpan w:val="3"/>
            <w:shd w:val="clear" w:color="auto" w:fill="auto"/>
            <w:vAlign w:val="bottom"/>
          </w:tcPr>
          <w:p w14:paraId="18601BB5" w14:textId="77777777" w:rsidR="00A91885" w:rsidRDefault="00A91885">
            <w:pPr>
              <w:rPr>
                <w:rFonts w:ascii="宋体"/>
                <w:vanish/>
              </w:rPr>
            </w:pPr>
          </w:p>
        </w:tc>
      </w:tr>
      <w:tr w:rsidR="00A91885" w14:paraId="18601BC3" w14:textId="77777777">
        <w:trPr>
          <w:hidden/>
        </w:trPr>
        <w:tc>
          <w:tcPr>
            <w:tcW w:w="0" w:type="auto"/>
            <w:gridSpan w:val="3"/>
            <w:shd w:val="clear" w:color="auto" w:fill="auto"/>
            <w:vAlign w:val="bottom"/>
          </w:tcPr>
          <w:p w14:paraId="18601BB7" w14:textId="77777777" w:rsidR="00A91885" w:rsidRDefault="00A91885">
            <w:pPr>
              <w:rPr>
                <w:rFonts w:ascii="宋体"/>
                <w:vanish/>
              </w:rPr>
            </w:pPr>
          </w:p>
        </w:tc>
        <w:tc>
          <w:tcPr>
            <w:tcW w:w="0" w:type="auto"/>
            <w:gridSpan w:val="3"/>
            <w:shd w:val="clear" w:color="auto" w:fill="auto"/>
            <w:vAlign w:val="bottom"/>
          </w:tcPr>
          <w:p w14:paraId="18601BB8" w14:textId="77777777" w:rsidR="00A91885" w:rsidRDefault="00A91885">
            <w:pPr>
              <w:rPr>
                <w:rFonts w:ascii="宋体"/>
                <w:vanish/>
              </w:rPr>
            </w:pPr>
          </w:p>
        </w:tc>
        <w:tc>
          <w:tcPr>
            <w:tcW w:w="0" w:type="auto"/>
            <w:gridSpan w:val="3"/>
            <w:shd w:val="clear" w:color="auto" w:fill="auto"/>
            <w:vAlign w:val="bottom"/>
          </w:tcPr>
          <w:p w14:paraId="18601BB9" w14:textId="77777777" w:rsidR="00A91885" w:rsidRDefault="00A91885">
            <w:pPr>
              <w:rPr>
                <w:rFonts w:ascii="宋体"/>
                <w:vanish/>
              </w:rPr>
            </w:pPr>
          </w:p>
        </w:tc>
        <w:tc>
          <w:tcPr>
            <w:tcW w:w="0" w:type="auto"/>
            <w:gridSpan w:val="3"/>
            <w:shd w:val="clear" w:color="auto" w:fill="auto"/>
            <w:vAlign w:val="bottom"/>
          </w:tcPr>
          <w:p w14:paraId="18601BBA" w14:textId="77777777" w:rsidR="00A91885" w:rsidRDefault="00A91885">
            <w:pPr>
              <w:rPr>
                <w:rFonts w:ascii="宋体"/>
                <w:vanish/>
              </w:rPr>
            </w:pPr>
          </w:p>
        </w:tc>
        <w:tc>
          <w:tcPr>
            <w:tcW w:w="0" w:type="auto"/>
            <w:gridSpan w:val="3"/>
            <w:shd w:val="clear" w:color="auto" w:fill="auto"/>
            <w:vAlign w:val="bottom"/>
          </w:tcPr>
          <w:p w14:paraId="18601BBB" w14:textId="77777777" w:rsidR="00A91885" w:rsidRDefault="00A91885">
            <w:pPr>
              <w:rPr>
                <w:rFonts w:ascii="宋体"/>
                <w:vanish/>
              </w:rPr>
            </w:pPr>
          </w:p>
        </w:tc>
        <w:tc>
          <w:tcPr>
            <w:tcW w:w="0" w:type="auto"/>
            <w:gridSpan w:val="3"/>
            <w:shd w:val="clear" w:color="auto" w:fill="auto"/>
            <w:vAlign w:val="bottom"/>
          </w:tcPr>
          <w:p w14:paraId="18601BBC" w14:textId="77777777" w:rsidR="00A91885" w:rsidRDefault="00A91885">
            <w:pPr>
              <w:rPr>
                <w:rFonts w:ascii="宋体"/>
                <w:vanish/>
              </w:rPr>
            </w:pPr>
          </w:p>
        </w:tc>
        <w:tc>
          <w:tcPr>
            <w:tcW w:w="0" w:type="auto"/>
            <w:gridSpan w:val="3"/>
            <w:shd w:val="clear" w:color="auto" w:fill="auto"/>
            <w:vAlign w:val="bottom"/>
          </w:tcPr>
          <w:p w14:paraId="18601BBD" w14:textId="77777777" w:rsidR="00A91885" w:rsidRDefault="00A91885">
            <w:pPr>
              <w:rPr>
                <w:rFonts w:ascii="宋体"/>
                <w:vanish/>
              </w:rPr>
            </w:pPr>
          </w:p>
        </w:tc>
        <w:tc>
          <w:tcPr>
            <w:tcW w:w="0" w:type="auto"/>
            <w:gridSpan w:val="3"/>
            <w:shd w:val="clear" w:color="auto" w:fill="auto"/>
            <w:vAlign w:val="bottom"/>
          </w:tcPr>
          <w:p w14:paraId="18601BBE" w14:textId="77777777" w:rsidR="00A91885" w:rsidRDefault="00A91885">
            <w:pPr>
              <w:rPr>
                <w:rFonts w:ascii="宋体"/>
                <w:vanish/>
              </w:rPr>
            </w:pPr>
          </w:p>
        </w:tc>
        <w:tc>
          <w:tcPr>
            <w:tcW w:w="0" w:type="auto"/>
            <w:gridSpan w:val="3"/>
            <w:shd w:val="clear" w:color="auto" w:fill="auto"/>
            <w:vAlign w:val="bottom"/>
          </w:tcPr>
          <w:p w14:paraId="18601BBF" w14:textId="77777777" w:rsidR="00A91885" w:rsidRDefault="00A91885">
            <w:pPr>
              <w:rPr>
                <w:rFonts w:ascii="宋体"/>
                <w:vanish/>
              </w:rPr>
            </w:pPr>
          </w:p>
        </w:tc>
        <w:tc>
          <w:tcPr>
            <w:tcW w:w="0" w:type="auto"/>
            <w:gridSpan w:val="3"/>
            <w:shd w:val="clear" w:color="auto" w:fill="auto"/>
            <w:vAlign w:val="bottom"/>
          </w:tcPr>
          <w:p w14:paraId="18601BC0" w14:textId="77777777" w:rsidR="00A91885" w:rsidRDefault="00A91885">
            <w:pPr>
              <w:rPr>
                <w:rFonts w:ascii="宋体"/>
                <w:vanish/>
              </w:rPr>
            </w:pPr>
          </w:p>
        </w:tc>
        <w:tc>
          <w:tcPr>
            <w:tcW w:w="0" w:type="auto"/>
            <w:gridSpan w:val="3"/>
            <w:shd w:val="clear" w:color="auto" w:fill="auto"/>
            <w:vAlign w:val="bottom"/>
          </w:tcPr>
          <w:p w14:paraId="18601BC1" w14:textId="77777777" w:rsidR="00A91885" w:rsidRDefault="00A91885">
            <w:pPr>
              <w:rPr>
                <w:rFonts w:ascii="宋体"/>
                <w:vanish/>
              </w:rPr>
            </w:pPr>
          </w:p>
        </w:tc>
        <w:tc>
          <w:tcPr>
            <w:tcW w:w="0" w:type="auto"/>
            <w:gridSpan w:val="3"/>
            <w:shd w:val="clear" w:color="auto" w:fill="auto"/>
            <w:vAlign w:val="bottom"/>
          </w:tcPr>
          <w:p w14:paraId="18601BC2" w14:textId="77777777" w:rsidR="00A91885" w:rsidRDefault="00A91885">
            <w:pPr>
              <w:rPr>
                <w:rFonts w:ascii="宋体"/>
                <w:vanish/>
              </w:rPr>
            </w:pPr>
          </w:p>
        </w:tc>
      </w:tr>
      <w:tr w:rsidR="00A91885" w14:paraId="18601BD0" w14:textId="77777777">
        <w:trPr>
          <w:hidden/>
        </w:trPr>
        <w:tc>
          <w:tcPr>
            <w:tcW w:w="0" w:type="auto"/>
            <w:gridSpan w:val="3"/>
            <w:shd w:val="clear" w:color="auto" w:fill="auto"/>
            <w:vAlign w:val="bottom"/>
          </w:tcPr>
          <w:p w14:paraId="18601BC4" w14:textId="77777777" w:rsidR="00A91885" w:rsidRDefault="00A91885">
            <w:pPr>
              <w:rPr>
                <w:rFonts w:ascii="宋体"/>
                <w:vanish/>
              </w:rPr>
            </w:pPr>
          </w:p>
        </w:tc>
        <w:tc>
          <w:tcPr>
            <w:tcW w:w="0" w:type="auto"/>
            <w:gridSpan w:val="3"/>
            <w:shd w:val="clear" w:color="auto" w:fill="auto"/>
            <w:vAlign w:val="bottom"/>
          </w:tcPr>
          <w:p w14:paraId="18601BC5" w14:textId="77777777" w:rsidR="00A91885" w:rsidRDefault="00A91885">
            <w:pPr>
              <w:rPr>
                <w:rFonts w:ascii="宋体"/>
                <w:vanish/>
              </w:rPr>
            </w:pPr>
          </w:p>
        </w:tc>
        <w:tc>
          <w:tcPr>
            <w:tcW w:w="0" w:type="auto"/>
            <w:gridSpan w:val="3"/>
            <w:shd w:val="clear" w:color="auto" w:fill="auto"/>
            <w:vAlign w:val="bottom"/>
          </w:tcPr>
          <w:p w14:paraId="18601BC6" w14:textId="77777777" w:rsidR="00A91885" w:rsidRDefault="00A91885">
            <w:pPr>
              <w:rPr>
                <w:rFonts w:ascii="宋体"/>
                <w:vanish/>
              </w:rPr>
            </w:pPr>
          </w:p>
        </w:tc>
        <w:tc>
          <w:tcPr>
            <w:tcW w:w="0" w:type="auto"/>
            <w:gridSpan w:val="3"/>
            <w:shd w:val="clear" w:color="auto" w:fill="auto"/>
            <w:vAlign w:val="bottom"/>
          </w:tcPr>
          <w:p w14:paraId="18601BC7" w14:textId="77777777" w:rsidR="00A91885" w:rsidRDefault="00A91885">
            <w:pPr>
              <w:rPr>
                <w:rFonts w:ascii="宋体"/>
                <w:vanish/>
              </w:rPr>
            </w:pPr>
          </w:p>
        </w:tc>
        <w:tc>
          <w:tcPr>
            <w:tcW w:w="0" w:type="auto"/>
            <w:gridSpan w:val="3"/>
            <w:shd w:val="clear" w:color="auto" w:fill="auto"/>
            <w:vAlign w:val="bottom"/>
          </w:tcPr>
          <w:p w14:paraId="18601BC8" w14:textId="77777777" w:rsidR="00A91885" w:rsidRDefault="00A91885">
            <w:pPr>
              <w:rPr>
                <w:rFonts w:ascii="宋体"/>
                <w:vanish/>
              </w:rPr>
            </w:pPr>
          </w:p>
        </w:tc>
        <w:tc>
          <w:tcPr>
            <w:tcW w:w="0" w:type="auto"/>
            <w:gridSpan w:val="3"/>
            <w:shd w:val="clear" w:color="auto" w:fill="auto"/>
            <w:vAlign w:val="bottom"/>
          </w:tcPr>
          <w:p w14:paraId="18601BC9" w14:textId="77777777" w:rsidR="00A91885" w:rsidRDefault="00A91885">
            <w:pPr>
              <w:rPr>
                <w:rFonts w:ascii="宋体"/>
                <w:vanish/>
              </w:rPr>
            </w:pPr>
          </w:p>
        </w:tc>
        <w:tc>
          <w:tcPr>
            <w:tcW w:w="0" w:type="auto"/>
            <w:gridSpan w:val="3"/>
            <w:shd w:val="clear" w:color="auto" w:fill="auto"/>
            <w:vAlign w:val="bottom"/>
          </w:tcPr>
          <w:p w14:paraId="18601BCA" w14:textId="77777777" w:rsidR="00A91885" w:rsidRDefault="00A91885">
            <w:pPr>
              <w:rPr>
                <w:rFonts w:ascii="宋体"/>
                <w:vanish/>
              </w:rPr>
            </w:pPr>
          </w:p>
        </w:tc>
        <w:tc>
          <w:tcPr>
            <w:tcW w:w="0" w:type="auto"/>
            <w:gridSpan w:val="3"/>
            <w:shd w:val="clear" w:color="auto" w:fill="auto"/>
            <w:vAlign w:val="bottom"/>
          </w:tcPr>
          <w:p w14:paraId="18601BCB" w14:textId="77777777" w:rsidR="00A91885" w:rsidRDefault="00A91885">
            <w:pPr>
              <w:rPr>
                <w:rFonts w:ascii="宋体"/>
                <w:vanish/>
              </w:rPr>
            </w:pPr>
          </w:p>
        </w:tc>
        <w:tc>
          <w:tcPr>
            <w:tcW w:w="0" w:type="auto"/>
            <w:gridSpan w:val="3"/>
            <w:shd w:val="clear" w:color="auto" w:fill="auto"/>
            <w:vAlign w:val="bottom"/>
          </w:tcPr>
          <w:p w14:paraId="18601BCC" w14:textId="77777777" w:rsidR="00A91885" w:rsidRDefault="00A91885">
            <w:pPr>
              <w:rPr>
                <w:rFonts w:ascii="宋体"/>
                <w:vanish/>
              </w:rPr>
            </w:pPr>
          </w:p>
        </w:tc>
        <w:tc>
          <w:tcPr>
            <w:tcW w:w="0" w:type="auto"/>
            <w:gridSpan w:val="3"/>
            <w:shd w:val="clear" w:color="auto" w:fill="auto"/>
            <w:vAlign w:val="bottom"/>
          </w:tcPr>
          <w:p w14:paraId="18601BCD" w14:textId="77777777" w:rsidR="00A91885" w:rsidRDefault="00A91885">
            <w:pPr>
              <w:rPr>
                <w:rFonts w:ascii="宋体"/>
                <w:vanish/>
              </w:rPr>
            </w:pPr>
          </w:p>
        </w:tc>
        <w:tc>
          <w:tcPr>
            <w:tcW w:w="0" w:type="auto"/>
            <w:gridSpan w:val="3"/>
            <w:shd w:val="clear" w:color="auto" w:fill="auto"/>
            <w:vAlign w:val="bottom"/>
          </w:tcPr>
          <w:p w14:paraId="18601BCE" w14:textId="77777777" w:rsidR="00A91885" w:rsidRDefault="00A91885">
            <w:pPr>
              <w:rPr>
                <w:rFonts w:ascii="宋体"/>
                <w:vanish/>
              </w:rPr>
            </w:pPr>
          </w:p>
        </w:tc>
        <w:tc>
          <w:tcPr>
            <w:tcW w:w="0" w:type="auto"/>
            <w:gridSpan w:val="3"/>
            <w:shd w:val="clear" w:color="auto" w:fill="auto"/>
            <w:vAlign w:val="bottom"/>
          </w:tcPr>
          <w:p w14:paraId="18601BCF" w14:textId="77777777" w:rsidR="00A91885" w:rsidRDefault="00A91885">
            <w:pPr>
              <w:rPr>
                <w:rFonts w:ascii="宋体"/>
                <w:vanish/>
              </w:rPr>
            </w:pPr>
          </w:p>
        </w:tc>
      </w:tr>
      <w:tr w:rsidR="00A91885" w14:paraId="18601BDD" w14:textId="77777777">
        <w:trPr>
          <w:hidden/>
        </w:trPr>
        <w:tc>
          <w:tcPr>
            <w:tcW w:w="0" w:type="auto"/>
            <w:gridSpan w:val="3"/>
            <w:shd w:val="clear" w:color="auto" w:fill="auto"/>
            <w:vAlign w:val="bottom"/>
          </w:tcPr>
          <w:p w14:paraId="18601BD1" w14:textId="77777777" w:rsidR="00A91885" w:rsidRDefault="00A91885">
            <w:pPr>
              <w:rPr>
                <w:rFonts w:ascii="宋体"/>
                <w:vanish/>
              </w:rPr>
            </w:pPr>
          </w:p>
        </w:tc>
        <w:tc>
          <w:tcPr>
            <w:tcW w:w="0" w:type="auto"/>
            <w:gridSpan w:val="3"/>
            <w:shd w:val="clear" w:color="auto" w:fill="auto"/>
            <w:vAlign w:val="bottom"/>
          </w:tcPr>
          <w:p w14:paraId="18601BD2" w14:textId="77777777" w:rsidR="00A91885" w:rsidRDefault="00A91885">
            <w:pPr>
              <w:rPr>
                <w:rFonts w:ascii="宋体"/>
                <w:vanish/>
              </w:rPr>
            </w:pPr>
          </w:p>
        </w:tc>
        <w:tc>
          <w:tcPr>
            <w:tcW w:w="0" w:type="auto"/>
            <w:gridSpan w:val="3"/>
            <w:shd w:val="clear" w:color="auto" w:fill="auto"/>
            <w:vAlign w:val="bottom"/>
          </w:tcPr>
          <w:p w14:paraId="18601BD3" w14:textId="77777777" w:rsidR="00A91885" w:rsidRDefault="00A91885">
            <w:pPr>
              <w:rPr>
                <w:rFonts w:ascii="宋体"/>
                <w:vanish/>
              </w:rPr>
            </w:pPr>
          </w:p>
        </w:tc>
        <w:tc>
          <w:tcPr>
            <w:tcW w:w="0" w:type="auto"/>
            <w:gridSpan w:val="3"/>
            <w:shd w:val="clear" w:color="auto" w:fill="auto"/>
            <w:vAlign w:val="bottom"/>
          </w:tcPr>
          <w:p w14:paraId="18601BD4" w14:textId="77777777" w:rsidR="00A91885" w:rsidRDefault="00A91885">
            <w:pPr>
              <w:rPr>
                <w:rFonts w:ascii="宋体"/>
                <w:vanish/>
              </w:rPr>
            </w:pPr>
          </w:p>
        </w:tc>
        <w:tc>
          <w:tcPr>
            <w:tcW w:w="0" w:type="auto"/>
            <w:gridSpan w:val="3"/>
            <w:shd w:val="clear" w:color="auto" w:fill="auto"/>
            <w:vAlign w:val="bottom"/>
          </w:tcPr>
          <w:p w14:paraId="18601BD5" w14:textId="77777777" w:rsidR="00A91885" w:rsidRDefault="00A91885">
            <w:pPr>
              <w:rPr>
                <w:rFonts w:ascii="宋体"/>
                <w:vanish/>
              </w:rPr>
            </w:pPr>
          </w:p>
        </w:tc>
        <w:tc>
          <w:tcPr>
            <w:tcW w:w="0" w:type="auto"/>
            <w:gridSpan w:val="3"/>
            <w:shd w:val="clear" w:color="auto" w:fill="auto"/>
            <w:vAlign w:val="bottom"/>
          </w:tcPr>
          <w:p w14:paraId="18601BD6" w14:textId="77777777" w:rsidR="00A91885" w:rsidRDefault="00A91885">
            <w:pPr>
              <w:rPr>
                <w:rFonts w:ascii="宋体"/>
                <w:vanish/>
              </w:rPr>
            </w:pPr>
          </w:p>
        </w:tc>
        <w:tc>
          <w:tcPr>
            <w:tcW w:w="0" w:type="auto"/>
            <w:gridSpan w:val="3"/>
            <w:shd w:val="clear" w:color="auto" w:fill="auto"/>
            <w:vAlign w:val="bottom"/>
          </w:tcPr>
          <w:p w14:paraId="18601BD7" w14:textId="77777777" w:rsidR="00A91885" w:rsidRDefault="00A91885">
            <w:pPr>
              <w:rPr>
                <w:rFonts w:ascii="宋体"/>
                <w:vanish/>
              </w:rPr>
            </w:pPr>
          </w:p>
        </w:tc>
        <w:tc>
          <w:tcPr>
            <w:tcW w:w="0" w:type="auto"/>
            <w:gridSpan w:val="3"/>
            <w:shd w:val="clear" w:color="auto" w:fill="auto"/>
            <w:vAlign w:val="bottom"/>
          </w:tcPr>
          <w:p w14:paraId="18601BD8" w14:textId="77777777" w:rsidR="00A91885" w:rsidRDefault="00A91885">
            <w:pPr>
              <w:rPr>
                <w:rFonts w:ascii="宋体"/>
                <w:vanish/>
              </w:rPr>
            </w:pPr>
          </w:p>
        </w:tc>
        <w:tc>
          <w:tcPr>
            <w:tcW w:w="0" w:type="auto"/>
            <w:gridSpan w:val="3"/>
            <w:shd w:val="clear" w:color="auto" w:fill="auto"/>
            <w:vAlign w:val="bottom"/>
          </w:tcPr>
          <w:p w14:paraId="18601BD9" w14:textId="77777777" w:rsidR="00A91885" w:rsidRDefault="00A91885">
            <w:pPr>
              <w:rPr>
                <w:rFonts w:ascii="宋体"/>
                <w:vanish/>
              </w:rPr>
            </w:pPr>
          </w:p>
        </w:tc>
        <w:tc>
          <w:tcPr>
            <w:tcW w:w="0" w:type="auto"/>
            <w:gridSpan w:val="3"/>
            <w:shd w:val="clear" w:color="auto" w:fill="auto"/>
            <w:vAlign w:val="bottom"/>
          </w:tcPr>
          <w:p w14:paraId="18601BDA" w14:textId="77777777" w:rsidR="00A91885" w:rsidRDefault="00A91885">
            <w:pPr>
              <w:rPr>
                <w:rFonts w:ascii="宋体"/>
                <w:vanish/>
              </w:rPr>
            </w:pPr>
          </w:p>
        </w:tc>
        <w:tc>
          <w:tcPr>
            <w:tcW w:w="0" w:type="auto"/>
            <w:gridSpan w:val="3"/>
            <w:shd w:val="clear" w:color="auto" w:fill="auto"/>
            <w:vAlign w:val="bottom"/>
          </w:tcPr>
          <w:p w14:paraId="18601BDB" w14:textId="77777777" w:rsidR="00A91885" w:rsidRDefault="00A91885">
            <w:pPr>
              <w:rPr>
                <w:rFonts w:ascii="宋体"/>
                <w:vanish/>
              </w:rPr>
            </w:pPr>
          </w:p>
        </w:tc>
        <w:tc>
          <w:tcPr>
            <w:tcW w:w="0" w:type="auto"/>
            <w:gridSpan w:val="3"/>
            <w:shd w:val="clear" w:color="auto" w:fill="auto"/>
            <w:vAlign w:val="bottom"/>
          </w:tcPr>
          <w:p w14:paraId="18601BDC" w14:textId="77777777" w:rsidR="00A91885" w:rsidRDefault="00A91885">
            <w:pPr>
              <w:rPr>
                <w:rFonts w:ascii="宋体"/>
                <w:vanish/>
              </w:rPr>
            </w:pPr>
          </w:p>
        </w:tc>
      </w:tr>
      <w:tr w:rsidR="00A91885" w14:paraId="18601BEA" w14:textId="77777777">
        <w:trPr>
          <w:hidden/>
        </w:trPr>
        <w:tc>
          <w:tcPr>
            <w:tcW w:w="0" w:type="auto"/>
            <w:gridSpan w:val="3"/>
            <w:shd w:val="clear" w:color="auto" w:fill="auto"/>
            <w:vAlign w:val="bottom"/>
          </w:tcPr>
          <w:p w14:paraId="18601BDE" w14:textId="77777777" w:rsidR="00A91885" w:rsidRDefault="00A91885">
            <w:pPr>
              <w:rPr>
                <w:rFonts w:ascii="宋体"/>
                <w:vanish/>
              </w:rPr>
            </w:pPr>
          </w:p>
        </w:tc>
        <w:tc>
          <w:tcPr>
            <w:tcW w:w="0" w:type="auto"/>
            <w:gridSpan w:val="3"/>
            <w:shd w:val="clear" w:color="auto" w:fill="auto"/>
            <w:vAlign w:val="bottom"/>
          </w:tcPr>
          <w:p w14:paraId="18601BDF" w14:textId="77777777" w:rsidR="00A91885" w:rsidRDefault="00A91885">
            <w:pPr>
              <w:rPr>
                <w:rFonts w:ascii="宋体"/>
                <w:vanish/>
              </w:rPr>
            </w:pPr>
          </w:p>
        </w:tc>
        <w:tc>
          <w:tcPr>
            <w:tcW w:w="0" w:type="auto"/>
            <w:gridSpan w:val="3"/>
            <w:shd w:val="clear" w:color="auto" w:fill="auto"/>
            <w:vAlign w:val="bottom"/>
          </w:tcPr>
          <w:p w14:paraId="18601BE0" w14:textId="77777777" w:rsidR="00A91885" w:rsidRDefault="00A91885">
            <w:pPr>
              <w:rPr>
                <w:rFonts w:ascii="宋体"/>
                <w:vanish/>
              </w:rPr>
            </w:pPr>
          </w:p>
        </w:tc>
        <w:tc>
          <w:tcPr>
            <w:tcW w:w="0" w:type="auto"/>
            <w:gridSpan w:val="3"/>
            <w:shd w:val="clear" w:color="auto" w:fill="auto"/>
            <w:vAlign w:val="bottom"/>
          </w:tcPr>
          <w:p w14:paraId="18601BE1" w14:textId="77777777" w:rsidR="00A91885" w:rsidRDefault="00A91885">
            <w:pPr>
              <w:rPr>
                <w:rFonts w:ascii="宋体"/>
                <w:vanish/>
              </w:rPr>
            </w:pPr>
          </w:p>
        </w:tc>
        <w:tc>
          <w:tcPr>
            <w:tcW w:w="0" w:type="auto"/>
            <w:gridSpan w:val="3"/>
            <w:shd w:val="clear" w:color="auto" w:fill="auto"/>
            <w:vAlign w:val="bottom"/>
          </w:tcPr>
          <w:p w14:paraId="18601BE2" w14:textId="77777777" w:rsidR="00A91885" w:rsidRDefault="00A91885">
            <w:pPr>
              <w:rPr>
                <w:rFonts w:ascii="宋体"/>
                <w:vanish/>
              </w:rPr>
            </w:pPr>
          </w:p>
        </w:tc>
        <w:tc>
          <w:tcPr>
            <w:tcW w:w="0" w:type="auto"/>
            <w:gridSpan w:val="3"/>
            <w:shd w:val="clear" w:color="auto" w:fill="auto"/>
            <w:vAlign w:val="bottom"/>
          </w:tcPr>
          <w:p w14:paraId="18601BE3" w14:textId="77777777" w:rsidR="00A91885" w:rsidRDefault="00A91885">
            <w:pPr>
              <w:rPr>
                <w:rFonts w:ascii="宋体"/>
                <w:vanish/>
              </w:rPr>
            </w:pPr>
          </w:p>
        </w:tc>
        <w:tc>
          <w:tcPr>
            <w:tcW w:w="0" w:type="auto"/>
            <w:gridSpan w:val="3"/>
            <w:shd w:val="clear" w:color="auto" w:fill="auto"/>
            <w:vAlign w:val="bottom"/>
          </w:tcPr>
          <w:p w14:paraId="18601BE4" w14:textId="77777777" w:rsidR="00A91885" w:rsidRDefault="00A91885">
            <w:pPr>
              <w:rPr>
                <w:rFonts w:ascii="宋体"/>
                <w:vanish/>
              </w:rPr>
            </w:pPr>
          </w:p>
        </w:tc>
        <w:tc>
          <w:tcPr>
            <w:tcW w:w="0" w:type="auto"/>
            <w:gridSpan w:val="3"/>
            <w:shd w:val="clear" w:color="auto" w:fill="auto"/>
            <w:vAlign w:val="bottom"/>
          </w:tcPr>
          <w:p w14:paraId="18601BE5" w14:textId="77777777" w:rsidR="00A91885" w:rsidRDefault="00A91885">
            <w:pPr>
              <w:rPr>
                <w:rFonts w:ascii="宋体"/>
                <w:vanish/>
              </w:rPr>
            </w:pPr>
          </w:p>
        </w:tc>
        <w:tc>
          <w:tcPr>
            <w:tcW w:w="0" w:type="auto"/>
            <w:gridSpan w:val="3"/>
            <w:shd w:val="clear" w:color="auto" w:fill="auto"/>
            <w:vAlign w:val="bottom"/>
          </w:tcPr>
          <w:p w14:paraId="18601BE6" w14:textId="77777777" w:rsidR="00A91885" w:rsidRDefault="00A91885">
            <w:pPr>
              <w:rPr>
                <w:rFonts w:ascii="宋体"/>
                <w:vanish/>
              </w:rPr>
            </w:pPr>
          </w:p>
        </w:tc>
        <w:tc>
          <w:tcPr>
            <w:tcW w:w="0" w:type="auto"/>
            <w:gridSpan w:val="3"/>
            <w:shd w:val="clear" w:color="auto" w:fill="auto"/>
            <w:vAlign w:val="bottom"/>
          </w:tcPr>
          <w:p w14:paraId="18601BE7" w14:textId="77777777" w:rsidR="00A91885" w:rsidRDefault="00A91885">
            <w:pPr>
              <w:rPr>
                <w:rFonts w:ascii="宋体"/>
                <w:vanish/>
              </w:rPr>
            </w:pPr>
          </w:p>
        </w:tc>
        <w:tc>
          <w:tcPr>
            <w:tcW w:w="0" w:type="auto"/>
            <w:gridSpan w:val="3"/>
            <w:shd w:val="clear" w:color="auto" w:fill="auto"/>
            <w:vAlign w:val="bottom"/>
          </w:tcPr>
          <w:p w14:paraId="18601BE8" w14:textId="77777777" w:rsidR="00A91885" w:rsidRDefault="00A91885">
            <w:pPr>
              <w:rPr>
                <w:rFonts w:ascii="宋体"/>
                <w:vanish/>
              </w:rPr>
            </w:pPr>
          </w:p>
        </w:tc>
        <w:tc>
          <w:tcPr>
            <w:tcW w:w="0" w:type="auto"/>
            <w:gridSpan w:val="3"/>
            <w:shd w:val="clear" w:color="auto" w:fill="auto"/>
            <w:vAlign w:val="bottom"/>
          </w:tcPr>
          <w:p w14:paraId="18601BE9" w14:textId="77777777" w:rsidR="00A91885" w:rsidRDefault="00A91885">
            <w:pPr>
              <w:rPr>
                <w:rFonts w:ascii="宋体"/>
                <w:vanish/>
              </w:rPr>
            </w:pPr>
          </w:p>
        </w:tc>
      </w:tr>
      <w:tr w:rsidR="00A91885" w14:paraId="18601BF7" w14:textId="77777777">
        <w:trPr>
          <w:hidden/>
        </w:trPr>
        <w:tc>
          <w:tcPr>
            <w:tcW w:w="0" w:type="auto"/>
            <w:gridSpan w:val="3"/>
            <w:shd w:val="clear" w:color="auto" w:fill="auto"/>
            <w:vAlign w:val="bottom"/>
          </w:tcPr>
          <w:p w14:paraId="18601BEB" w14:textId="77777777" w:rsidR="00A91885" w:rsidRDefault="00A91885">
            <w:pPr>
              <w:rPr>
                <w:rFonts w:ascii="宋体"/>
                <w:vanish/>
              </w:rPr>
            </w:pPr>
          </w:p>
        </w:tc>
        <w:tc>
          <w:tcPr>
            <w:tcW w:w="0" w:type="auto"/>
            <w:gridSpan w:val="3"/>
            <w:shd w:val="clear" w:color="auto" w:fill="auto"/>
            <w:vAlign w:val="bottom"/>
          </w:tcPr>
          <w:p w14:paraId="18601BEC" w14:textId="77777777" w:rsidR="00A91885" w:rsidRDefault="00A91885">
            <w:pPr>
              <w:rPr>
                <w:rFonts w:ascii="宋体"/>
                <w:vanish/>
              </w:rPr>
            </w:pPr>
          </w:p>
        </w:tc>
        <w:tc>
          <w:tcPr>
            <w:tcW w:w="0" w:type="auto"/>
            <w:gridSpan w:val="3"/>
            <w:shd w:val="clear" w:color="auto" w:fill="auto"/>
            <w:vAlign w:val="bottom"/>
          </w:tcPr>
          <w:p w14:paraId="18601BED" w14:textId="77777777" w:rsidR="00A91885" w:rsidRDefault="00A91885">
            <w:pPr>
              <w:rPr>
                <w:rFonts w:ascii="宋体"/>
                <w:vanish/>
              </w:rPr>
            </w:pPr>
          </w:p>
        </w:tc>
        <w:tc>
          <w:tcPr>
            <w:tcW w:w="0" w:type="auto"/>
            <w:gridSpan w:val="3"/>
            <w:shd w:val="clear" w:color="auto" w:fill="auto"/>
            <w:vAlign w:val="bottom"/>
          </w:tcPr>
          <w:p w14:paraId="18601BEE" w14:textId="77777777" w:rsidR="00A91885" w:rsidRDefault="00A91885">
            <w:pPr>
              <w:rPr>
                <w:rFonts w:ascii="宋体"/>
                <w:vanish/>
              </w:rPr>
            </w:pPr>
          </w:p>
        </w:tc>
        <w:tc>
          <w:tcPr>
            <w:tcW w:w="0" w:type="auto"/>
            <w:gridSpan w:val="3"/>
            <w:shd w:val="clear" w:color="auto" w:fill="auto"/>
            <w:vAlign w:val="bottom"/>
          </w:tcPr>
          <w:p w14:paraId="18601BEF" w14:textId="77777777" w:rsidR="00A91885" w:rsidRDefault="00A91885">
            <w:pPr>
              <w:rPr>
                <w:rFonts w:ascii="宋体"/>
                <w:vanish/>
              </w:rPr>
            </w:pPr>
          </w:p>
        </w:tc>
        <w:tc>
          <w:tcPr>
            <w:tcW w:w="0" w:type="auto"/>
            <w:gridSpan w:val="3"/>
            <w:shd w:val="clear" w:color="auto" w:fill="auto"/>
            <w:vAlign w:val="bottom"/>
          </w:tcPr>
          <w:p w14:paraId="18601BF0" w14:textId="77777777" w:rsidR="00A91885" w:rsidRDefault="00A91885">
            <w:pPr>
              <w:rPr>
                <w:rFonts w:ascii="宋体"/>
                <w:vanish/>
              </w:rPr>
            </w:pPr>
          </w:p>
        </w:tc>
        <w:tc>
          <w:tcPr>
            <w:tcW w:w="0" w:type="auto"/>
            <w:gridSpan w:val="3"/>
            <w:shd w:val="clear" w:color="auto" w:fill="auto"/>
            <w:vAlign w:val="bottom"/>
          </w:tcPr>
          <w:p w14:paraId="18601BF1" w14:textId="77777777" w:rsidR="00A91885" w:rsidRDefault="00A91885">
            <w:pPr>
              <w:rPr>
                <w:rFonts w:ascii="宋体"/>
                <w:vanish/>
              </w:rPr>
            </w:pPr>
          </w:p>
        </w:tc>
        <w:tc>
          <w:tcPr>
            <w:tcW w:w="0" w:type="auto"/>
            <w:gridSpan w:val="3"/>
            <w:shd w:val="clear" w:color="auto" w:fill="auto"/>
            <w:vAlign w:val="bottom"/>
          </w:tcPr>
          <w:p w14:paraId="18601BF2" w14:textId="77777777" w:rsidR="00A91885" w:rsidRDefault="00A91885">
            <w:pPr>
              <w:rPr>
                <w:rFonts w:ascii="宋体"/>
                <w:vanish/>
              </w:rPr>
            </w:pPr>
          </w:p>
        </w:tc>
        <w:tc>
          <w:tcPr>
            <w:tcW w:w="0" w:type="auto"/>
            <w:gridSpan w:val="3"/>
            <w:shd w:val="clear" w:color="auto" w:fill="auto"/>
            <w:vAlign w:val="bottom"/>
          </w:tcPr>
          <w:p w14:paraId="18601BF3" w14:textId="77777777" w:rsidR="00A91885" w:rsidRDefault="00A91885">
            <w:pPr>
              <w:rPr>
                <w:rFonts w:ascii="宋体"/>
                <w:vanish/>
              </w:rPr>
            </w:pPr>
          </w:p>
        </w:tc>
        <w:tc>
          <w:tcPr>
            <w:tcW w:w="0" w:type="auto"/>
            <w:gridSpan w:val="3"/>
            <w:shd w:val="clear" w:color="auto" w:fill="auto"/>
            <w:vAlign w:val="bottom"/>
          </w:tcPr>
          <w:p w14:paraId="18601BF4" w14:textId="77777777" w:rsidR="00A91885" w:rsidRDefault="00A91885">
            <w:pPr>
              <w:rPr>
                <w:rFonts w:ascii="宋体"/>
                <w:vanish/>
              </w:rPr>
            </w:pPr>
          </w:p>
        </w:tc>
        <w:tc>
          <w:tcPr>
            <w:tcW w:w="0" w:type="auto"/>
            <w:gridSpan w:val="3"/>
            <w:shd w:val="clear" w:color="auto" w:fill="auto"/>
            <w:vAlign w:val="bottom"/>
          </w:tcPr>
          <w:p w14:paraId="18601BF5" w14:textId="77777777" w:rsidR="00A91885" w:rsidRDefault="00A91885">
            <w:pPr>
              <w:rPr>
                <w:rFonts w:ascii="宋体"/>
                <w:vanish/>
              </w:rPr>
            </w:pPr>
          </w:p>
        </w:tc>
        <w:tc>
          <w:tcPr>
            <w:tcW w:w="0" w:type="auto"/>
            <w:gridSpan w:val="3"/>
            <w:shd w:val="clear" w:color="auto" w:fill="auto"/>
            <w:vAlign w:val="bottom"/>
          </w:tcPr>
          <w:p w14:paraId="18601BF6" w14:textId="77777777" w:rsidR="00A91885" w:rsidRDefault="00A91885">
            <w:pPr>
              <w:rPr>
                <w:rFonts w:ascii="宋体"/>
                <w:vanish/>
              </w:rPr>
            </w:pPr>
          </w:p>
        </w:tc>
      </w:tr>
      <w:tr w:rsidR="00A91885" w14:paraId="18601C04" w14:textId="77777777">
        <w:trPr>
          <w:hidden/>
        </w:trPr>
        <w:tc>
          <w:tcPr>
            <w:tcW w:w="0" w:type="auto"/>
            <w:gridSpan w:val="3"/>
            <w:shd w:val="clear" w:color="auto" w:fill="auto"/>
            <w:vAlign w:val="bottom"/>
          </w:tcPr>
          <w:p w14:paraId="18601BF8" w14:textId="77777777" w:rsidR="00A91885" w:rsidRDefault="00A91885">
            <w:pPr>
              <w:rPr>
                <w:rFonts w:ascii="宋体"/>
                <w:vanish/>
              </w:rPr>
            </w:pPr>
          </w:p>
        </w:tc>
        <w:tc>
          <w:tcPr>
            <w:tcW w:w="0" w:type="auto"/>
            <w:gridSpan w:val="3"/>
            <w:shd w:val="clear" w:color="auto" w:fill="auto"/>
            <w:vAlign w:val="bottom"/>
          </w:tcPr>
          <w:p w14:paraId="18601BF9" w14:textId="77777777" w:rsidR="00A91885" w:rsidRDefault="00A91885">
            <w:pPr>
              <w:rPr>
                <w:rFonts w:ascii="宋体"/>
                <w:vanish/>
              </w:rPr>
            </w:pPr>
          </w:p>
        </w:tc>
        <w:tc>
          <w:tcPr>
            <w:tcW w:w="0" w:type="auto"/>
            <w:gridSpan w:val="3"/>
            <w:shd w:val="clear" w:color="auto" w:fill="auto"/>
            <w:vAlign w:val="bottom"/>
          </w:tcPr>
          <w:p w14:paraId="18601BFA" w14:textId="77777777" w:rsidR="00A91885" w:rsidRDefault="00A91885">
            <w:pPr>
              <w:rPr>
                <w:rFonts w:ascii="宋体"/>
                <w:vanish/>
              </w:rPr>
            </w:pPr>
          </w:p>
        </w:tc>
        <w:tc>
          <w:tcPr>
            <w:tcW w:w="0" w:type="auto"/>
            <w:gridSpan w:val="3"/>
            <w:shd w:val="clear" w:color="auto" w:fill="auto"/>
            <w:vAlign w:val="bottom"/>
          </w:tcPr>
          <w:p w14:paraId="18601BFB" w14:textId="77777777" w:rsidR="00A91885" w:rsidRDefault="00A91885">
            <w:pPr>
              <w:rPr>
                <w:rFonts w:ascii="宋体"/>
                <w:vanish/>
              </w:rPr>
            </w:pPr>
          </w:p>
        </w:tc>
        <w:tc>
          <w:tcPr>
            <w:tcW w:w="0" w:type="auto"/>
            <w:gridSpan w:val="3"/>
            <w:shd w:val="clear" w:color="auto" w:fill="auto"/>
            <w:vAlign w:val="bottom"/>
          </w:tcPr>
          <w:p w14:paraId="18601BFC" w14:textId="77777777" w:rsidR="00A91885" w:rsidRDefault="00A91885">
            <w:pPr>
              <w:rPr>
                <w:rFonts w:ascii="宋体"/>
                <w:vanish/>
              </w:rPr>
            </w:pPr>
          </w:p>
        </w:tc>
        <w:tc>
          <w:tcPr>
            <w:tcW w:w="0" w:type="auto"/>
            <w:gridSpan w:val="3"/>
            <w:shd w:val="clear" w:color="auto" w:fill="auto"/>
            <w:vAlign w:val="bottom"/>
          </w:tcPr>
          <w:p w14:paraId="18601BFD" w14:textId="77777777" w:rsidR="00A91885" w:rsidRDefault="00A91885">
            <w:pPr>
              <w:rPr>
                <w:rFonts w:ascii="宋体"/>
                <w:vanish/>
              </w:rPr>
            </w:pPr>
          </w:p>
        </w:tc>
        <w:tc>
          <w:tcPr>
            <w:tcW w:w="0" w:type="auto"/>
            <w:gridSpan w:val="3"/>
            <w:shd w:val="clear" w:color="auto" w:fill="auto"/>
            <w:vAlign w:val="bottom"/>
          </w:tcPr>
          <w:p w14:paraId="18601BFE" w14:textId="77777777" w:rsidR="00A91885" w:rsidRDefault="00A91885">
            <w:pPr>
              <w:rPr>
                <w:rFonts w:ascii="宋体"/>
                <w:vanish/>
              </w:rPr>
            </w:pPr>
          </w:p>
        </w:tc>
        <w:tc>
          <w:tcPr>
            <w:tcW w:w="0" w:type="auto"/>
            <w:gridSpan w:val="3"/>
            <w:shd w:val="clear" w:color="auto" w:fill="auto"/>
            <w:vAlign w:val="bottom"/>
          </w:tcPr>
          <w:p w14:paraId="18601BFF" w14:textId="77777777" w:rsidR="00A91885" w:rsidRDefault="00A91885">
            <w:pPr>
              <w:rPr>
                <w:rFonts w:ascii="宋体"/>
                <w:vanish/>
              </w:rPr>
            </w:pPr>
          </w:p>
        </w:tc>
        <w:tc>
          <w:tcPr>
            <w:tcW w:w="0" w:type="auto"/>
            <w:gridSpan w:val="3"/>
            <w:shd w:val="clear" w:color="auto" w:fill="auto"/>
            <w:vAlign w:val="bottom"/>
          </w:tcPr>
          <w:p w14:paraId="18601C00" w14:textId="77777777" w:rsidR="00A91885" w:rsidRDefault="00A91885">
            <w:pPr>
              <w:rPr>
                <w:rFonts w:ascii="宋体"/>
                <w:vanish/>
              </w:rPr>
            </w:pPr>
          </w:p>
        </w:tc>
        <w:tc>
          <w:tcPr>
            <w:tcW w:w="0" w:type="auto"/>
            <w:gridSpan w:val="3"/>
            <w:shd w:val="clear" w:color="auto" w:fill="auto"/>
            <w:vAlign w:val="bottom"/>
          </w:tcPr>
          <w:p w14:paraId="18601C01" w14:textId="77777777" w:rsidR="00A91885" w:rsidRDefault="00A91885">
            <w:pPr>
              <w:rPr>
                <w:rFonts w:ascii="宋体"/>
                <w:vanish/>
              </w:rPr>
            </w:pPr>
          </w:p>
        </w:tc>
        <w:tc>
          <w:tcPr>
            <w:tcW w:w="0" w:type="auto"/>
            <w:gridSpan w:val="3"/>
            <w:shd w:val="clear" w:color="auto" w:fill="auto"/>
            <w:vAlign w:val="bottom"/>
          </w:tcPr>
          <w:p w14:paraId="18601C02" w14:textId="77777777" w:rsidR="00A91885" w:rsidRDefault="00A91885">
            <w:pPr>
              <w:rPr>
                <w:rFonts w:ascii="宋体"/>
                <w:vanish/>
              </w:rPr>
            </w:pPr>
          </w:p>
        </w:tc>
        <w:tc>
          <w:tcPr>
            <w:tcW w:w="0" w:type="auto"/>
            <w:gridSpan w:val="3"/>
            <w:shd w:val="clear" w:color="auto" w:fill="auto"/>
            <w:vAlign w:val="bottom"/>
          </w:tcPr>
          <w:p w14:paraId="18601C03" w14:textId="77777777" w:rsidR="00A91885" w:rsidRDefault="00A91885">
            <w:pPr>
              <w:rPr>
                <w:rFonts w:ascii="宋体"/>
                <w:vanish/>
              </w:rPr>
            </w:pPr>
          </w:p>
        </w:tc>
      </w:tr>
      <w:tr w:rsidR="00A91885" w14:paraId="18601C1B" w14:textId="77777777">
        <w:tc>
          <w:tcPr>
            <w:tcW w:w="0" w:type="auto"/>
            <w:gridSpan w:val="3"/>
            <w:shd w:val="clear" w:color="auto" w:fill="DBDBDB"/>
            <w:tcMar>
              <w:top w:w="40" w:type="dxa"/>
              <w:left w:w="20" w:type="dxa"/>
              <w:bottom w:w="40" w:type="dxa"/>
              <w:right w:w="20" w:type="dxa"/>
            </w:tcMar>
            <w:vAlign w:val="bottom"/>
          </w:tcPr>
          <w:p w14:paraId="18601C05" w14:textId="77777777" w:rsidR="00A91885" w:rsidRDefault="009C4196">
            <w:pPr>
              <w:textAlignment w:val="bottom"/>
            </w:pPr>
            <w:r>
              <w:rPr>
                <w:rFonts w:ascii="Arial" w:eastAsia="宋体" w:hAnsi="Arial" w:cs="Arial"/>
                <w:color w:val="000000"/>
                <w:sz w:val="18"/>
                <w:szCs w:val="18"/>
              </w:rPr>
              <w:t>Total interest and other, net</w:t>
            </w:r>
          </w:p>
        </w:tc>
        <w:tc>
          <w:tcPr>
            <w:tcW w:w="0" w:type="auto"/>
            <w:tcBorders>
              <w:top w:val="single" w:sz="8" w:space="0" w:color="000000"/>
            </w:tcBorders>
            <w:shd w:val="clear" w:color="auto" w:fill="DBDBDB"/>
            <w:tcMar>
              <w:top w:w="40" w:type="dxa"/>
              <w:left w:w="20" w:type="dxa"/>
              <w:bottom w:w="40" w:type="dxa"/>
              <w:right w:w="0" w:type="dxa"/>
            </w:tcMar>
            <w:vAlign w:val="bottom"/>
          </w:tcPr>
          <w:p w14:paraId="18601C0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601C07" w14:textId="77777777" w:rsidR="00A91885" w:rsidRDefault="009C4196">
            <w:pPr>
              <w:jc w:val="right"/>
              <w:textAlignment w:val="bottom"/>
            </w:pPr>
            <w:r>
              <w:rPr>
                <w:rFonts w:ascii="Arial" w:eastAsia="宋体" w:hAnsi="Arial" w:cs="Arial"/>
                <w:color w:val="000000"/>
                <w:sz w:val="18"/>
                <w:szCs w:val="18"/>
              </w:rPr>
              <w:t>(31)</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1C08"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1C09"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601C0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601C0B" w14:textId="77777777" w:rsidR="00A91885" w:rsidRDefault="009C4196">
            <w:pPr>
              <w:jc w:val="right"/>
              <w:textAlignment w:val="bottom"/>
            </w:pPr>
            <w:r>
              <w:rPr>
                <w:rFonts w:ascii="Arial" w:eastAsia="宋体" w:hAnsi="Arial" w:cs="Arial"/>
                <w:color w:val="000000"/>
                <w:sz w:val="18"/>
                <w:szCs w:val="18"/>
              </w:rPr>
              <w:t>(58)</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1C0C"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1C0D" w14:textId="77777777" w:rsidR="00A91885" w:rsidRDefault="00A91885">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18601C0E" w14:textId="77777777" w:rsidR="00A91885" w:rsidRDefault="009C4196">
            <w:pPr>
              <w:jc w:val="right"/>
              <w:textAlignment w:val="bottom"/>
            </w:pPr>
            <w:r>
              <w:rPr>
                <w:rFonts w:ascii="Arial" w:eastAsia="宋体" w:hAnsi="Arial" w:cs="Arial"/>
                <w:color w:val="000000"/>
                <w:sz w:val="18"/>
                <w:szCs w:val="18"/>
              </w:rPr>
              <w:t>(47)</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1C0F"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DBDBDB"/>
            <w:tcMar>
              <w:top w:w="0" w:type="dxa"/>
              <w:left w:w="20" w:type="dxa"/>
              <w:bottom w:w="0" w:type="dxa"/>
              <w:right w:w="20" w:type="dxa"/>
            </w:tcMar>
            <w:vAlign w:val="bottom"/>
          </w:tcPr>
          <w:p w14:paraId="18601C10"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601C11"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601C12" w14:textId="77777777" w:rsidR="00A91885" w:rsidRDefault="009C4196">
            <w:pPr>
              <w:jc w:val="right"/>
              <w:textAlignment w:val="bottom"/>
            </w:pPr>
            <w:r>
              <w:rPr>
                <w:rFonts w:ascii="Arial" w:eastAsia="宋体" w:hAnsi="Arial" w:cs="Arial"/>
                <w:color w:val="000000"/>
                <w:sz w:val="18"/>
                <w:szCs w:val="18"/>
              </w:rPr>
              <w:t>(81)</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1C13"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1C14" w14:textId="77777777" w:rsidR="00A91885" w:rsidRDefault="00A91885">
            <w:pPr>
              <w:rPr>
                <w:rFonts w:ascii="宋体"/>
              </w:rPr>
            </w:pPr>
          </w:p>
        </w:tc>
        <w:tc>
          <w:tcPr>
            <w:tcW w:w="0" w:type="auto"/>
            <w:tcBorders>
              <w:top w:val="single" w:sz="8" w:space="0" w:color="000000"/>
            </w:tcBorders>
            <w:shd w:val="clear" w:color="auto" w:fill="DBDBDB"/>
            <w:tcMar>
              <w:top w:w="40" w:type="dxa"/>
              <w:left w:w="20" w:type="dxa"/>
              <w:bottom w:w="40" w:type="dxa"/>
              <w:right w:w="0" w:type="dxa"/>
            </w:tcMar>
            <w:vAlign w:val="bottom"/>
          </w:tcPr>
          <w:p w14:paraId="18601C15"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DBDBDB"/>
            <w:tcMar>
              <w:top w:w="40" w:type="dxa"/>
              <w:left w:w="0" w:type="dxa"/>
              <w:bottom w:w="40" w:type="dxa"/>
              <w:right w:w="0" w:type="dxa"/>
            </w:tcMar>
            <w:vAlign w:val="bottom"/>
          </w:tcPr>
          <w:p w14:paraId="18601C16" w14:textId="77777777" w:rsidR="00A91885" w:rsidRDefault="009C4196">
            <w:pPr>
              <w:jc w:val="right"/>
              <w:textAlignment w:val="bottom"/>
            </w:pPr>
            <w:r>
              <w:rPr>
                <w:rFonts w:ascii="Arial" w:eastAsia="宋体" w:hAnsi="Arial" w:cs="Arial"/>
                <w:color w:val="000000"/>
                <w:sz w:val="18"/>
                <w:szCs w:val="18"/>
              </w:rPr>
              <w:t>(139)</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1C17" w14:textId="77777777" w:rsidR="00A91885" w:rsidRDefault="00A91885">
            <w:pPr>
              <w:jc w:val="right"/>
              <w:rPr>
                <w:rFonts w:ascii="宋体"/>
              </w:rPr>
            </w:pPr>
          </w:p>
        </w:tc>
        <w:tc>
          <w:tcPr>
            <w:tcW w:w="0" w:type="auto"/>
            <w:gridSpan w:val="3"/>
            <w:shd w:val="clear" w:color="auto" w:fill="DBDBDB"/>
            <w:tcMar>
              <w:top w:w="0" w:type="dxa"/>
              <w:left w:w="20" w:type="dxa"/>
              <w:bottom w:w="0" w:type="dxa"/>
              <w:right w:w="20" w:type="dxa"/>
            </w:tcMar>
            <w:vAlign w:val="bottom"/>
          </w:tcPr>
          <w:p w14:paraId="18601C18" w14:textId="77777777" w:rsidR="00A91885" w:rsidRDefault="00A91885">
            <w:pPr>
              <w:rPr>
                <w:rFonts w:ascii="宋体"/>
              </w:rPr>
            </w:pPr>
          </w:p>
        </w:tc>
        <w:tc>
          <w:tcPr>
            <w:tcW w:w="0" w:type="auto"/>
            <w:gridSpan w:val="2"/>
            <w:tcBorders>
              <w:top w:val="single" w:sz="8" w:space="0" w:color="000000"/>
            </w:tcBorders>
            <w:shd w:val="clear" w:color="auto" w:fill="DBDBDB"/>
            <w:tcMar>
              <w:top w:w="40" w:type="dxa"/>
              <w:left w:w="20" w:type="dxa"/>
              <w:bottom w:w="40" w:type="dxa"/>
              <w:right w:w="0" w:type="dxa"/>
            </w:tcMar>
            <w:vAlign w:val="bottom"/>
          </w:tcPr>
          <w:p w14:paraId="18601C19" w14:textId="77777777" w:rsidR="00A91885" w:rsidRDefault="009C4196">
            <w:pPr>
              <w:jc w:val="right"/>
              <w:textAlignment w:val="bottom"/>
            </w:pPr>
            <w:r>
              <w:rPr>
                <w:rFonts w:ascii="Arial" w:eastAsia="宋体" w:hAnsi="Arial" w:cs="Arial"/>
                <w:color w:val="000000"/>
                <w:sz w:val="18"/>
                <w:szCs w:val="18"/>
              </w:rPr>
              <w:t>(42)</w:t>
            </w:r>
          </w:p>
        </w:tc>
        <w:tc>
          <w:tcPr>
            <w:tcW w:w="0" w:type="auto"/>
            <w:tcBorders>
              <w:top w:val="single" w:sz="8" w:space="0" w:color="000000"/>
            </w:tcBorders>
            <w:shd w:val="clear" w:color="auto" w:fill="DBDBDB"/>
            <w:tcMar>
              <w:top w:w="40" w:type="dxa"/>
              <w:left w:w="0" w:type="dxa"/>
              <w:bottom w:w="40" w:type="dxa"/>
              <w:right w:w="20" w:type="dxa"/>
            </w:tcMar>
            <w:vAlign w:val="bottom"/>
          </w:tcPr>
          <w:p w14:paraId="18601C1A" w14:textId="77777777" w:rsidR="00A91885" w:rsidRDefault="009C4196">
            <w:pPr>
              <w:jc w:val="right"/>
              <w:textAlignment w:val="bottom"/>
            </w:pPr>
            <w:r>
              <w:rPr>
                <w:rFonts w:ascii="Arial" w:eastAsia="宋体" w:hAnsi="Arial" w:cs="Arial"/>
                <w:color w:val="000000"/>
                <w:sz w:val="18"/>
                <w:szCs w:val="18"/>
              </w:rPr>
              <w:t>%</w:t>
            </w:r>
          </w:p>
        </w:tc>
      </w:tr>
      <w:tr w:rsidR="00A91885" w14:paraId="18601C2C" w14:textId="77777777">
        <w:tc>
          <w:tcPr>
            <w:tcW w:w="0" w:type="auto"/>
            <w:gridSpan w:val="3"/>
            <w:shd w:val="clear" w:color="auto" w:fill="FFFFFF"/>
            <w:tcMar>
              <w:top w:w="40" w:type="dxa"/>
              <w:left w:w="155" w:type="dxa"/>
              <w:bottom w:w="40" w:type="dxa"/>
              <w:right w:w="20" w:type="dxa"/>
            </w:tcMar>
            <w:vAlign w:val="bottom"/>
          </w:tcPr>
          <w:p w14:paraId="18601C1C" w14:textId="77777777" w:rsidR="00A91885" w:rsidRDefault="009C4196">
            <w:pPr>
              <w:textAlignment w:val="bottom"/>
            </w:pPr>
            <w:r>
              <w:rPr>
                <w:rFonts w:ascii="Arial" w:eastAsia="宋体" w:hAnsi="Arial" w:cs="Arial"/>
                <w:i/>
                <w:iCs/>
                <w:color w:val="000000"/>
                <w:sz w:val="18"/>
                <w:szCs w:val="18"/>
              </w:rPr>
              <w:t>Perce</w:t>
            </w:r>
            <w:r>
              <w:rPr>
                <w:rFonts w:ascii="Arial" w:eastAsia="宋体" w:hAnsi="Arial" w:cs="Arial"/>
                <w:i/>
                <w:iCs/>
                <w:color w:val="000000"/>
                <w:sz w:val="18"/>
                <w:szCs w:val="18"/>
              </w:rPr>
              <w:t>ntage of net revenues</w:t>
            </w:r>
          </w:p>
        </w:tc>
        <w:tc>
          <w:tcPr>
            <w:tcW w:w="0" w:type="auto"/>
            <w:gridSpan w:val="2"/>
            <w:shd w:val="clear" w:color="auto" w:fill="FFFFFF"/>
            <w:tcMar>
              <w:top w:w="40" w:type="dxa"/>
              <w:left w:w="20" w:type="dxa"/>
              <w:bottom w:w="40" w:type="dxa"/>
              <w:right w:w="0" w:type="dxa"/>
            </w:tcMar>
            <w:vAlign w:val="bottom"/>
          </w:tcPr>
          <w:p w14:paraId="18601C1D" w14:textId="77777777" w:rsidR="00A91885" w:rsidRDefault="009C4196">
            <w:pPr>
              <w:jc w:val="right"/>
              <w:textAlignment w:val="bottom"/>
            </w:pPr>
            <w:r>
              <w:rPr>
                <w:rFonts w:ascii="Arial" w:eastAsia="宋体" w:hAnsi="Arial" w:cs="Arial"/>
                <w:i/>
                <w:iCs/>
                <w:color w:val="000000"/>
                <w:sz w:val="18"/>
                <w:szCs w:val="18"/>
              </w:rPr>
              <w:t>(1)</w:t>
            </w:r>
          </w:p>
        </w:tc>
        <w:tc>
          <w:tcPr>
            <w:tcW w:w="0" w:type="auto"/>
            <w:shd w:val="clear" w:color="auto" w:fill="FFFFFF"/>
            <w:tcMar>
              <w:top w:w="40" w:type="dxa"/>
              <w:left w:w="0" w:type="dxa"/>
              <w:bottom w:w="40" w:type="dxa"/>
              <w:right w:w="20" w:type="dxa"/>
            </w:tcMar>
            <w:vAlign w:val="bottom"/>
          </w:tcPr>
          <w:p w14:paraId="18601C1E"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C1F"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C20" w14:textId="77777777" w:rsidR="00A91885" w:rsidRDefault="009C4196">
            <w:pPr>
              <w:jc w:val="right"/>
              <w:textAlignment w:val="bottom"/>
            </w:pPr>
            <w:r>
              <w:rPr>
                <w:rFonts w:ascii="Arial" w:eastAsia="宋体" w:hAnsi="Arial" w:cs="Arial"/>
                <w:i/>
                <w:iCs/>
                <w:color w:val="000000"/>
                <w:sz w:val="18"/>
                <w:szCs w:val="18"/>
              </w:rPr>
              <w:t>(2)</w:t>
            </w:r>
          </w:p>
        </w:tc>
        <w:tc>
          <w:tcPr>
            <w:tcW w:w="0" w:type="auto"/>
            <w:shd w:val="clear" w:color="auto" w:fill="FFFFFF"/>
            <w:tcMar>
              <w:top w:w="40" w:type="dxa"/>
              <w:left w:w="0" w:type="dxa"/>
              <w:bottom w:w="40" w:type="dxa"/>
              <w:right w:w="20" w:type="dxa"/>
            </w:tcMar>
            <w:vAlign w:val="bottom"/>
          </w:tcPr>
          <w:p w14:paraId="18601C21"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C22"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C23"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C2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C25" w14:textId="77777777" w:rsidR="00A91885" w:rsidRDefault="009C4196">
            <w:pPr>
              <w:jc w:val="right"/>
              <w:textAlignment w:val="bottom"/>
            </w:pPr>
            <w:r>
              <w:rPr>
                <w:rFonts w:ascii="Arial" w:eastAsia="宋体" w:hAnsi="Arial" w:cs="Arial"/>
                <w:i/>
                <w:iCs/>
                <w:color w:val="000000"/>
                <w:sz w:val="18"/>
                <w:szCs w:val="18"/>
              </w:rPr>
              <w:t>(2)</w:t>
            </w:r>
          </w:p>
        </w:tc>
        <w:tc>
          <w:tcPr>
            <w:tcW w:w="0" w:type="auto"/>
            <w:shd w:val="clear" w:color="auto" w:fill="FFFFFF"/>
            <w:tcMar>
              <w:top w:w="40" w:type="dxa"/>
              <w:left w:w="0" w:type="dxa"/>
              <w:bottom w:w="40" w:type="dxa"/>
              <w:right w:w="20" w:type="dxa"/>
            </w:tcMar>
            <w:vAlign w:val="bottom"/>
          </w:tcPr>
          <w:p w14:paraId="18601C26"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C2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C28" w14:textId="77777777" w:rsidR="00A91885" w:rsidRDefault="009C4196">
            <w:pPr>
              <w:jc w:val="right"/>
              <w:textAlignment w:val="bottom"/>
            </w:pPr>
            <w:r>
              <w:rPr>
                <w:rFonts w:ascii="Arial" w:eastAsia="宋体" w:hAnsi="Arial" w:cs="Arial"/>
                <w:i/>
                <w:iCs/>
                <w:color w:val="000000"/>
                <w:sz w:val="18"/>
                <w:szCs w:val="18"/>
              </w:rPr>
              <w:t>(3)</w:t>
            </w:r>
          </w:p>
        </w:tc>
        <w:tc>
          <w:tcPr>
            <w:tcW w:w="0" w:type="auto"/>
            <w:shd w:val="clear" w:color="auto" w:fill="FFFFFF"/>
            <w:tcMar>
              <w:top w:w="40" w:type="dxa"/>
              <w:left w:w="0" w:type="dxa"/>
              <w:bottom w:w="40" w:type="dxa"/>
              <w:right w:w="20" w:type="dxa"/>
            </w:tcMar>
            <w:vAlign w:val="bottom"/>
          </w:tcPr>
          <w:p w14:paraId="18601C29"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C2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C2B" w14:textId="77777777" w:rsidR="00A91885" w:rsidRDefault="00A91885">
            <w:pPr>
              <w:rPr>
                <w:rFonts w:ascii="宋体"/>
              </w:rPr>
            </w:pPr>
          </w:p>
        </w:tc>
      </w:tr>
    </w:tbl>
    <w:p w14:paraId="18601C2D" w14:textId="77777777" w:rsidR="00A91885" w:rsidRDefault="00A91885">
      <w:pPr>
        <w:ind w:firstLine="540"/>
        <w:jc w:val="both"/>
      </w:pPr>
    </w:p>
    <w:p w14:paraId="18601C2E" w14:textId="77777777" w:rsidR="00A91885" w:rsidRDefault="009C4196">
      <w:pPr>
        <w:ind w:firstLine="540"/>
        <w:jc w:val="both"/>
      </w:pPr>
      <w:r>
        <w:rPr>
          <w:rFonts w:ascii="Arial" w:eastAsia="宋体" w:hAnsi="Arial" w:cs="Arial"/>
          <w:color w:val="000000"/>
          <w:sz w:val="20"/>
          <w:szCs w:val="20"/>
        </w:rPr>
        <w:t xml:space="preserve">The decrease in interest and other, net expense during the three months ended June 30, 2022 compared to the same period in 2021 was primarily due to foreign exchange transaction gains and </w:t>
      </w:r>
      <w:r>
        <w:rPr>
          <w:rFonts w:ascii="Arial" w:eastAsia="宋体" w:hAnsi="Arial" w:cs="Arial"/>
          <w:color w:val="000000"/>
          <w:sz w:val="20"/>
          <w:szCs w:val="20"/>
        </w:rPr>
        <w:t>an increase in interest income.</w:t>
      </w:r>
    </w:p>
    <w:p w14:paraId="18601C2F" w14:textId="77777777" w:rsidR="00A91885" w:rsidRDefault="00A91885">
      <w:pPr>
        <w:ind w:firstLine="540"/>
        <w:jc w:val="both"/>
      </w:pPr>
    </w:p>
    <w:p w14:paraId="18601C30" w14:textId="77777777" w:rsidR="00A91885" w:rsidRDefault="00A91885">
      <w:pPr>
        <w:jc w:val="center"/>
      </w:pPr>
    </w:p>
    <w:p w14:paraId="18601C31" w14:textId="77777777" w:rsidR="00A91885" w:rsidRDefault="009C4196">
      <w:pPr>
        <w:jc w:val="center"/>
      </w:pPr>
      <w:r>
        <w:rPr>
          <w:rFonts w:ascii="Arial" w:eastAsia="宋体" w:hAnsi="Arial" w:cs="Arial"/>
          <w:color w:val="000000"/>
          <w:sz w:val="20"/>
          <w:szCs w:val="20"/>
        </w:rPr>
        <w:t>54</w:t>
      </w:r>
    </w:p>
    <w:p w14:paraId="18601C32" w14:textId="77777777" w:rsidR="00A91885" w:rsidRDefault="009C4196">
      <w:r>
        <w:pict w14:anchorId="186021B9">
          <v:rect id="_x0000_i1078" style="width:415.3pt;height:1.5pt" o:hralign="center" o:hrstd="t" o:hr="t" fillcolor="#a0a0a0" stroked="f"/>
        </w:pict>
      </w:r>
    </w:p>
    <w:p w14:paraId="18601C33" w14:textId="77777777" w:rsidR="00A91885" w:rsidRDefault="009C4196">
      <w:hyperlink r:id="rId138" w:anchor="ieb971428a625452486c65ae24899afca_7" w:history="1">
        <w:r>
          <w:rPr>
            <w:rStyle w:val="a5"/>
            <w:rFonts w:ascii="Arial" w:eastAsia="宋体" w:hAnsi="Arial" w:cs="Arial"/>
            <w:sz w:val="18"/>
            <w:szCs w:val="18"/>
          </w:rPr>
          <w:t>Table of Contents</w:t>
        </w:r>
      </w:hyperlink>
    </w:p>
    <w:p w14:paraId="18601C34" w14:textId="77777777" w:rsidR="00A91885" w:rsidRDefault="009C4196">
      <w:pPr>
        <w:ind w:firstLine="540"/>
        <w:jc w:val="both"/>
      </w:pPr>
      <w:r>
        <w:rPr>
          <w:rFonts w:ascii="Arial" w:eastAsia="宋体" w:hAnsi="Arial" w:cs="Arial"/>
          <w:color w:val="000000"/>
          <w:sz w:val="20"/>
          <w:szCs w:val="20"/>
        </w:rPr>
        <w:t xml:space="preserve">The decrease in interest and other, net expense during the six months ended June 30, </w:t>
      </w:r>
      <w:r>
        <w:rPr>
          <w:rFonts w:ascii="Arial" w:eastAsia="宋体" w:hAnsi="Arial" w:cs="Arial"/>
          <w:color w:val="000000"/>
          <w:sz w:val="20"/>
          <w:szCs w:val="20"/>
        </w:rPr>
        <w:t>2022 compared to the same period in 2021 was primarily due to foreign exchange transaction gains and lower interest expense.</w:t>
      </w:r>
    </w:p>
    <w:p w14:paraId="18601C35" w14:textId="77777777" w:rsidR="00A91885" w:rsidRDefault="00A91885">
      <w:pPr>
        <w:ind w:firstLine="540"/>
        <w:jc w:val="both"/>
      </w:pPr>
    </w:p>
    <w:p w14:paraId="18601C36" w14:textId="77777777" w:rsidR="00A91885" w:rsidRDefault="009C4196">
      <w:pPr>
        <w:spacing w:before="60"/>
        <w:jc w:val="both"/>
      </w:pPr>
      <w:r>
        <w:rPr>
          <w:rFonts w:ascii="Arial" w:eastAsia="宋体" w:hAnsi="Arial" w:cs="Arial"/>
          <w:b/>
          <w:bCs/>
          <w:i/>
          <w:iCs/>
          <w:color w:val="000000"/>
          <w:sz w:val="20"/>
          <w:szCs w:val="20"/>
        </w:rPr>
        <w:t xml:space="preserve">Income Tax Provision </w:t>
      </w:r>
    </w:p>
    <w:p w14:paraId="18601C37" w14:textId="77777777" w:rsidR="00A91885" w:rsidRDefault="00A91885"/>
    <w:p w14:paraId="18601C38" w14:textId="77777777" w:rsidR="00A91885" w:rsidRDefault="009C4196">
      <w:pPr>
        <w:spacing w:after="120"/>
        <w:ind w:firstLine="540"/>
        <w:jc w:val="both"/>
      </w:pPr>
      <w:r>
        <w:rPr>
          <w:rFonts w:ascii="Arial" w:eastAsia="宋体" w:hAnsi="Arial" w:cs="Arial"/>
          <w:color w:val="000000"/>
          <w:sz w:val="20"/>
          <w:szCs w:val="20"/>
        </w:rPr>
        <w:t xml:space="preserve">The following table presents provision for income taxes for the periods indicated (in millions, </w:t>
      </w:r>
      <w:r>
        <w:rPr>
          <w:rFonts w:ascii="Arial" w:eastAsia="宋体" w:hAnsi="Arial" w:cs="Arial"/>
          <w:color w:val="000000"/>
          <w:sz w:val="20"/>
          <w:szCs w:val="20"/>
        </w:rPr>
        <w:t>except percentages):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214"/>
        <w:gridCol w:w="37"/>
        <w:gridCol w:w="122"/>
        <w:gridCol w:w="611"/>
        <w:gridCol w:w="183"/>
        <w:gridCol w:w="36"/>
        <w:gridCol w:w="36"/>
        <w:gridCol w:w="36"/>
        <w:gridCol w:w="122"/>
        <w:gridCol w:w="612"/>
        <w:gridCol w:w="182"/>
        <w:gridCol w:w="36"/>
        <w:gridCol w:w="36"/>
        <w:gridCol w:w="36"/>
        <w:gridCol w:w="122"/>
        <w:gridCol w:w="612"/>
        <w:gridCol w:w="183"/>
        <w:gridCol w:w="37"/>
        <w:gridCol w:w="92"/>
        <w:gridCol w:w="37"/>
        <w:gridCol w:w="122"/>
        <w:gridCol w:w="612"/>
        <w:gridCol w:w="182"/>
      </w:tblGrid>
      <w:tr w:rsidR="00A91885" w14:paraId="18601C51" w14:textId="77777777">
        <w:trPr>
          <w:jc w:val="center"/>
        </w:trPr>
        <w:tc>
          <w:tcPr>
            <w:tcW w:w="50" w:type="pct"/>
            <w:shd w:val="clear" w:color="auto" w:fill="auto"/>
            <w:vAlign w:val="bottom"/>
          </w:tcPr>
          <w:p w14:paraId="18601C39" w14:textId="77777777" w:rsidR="00A91885" w:rsidRDefault="00A91885">
            <w:pPr>
              <w:rPr>
                <w:rFonts w:ascii="宋体"/>
              </w:rPr>
            </w:pPr>
          </w:p>
        </w:tc>
        <w:tc>
          <w:tcPr>
            <w:tcW w:w="2722" w:type="pct"/>
            <w:shd w:val="clear" w:color="auto" w:fill="auto"/>
            <w:vAlign w:val="bottom"/>
          </w:tcPr>
          <w:p w14:paraId="18601C3A" w14:textId="77777777" w:rsidR="00A91885" w:rsidRDefault="00A91885">
            <w:pPr>
              <w:rPr>
                <w:rFonts w:ascii="宋体"/>
              </w:rPr>
            </w:pPr>
          </w:p>
        </w:tc>
        <w:tc>
          <w:tcPr>
            <w:tcW w:w="5" w:type="pct"/>
            <w:shd w:val="clear" w:color="auto" w:fill="auto"/>
            <w:vAlign w:val="bottom"/>
          </w:tcPr>
          <w:p w14:paraId="18601C3B" w14:textId="77777777" w:rsidR="00A91885" w:rsidRDefault="00A91885">
            <w:pPr>
              <w:rPr>
                <w:rFonts w:ascii="宋体"/>
              </w:rPr>
            </w:pPr>
          </w:p>
        </w:tc>
        <w:tc>
          <w:tcPr>
            <w:tcW w:w="50" w:type="pct"/>
            <w:shd w:val="clear" w:color="auto" w:fill="auto"/>
            <w:vAlign w:val="bottom"/>
          </w:tcPr>
          <w:p w14:paraId="18601C3C" w14:textId="77777777" w:rsidR="00A91885" w:rsidRDefault="00A91885">
            <w:pPr>
              <w:rPr>
                <w:rFonts w:ascii="宋体"/>
              </w:rPr>
            </w:pPr>
          </w:p>
        </w:tc>
        <w:tc>
          <w:tcPr>
            <w:tcW w:w="478" w:type="pct"/>
            <w:shd w:val="clear" w:color="auto" w:fill="auto"/>
            <w:vAlign w:val="bottom"/>
          </w:tcPr>
          <w:p w14:paraId="18601C3D" w14:textId="77777777" w:rsidR="00A91885" w:rsidRDefault="00A91885">
            <w:pPr>
              <w:rPr>
                <w:rFonts w:ascii="宋体"/>
              </w:rPr>
            </w:pPr>
          </w:p>
        </w:tc>
        <w:tc>
          <w:tcPr>
            <w:tcW w:w="5" w:type="pct"/>
            <w:shd w:val="clear" w:color="auto" w:fill="auto"/>
            <w:vAlign w:val="bottom"/>
          </w:tcPr>
          <w:p w14:paraId="18601C3E" w14:textId="77777777" w:rsidR="00A91885" w:rsidRDefault="00A91885">
            <w:pPr>
              <w:rPr>
                <w:rFonts w:ascii="宋体"/>
              </w:rPr>
            </w:pPr>
          </w:p>
        </w:tc>
        <w:tc>
          <w:tcPr>
            <w:tcW w:w="5" w:type="pct"/>
            <w:shd w:val="clear" w:color="auto" w:fill="auto"/>
            <w:vAlign w:val="bottom"/>
          </w:tcPr>
          <w:p w14:paraId="18601C3F" w14:textId="77777777" w:rsidR="00A91885" w:rsidRDefault="00A91885">
            <w:pPr>
              <w:rPr>
                <w:rFonts w:ascii="宋体"/>
              </w:rPr>
            </w:pPr>
          </w:p>
        </w:tc>
        <w:tc>
          <w:tcPr>
            <w:tcW w:w="19" w:type="pct"/>
            <w:shd w:val="clear" w:color="auto" w:fill="auto"/>
            <w:vAlign w:val="bottom"/>
          </w:tcPr>
          <w:p w14:paraId="18601C40" w14:textId="77777777" w:rsidR="00A91885" w:rsidRDefault="00A91885">
            <w:pPr>
              <w:rPr>
                <w:rFonts w:ascii="宋体"/>
              </w:rPr>
            </w:pPr>
          </w:p>
        </w:tc>
        <w:tc>
          <w:tcPr>
            <w:tcW w:w="5" w:type="pct"/>
            <w:shd w:val="clear" w:color="auto" w:fill="auto"/>
            <w:vAlign w:val="bottom"/>
          </w:tcPr>
          <w:p w14:paraId="18601C41" w14:textId="77777777" w:rsidR="00A91885" w:rsidRDefault="00A91885">
            <w:pPr>
              <w:rPr>
                <w:rFonts w:ascii="宋体"/>
              </w:rPr>
            </w:pPr>
          </w:p>
        </w:tc>
        <w:tc>
          <w:tcPr>
            <w:tcW w:w="50" w:type="pct"/>
            <w:shd w:val="clear" w:color="auto" w:fill="auto"/>
            <w:vAlign w:val="bottom"/>
          </w:tcPr>
          <w:p w14:paraId="18601C42" w14:textId="77777777" w:rsidR="00A91885" w:rsidRDefault="00A91885">
            <w:pPr>
              <w:rPr>
                <w:rFonts w:ascii="宋体"/>
              </w:rPr>
            </w:pPr>
          </w:p>
        </w:tc>
        <w:tc>
          <w:tcPr>
            <w:tcW w:w="478" w:type="pct"/>
            <w:shd w:val="clear" w:color="auto" w:fill="auto"/>
            <w:vAlign w:val="bottom"/>
          </w:tcPr>
          <w:p w14:paraId="18601C43" w14:textId="77777777" w:rsidR="00A91885" w:rsidRDefault="00A91885">
            <w:pPr>
              <w:rPr>
                <w:rFonts w:ascii="宋体"/>
              </w:rPr>
            </w:pPr>
          </w:p>
        </w:tc>
        <w:tc>
          <w:tcPr>
            <w:tcW w:w="5" w:type="pct"/>
            <w:shd w:val="clear" w:color="auto" w:fill="auto"/>
            <w:vAlign w:val="bottom"/>
          </w:tcPr>
          <w:p w14:paraId="18601C44" w14:textId="77777777" w:rsidR="00A91885" w:rsidRDefault="00A91885">
            <w:pPr>
              <w:rPr>
                <w:rFonts w:ascii="宋体"/>
              </w:rPr>
            </w:pPr>
          </w:p>
        </w:tc>
        <w:tc>
          <w:tcPr>
            <w:tcW w:w="5" w:type="pct"/>
            <w:shd w:val="clear" w:color="auto" w:fill="auto"/>
            <w:vAlign w:val="bottom"/>
          </w:tcPr>
          <w:p w14:paraId="18601C45" w14:textId="77777777" w:rsidR="00A91885" w:rsidRDefault="00A91885">
            <w:pPr>
              <w:rPr>
                <w:rFonts w:ascii="宋体"/>
              </w:rPr>
            </w:pPr>
          </w:p>
        </w:tc>
        <w:tc>
          <w:tcPr>
            <w:tcW w:w="19" w:type="pct"/>
            <w:shd w:val="clear" w:color="auto" w:fill="auto"/>
            <w:vAlign w:val="bottom"/>
          </w:tcPr>
          <w:p w14:paraId="18601C46" w14:textId="77777777" w:rsidR="00A91885" w:rsidRDefault="00A91885">
            <w:pPr>
              <w:rPr>
                <w:rFonts w:ascii="宋体"/>
              </w:rPr>
            </w:pPr>
          </w:p>
        </w:tc>
        <w:tc>
          <w:tcPr>
            <w:tcW w:w="5" w:type="pct"/>
            <w:shd w:val="clear" w:color="auto" w:fill="auto"/>
            <w:vAlign w:val="bottom"/>
          </w:tcPr>
          <w:p w14:paraId="18601C47" w14:textId="77777777" w:rsidR="00A91885" w:rsidRDefault="00A91885">
            <w:pPr>
              <w:rPr>
                <w:rFonts w:ascii="宋体"/>
              </w:rPr>
            </w:pPr>
          </w:p>
        </w:tc>
        <w:tc>
          <w:tcPr>
            <w:tcW w:w="50" w:type="pct"/>
            <w:shd w:val="clear" w:color="auto" w:fill="auto"/>
            <w:vAlign w:val="bottom"/>
          </w:tcPr>
          <w:p w14:paraId="18601C48" w14:textId="77777777" w:rsidR="00A91885" w:rsidRDefault="00A91885">
            <w:pPr>
              <w:rPr>
                <w:rFonts w:ascii="宋体"/>
              </w:rPr>
            </w:pPr>
          </w:p>
        </w:tc>
        <w:tc>
          <w:tcPr>
            <w:tcW w:w="478" w:type="pct"/>
            <w:shd w:val="clear" w:color="auto" w:fill="auto"/>
            <w:vAlign w:val="bottom"/>
          </w:tcPr>
          <w:p w14:paraId="18601C49" w14:textId="77777777" w:rsidR="00A91885" w:rsidRDefault="00A91885">
            <w:pPr>
              <w:rPr>
                <w:rFonts w:ascii="宋体"/>
              </w:rPr>
            </w:pPr>
          </w:p>
        </w:tc>
        <w:tc>
          <w:tcPr>
            <w:tcW w:w="5" w:type="pct"/>
            <w:shd w:val="clear" w:color="auto" w:fill="auto"/>
            <w:vAlign w:val="bottom"/>
          </w:tcPr>
          <w:p w14:paraId="18601C4A" w14:textId="77777777" w:rsidR="00A91885" w:rsidRDefault="00A91885">
            <w:pPr>
              <w:rPr>
                <w:rFonts w:ascii="宋体"/>
              </w:rPr>
            </w:pPr>
          </w:p>
        </w:tc>
        <w:tc>
          <w:tcPr>
            <w:tcW w:w="5" w:type="pct"/>
            <w:shd w:val="clear" w:color="auto" w:fill="auto"/>
            <w:vAlign w:val="bottom"/>
          </w:tcPr>
          <w:p w14:paraId="18601C4B" w14:textId="77777777" w:rsidR="00A91885" w:rsidRDefault="00A91885">
            <w:pPr>
              <w:rPr>
                <w:rFonts w:ascii="宋体"/>
              </w:rPr>
            </w:pPr>
          </w:p>
        </w:tc>
        <w:tc>
          <w:tcPr>
            <w:tcW w:w="19" w:type="pct"/>
            <w:shd w:val="clear" w:color="auto" w:fill="auto"/>
            <w:vAlign w:val="bottom"/>
          </w:tcPr>
          <w:p w14:paraId="18601C4C" w14:textId="77777777" w:rsidR="00A91885" w:rsidRDefault="00A91885">
            <w:pPr>
              <w:rPr>
                <w:rFonts w:ascii="宋体"/>
              </w:rPr>
            </w:pPr>
          </w:p>
        </w:tc>
        <w:tc>
          <w:tcPr>
            <w:tcW w:w="5" w:type="pct"/>
            <w:shd w:val="clear" w:color="auto" w:fill="auto"/>
            <w:vAlign w:val="bottom"/>
          </w:tcPr>
          <w:p w14:paraId="18601C4D" w14:textId="77777777" w:rsidR="00A91885" w:rsidRDefault="00A91885">
            <w:pPr>
              <w:rPr>
                <w:rFonts w:ascii="宋体"/>
              </w:rPr>
            </w:pPr>
          </w:p>
        </w:tc>
        <w:tc>
          <w:tcPr>
            <w:tcW w:w="50" w:type="pct"/>
            <w:shd w:val="clear" w:color="auto" w:fill="auto"/>
            <w:vAlign w:val="bottom"/>
          </w:tcPr>
          <w:p w14:paraId="18601C4E" w14:textId="77777777" w:rsidR="00A91885" w:rsidRDefault="00A91885">
            <w:pPr>
              <w:rPr>
                <w:rFonts w:ascii="宋体"/>
              </w:rPr>
            </w:pPr>
          </w:p>
        </w:tc>
        <w:tc>
          <w:tcPr>
            <w:tcW w:w="478" w:type="pct"/>
            <w:shd w:val="clear" w:color="auto" w:fill="auto"/>
            <w:vAlign w:val="bottom"/>
          </w:tcPr>
          <w:p w14:paraId="18601C4F" w14:textId="77777777" w:rsidR="00A91885" w:rsidRDefault="00A91885">
            <w:pPr>
              <w:rPr>
                <w:rFonts w:ascii="宋体"/>
              </w:rPr>
            </w:pPr>
          </w:p>
        </w:tc>
        <w:tc>
          <w:tcPr>
            <w:tcW w:w="5" w:type="pct"/>
            <w:shd w:val="clear" w:color="auto" w:fill="auto"/>
            <w:vAlign w:val="bottom"/>
          </w:tcPr>
          <w:p w14:paraId="18601C50" w14:textId="77777777" w:rsidR="00A91885" w:rsidRDefault="00A91885">
            <w:pPr>
              <w:rPr>
                <w:rFonts w:ascii="宋体"/>
              </w:rPr>
            </w:pPr>
          </w:p>
        </w:tc>
      </w:tr>
      <w:tr w:rsidR="00A91885" w14:paraId="18601C56" w14:textId="77777777">
        <w:trPr>
          <w:jc w:val="center"/>
        </w:trPr>
        <w:tc>
          <w:tcPr>
            <w:tcW w:w="0" w:type="auto"/>
            <w:gridSpan w:val="3"/>
            <w:shd w:val="clear" w:color="auto" w:fill="auto"/>
            <w:tcMar>
              <w:top w:w="40" w:type="dxa"/>
              <w:left w:w="20" w:type="dxa"/>
              <w:bottom w:w="40" w:type="dxa"/>
              <w:right w:w="20" w:type="dxa"/>
            </w:tcMar>
            <w:vAlign w:val="bottom"/>
          </w:tcPr>
          <w:p w14:paraId="18601C52" w14:textId="77777777" w:rsidR="00A91885" w:rsidRDefault="009C4196">
            <w:pPr>
              <w:textAlignment w:val="bottom"/>
            </w:pPr>
            <w:r>
              <w:rPr>
                <w:rFonts w:ascii="Arial" w:eastAsia="宋体" w:hAnsi="Arial" w:cs="Arial"/>
                <w:color w:val="000000"/>
                <w:sz w:val="17"/>
                <w:szCs w:val="17"/>
              </w:rPr>
              <w:t> </w:t>
            </w:r>
          </w:p>
        </w:tc>
        <w:tc>
          <w:tcPr>
            <w:tcW w:w="0" w:type="auto"/>
            <w:gridSpan w:val="9"/>
            <w:shd w:val="clear" w:color="auto" w:fill="auto"/>
            <w:tcMar>
              <w:top w:w="40" w:type="dxa"/>
              <w:left w:w="20" w:type="dxa"/>
              <w:bottom w:w="40" w:type="dxa"/>
              <w:right w:w="20" w:type="dxa"/>
            </w:tcMar>
            <w:vAlign w:val="bottom"/>
          </w:tcPr>
          <w:p w14:paraId="18601C53"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w:t>
            </w:r>
          </w:p>
        </w:tc>
        <w:tc>
          <w:tcPr>
            <w:tcW w:w="0" w:type="auto"/>
            <w:gridSpan w:val="3"/>
            <w:shd w:val="clear" w:color="auto" w:fill="auto"/>
            <w:tcMar>
              <w:top w:w="0" w:type="dxa"/>
              <w:left w:w="20" w:type="dxa"/>
              <w:bottom w:w="0" w:type="dxa"/>
              <w:right w:w="20" w:type="dxa"/>
            </w:tcMar>
            <w:vAlign w:val="bottom"/>
          </w:tcPr>
          <w:p w14:paraId="18601C54"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C55"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w:t>
            </w:r>
          </w:p>
        </w:tc>
      </w:tr>
      <w:tr w:rsidR="00A91885" w14:paraId="18601C5F" w14:textId="77777777">
        <w:trPr>
          <w:jc w:val="center"/>
        </w:trPr>
        <w:tc>
          <w:tcPr>
            <w:tcW w:w="0" w:type="auto"/>
            <w:gridSpan w:val="3"/>
            <w:shd w:val="clear" w:color="auto" w:fill="auto"/>
            <w:tcMar>
              <w:top w:w="40" w:type="dxa"/>
              <w:left w:w="20" w:type="dxa"/>
              <w:bottom w:w="40" w:type="dxa"/>
              <w:right w:w="20" w:type="dxa"/>
            </w:tcMar>
            <w:vAlign w:val="bottom"/>
          </w:tcPr>
          <w:p w14:paraId="18601C57" w14:textId="77777777" w:rsidR="00A91885" w:rsidRDefault="009C4196">
            <w:pPr>
              <w:textAlignment w:val="bottom"/>
            </w:pPr>
            <w:r>
              <w:rPr>
                <w:rFonts w:ascii="Arial" w:eastAsia="宋体" w:hAnsi="Arial" w:cs="Arial"/>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C58"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C59"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C5A" w14:textId="77777777" w:rsidR="00A91885" w:rsidRDefault="009C4196">
            <w:pPr>
              <w:jc w:val="center"/>
              <w:textAlignment w:val="bottom"/>
            </w:pPr>
            <w:r>
              <w:rPr>
                <w:rFonts w:ascii="Arial" w:eastAsia="宋体" w:hAnsi="Arial" w:cs="Arial"/>
                <w:b/>
                <w:bCs/>
                <w:color w:val="000000"/>
                <w:sz w:val="17"/>
                <w:szCs w:val="17"/>
              </w:rPr>
              <w:t>2021</w:t>
            </w:r>
          </w:p>
        </w:tc>
        <w:tc>
          <w:tcPr>
            <w:tcW w:w="0" w:type="auto"/>
            <w:gridSpan w:val="3"/>
            <w:shd w:val="clear" w:color="auto" w:fill="auto"/>
            <w:tcMar>
              <w:top w:w="0" w:type="dxa"/>
              <w:left w:w="20" w:type="dxa"/>
              <w:bottom w:w="0" w:type="dxa"/>
              <w:right w:w="20" w:type="dxa"/>
            </w:tcMar>
            <w:vAlign w:val="bottom"/>
          </w:tcPr>
          <w:p w14:paraId="18601C5B"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C5C"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C5D"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C5E"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601C68" w14:textId="77777777">
        <w:trPr>
          <w:jc w:val="center"/>
          <w:hidden/>
        </w:trPr>
        <w:tc>
          <w:tcPr>
            <w:tcW w:w="0" w:type="auto"/>
            <w:gridSpan w:val="3"/>
            <w:shd w:val="clear" w:color="auto" w:fill="auto"/>
            <w:vAlign w:val="bottom"/>
          </w:tcPr>
          <w:p w14:paraId="18601C60" w14:textId="77777777" w:rsidR="00A91885" w:rsidRDefault="00A91885">
            <w:pPr>
              <w:rPr>
                <w:rFonts w:ascii="宋体"/>
                <w:vanish/>
              </w:rPr>
            </w:pPr>
          </w:p>
        </w:tc>
        <w:tc>
          <w:tcPr>
            <w:tcW w:w="0" w:type="auto"/>
            <w:gridSpan w:val="3"/>
            <w:shd w:val="clear" w:color="auto" w:fill="auto"/>
            <w:vAlign w:val="bottom"/>
          </w:tcPr>
          <w:p w14:paraId="18601C61" w14:textId="77777777" w:rsidR="00A91885" w:rsidRDefault="00A91885">
            <w:pPr>
              <w:rPr>
                <w:rFonts w:ascii="宋体"/>
                <w:vanish/>
              </w:rPr>
            </w:pPr>
          </w:p>
        </w:tc>
        <w:tc>
          <w:tcPr>
            <w:tcW w:w="0" w:type="auto"/>
            <w:gridSpan w:val="3"/>
            <w:shd w:val="clear" w:color="auto" w:fill="auto"/>
            <w:vAlign w:val="bottom"/>
          </w:tcPr>
          <w:p w14:paraId="18601C62" w14:textId="77777777" w:rsidR="00A91885" w:rsidRDefault="00A91885">
            <w:pPr>
              <w:rPr>
                <w:rFonts w:ascii="宋体"/>
                <w:vanish/>
              </w:rPr>
            </w:pPr>
          </w:p>
        </w:tc>
        <w:tc>
          <w:tcPr>
            <w:tcW w:w="0" w:type="auto"/>
            <w:gridSpan w:val="3"/>
            <w:shd w:val="clear" w:color="auto" w:fill="auto"/>
            <w:vAlign w:val="bottom"/>
          </w:tcPr>
          <w:p w14:paraId="18601C63" w14:textId="77777777" w:rsidR="00A91885" w:rsidRDefault="00A91885">
            <w:pPr>
              <w:rPr>
                <w:rFonts w:ascii="宋体"/>
                <w:vanish/>
              </w:rPr>
            </w:pPr>
          </w:p>
        </w:tc>
        <w:tc>
          <w:tcPr>
            <w:tcW w:w="0" w:type="auto"/>
            <w:gridSpan w:val="3"/>
            <w:shd w:val="clear" w:color="auto" w:fill="auto"/>
            <w:vAlign w:val="bottom"/>
          </w:tcPr>
          <w:p w14:paraId="18601C64" w14:textId="77777777" w:rsidR="00A91885" w:rsidRDefault="00A91885">
            <w:pPr>
              <w:rPr>
                <w:rFonts w:ascii="宋体"/>
                <w:vanish/>
              </w:rPr>
            </w:pPr>
          </w:p>
        </w:tc>
        <w:tc>
          <w:tcPr>
            <w:tcW w:w="0" w:type="auto"/>
            <w:gridSpan w:val="3"/>
            <w:shd w:val="clear" w:color="auto" w:fill="auto"/>
            <w:vAlign w:val="bottom"/>
          </w:tcPr>
          <w:p w14:paraId="18601C65" w14:textId="77777777" w:rsidR="00A91885" w:rsidRDefault="00A91885">
            <w:pPr>
              <w:rPr>
                <w:rFonts w:ascii="宋体"/>
                <w:vanish/>
              </w:rPr>
            </w:pPr>
          </w:p>
        </w:tc>
        <w:tc>
          <w:tcPr>
            <w:tcW w:w="0" w:type="auto"/>
            <w:gridSpan w:val="3"/>
            <w:shd w:val="clear" w:color="auto" w:fill="auto"/>
            <w:vAlign w:val="bottom"/>
          </w:tcPr>
          <w:p w14:paraId="18601C66" w14:textId="77777777" w:rsidR="00A91885" w:rsidRDefault="00A91885">
            <w:pPr>
              <w:rPr>
                <w:rFonts w:ascii="宋体"/>
                <w:vanish/>
              </w:rPr>
            </w:pPr>
          </w:p>
        </w:tc>
        <w:tc>
          <w:tcPr>
            <w:tcW w:w="0" w:type="auto"/>
            <w:gridSpan w:val="3"/>
            <w:shd w:val="clear" w:color="auto" w:fill="auto"/>
            <w:vAlign w:val="bottom"/>
          </w:tcPr>
          <w:p w14:paraId="18601C67" w14:textId="77777777" w:rsidR="00A91885" w:rsidRDefault="00A91885">
            <w:pPr>
              <w:rPr>
                <w:rFonts w:ascii="宋体"/>
                <w:vanish/>
              </w:rPr>
            </w:pPr>
          </w:p>
        </w:tc>
      </w:tr>
      <w:tr w:rsidR="00A91885" w14:paraId="18601C75" w14:textId="77777777">
        <w:trPr>
          <w:jc w:val="center"/>
        </w:trPr>
        <w:tc>
          <w:tcPr>
            <w:tcW w:w="0" w:type="auto"/>
            <w:gridSpan w:val="3"/>
            <w:shd w:val="clear" w:color="auto" w:fill="E2E2E2"/>
            <w:tcMar>
              <w:top w:w="40" w:type="dxa"/>
              <w:left w:w="20" w:type="dxa"/>
              <w:bottom w:w="40" w:type="dxa"/>
              <w:right w:w="20" w:type="dxa"/>
            </w:tcMar>
            <w:vAlign w:val="bottom"/>
          </w:tcPr>
          <w:p w14:paraId="18601C69" w14:textId="77777777" w:rsidR="00A91885" w:rsidRDefault="009C4196">
            <w:pPr>
              <w:textAlignment w:val="bottom"/>
            </w:pPr>
            <w:r>
              <w:rPr>
                <w:rFonts w:ascii="Arial" w:eastAsia="宋体" w:hAnsi="Arial" w:cs="Arial"/>
                <w:color w:val="000000"/>
                <w:sz w:val="18"/>
                <w:szCs w:val="18"/>
              </w:rPr>
              <w:t>Income tax provision (benefit)</w:t>
            </w:r>
          </w:p>
        </w:tc>
        <w:tc>
          <w:tcPr>
            <w:tcW w:w="0" w:type="auto"/>
            <w:tcBorders>
              <w:top w:val="single" w:sz="8" w:space="0" w:color="000000"/>
            </w:tcBorders>
            <w:shd w:val="clear" w:color="auto" w:fill="E2E2E2"/>
            <w:tcMar>
              <w:top w:w="40" w:type="dxa"/>
              <w:left w:w="20" w:type="dxa"/>
              <w:bottom w:w="40" w:type="dxa"/>
              <w:right w:w="0" w:type="dxa"/>
            </w:tcMar>
            <w:vAlign w:val="bottom"/>
          </w:tcPr>
          <w:p w14:paraId="18601C6A" w14:textId="77777777" w:rsidR="00A91885" w:rsidRDefault="009C4196">
            <w:pPr>
              <w:textAlignment w:val="bottom"/>
            </w:pPr>
            <w:r>
              <w:rPr>
                <w:rFonts w:ascii="Arial" w:eastAsia="宋体" w:hAnsi="Arial" w:cs="Arial"/>
                <w:color w:val="000000"/>
                <w:sz w:val="18"/>
                <w:szCs w:val="18"/>
              </w:rPr>
              <w:t>$</w:t>
            </w:r>
          </w:p>
        </w:tc>
        <w:tc>
          <w:tcPr>
            <w:tcW w:w="0" w:type="auto"/>
            <w:gridSpan w:val="2"/>
            <w:tcBorders>
              <w:top w:val="single" w:sz="8" w:space="0" w:color="000000"/>
            </w:tcBorders>
            <w:shd w:val="clear" w:color="auto" w:fill="E2E2E2"/>
            <w:tcMar>
              <w:top w:w="40" w:type="dxa"/>
              <w:left w:w="0" w:type="dxa"/>
              <w:bottom w:w="40" w:type="dxa"/>
              <w:right w:w="140" w:type="dxa"/>
            </w:tcMar>
            <w:vAlign w:val="bottom"/>
          </w:tcPr>
          <w:p w14:paraId="18601C6B" w14:textId="77777777" w:rsidR="00A91885" w:rsidRDefault="009C4196">
            <w:pPr>
              <w:jc w:val="right"/>
              <w:textAlignment w:val="bottom"/>
            </w:pPr>
            <w:r>
              <w:rPr>
                <w:rFonts w:ascii="Arial" w:eastAsia="宋体" w:hAnsi="Arial" w:cs="Arial"/>
                <w:color w:val="000000"/>
                <w:sz w:val="18"/>
                <w:szCs w:val="18"/>
              </w:rPr>
              <w:t>(191)</w:t>
            </w:r>
          </w:p>
        </w:tc>
        <w:tc>
          <w:tcPr>
            <w:tcW w:w="0" w:type="auto"/>
            <w:gridSpan w:val="3"/>
            <w:shd w:val="clear" w:color="auto" w:fill="E2E2E2"/>
            <w:tcMar>
              <w:top w:w="0" w:type="dxa"/>
              <w:left w:w="20" w:type="dxa"/>
              <w:bottom w:w="0" w:type="dxa"/>
              <w:right w:w="20" w:type="dxa"/>
            </w:tcMar>
            <w:vAlign w:val="bottom"/>
          </w:tcPr>
          <w:p w14:paraId="18601C6C"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C6D" w14:textId="77777777" w:rsidR="00A91885" w:rsidRDefault="009C4196">
            <w:pPr>
              <w:textAlignment w:val="bottom"/>
            </w:pPr>
            <w:r>
              <w:rPr>
                <w:rFonts w:ascii="Arial" w:eastAsia="宋体" w:hAnsi="Arial" w:cs="Arial"/>
                <w:color w:val="000000"/>
                <w:sz w:val="18"/>
                <w:szCs w:val="18"/>
              </w:rPr>
              <w:t>$</w:t>
            </w:r>
          </w:p>
        </w:tc>
        <w:tc>
          <w:tcPr>
            <w:tcW w:w="0" w:type="auto"/>
            <w:gridSpan w:val="2"/>
            <w:tcBorders>
              <w:top w:val="single" w:sz="8" w:space="0" w:color="000000"/>
            </w:tcBorders>
            <w:shd w:val="clear" w:color="auto" w:fill="E2E2E2"/>
            <w:tcMar>
              <w:top w:w="40" w:type="dxa"/>
              <w:left w:w="0" w:type="dxa"/>
              <w:bottom w:w="40" w:type="dxa"/>
              <w:right w:w="140" w:type="dxa"/>
            </w:tcMar>
            <w:vAlign w:val="bottom"/>
          </w:tcPr>
          <w:p w14:paraId="18601C6E" w14:textId="77777777" w:rsidR="00A91885" w:rsidRDefault="009C4196">
            <w:pPr>
              <w:jc w:val="right"/>
              <w:textAlignment w:val="bottom"/>
            </w:pPr>
            <w:r>
              <w:rPr>
                <w:rFonts w:ascii="Arial" w:eastAsia="宋体" w:hAnsi="Arial" w:cs="Arial"/>
                <w:color w:val="000000"/>
                <w:sz w:val="18"/>
                <w:szCs w:val="18"/>
              </w:rPr>
              <w:t>107</w:t>
            </w:r>
          </w:p>
        </w:tc>
        <w:tc>
          <w:tcPr>
            <w:tcW w:w="0" w:type="auto"/>
            <w:gridSpan w:val="3"/>
            <w:shd w:val="clear" w:color="auto" w:fill="E2E2E2"/>
            <w:tcMar>
              <w:top w:w="0" w:type="dxa"/>
              <w:left w:w="20" w:type="dxa"/>
              <w:bottom w:w="0" w:type="dxa"/>
              <w:right w:w="20" w:type="dxa"/>
            </w:tcMar>
            <w:vAlign w:val="bottom"/>
          </w:tcPr>
          <w:p w14:paraId="18601C6F"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C70" w14:textId="77777777" w:rsidR="00A91885" w:rsidRDefault="009C4196">
            <w:pPr>
              <w:textAlignment w:val="bottom"/>
            </w:pPr>
            <w:r>
              <w:rPr>
                <w:rFonts w:ascii="Arial" w:eastAsia="宋体" w:hAnsi="Arial" w:cs="Arial"/>
                <w:color w:val="000000"/>
                <w:sz w:val="18"/>
                <w:szCs w:val="18"/>
              </w:rPr>
              <w:t>$</w:t>
            </w:r>
          </w:p>
        </w:tc>
        <w:tc>
          <w:tcPr>
            <w:tcW w:w="0" w:type="auto"/>
            <w:gridSpan w:val="2"/>
            <w:tcBorders>
              <w:top w:val="single" w:sz="8" w:space="0" w:color="000000"/>
            </w:tcBorders>
            <w:shd w:val="clear" w:color="auto" w:fill="E2E2E2"/>
            <w:tcMar>
              <w:top w:w="40" w:type="dxa"/>
              <w:left w:w="0" w:type="dxa"/>
              <w:bottom w:w="40" w:type="dxa"/>
              <w:right w:w="140" w:type="dxa"/>
            </w:tcMar>
            <w:vAlign w:val="bottom"/>
          </w:tcPr>
          <w:p w14:paraId="18601C71" w14:textId="77777777" w:rsidR="00A91885" w:rsidRDefault="009C4196">
            <w:pPr>
              <w:jc w:val="right"/>
              <w:textAlignment w:val="bottom"/>
            </w:pPr>
            <w:r>
              <w:rPr>
                <w:rFonts w:ascii="Arial" w:eastAsia="宋体" w:hAnsi="Arial" w:cs="Arial"/>
                <w:color w:val="000000"/>
                <w:sz w:val="18"/>
                <w:szCs w:val="18"/>
              </w:rPr>
              <w:t>(501)</w:t>
            </w:r>
          </w:p>
        </w:tc>
        <w:tc>
          <w:tcPr>
            <w:tcW w:w="0" w:type="auto"/>
            <w:gridSpan w:val="3"/>
            <w:shd w:val="clear" w:color="auto" w:fill="E2E2E2"/>
            <w:tcMar>
              <w:top w:w="0" w:type="dxa"/>
              <w:left w:w="20" w:type="dxa"/>
              <w:bottom w:w="0" w:type="dxa"/>
              <w:right w:w="20" w:type="dxa"/>
            </w:tcMar>
            <w:vAlign w:val="bottom"/>
          </w:tcPr>
          <w:p w14:paraId="18601C72"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1C73" w14:textId="77777777" w:rsidR="00A91885" w:rsidRDefault="009C4196">
            <w:pPr>
              <w:textAlignment w:val="bottom"/>
            </w:pPr>
            <w:r>
              <w:rPr>
                <w:rFonts w:ascii="Arial" w:eastAsia="宋体" w:hAnsi="Arial" w:cs="Arial"/>
                <w:color w:val="000000"/>
                <w:sz w:val="18"/>
                <w:szCs w:val="18"/>
              </w:rPr>
              <w:t>$</w:t>
            </w:r>
          </w:p>
        </w:tc>
        <w:tc>
          <w:tcPr>
            <w:tcW w:w="0" w:type="auto"/>
            <w:gridSpan w:val="2"/>
            <w:tcBorders>
              <w:top w:val="single" w:sz="8" w:space="0" w:color="000000"/>
            </w:tcBorders>
            <w:shd w:val="clear" w:color="auto" w:fill="E2E2E2"/>
            <w:tcMar>
              <w:top w:w="40" w:type="dxa"/>
              <w:left w:w="0" w:type="dxa"/>
              <w:bottom w:w="40" w:type="dxa"/>
              <w:right w:w="140" w:type="dxa"/>
            </w:tcMar>
            <w:vAlign w:val="bottom"/>
          </w:tcPr>
          <w:p w14:paraId="18601C74" w14:textId="77777777" w:rsidR="00A91885" w:rsidRDefault="009C4196">
            <w:pPr>
              <w:jc w:val="right"/>
              <w:textAlignment w:val="bottom"/>
            </w:pPr>
            <w:r>
              <w:rPr>
                <w:rFonts w:ascii="Arial" w:eastAsia="宋体" w:hAnsi="Arial" w:cs="Arial"/>
                <w:color w:val="000000"/>
                <w:sz w:val="18"/>
                <w:szCs w:val="18"/>
              </w:rPr>
              <w:t>263</w:t>
            </w:r>
          </w:p>
        </w:tc>
      </w:tr>
      <w:tr w:rsidR="00A91885" w14:paraId="18601C82" w14:textId="77777777">
        <w:trPr>
          <w:jc w:val="center"/>
        </w:trPr>
        <w:tc>
          <w:tcPr>
            <w:tcW w:w="0" w:type="auto"/>
            <w:gridSpan w:val="3"/>
            <w:shd w:val="clear" w:color="auto" w:fill="auto"/>
            <w:tcMar>
              <w:top w:w="40" w:type="dxa"/>
              <w:left w:w="155" w:type="dxa"/>
              <w:bottom w:w="40" w:type="dxa"/>
              <w:right w:w="20" w:type="dxa"/>
            </w:tcMar>
            <w:vAlign w:val="bottom"/>
          </w:tcPr>
          <w:p w14:paraId="18601C76" w14:textId="77777777" w:rsidR="00A91885" w:rsidRDefault="009C4196">
            <w:pPr>
              <w:textAlignment w:val="bottom"/>
            </w:pPr>
            <w:r>
              <w:rPr>
                <w:rFonts w:ascii="Arial" w:eastAsia="宋体" w:hAnsi="Arial" w:cs="Arial"/>
                <w:i/>
                <w:iCs/>
                <w:color w:val="000000"/>
                <w:sz w:val="18"/>
                <w:szCs w:val="18"/>
              </w:rPr>
              <w:t>Effective tax rate</w:t>
            </w:r>
          </w:p>
        </w:tc>
        <w:tc>
          <w:tcPr>
            <w:tcW w:w="0" w:type="auto"/>
            <w:gridSpan w:val="2"/>
            <w:shd w:val="clear" w:color="auto" w:fill="auto"/>
            <w:tcMar>
              <w:top w:w="40" w:type="dxa"/>
              <w:left w:w="20" w:type="dxa"/>
              <w:bottom w:w="40" w:type="dxa"/>
              <w:right w:w="0" w:type="dxa"/>
            </w:tcMar>
            <w:vAlign w:val="bottom"/>
          </w:tcPr>
          <w:p w14:paraId="18601C77" w14:textId="77777777" w:rsidR="00A91885" w:rsidRDefault="009C4196">
            <w:pPr>
              <w:jc w:val="right"/>
              <w:textAlignment w:val="bottom"/>
            </w:pPr>
            <w:r>
              <w:rPr>
                <w:rFonts w:ascii="Arial" w:eastAsia="宋体" w:hAnsi="Arial" w:cs="Arial"/>
                <w:i/>
                <w:iCs/>
                <w:color w:val="000000"/>
                <w:sz w:val="18"/>
                <w:szCs w:val="18"/>
              </w:rPr>
              <w:t>26.3 </w:t>
            </w:r>
          </w:p>
        </w:tc>
        <w:tc>
          <w:tcPr>
            <w:tcW w:w="0" w:type="auto"/>
            <w:shd w:val="clear" w:color="auto" w:fill="auto"/>
            <w:tcMar>
              <w:top w:w="40" w:type="dxa"/>
              <w:left w:w="0" w:type="dxa"/>
              <w:bottom w:w="40" w:type="dxa"/>
              <w:right w:w="20" w:type="dxa"/>
            </w:tcMar>
            <w:vAlign w:val="bottom"/>
          </w:tcPr>
          <w:p w14:paraId="18601C78"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auto"/>
            <w:tcMar>
              <w:top w:w="0" w:type="dxa"/>
              <w:left w:w="20" w:type="dxa"/>
              <w:bottom w:w="0" w:type="dxa"/>
              <w:right w:w="20" w:type="dxa"/>
            </w:tcMar>
            <w:vAlign w:val="bottom"/>
          </w:tcPr>
          <w:p w14:paraId="18601C79" w14:textId="77777777" w:rsidR="00A91885" w:rsidRDefault="00A91885">
            <w:pPr>
              <w:rPr>
                <w:rFonts w:ascii="宋体"/>
              </w:rPr>
            </w:pPr>
          </w:p>
        </w:tc>
        <w:tc>
          <w:tcPr>
            <w:tcW w:w="0" w:type="auto"/>
            <w:gridSpan w:val="2"/>
            <w:shd w:val="clear" w:color="auto" w:fill="auto"/>
            <w:tcMar>
              <w:top w:w="40" w:type="dxa"/>
              <w:left w:w="20" w:type="dxa"/>
              <w:bottom w:w="40" w:type="dxa"/>
              <w:right w:w="0" w:type="dxa"/>
            </w:tcMar>
            <w:vAlign w:val="bottom"/>
          </w:tcPr>
          <w:p w14:paraId="18601C7A" w14:textId="77777777" w:rsidR="00A91885" w:rsidRDefault="009C4196">
            <w:pPr>
              <w:jc w:val="right"/>
              <w:textAlignment w:val="bottom"/>
            </w:pPr>
            <w:r>
              <w:rPr>
                <w:rFonts w:ascii="Arial" w:eastAsia="宋体" w:hAnsi="Arial" w:cs="Arial"/>
                <w:i/>
                <w:iCs/>
                <w:color w:val="000000"/>
                <w:sz w:val="18"/>
                <w:szCs w:val="18"/>
              </w:rPr>
              <w:t>26.6 </w:t>
            </w:r>
          </w:p>
        </w:tc>
        <w:tc>
          <w:tcPr>
            <w:tcW w:w="0" w:type="auto"/>
            <w:shd w:val="clear" w:color="auto" w:fill="auto"/>
            <w:tcMar>
              <w:top w:w="40" w:type="dxa"/>
              <w:left w:w="0" w:type="dxa"/>
              <w:bottom w:w="40" w:type="dxa"/>
              <w:right w:w="20" w:type="dxa"/>
            </w:tcMar>
            <w:vAlign w:val="bottom"/>
          </w:tcPr>
          <w:p w14:paraId="18601C7B"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auto"/>
            <w:tcMar>
              <w:top w:w="0" w:type="dxa"/>
              <w:left w:w="20" w:type="dxa"/>
              <w:bottom w:w="0" w:type="dxa"/>
              <w:right w:w="20" w:type="dxa"/>
            </w:tcMar>
            <w:vAlign w:val="bottom"/>
          </w:tcPr>
          <w:p w14:paraId="18601C7C" w14:textId="77777777" w:rsidR="00A91885" w:rsidRDefault="00A91885">
            <w:pPr>
              <w:rPr>
                <w:rFonts w:ascii="宋体"/>
              </w:rPr>
            </w:pPr>
          </w:p>
        </w:tc>
        <w:tc>
          <w:tcPr>
            <w:tcW w:w="0" w:type="auto"/>
            <w:gridSpan w:val="2"/>
            <w:shd w:val="clear" w:color="auto" w:fill="auto"/>
            <w:tcMar>
              <w:top w:w="40" w:type="dxa"/>
              <w:left w:w="20" w:type="dxa"/>
              <w:bottom w:w="40" w:type="dxa"/>
              <w:right w:w="0" w:type="dxa"/>
            </w:tcMar>
            <w:vAlign w:val="bottom"/>
          </w:tcPr>
          <w:p w14:paraId="18601C7D" w14:textId="77777777" w:rsidR="00A91885" w:rsidRDefault="009C4196">
            <w:pPr>
              <w:jc w:val="right"/>
              <w:textAlignment w:val="bottom"/>
            </w:pPr>
            <w:r>
              <w:rPr>
                <w:rFonts w:ascii="Arial" w:eastAsia="宋体" w:hAnsi="Arial" w:cs="Arial"/>
                <w:i/>
                <w:iCs/>
                <w:color w:val="000000"/>
                <w:sz w:val="18"/>
                <w:szCs w:val="18"/>
              </w:rPr>
              <w:t>21.1 </w:t>
            </w:r>
          </w:p>
        </w:tc>
        <w:tc>
          <w:tcPr>
            <w:tcW w:w="0" w:type="auto"/>
            <w:shd w:val="clear" w:color="auto" w:fill="auto"/>
            <w:tcMar>
              <w:top w:w="40" w:type="dxa"/>
              <w:left w:w="0" w:type="dxa"/>
              <w:bottom w:w="40" w:type="dxa"/>
              <w:right w:w="20" w:type="dxa"/>
            </w:tcMar>
            <w:vAlign w:val="bottom"/>
          </w:tcPr>
          <w:p w14:paraId="18601C7E" w14:textId="77777777" w:rsidR="00A91885" w:rsidRDefault="009C4196">
            <w:pPr>
              <w:jc w:val="right"/>
              <w:textAlignment w:val="bottom"/>
            </w:pPr>
            <w:r>
              <w:rPr>
                <w:rFonts w:ascii="Arial" w:eastAsia="宋体" w:hAnsi="Arial" w:cs="Arial"/>
                <w:i/>
                <w:iCs/>
                <w:color w:val="000000"/>
                <w:sz w:val="18"/>
                <w:szCs w:val="18"/>
              </w:rPr>
              <w:t>%</w:t>
            </w:r>
          </w:p>
        </w:tc>
        <w:tc>
          <w:tcPr>
            <w:tcW w:w="0" w:type="auto"/>
            <w:gridSpan w:val="3"/>
            <w:shd w:val="clear" w:color="auto" w:fill="auto"/>
            <w:tcMar>
              <w:top w:w="40" w:type="dxa"/>
              <w:left w:w="20" w:type="dxa"/>
              <w:bottom w:w="40" w:type="dxa"/>
              <w:right w:w="20" w:type="dxa"/>
            </w:tcMar>
            <w:vAlign w:val="bottom"/>
          </w:tcPr>
          <w:p w14:paraId="18601C7F" w14:textId="77777777" w:rsidR="00A91885" w:rsidRDefault="009C4196">
            <w:pPr>
              <w:textAlignment w:val="bottom"/>
            </w:pPr>
            <w:r>
              <w:rPr>
                <w:rFonts w:ascii="Arial" w:eastAsia="宋体" w:hAnsi="Arial" w:cs="Arial"/>
                <w:i/>
                <w:iCs/>
                <w:color w:val="000000"/>
                <w:sz w:val="18"/>
                <w:szCs w:val="18"/>
              </w:rPr>
              <w:t>  </w:t>
            </w:r>
          </w:p>
        </w:tc>
        <w:tc>
          <w:tcPr>
            <w:tcW w:w="0" w:type="auto"/>
            <w:gridSpan w:val="2"/>
            <w:shd w:val="clear" w:color="auto" w:fill="auto"/>
            <w:tcMar>
              <w:top w:w="40" w:type="dxa"/>
              <w:left w:w="20" w:type="dxa"/>
              <w:bottom w:w="40" w:type="dxa"/>
              <w:right w:w="0" w:type="dxa"/>
            </w:tcMar>
            <w:vAlign w:val="bottom"/>
          </w:tcPr>
          <w:p w14:paraId="18601C80" w14:textId="77777777" w:rsidR="00A91885" w:rsidRDefault="009C4196">
            <w:pPr>
              <w:jc w:val="right"/>
              <w:textAlignment w:val="bottom"/>
            </w:pPr>
            <w:r>
              <w:rPr>
                <w:rFonts w:ascii="Arial" w:eastAsia="宋体" w:hAnsi="Arial" w:cs="Arial"/>
                <w:i/>
                <w:iCs/>
                <w:color w:val="000000"/>
                <w:sz w:val="18"/>
                <w:szCs w:val="18"/>
              </w:rPr>
              <w:t>23.4 </w:t>
            </w:r>
          </w:p>
        </w:tc>
        <w:tc>
          <w:tcPr>
            <w:tcW w:w="0" w:type="auto"/>
            <w:shd w:val="clear" w:color="auto" w:fill="auto"/>
            <w:tcMar>
              <w:top w:w="40" w:type="dxa"/>
              <w:left w:w="0" w:type="dxa"/>
              <w:bottom w:w="40" w:type="dxa"/>
              <w:right w:w="20" w:type="dxa"/>
            </w:tcMar>
            <w:vAlign w:val="bottom"/>
          </w:tcPr>
          <w:p w14:paraId="18601C81" w14:textId="77777777" w:rsidR="00A91885" w:rsidRDefault="009C4196">
            <w:pPr>
              <w:jc w:val="right"/>
              <w:textAlignment w:val="bottom"/>
            </w:pPr>
            <w:r>
              <w:rPr>
                <w:rFonts w:ascii="Arial" w:eastAsia="宋体" w:hAnsi="Arial" w:cs="Arial"/>
                <w:i/>
                <w:iCs/>
                <w:color w:val="000000"/>
                <w:sz w:val="18"/>
                <w:szCs w:val="18"/>
              </w:rPr>
              <w:t>%</w:t>
            </w:r>
          </w:p>
        </w:tc>
      </w:tr>
    </w:tbl>
    <w:p w14:paraId="18601C83" w14:textId="77777777" w:rsidR="00A91885" w:rsidRDefault="00A91885">
      <w:pPr>
        <w:ind w:firstLine="540"/>
      </w:pPr>
    </w:p>
    <w:p w14:paraId="18601C84" w14:textId="77777777" w:rsidR="00A91885" w:rsidRDefault="009C4196">
      <w:pPr>
        <w:ind w:firstLine="540"/>
        <w:jc w:val="both"/>
      </w:pPr>
      <w:r>
        <w:rPr>
          <w:rFonts w:ascii="Arial" w:eastAsia="宋体" w:hAnsi="Arial" w:cs="Arial"/>
          <w:color w:val="000000"/>
          <w:sz w:val="20"/>
          <w:szCs w:val="20"/>
        </w:rPr>
        <w:t xml:space="preserve">The decrease in our effective tax rate for the three and six months ended June 30, 2022 compared to the same periods in </w:t>
      </w:r>
      <w:r>
        <w:rPr>
          <w:rFonts w:ascii="Arial" w:eastAsia="宋体" w:hAnsi="Arial" w:cs="Arial"/>
          <w:color w:val="000000"/>
          <w:sz w:val="20"/>
          <w:szCs w:val="20"/>
        </w:rPr>
        <w:t>2021 was primarily due to unrealized losses on our investments and a deduction related to the announcement to close our marketplace in Turkey, partially reduced by a lower benefit from stock based compensation.</w:t>
      </w:r>
    </w:p>
    <w:p w14:paraId="18601C85" w14:textId="77777777" w:rsidR="00A91885" w:rsidRDefault="00A91885">
      <w:pPr>
        <w:ind w:firstLine="540"/>
      </w:pPr>
    </w:p>
    <w:p w14:paraId="18601C86" w14:textId="77777777" w:rsidR="00A91885" w:rsidRDefault="009C4196">
      <w:pPr>
        <w:ind w:firstLine="540"/>
        <w:jc w:val="both"/>
      </w:pPr>
      <w:r>
        <w:rPr>
          <w:rFonts w:ascii="Arial" w:eastAsia="宋体" w:hAnsi="Arial" w:cs="Arial"/>
          <w:color w:val="000000"/>
          <w:sz w:val="20"/>
          <w:szCs w:val="20"/>
        </w:rPr>
        <w:t>We are regularly under examination by tax au</w:t>
      </w:r>
      <w:r>
        <w:rPr>
          <w:rFonts w:ascii="Arial" w:eastAsia="宋体" w:hAnsi="Arial" w:cs="Arial"/>
          <w:color w:val="000000"/>
          <w:sz w:val="20"/>
          <w:szCs w:val="20"/>
        </w:rPr>
        <w:t>thorities both domestically and internationally. We believe that adequate amounts have been reserved for any adjustments that may ultimately result from these examinations, although we cannot assure you that this will be the case given the inherent uncerta</w:t>
      </w:r>
      <w:r>
        <w:rPr>
          <w:rFonts w:ascii="Arial" w:eastAsia="宋体" w:hAnsi="Arial" w:cs="Arial"/>
          <w:color w:val="000000"/>
          <w:sz w:val="20"/>
          <w:szCs w:val="20"/>
        </w:rPr>
        <w:t>inties in these examinations. Due to the ongoing tax examinations, we believe it is impractical to determine the amount and timing of these adjustments.</w:t>
      </w:r>
    </w:p>
    <w:p w14:paraId="18601C87" w14:textId="77777777" w:rsidR="00A91885" w:rsidRDefault="00A91885">
      <w:pPr>
        <w:ind w:firstLine="540"/>
        <w:jc w:val="both"/>
      </w:pPr>
    </w:p>
    <w:p w14:paraId="18601C88" w14:textId="77777777" w:rsidR="00A91885" w:rsidRDefault="009C4196">
      <w:r>
        <w:rPr>
          <w:rFonts w:ascii="Arial" w:eastAsia="宋体" w:hAnsi="Arial" w:cs="Arial"/>
          <w:b/>
          <w:bCs/>
          <w:i/>
          <w:iCs/>
          <w:color w:val="000000"/>
          <w:sz w:val="20"/>
          <w:szCs w:val="20"/>
        </w:rPr>
        <w:t xml:space="preserve">Discontinued Operations </w:t>
      </w:r>
    </w:p>
    <w:p w14:paraId="18601C89" w14:textId="77777777" w:rsidR="00A91885" w:rsidRDefault="00A91885"/>
    <w:p w14:paraId="18601C8A" w14:textId="77777777" w:rsidR="00A91885" w:rsidRDefault="009C4196">
      <w:pPr>
        <w:ind w:firstLine="540"/>
        <w:jc w:val="both"/>
      </w:pPr>
      <w:r>
        <w:rPr>
          <w:rFonts w:ascii="Arial" w:eastAsia="宋体" w:hAnsi="Arial" w:cs="Arial"/>
          <w:color w:val="000000"/>
          <w:sz w:val="20"/>
          <w:szCs w:val="20"/>
        </w:rPr>
        <w:t xml:space="preserve">On November 14, 2021, we completed the previously announced sale of </w:t>
      </w:r>
      <w:r>
        <w:rPr>
          <w:rFonts w:ascii="Arial" w:eastAsia="宋体" w:hAnsi="Arial" w:cs="Arial"/>
          <w:color w:val="000000"/>
          <w:sz w:val="20"/>
          <w:szCs w:val="20"/>
        </w:rPr>
        <w:t>80.01% of the outstanding equity interests of eBay Korea to Emart. We classified the results of our eBay Korea business as discontinued operations in our condensed consolidated statement of income for the periods presented through November 14, 2021.</w:t>
      </w:r>
    </w:p>
    <w:p w14:paraId="18601C8B" w14:textId="77777777" w:rsidR="00A91885" w:rsidRDefault="00A91885">
      <w:pPr>
        <w:ind w:firstLine="540"/>
        <w:jc w:val="both"/>
      </w:pPr>
    </w:p>
    <w:p w14:paraId="18601C8C" w14:textId="77777777" w:rsidR="00A91885" w:rsidRDefault="009C4196">
      <w:pPr>
        <w:ind w:firstLine="540"/>
        <w:jc w:val="both"/>
      </w:pPr>
      <w:r>
        <w:rPr>
          <w:rFonts w:ascii="Arial" w:eastAsia="宋体" w:hAnsi="Arial" w:cs="Arial"/>
          <w:color w:val="000000"/>
          <w:sz w:val="20"/>
          <w:szCs w:val="20"/>
        </w:rPr>
        <w:t>On Ju</w:t>
      </w:r>
      <w:r>
        <w:rPr>
          <w:rFonts w:ascii="Arial" w:eastAsia="宋体" w:hAnsi="Arial" w:cs="Arial"/>
          <w:color w:val="000000"/>
          <w:sz w:val="20"/>
          <w:szCs w:val="20"/>
        </w:rPr>
        <w:t>ne 24, 2021, we completed the previously announced transfer of our Classifieds business to Adevinta. We classified the results of our Classifieds business as discontinued operations in our condensed consolidated statement of income for the periods presente</w:t>
      </w:r>
      <w:r>
        <w:rPr>
          <w:rFonts w:ascii="Arial" w:eastAsia="宋体" w:hAnsi="Arial" w:cs="Arial"/>
          <w:color w:val="000000"/>
          <w:sz w:val="20"/>
          <w:szCs w:val="20"/>
        </w:rPr>
        <w:t>d through June 24, 2021.</w:t>
      </w:r>
    </w:p>
    <w:p w14:paraId="18601C8D" w14:textId="77777777" w:rsidR="00A91885" w:rsidRDefault="00A91885">
      <w:pPr>
        <w:ind w:firstLine="540"/>
        <w:jc w:val="both"/>
      </w:pPr>
    </w:p>
    <w:p w14:paraId="18601C8E" w14:textId="77777777" w:rsidR="00A91885" w:rsidRDefault="009C4196">
      <w:pPr>
        <w:ind w:firstLine="540"/>
        <w:jc w:val="both"/>
      </w:pPr>
      <w:r>
        <w:rPr>
          <w:rFonts w:ascii="Arial" w:eastAsia="宋体" w:hAnsi="Arial" w:cs="Arial"/>
          <w:color w:val="000000"/>
          <w:sz w:val="20"/>
          <w:szCs w:val="20"/>
        </w:rPr>
        <w:t>See “Note 3 — Discontinued Operations” in our condensed consolidated financial statements included elsewhere in this report for additional information.</w:t>
      </w:r>
    </w:p>
    <w:p w14:paraId="18601C8F" w14:textId="77777777" w:rsidR="00A91885" w:rsidRDefault="00A91885">
      <w:pPr>
        <w:ind w:firstLine="540"/>
        <w:jc w:val="both"/>
      </w:pPr>
    </w:p>
    <w:p w14:paraId="18601C90" w14:textId="77777777" w:rsidR="00A91885" w:rsidRDefault="009C4196">
      <w:r>
        <w:rPr>
          <w:rFonts w:ascii="Arial" w:eastAsia="宋体" w:hAnsi="Arial" w:cs="Arial"/>
          <w:b/>
          <w:bCs/>
          <w:i/>
          <w:iCs/>
          <w:color w:val="000000"/>
          <w:sz w:val="20"/>
          <w:szCs w:val="20"/>
        </w:rPr>
        <w:t>Non-GAAP Measures of Financial Performance</w:t>
      </w:r>
    </w:p>
    <w:p w14:paraId="18601C91" w14:textId="77777777" w:rsidR="00A91885" w:rsidRDefault="00A91885">
      <w:pPr>
        <w:jc w:val="both"/>
      </w:pPr>
    </w:p>
    <w:p w14:paraId="18601C92" w14:textId="77777777" w:rsidR="00A91885" w:rsidRDefault="009C4196">
      <w:pPr>
        <w:ind w:firstLine="540"/>
        <w:jc w:val="both"/>
      </w:pPr>
      <w:r>
        <w:rPr>
          <w:rFonts w:ascii="Arial" w:eastAsia="宋体" w:hAnsi="Arial" w:cs="Arial"/>
          <w:color w:val="000000"/>
          <w:sz w:val="20"/>
          <w:szCs w:val="20"/>
        </w:rPr>
        <w:t>To supplement our condensed conso</w:t>
      </w:r>
      <w:r>
        <w:rPr>
          <w:rFonts w:ascii="Arial" w:eastAsia="宋体" w:hAnsi="Arial" w:cs="Arial"/>
          <w:color w:val="000000"/>
          <w:sz w:val="20"/>
          <w:szCs w:val="20"/>
        </w:rPr>
        <w:t>lidated financial statements presented in accordance with generally accepted accounting principles, we use FX-Neutral net revenues, which are non-GAAP financial measures. Management uses the foregoing non-GAAP measures in reviewing our financial results. W</w:t>
      </w:r>
      <w:r>
        <w:rPr>
          <w:rFonts w:ascii="Arial" w:eastAsia="宋体" w:hAnsi="Arial" w:cs="Arial"/>
          <w:color w:val="000000"/>
          <w:sz w:val="20"/>
          <w:szCs w:val="20"/>
        </w:rPr>
        <w:t>e define FX-Neutral net revenues as net revenues minus the exchange rate effect. We define exchange rate effect as the year-over-year impact of foreign currency movements using prior period foreign currency rates applied to current year transactional curre</w:t>
      </w:r>
      <w:r>
        <w:rPr>
          <w:rFonts w:ascii="Arial" w:eastAsia="宋体" w:hAnsi="Arial" w:cs="Arial"/>
          <w:color w:val="000000"/>
          <w:sz w:val="20"/>
          <w:szCs w:val="20"/>
        </w:rPr>
        <w:t>ncy amounts, excluding hedging activity.</w:t>
      </w:r>
    </w:p>
    <w:p w14:paraId="18601C93" w14:textId="77777777" w:rsidR="00A91885" w:rsidRDefault="00A91885">
      <w:pPr>
        <w:ind w:firstLine="540"/>
        <w:jc w:val="both"/>
      </w:pPr>
    </w:p>
    <w:p w14:paraId="18601C94" w14:textId="77777777" w:rsidR="00A91885" w:rsidRDefault="009C4196">
      <w:pPr>
        <w:ind w:firstLine="540"/>
        <w:jc w:val="both"/>
      </w:pPr>
      <w:r>
        <w:rPr>
          <w:rFonts w:ascii="Arial" w:eastAsia="宋体" w:hAnsi="Arial" w:cs="Arial"/>
          <w:color w:val="000000"/>
          <w:sz w:val="20"/>
          <w:szCs w:val="20"/>
        </w:rPr>
        <w:t>These non-GAAP measures are not in accordance with, or an alternative to, measures prepared in accordance with GAAP and may be different from non-GAAP measures used by other companies. In addition, these non-GAAP m</w:t>
      </w:r>
      <w:r>
        <w:rPr>
          <w:rFonts w:ascii="Arial" w:eastAsia="宋体" w:hAnsi="Arial" w:cs="Arial"/>
          <w:color w:val="000000"/>
          <w:sz w:val="20"/>
          <w:szCs w:val="20"/>
        </w:rPr>
        <w:t>easures are not based on any comprehensive set of accounting rules or principles. Non-GAAP measures have limitations in that they do not reflect all of the amounts associated with our results of operations as determined in accordance with GAAP. These measu</w:t>
      </w:r>
      <w:r>
        <w:rPr>
          <w:rFonts w:ascii="Arial" w:eastAsia="宋体" w:hAnsi="Arial" w:cs="Arial"/>
          <w:color w:val="000000"/>
          <w:sz w:val="20"/>
          <w:szCs w:val="20"/>
        </w:rPr>
        <w:t xml:space="preserve">res should only be used to evaluate our results of operations in conjunction with the corresponding GAAP measures. </w:t>
      </w:r>
    </w:p>
    <w:p w14:paraId="18601C95" w14:textId="77777777" w:rsidR="00A91885" w:rsidRDefault="00A91885">
      <w:pPr>
        <w:ind w:firstLine="540"/>
        <w:jc w:val="both"/>
      </w:pPr>
    </w:p>
    <w:p w14:paraId="18601C96" w14:textId="77777777" w:rsidR="00A91885" w:rsidRDefault="00A91885">
      <w:pPr>
        <w:jc w:val="center"/>
      </w:pPr>
    </w:p>
    <w:p w14:paraId="18601C97" w14:textId="77777777" w:rsidR="00A91885" w:rsidRDefault="009C4196">
      <w:pPr>
        <w:jc w:val="center"/>
      </w:pPr>
      <w:r>
        <w:rPr>
          <w:rFonts w:ascii="Arial" w:eastAsia="宋体" w:hAnsi="Arial" w:cs="Arial"/>
          <w:color w:val="000000"/>
          <w:sz w:val="20"/>
          <w:szCs w:val="20"/>
        </w:rPr>
        <w:t>55</w:t>
      </w:r>
    </w:p>
    <w:p w14:paraId="18601C98" w14:textId="77777777" w:rsidR="00A91885" w:rsidRDefault="009C4196">
      <w:r>
        <w:pict w14:anchorId="186021BA">
          <v:rect id="_x0000_i1079" style="width:415.3pt;height:1.5pt" o:hralign="center" o:hrstd="t" o:hr="t" fillcolor="#a0a0a0" stroked="f"/>
        </w:pict>
      </w:r>
    </w:p>
    <w:p w14:paraId="18601C99" w14:textId="77777777" w:rsidR="00A91885" w:rsidRDefault="009C4196">
      <w:hyperlink r:id="rId139" w:anchor="ieb971428a625452486c65ae24899afca_7" w:history="1">
        <w:r>
          <w:rPr>
            <w:rStyle w:val="a5"/>
            <w:rFonts w:ascii="Arial" w:eastAsia="宋体" w:hAnsi="Arial" w:cs="Arial"/>
            <w:sz w:val="18"/>
            <w:szCs w:val="18"/>
          </w:rPr>
          <w:t>Table of Contents</w:t>
        </w:r>
      </w:hyperlink>
    </w:p>
    <w:p w14:paraId="18601C9A" w14:textId="77777777" w:rsidR="00A91885" w:rsidRDefault="009C4196">
      <w:pPr>
        <w:ind w:firstLine="540"/>
        <w:jc w:val="both"/>
      </w:pPr>
      <w:r>
        <w:rPr>
          <w:rFonts w:ascii="Arial" w:eastAsia="宋体" w:hAnsi="Arial" w:cs="Arial"/>
          <w:color w:val="000000"/>
          <w:sz w:val="20"/>
          <w:szCs w:val="20"/>
        </w:rPr>
        <w:t>These non-GAAP measures are provided to enhance investors’ overall understanding of our current financial performance and its prospects for the future. Specifically, we believe these non-GAAP measures provide useful in</w:t>
      </w:r>
      <w:r>
        <w:rPr>
          <w:rFonts w:ascii="Arial" w:eastAsia="宋体" w:hAnsi="Arial" w:cs="Arial"/>
          <w:color w:val="000000"/>
          <w:sz w:val="20"/>
          <w:szCs w:val="20"/>
        </w:rPr>
        <w:t xml:space="preserve">formation to both management and investors by excluding the foreign currency exchange rate impact that may not be indicative of our core operating results and business outlook. In addition, because we have historically reported certain non-GAAP results to </w:t>
      </w:r>
      <w:r>
        <w:rPr>
          <w:rFonts w:ascii="Arial" w:eastAsia="宋体" w:hAnsi="Arial" w:cs="Arial"/>
          <w:color w:val="000000"/>
          <w:sz w:val="20"/>
          <w:szCs w:val="20"/>
        </w:rPr>
        <w:t xml:space="preserve">investors, we believe that the inclusion of these non-GAAP measures provide consistency in our financial reporting. </w:t>
      </w:r>
    </w:p>
    <w:p w14:paraId="18601C9B" w14:textId="77777777" w:rsidR="00A91885" w:rsidRDefault="00A91885">
      <w:pPr>
        <w:ind w:firstLine="540"/>
        <w:jc w:val="both"/>
      </w:pPr>
    </w:p>
    <w:p w14:paraId="18601C9C" w14:textId="77777777" w:rsidR="00A91885" w:rsidRDefault="009C4196">
      <w:pPr>
        <w:spacing w:after="120"/>
        <w:ind w:firstLine="540"/>
        <w:jc w:val="both"/>
      </w:pPr>
      <w:r>
        <w:rPr>
          <w:rFonts w:ascii="Arial" w:eastAsia="宋体" w:hAnsi="Arial" w:cs="Arial"/>
          <w:color w:val="000000"/>
          <w:sz w:val="20"/>
          <w:szCs w:val="20"/>
        </w:rPr>
        <w:t>The following tables present a reconciliation of FX-Neutral GMV and FX-Neutral net revenues (each as defined below) to our reported GMV an</w:t>
      </w:r>
      <w:r>
        <w:rPr>
          <w:rFonts w:ascii="Arial" w:eastAsia="宋体" w:hAnsi="Arial" w:cs="Arial"/>
          <w:color w:val="000000"/>
          <w:sz w:val="20"/>
          <w:szCs w:val="20"/>
        </w:rPr>
        <w:t>d net revenues for the periods indicated (in millions, except percentages):</w:t>
      </w:r>
    </w:p>
    <w:tbl>
      <w:tblPr>
        <w:tblW w:w="5000" w:type="pct"/>
        <w:tblCellMar>
          <w:top w:w="15" w:type="dxa"/>
          <w:left w:w="15" w:type="dxa"/>
          <w:bottom w:w="15" w:type="dxa"/>
          <w:right w:w="15" w:type="dxa"/>
        </w:tblCellMar>
        <w:tblLook w:val="04A0" w:firstRow="1" w:lastRow="0" w:firstColumn="1" w:lastColumn="0" w:noHBand="0" w:noVBand="1"/>
      </w:tblPr>
      <w:tblGrid>
        <w:gridCol w:w="50"/>
        <w:gridCol w:w="1588"/>
        <w:gridCol w:w="38"/>
        <w:gridCol w:w="122"/>
        <w:gridCol w:w="704"/>
        <w:gridCol w:w="36"/>
        <w:gridCol w:w="36"/>
        <w:gridCol w:w="36"/>
        <w:gridCol w:w="36"/>
        <w:gridCol w:w="122"/>
        <w:gridCol w:w="782"/>
        <w:gridCol w:w="36"/>
        <w:gridCol w:w="36"/>
        <w:gridCol w:w="36"/>
        <w:gridCol w:w="36"/>
        <w:gridCol w:w="122"/>
        <w:gridCol w:w="811"/>
        <w:gridCol w:w="36"/>
        <w:gridCol w:w="36"/>
        <w:gridCol w:w="36"/>
        <w:gridCol w:w="36"/>
        <w:gridCol w:w="122"/>
        <w:gridCol w:w="1155"/>
        <w:gridCol w:w="37"/>
        <w:gridCol w:w="36"/>
        <w:gridCol w:w="36"/>
        <w:gridCol w:w="36"/>
        <w:gridCol w:w="75"/>
        <w:gridCol w:w="705"/>
        <w:gridCol w:w="182"/>
        <w:gridCol w:w="36"/>
        <w:gridCol w:w="36"/>
        <w:gridCol w:w="36"/>
        <w:gridCol w:w="86"/>
        <w:gridCol w:w="806"/>
        <w:gridCol w:w="181"/>
      </w:tblGrid>
      <w:tr w:rsidR="00A91885" w14:paraId="18601CC1" w14:textId="77777777">
        <w:tc>
          <w:tcPr>
            <w:tcW w:w="50" w:type="pct"/>
            <w:shd w:val="clear" w:color="auto" w:fill="auto"/>
            <w:vAlign w:val="bottom"/>
          </w:tcPr>
          <w:p w14:paraId="18601C9D" w14:textId="77777777" w:rsidR="00A91885" w:rsidRDefault="00A91885">
            <w:pPr>
              <w:rPr>
                <w:rFonts w:ascii="宋体"/>
              </w:rPr>
            </w:pPr>
          </w:p>
        </w:tc>
        <w:tc>
          <w:tcPr>
            <w:tcW w:w="1107" w:type="pct"/>
            <w:shd w:val="clear" w:color="auto" w:fill="auto"/>
            <w:vAlign w:val="bottom"/>
          </w:tcPr>
          <w:p w14:paraId="18601C9E" w14:textId="77777777" w:rsidR="00A91885" w:rsidRDefault="00A91885">
            <w:pPr>
              <w:rPr>
                <w:rFonts w:ascii="宋体"/>
              </w:rPr>
            </w:pPr>
          </w:p>
        </w:tc>
        <w:tc>
          <w:tcPr>
            <w:tcW w:w="5" w:type="pct"/>
            <w:shd w:val="clear" w:color="auto" w:fill="auto"/>
            <w:vAlign w:val="bottom"/>
          </w:tcPr>
          <w:p w14:paraId="18601C9F" w14:textId="77777777" w:rsidR="00A91885" w:rsidRDefault="00A91885">
            <w:pPr>
              <w:rPr>
                <w:rFonts w:ascii="宋体"/>
              </w:rPr>
            </w:pPr>
          </w:p>
        </w:tc>
        <w:tc>
          <w:tcPr>
            <w:tcW w:w="50" w:type="pct"/>
            <w:shd w:val="clear" w:color="auto" w:fill="auto"/>
            <w:vAlign w:val="bottom"/>
          </w:tcPr>
          <w:p w14:paraId="18601CA0" w14:textId="77777777" w:rsidR="00A91885" w:rsidRDefault="00A91885">
            <w:pPr>
              <w:rPr>
                <w:rFonts w:ascii="宋体"/>
              </w:rPr>
            </w:pPr>
          </w:p>
        </w:tc>
        <w:tc>
          <w:tcPr>
            <w:tcW w:w="463" w:type="pct"/>
            <w:shd w:val="clear" w:color="auto" w:fill="auto"/>
            <w:vAlign w:val="bottom"/>
          </w:tcPr>
          <w:p w14:paraId="18601CA1" w14:textId="77777777" w:rsidR="00A91885" w:rsidRDefault="00A91885">
            <w:pPr>
              <w:rPr>
                <w:rFonts w:ascii="宋体"/>
              </w:rPr>
            </w:pPr>
          </w:p>
        </w:tc>
        <w:tc>
          <w:tcPr>
            <w:tcW w:w="5" w:type="pct"/>
            <w:shd w:val="clear" w:color="auto" w:fill="auto"/>
            <w:vAlign w:val="bottom"/>
          </w:tcPr>
          <w:p w14:paraId="18601CA2" w14:textId="77777777" w:rsidR="00A91885" w:rsidRDefault="00A91885">
            <w:pPr>
              <w:rPr>
                <w:rFonts w:ascii="宋体"/>
              </w:rPr>
            </w:pPr>
          </w:p>
        </w:tc>
        <w:tc>
          <w:tcPr>
            <w:tcW w:w="5" w:type="pct"/>
            <w:shd w:val="clear" w:color="auto" w:fill="auto"/>
            <w:vAlign w:val="bottom"/>
          </w:tcPr>
          <w:p w14:paraId="18601CA3" w14:textId="77777777" w:rsidR="00A91885" w:rsidRDefault="00A91885">
            <w:pPr>
              <w:rPr>
                <w:rFonts w:ascii="宋体"/>
              </w:rPr>
            </w:pPr>
          </w:p>
        </w:tc>
        <w:tc>
          <w:tcPr>
            <w:tcW w:w="19" w:type="pct"/>
            <w:shd w:val="clear" w:color="auto" w:fill="auto"/>
            <w:vAlign w:val="bottom"/>
          </w:tcPr>
          <w:p w14:paraId="18601CA4" w14:textId="77777777" w:rsidR="00A91885" w:rsidRDefault="00A91885">
            <w:pPr>
              <w:rPr>
                <w:rFonts w:ascii="宋体"/>
              </w:rPr>
            </w:pPr>
          </w:p>
        </w:tc>
        <w:tc>
          <w:tcPr>
            <w:tcW w:w="5" w:type="pct"/>
            <w:shd w:val="clear" w:color="auto" w:fill="auto"/>
            <w:vAlign w:val="bottom"/>
          </w:tcPr>
          <w:p w14:paraId="18601CA5" w14:textId="77777777" w:rsidR="00A91885" w:rsidRDefault="00A91885">
            <w:pPr>
              <w:rPr>
                <w:rFonts w:ascii="宋体"/>
              </w:rPr>
            </w:pPr>
          </w:p>
        </w:tc>
        <w:tc>
          <w:tcPr>
            <w:tcW w:w="50" w:type="pct"/>
            <w:shd w:val="clear" w:color="auto" w:fill="auto"/>
            <w:vAlign w:val="bottom"/>
          </w:tcPr>
          <w:p w14:paraId="18601CA6" w14:textId="77777777" w:rsidR="00A91885" w:rsidRDefault="00A91885">
            <w:pPr>
              <w:rPr>
                <w:rFonts w:ascii="宋体"/>
              </w:rPr>
            </w:pPr>
          </w:p>
        </w:tc>
        <w:tc>
          <w:tcPr>
            <w:tcW w:w="602" w:type="pct"/>
            <w:shd w:val="clear" w:color="auto" w:fill="auto"/>
            <w:vAlign w:val="bottom"/>
          </w:tcPr>
          <w:p w14:paraId="18601CA7" w14:textId="77777777" w:rsidR="00A91885" w:rsidRDefault="00A91885">
            <w:pPr>
              <w:rPr>
                <w:rFonts w:ascii="宋体"/>
              </w:rPr>
            </w:pPr>
          </w:p>
        </w:tc>
        <w:tc>
          <w:tcPr>
            <w:tcW w:w="5" w:type="pct"/>
            <w:shd w:val="clear" w:color="auto" w:fill="auto"/>
            <w:vAlign w:val="bottom"/>
          </w:tcPr>
          <w:p w14:paraId="18601CA8" w14:textId="77777777" w:rsidR="00A91885" w:rsidRDefault="00A91885">
            <w:pPr>
              <w:rPr>
                <w:rFonts w:ascii="宋体"/>
              </w:rPr>
            </w:pPr>
          </w:p>
        </w:tc>
        <w:tc>
          <w:tcPr>
            <w:tcW w:w="5" w:type="pct"/>
            <w:shd w:val="clear" w:color="auto" w:fill="auto"/>
            <w:vAlign w:val="bottom"/>
          </w:tcPr>
          <w:p w14:paraId="18601CA9" w14:textId="77777777" w:rsidR="00A91885" w:rsidRDefault="00A91885">
            <w:pPr>
              <w:rPr>
                <w:rFonts w:ascii="宋体"/>
              </w:rPr>
            </w:pPr>
          </w:p>
        </w:tc>
        <w:tc>
          <w:tcPr>
            <w:tcW w:w="19" w:type="pct"/>
            <w:shd w:val="clear" w:color="auto" w:fill="auto"/>
            <w:vAlign w:val="bottom"/>
          </w:tcPr>
          <w:p w14:paraId="18601CAA" w14:textId="77777777" w:rsidR="00A91885" w:rsidRDefault="00A91885">
            <w:pPr>
              <w:rPr>
                <w:rFonts w:ascii="宋体"/>
              </w:rPr>
            </w:pPr>
          </w:p>
        </w:tc>
        <w:tc>
          <w:tcPr>
            <w:tcW w:w="5" w:type="pct"/>
            <w:shd w:val="clear" w:color="auto" w:fill="auto"/>
            <w:vAlign w:val="bottom"/>
          </w:tcPr>
          <w:p w14:paraId="18601CAB" w14:textId="77777777" w:rsidR="00A91885" w:rsidRDefault="00A91885">
            <w:pPr>
              <w:rPr>
                <w:rFonts w:ascii="宋体"/>
              </w:rPr>
            </w:pPr>
          </w:p>
        </w:tc>
        <w:tc>
          <w:tcPr>
            <w:tcW w:w="50" w:type="pct"/>
            <w:shd w:val="clear" w:color="auto" w:fill="auto"/>
            <w:vAlign w:val="bottom"/>
          </w:tcPr>
          <w:p w14:paraId="18601CAC" w14:textId="77777777" w:rsidR="00A91885" w:rsidRDefault="00A91885">
            <w:pPr>
              <w:rPr>
                <w:rFonts w:ascii="宋体"/>
              </w:rPr>
            </w:pPr>
          </w:p>
        </w:tc>
        <w:tc>
          <w:tcPr>
            <w:tcW w:w="507" w:type="pct"/>
            <w:shd w:val="clear" w:color="auto" w:fill="auto"/>
            <w:vAlign w:val="bottom"/>
          </w:tcPr>
          <w:p w14:paraId="18601CAD" w14:textId="77777777" w:rsidR="00A91885" w:rsidRDefault="00A91885">
            <w:pPr>
              <w:rPr>
                <w:rFonts w:ascii="宋体"/>
              </w:rPr>
            </w:pPr>
          </w:p>
        </w:tc>
        <w:tc>
          <w:tcPr>
            <w:tcW w:w="5" w:type="pct"/>
            <w:shd w:val="clear" w:color="auto" w:fill="auto"/>
            <w:vAlign w:val="bottom"/>
          </w:tcPr>
          <w:p w14:paraId="18601CAE" w14:textId="77777777" w:rsidR="00A91885" w:rsidRDefault="00A91885">
            <w:pPr>
              <w:rPr>
                <w:rFonts w:ascii="宋体"/>
              </w:rPr>
            </w:pPr>
          </w:p>
        </w:tc>
        <w:tc>
          <w:tcPr>
            <w:tcW w:w="5" w:type="pct"/>
            <w:shd w:val="clear" w:color="auto" w:fill="auto"/>
            <w:vAlign w:val="bottom"/>
          </w:tcPr>
          <w:p w14:paraId="18601CAF" w14:textId="77777777" w:rsidR="00A91885" w:rsidRDefault="00A91885">
            <w:pPr>
              <w:rPr>
                <w:rFonts w:ascii="宋体"/>
              </w:rPr>
            </w:pPr>
          </w:p>
        </w:tc>
        <w:tc>
          <w:tcPr>
            <w:tcW w:w="19" w:type="pct"/>
            <w:shd w:val="clear" w:color="auto" w:fill="auto"/>
            <w:vAlign w:val="bottom"/>
          </w:tcPr>
          <w:p w14:paraId="18601CB0" w14:textId="77777777" w:rsidR="00A91885" w:rsidRDefault="00A91885">
            <w:pPr>
              <w:rPr>
                <w:rFonts w:ascii="宋体"/>
              </w:rPr>
            </w:pPr>
          </w:p>
        </w:tc>
        <w:tc>
          <w:tcPr>
            <w:tcW w:w="5" w:type="pct"/>
            <w:shd w:val="clear" w:color="auto" w:fill="auto"/>
            <w:vAlign w:val="bottom"/>
          </w:tcPr>
          <w:p w14:paraId="18601CB1" w14:textId="77777777" w:rsidR="00A91885" w:rsidRDefault="00A91885">
            <w:pPr>
              <w:rPr>
                <w:rFonts w:ascii="宋体"/>
              </w:rPr>
            </w:pPr>
          </w:p>
        </w:tc>
        <w:tc>
          <w:tcPr>
            <w:tcW w:w="50" w:type="pct"/>
            <w:shd w:val="clear" w:color="auto" w:fill="auto"/>
            <w:vAlign w:val="bottom"/>
          </w:tcPr>
          <w:p w14:paraId="18601CB2" w14:textId="77777777" w:rsidR="00A91885" w:rsidRDefault="00A91885">
            <w:pPr>
              <w:rPr>
                <w:rFonts w:ascii="宋体"/>
              </w:rPr>
            </w:pPr>
          </w:p>
        </w:tc>
        <w:tc>
          <w:tcPr>
            <w:tcW w:w="844" w:type="pct"/>
            <w:shd w:val="clear" w:color="auto" w:fill="auto"/>
            <w:vAlign w:val="bottom"/>
          </w:tcPr>
          <w:p w14:paraId="18601CB3" w14:textId="77777777" w:rsidR="00A91885" w:rsidRDefault="00A91885">
            <w:pPr>
              <w:rPr>
                <w:rFonts w:ascii="宋体"/>
              </w:rPr>
            </w:pPr>
          </w:p>
        </w:tc>
        <w:tc>
          <w:tcPr>
            <w:tcW w:w="5" w:type="pct"/>
            <w:shd w:val="clear" w:color="auto" w:fill="auto"/>
            <w:vAlign w:val="bottom"/>
          </w:tcPr>
          <w:p w14:paraId="18601CB4" w14:textId="77777777" w:rsidR="00A91885" w:rsidRDefault="00A91885">
            <w:pPr>
              <w:rPr>
                <w:rFonts w:ascii="宋体"/>
              </w:rPr>
            </w:pPr>
          </w:p>
        </w:tc>
        <w:tc>
          <w:tcPr>
            <w:tcW w:w="5" w:type="pct"/>
            <w:shd w:val="clear" w:color="auto" w:fill="auto"/>
            <w:vAlign w:val="bottom"/>
          </w:tcPr>
          <w:p w14:paraId="18601CB5" w14:textId="77777777" w:rsidR="00A91885" w:rsidRDefault="00A91885">
            <w:pPr>
              <w:rPr>
                <w:rFonts w:ascii="宋体"/>
              </w:rPr>
            </w:pPr>
          </w:p>
        </w:tc>
        <w:tc>
          <w:tcPr>
            <w:tcW w:w="19" w:type="pct"/>
            <w:shd w:val="clear" w:color="auto" w:fill="auto"/>
            <w:vAlign w:val="bottom"/>
          </w:tcPr>
          <w:p w14:paraId="18601CB6" w14:textId="77777777" w:rsidR="00A91885" w:rsidRDefault="00A91885">
            <w:pPr>
              <w:rPr>
                <w:rFonts w:ascii="宋体"/>
              </w:rPr>
            </w:pPr>
          </w:p>
        </w:tc>
        <w:tc>
          <w:tcPr>
            <w:tcW w:w="5" w:type="pct"/>
            <w:shd w:val="clear" w:color="auto" w:fill="auto"/>
            <w:vAlign w:val="bottom"/>
          </w:tcPr>
          <w:p w14:paraId="18601CB7" w14:textId="77777777" w:rsidR="00A91885" w:rsidRDefault="00A91885">
            <w:pPr>
              <w:rPr>
                <w:rFonts w:ascii="宋体"/>
              </w:rPr>
            </w:pPr>
          </w:p>
        </w:tc>
        <w:tc>
          <w:tcPr>
            <w:tcW w:w="50" w:type="pct"/>
            <w:shd w:val="clear" w:color="auto" w:fill="auto"/>
            <w:vAlign w:val="bottom"/>
          </w:tcPr>
          <w:p w14:paraId="18601CB8" w14:textId="77777777" w:rsidR="00A91885" w:rsidRDefault="00A91885">
            <w:pPr>
              <w:rPr>
                <w:rFonts w:ascii="宋体"/>
              </w:rPr>
            </w:pPr>
          </w:p>
        </w:tc>
        <w:tc>
          <w:tcPr>
            <w:tcW w:w="471" w:type="pct"/>
            <w:shd w:val="clear" w:color="auto" w:fill="auto"/>
            <w:vAlign w:val="bottom"/>
          </w:tcPr>
          <w:p w14:paraId="18601CB9" w14:textId="77777777" w:rsidR="00A91885" w:rsidRDefault="00A91885">
            <w:pPr>
              <w:rPr>
                <w:rFonts w:ascii="宋体"/>
              </w:rPr>
            </w:pPr>
          </w:p>
        </w:tc>
        <w:tc>
          <w:tcPr>
            <w:tcW w:w="5" w:type="pct"/>
            <w:shd w:val="clear" w:color="auto" w:fill="auto"/>
            <w:vAlign w:val="bottom"/>
          </w:tcPr>
          <w:p w14:paraId="18601CBA" w14:textId="77777777" w:rsidR="00A91885" w:rsidRDefault="00A91885">
            <w:pPr>
              <w:rPr>
                <w:rFonts w:ascii="宋体"/>
              </w:rPr>
            </w:pPr>
          </w:p>
        </w:tc>
        <w:tc>
          <w:tcPr>
            <w:tcW w:w="5" w:type="pct"/>
            <w:shd w:val="clear" w:color="auto" w:fill="auto"/>
            <w:vAlign w:val="bottom"/>
          </w:tcPr>
          <w:p w14:paraId="18601CBB" w14:textId="77777777" w:rsidR="00A91885" w:rsidRDefault="00A91885">
            <w:pPr>
              <w:rPr>
                <w:rFonts w:ascii="宋体"/>
              </w:rPr>
            </w:pPr>
          </w:p>
        </w:tc>
        <w:tc>
          <w:tcPr>
            <w:tcW w:w="19" w:type="pct"/>
            <w:shd w:val="clear" w:color="auto" w:fill="auto"/>
            <w:vAlign w:val="bottom"/>
          </w:tcPr>
          <w:p w14:paraId="18601CBC" w14:textId="77777777" w:rsidR="00A91885" w:rsidRDefault="00A91885">
            <w:pPr>
              <w:rPr>
                <w:rFonts w:ascii="宋体"/>
              </w:rPr>
            </w:pPr>
          </w:p>
        </w:tc>
        <w:tc>
          <w:tcPr>
            <w:tcW w:w="5" w:type="pct"/>
            <w:shd w:val="clear" w:color="auto" w:fill="auto"/>
            <w:vAlign w:val="bottom"/>
          </w:tcPr>
          <w:p w14:paraId="18601CBD" w14:textId="77777777" w:rsidR="00A91885" w:rsidRDefault="00A91885">
            <w:pPr>
              <w:rPr>
                <w:rFonts w:ascii="宋体"/>
              </w:rPr>
            </w:pPr>
          </w:p>
        </w:tc>
        <w:tc>
          <w:tcPr>
            <w:tcW w:w="50" w:type="pct"/>
            <w:shd w:val="clear" w:color="auto" w:fill="auto"/>
            <w:vAlign w:val="bottom"/>
          </w:tcPr>
          <w:p w14:paraId="18601CBE" w14:textId="77777777" w:rsidR="00A91885" w:rsidRDefault="00A91885">
            <w:pPr>
              <w:rPr>
                <w:rFonts w:ascii="宋体"/>
              </w:rPr>
            </w:pPr>
          </w:p>
        </w:tc>
        <w:tc>
          <w:tcPr>
            <w:tcW w:w="471" w:type="pct"/>
            <w:shd w:val="clear" w:color="auto" w:fill="auto"/>
            <w:vAlign w:val="bottom"/>
          </w:tcPr>
          <w:p w14:paraId="18601CBF" w14:textId="77777777" w:rsidR="00A91885" w:rsidRDefault="00A91885">
            <w:pPr>
              <w:rPr>
                <w:rFonts w:ascii="宋体"/>
              </w:rPr>
            </w:pPr>
          </w:p>
        </w:tc>
        <w:tc>
          <w:tcPr>
            <w:tcW w:w="5" w:type="pct"/>
            <w:shd w:val="clear" w:color="auto" w:fill="auto"/>
            <w:vAlign w:val="bottom"/>
          </w:tcPr>
          <w:p w14:paraId="18601CC0" w14:textId="77777777" w:rsidR="00A91885" w:rsidRDefault="00A91885">
            <w:pPr>
              <w:rPr>
                <w:rFonts w:ascii="宋体"/>
              </w:rPr>
            </w:pPr>
          </w:p>
        </w:tc>
      </w:tr>
      <w:tr w:rsidR="00A91885" w14:paraId="18601CC8" w14:textId="77777777">
        <w:tc>
          <w:tcPr>
            <w:tcW w:w="0" w:type="auto"/>
            <w:gridSpan w:val="3"/>
            <w:shd w:val="clear" w:color="auto" w:fill="auto"/>
            <w:tcMar>
              <w:top w:w="40" w:type="dxa"/>
              <w:left w:w="20" w:type="dxa"/>
              <w:bottom w:w="40" w:type="dxa"/>
              <w:right w:w="20" w:type="dxa"/>
            </w:tcMar>
            <w:vAlign w:val="bottom"/>
          </w:tcPr>
          <w:p w14:paraId="18601CC2" w14:textId="77777777" w:rsidR="00A91885" w:rsidRDefault="009C4196">
            <w:pPr>
              <w:textAlignment w:val="bottom"/>
            </w:pPr>
            <w:r>
              <w:rPr>
                <w:rFonts w:ascii="Arial" w:eastAsia="宋体" w:hAnsi="Arial" w:cs="Arial"/>
                <w:b/>
                <w:bCs/>
                <w:color w:val="000000"/>
                <w:sz w:val="17"/>
                <w:szCs w:val="17"/>
              </w:rPr>
              <w:t> </w:t>
            </w:r>
          </w:p>
        </w:tc>
        <w:tc>
          <w:tcPr>
            <w:tcW w:w="0" w:type="auto"/>
            <w:gridSpan w:val="15"/>
            <w:shd w:val="clear" w:color="auto" w:fill="auto"/>
            <w:tcMar>
              <w:top w:w="40" w:type="dxa"/>
              <w:left w:w="20" w:type="dxa"/>
              <w:bottom w:w="40" w:type="dxa"/>
              <w:right w:w="20" w:type="dxa"/>
            </w:tcMar>
            <w:vAlign w:val="bottom"/>
          </w:tcPr>
          <w:p w14:paraId="18601CC3"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 2022</w:t>
            </w:r>
          </w:p>
        </w:tc>
        <w:tc>
          <w:tcPr>
            <w:tcW w:w="0" w:type="auto"/>
            <w:gridSpan w:val="3"/>
            <w:shd w:val="clear" w:color="auto" w:fill="auto"/>
            <w:tcMar>
              <w:top w:w="0" w:type="dxa"/>
              <w:left w:w="20" w:type="dxa"/>
              <w:bottom w:w="0" w:type="dxa"/>
              <w:right w:w="20" w:type="dxa"/>
            </w:tcMar>
            <w:vAlign w:val="bottom"/>
          </w:tcPr>
          <w:p w14:paraId="18601CC4"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CC5" w14:textId="77777777" w:rsidR="00A91885" w:rsidRDefault="009C4196">
            <w:pPr>
              <w:jc w:val="center"/>
              <w:textAlignment w:val="bottom"/>
            </w:pPr>
            <w:r>
              <w:rPr>
                <w:rFonts w:ascii="Arial" w:eastAsia="宋体" w:hAnsi="Arial" w:cs="Arial"/>
                <w:b/>
                <w:bCs/>
                <w:color w:val="000000"/>
                <w:sz w:val="17"/>
                <w:szCs w:val="17"/>
              </w:rPr>
              <w:t>Three Months Ended</w:t>
            </w:r>
            <w:r>
              <w:rPr>
                <w:rFonts w:ascii="Arial" w:eastAsia="宋体" w:hAnsi="Arial" w:cs="Arial"/>
                <w:b/>
                <w:bCs/>
                <w:color w:val="000000"/>
                <w:sz w:val="17"/>
                <w:szCs w:val="17"/>
              </w:rPr>
              <w:br/>
              <w:t>June 30, 2021</w:t>
            </w:r>
          </w:p>
        </w:tc>
        <w:tc>
          <w:tcPr>
            <w:tcW w:w="0" w:type="auto"/>
            <w:gridSpan w:val="3"/>
            <w:shd w:val="clear" w:color="auto" w:fill="auto"/>
            <w:tcMar>
              <w:top w:w="0" w:type="dxa"/>
              <w:left w:w="20" w:type="dxa"/>
              <w:bottom w:w="0" w:type="dxa"/>
              <w:right w:w="20" w:type="dxa"/>
            </w:tcMar>
            <w:vAlign w:val="bottom"/>
          </w:tcPr>
          <w:p w14:paraId="18601CC6"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CC7" w14:textId="77777777" w:rsidR="00A91885" w:rsidRDefault="009C4196">
            <w:pPr>
              <w:jc w:val="center"/>
              <w:textAlignment w:val="bottom"/>
            </w:pPr>
            <w:r>
              <w:rPr>
                <w:rFonts w:ascii="Arial" w:eastAsia="宋体" w:hAnsi="Arial" w:cs="Arial"/>
                <w:b/>
                <w:bCs/>
                <w:color w:val="000000"/>
                <w:sz w:val="17"/>
                <w:szCs w:val="17"/>
              </w:rPr>
              <w:t>% Change</w:t>
            </w:r>
          </w:p>
        </w:tc>
      </w:tr>
      <w:tr w:rsidR="00A91885" w14:paraId="18601CD6" w14:textId="77777777">
        <w:tc>
          <w:tcPr>
            <w:tcW w:w="0" w:type="auto"/>
            <w:gridSpan w:val="3"/>
            <w:shd w:val="clear" w:color="auto" w:fill="auto"/>
            <w:tcMar>
              <w:top w:w="40" w:type="dxa"/>
              <w:left w:w="20" w:type="dxa"/>
              <w:bottom w:w="40" w:type="dxa"/>
              <w:right w:w="20" w:type="dxa"/>
            </w:tcMar>
            <w:vAlign w:val="bottom"/>
          </w:tcPr>
          <w:p w14:paraId="18601CC9" w14:textId="77777777" w:rsidR="00A91885" w:rsidRDefault="009C4196">
            <w:pPr>
              <w:textAlignment w:val="bottom"/>
            </w:pPr>
            <w:r>
              <w:rPr>
                <w:rFonts w:ascii="Arial" w:eastAsia="宋体" w:hAnsi="Arial" w:cs="Arial"/>
                <w:b/>
                <w:bCs/>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CCA" w14:textId="77777777" w:rsidR="00A91885" w:rsidRDefault="009C4196">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CCB"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CCC" w14:textId="77777777" w:rsidR="00A91885" w:rsidRDefault="009C4196">
            <w:pPr>
              <w:jc w:val="center"/>
              <w:textAlignment w:val="bottom"/>
            </w:pPr>
            <w:r>
              <w:rPr>
                <w:rFonts w:ascii="Arial" w:eastAsia="宋体" w:hAnsi="Arial" w:cs="Arial"/>
                <w:b/>
                <w:bCs/>
                <w:color w:val="000000"/>
                <w:sz w:val="17"/>
                <w:szCs w:val="17"/>
              </w:rPr>
              <w:t xml:space="preserve">Exchange Rate </w:t>
            </w:r>
          </w:p>
          <w:p w14:paraId="18601CCD" w14:textId="77777777" w:rsidR="00A91885" w:rsidRDefault="009C4196">
            <w:pPr>
              <w:jc w:val="center"/>
              <w:textAlignment w:val="bottom"/>
            </w:pPr>
            <w:r>
              <w:rPr>
                <w:rFonts w:ascii="Arial" w:eastAsia="宋体" w:hAnsi="Arial" w:cs="Arial"/>
                <w:b/>
                <w:bCs/>
                <w:color w:val="000000"/>
                <w:sz w:val="17"/>
                <w:szCs w:val="17"/>
              </w:rPr>
              <w:t xml:space="preserve">Effect </w:t>
            </w:r>
            <w:r>
              <w:rPr>
                <w:rFonts w:ascii="Arial" w:eastAsia="宋体" w:hAnsi="Arial" w:cs="Arial"/>
                <w:b/>
                <w:bCs/>
                <w:color w:val="000000"/>
                <w:sz w:val="11"/>
                <w:szCs w:val="11"/>
              </w:rPr>
              <w:t>(1)(3)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CCE"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CCF" w14:textId="77777777" w:rsidR="00A91885" w:rsidRDefault="009C4196">
            <w:pPr>
              <w:jc w:val="center"/>
              <w:textAlignment w:val="bottom"/>
            </w:pPr>
            <w:r>
              <w:rPr>
                <w:rFonts w:ascii="Arial" w:eastAsia="宋体" w:hAnsi="Arial" w:cs="Arial"/>
                <w:b/>
                <w:bCs/>
                <w:color w:val="000000"/>
                <w:sz w:val="17"/>
                <w:szCs w:val="17"/>
              </w:rPr>
              <w:t xml:space="preserve">FX-Neutral </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18601CD0"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CD1" w14:textId="77777777" w:rsidR="00A91885" w:rsidRDefault="009C4196">
            <w:pPr>
              <w:jc w:val="center"/>
              <w:textAlignment w:val="bottom"/>
            </w:pPr>
            <w:r>
              <w:rPr>
                <w:rFonts w:ascii="Arial" w:eastAsia="宋体" w:hAnsi="Arial" w:cs="Arial"/>
                <w:b/>
                <w:bCs/>
                <w:color w:val="000000"/>
                <w:sz w:val="17"/>
                <w:szCs w:val="17"/>
              </w:rPr>
              <w:t xml:space="preserve">As Reported </w:t>
            </w:r>
            <w:r>
              <w:rPr>
                <w:rFonts w:ascii="Arial" w:eastAsia="宋体" w:hAnsi="Arial" w:cs="Arial"/>
                <w:b/>
                <w:bCs/>
                <w:color w:val="000000"/>
                <w:sz w:val="11"/>
                <w:szCs w:val="11"/>
              </w:rPr>
              <w:t>(4)</w:t>
            </w:r>
          </w:p>
        </w:tc>
        <w:tc>
          <w:tcPr>
            <w:tcW w:w="0" w:type="auto"/>
            <w:gridSpan w:val="3"/>
            <w:shd w:val="clear" w:color="auto" w:fill="auto"/>
            <w:tcMar>
              <w:top w:w="0" w:type="dxa"/>
              <w:left w:w="20" w:type="dxa"/>
              <w:bottom w:w="0" w:type="dxa"/>
              <w:right w:w="20" w:type="dxa"/>
            </w:tcMar>
            <w:vAlign w:val="bottom"/>
          </w:tcPr>
          <w:p w14:paraId="18601CD2"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CD3" w14:textId="77777777" w:rsidR="00A91885" w:rsidRDefault="009C4196">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CD4"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CD5" w14:textId="77777777" w:rsidR="00A91885" w:rsidRDefault="009C4196">
            <w:pPr>
              <w:jc w:val="center"/>
              <w:textAlignment w:val="bottom"/>
            </w:pPr>
            <w:r>
              <w:rPr>
                <w:rFonts w:ascii="Arial" w:eastAsia="宋体" w:hAnsi="Arial" w:cs="Arial"/>
                <w:b/>
                <w:bCs/>
                <w:color w:val="000000"/>
                <w:sz w:val="17"/>
                <w:szCs w:val="17"/>
              </w:rPr>
              <w:t>FX-Neutral</w:t>
            </w:r>
          </w:p>
        </w:tc>
      </w:tr>
      <w:tr w:rsidR="00A91885" w14:paraId="18601CED" w14:textId="77777777">
        <w:tc>
          <w:tcPr>
            <w:tcW w:w="0" w:type="auto"/>
            <w:gridSpan w:val="3"/>
            <w:shd w:val="clear" w:color="auto" w:fill="E1E1E1"/>
            <w:tcMar>
              <w:top w:w="40" w:type="dxa"/>
              <w:left w:w="20" w:type="dxa"/>
              <w:bottom w:w="40" w:type="dxa"/>
              <w:right w:w="20" w:type="dxa"/>
            </w:tcMar>
            <w:vAlign w:val="bottom"/>
          </w:tcPr>
          <w:p w14:paraId="18601CD7" w14:textId="77777777" w:rsidR="00A91885" w:rsidRDefault="009C4196">
            <w:pPr>
              <w:textAlignment w:val="bottom"/>
            </w:pPr>
            <w:r>
              <w:rPr>
                <w:rFonts w:ascii="Arial" w:eastAsia="宋体" w:hAnsi="Arial" w:cs="Arial"/>
                <w:b/>
                <w:bCs/>
                <w:color w:val="000000"/>
                <w:sz w:val="18"/>
                <w:szCs w:val="18"/>
              </w:rPr>
              <w:t>GMV</w:t>
            </w:r>
          </w:p>
        </w:tc>
        <w:tc>
          <w:tcPr>
            <w:tcW w:w="0" w:type="auto"/>
            <w:tcBorders>
              <w:top w:val="single" w:sz="8" w:space="0" w:color="000000"/>
            </w:tcBorders>
            <w:shd w:val="clear" w:color="auto" w:fill="E1E1E1"/>
            <w:tcMar>
              <w:top w:w="40" w:type="dxa"/>
              <w:left w:w="20" w:type="dxa"/>
              <w:bottom w:w="40" w:type="dxa"/>
              <w:right w:w="0" w:type="dxa"/>
            </w:tcMar>
            <w:vAlign w:val="bottom"/>
          </w:tcPr>
          <w:p w14:paraId="18601CD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601CD9" w14:textId="77777777" w:rsidR="00A91885" w:rsidRDefault="009C4196">
            <w:pPr>
              <w:jc w:val="right"/>
              <w:textAlignment w:val="bottom"/>
            </w:pPr>
            <w:r>
              <w:rPr>
                <w:rFonts w:ascii="Arial" w:eastAsia="宋体" w:hAnsi="Arial" w:cs="Arial"/>
                <w:color w:val="000000"/>
                <w:sz w:val="18"/>
                <w:szCs w:val="18"/>
              </w:rPr>
              <w:t>18,549 </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CDA"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CDB"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601CD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601CDD" w14:textId="77777777" w:rsidR="00A91885" w:rsidRDefault="009C4196">
            <w:pPr>
              <w:jc w:val="right"/>
              <w:textAlignment w:val="bottom"/>
            </w:pPr>
            <w:r>
              <w:rPr>
                <w:rFonts w:ascii="Arial" w:eastAsia="宋体" w:hAnsi="Arial" w:cs="Arial"/>
                <w:color w:val="000000"/>
                <w:sz w:val="18"/>
                <w:szCs w:val="18"/>
              </w:rPr>
              <w:t>(865)</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CDE"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CDF"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601CE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601CE1" w14:textId="77777777" w:rsidR="00A91885" w:rsidRDefault="009C4196">
            <w:pPr>
              <w:jc w:val="right"/>
              <w:textAlignment w:val="bottom"/>
            </w:pPr>
            <w:r>
              <w:rPr>
                <w:rFonts w:ascii="Arial" w:eastAsia="宋体" w:hAnsi="Arial" w:cs="Arial"/>
                <w:color w:val="000000"/>
                <w:sz w:val="18"/>
                <w:szCs w:val="18"/>
              </w:rPr>
              <w:t>19,414 </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CE2"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CE3"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601CE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601CE5" w14:textId="77777777" w:rsidR="00A91885" w:rsidRDefault="009C4196">
            <w:pPr>
              <w:jc w:val="right"/>
              <w:textAlignment w:val="bottom"/>
            </w:pPr>
            <w:r>
              <w:rPr>
                <w:rFonts w:ascii="Arial" w:eastAsia="宋体" w:hAnsi="Arial" w:cs="Arial"/>
                <w:color w:val="000000"/>
                <w:sz w:val="18"/>
                <w:szCs w:val="18"/>
              </w:rPr>
              <w:t>22,587 </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CE6"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CE7"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601CE8" w14:textId="77777777" w:rsidR="00A91885" w:rsidRDefault="009C4196">
            <w:pPr>
              <w:jc w:val="right"/>
              <w:textAlignment w:val="bottom"/>
            </w:pPr>
            <w:r>
              <w:rPr>
                <w:rFonts w:ascii="Arial" w:eastAsia="宋体" w:hAnsi="Arial" w:cs="Arial"/>
                <w:color w:val="000000"/>
                <w:sz w:val="18"/>
                <w:szCs w:val="18"/>
              </w:rPr>
              <w:t>(18)</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CE9"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1E1E1"/>
            <w:tcMar>
              <w:top w:w="0" w:type="dxa"/>
              <w:left w:w="20" w:type="dxa"/>
              <w:bottom w:w="0" w:type="dxa"/>
              <w:right w:w="20" w:type="dxa"/>
            </w:tcMar>
            <w:vAlign w:val="bottom"/>
          </w:tcPr>
          <w:p w14:paraId="18601CEA"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601CEB" w14:textId="77777777" w:rsidR="00A91885" w:rsidRDefault="009C4196">
            <w:pPr>
              <w:jc w:val="right"/>
              <w:textAlignment w:val="bottom"/>
            </w:pPr>
            <w:r>
              <w:rPr>
                <w:rFonts w:ascii="Arial" w:eastAsia="宋体" w:hAnsi="Arial" w:cs="Arial"/>
                <w:color w:val="000000"/>
                <w:sz w:val="18"/>
                <w:szCs w:val="18"/>
              </w:rPr>
              <w:t>(14)</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CEC" w14:textId="77777777" w:rsidR="00A91885" w:rsidRDefault="009C4196">
            <w:pPr>
              <w:jc w:val="right"/>
              <w:textAlignment w:val="bottom"/>
            </w:pPr>
            <w:r>
              <w:rPr>
                <w:rFonts w:ascii="Arial" w:eastAsia="宋体" w:hAnsi="Arial" w:cs="Arial"/>
                <w:color w:val="000000"/>
                <w:sz w:val="18"/>
                <w:szCs w:val="18"/>
              </w:rPr>
              <w:t>%</w:t>
            </w:r>
          </w:p>
        </w:tc>
      </w:tr>
      <w:tr w:rsidR="00A91885" w14:paraId="18601CFA" w14:textId="77777777">
        <w:trPr>
          <w:hidden/>
        </w:trPr>
        <w:tc>
          <w:tcPr>
            <w:tcW w:w="0" w:type="auto"/>
            <w:gridSpan w:val="3"/>
            <w:shd w:val="clear" w:color="auto" w:fill="auto"/>
            <w:vAlign w:val="bottom"/>
          </w:tcPr>
          <w:p w14:paraId="18601CEE" w14:textId="77777777" w:rsidR="00A91885" w:rsidRDefault="00A91885">
            <w:pPr>
              <w:rPr>
                <w:rFonts w:ascii="宋体"/>
                <w:vanish/>
              </w:rPr>
            </w:pPr>
          </w:p>
        </w:tc>
        <w:tc>
          <w:tcPr>
            <w:tcW w:w="0" w:type="auto"/>
            <w:gridSpan w:val="3"/>
            <w:shd w:val="clear" w:color="auto" w:fill="auto"/>
            <w:vAlign w:val="bottom"/>
          </w:tcPr>
          <w:p w14:paraId="18601CEF" w14:textId="77777777" w:rsidR="00A91885" w:rsidRDefault="00A91885">
            <w:pPr>
              <w:rPr>
                <w:rFonts w:ascii="宋体"/>
                <w:vanish/>
              </w:rPr>
            </w:pPr>
          </w:p>
        </w:tc>
        <w:tc>
          <w:tcPr>
            <w:tcW w:w="0" w:type="auto"/>
            <w:gridSpan w:val="3"/>
            <w:shd w:val="clear" w:color="auto" w:fill="auto"/>
            <w:vAlign w:val="bottom"/>
          </w:tcPr>
          <w:p w14:paraId="18601CF0" w14:textId="77777777" w:rsidR="00A91885" w:rsidRDefault="00A91885">
            <w:pPr>
              <w:rPr>
                <w:rFonts w:ascii="宋体"/>
                <w:vanish/>
              </w:rPr>
            </w:pPr>
          </w:p>
        </w:tc>
        <w:tc>
          <w:tcPr>
            <w:tcW w:w="0" w:type="auto"/>
            <w:gridSpan w:val="3"/>
            <w:shd w:val="clear" w:color="auto" w:fill="auto"/>
            <w:vAlign w:val="bottom"/>
          </w:tcPr>
          <w:p w14:paraId="18601CF1" w14:textId="77777777" w:rsidR="00A91885" w:rsidRDefault="00A91885">
            <w:pPr>
              <w:rPr>
                <w:rFonts w:ascii="宋体"/>
                <w:vanish/>
              </w:rPr>
            </w:pPr>
          </w:p>
        </w:tc>
        <w:tc>
          <w:tcPr>
            <w:tcW w:w="0" w:type="auto"/>
            <w:gridSpan w:val="3"/>
            <w:shd w:val="clear" w:color="auto" w:fill="auto"/>
            <w:vAlign w:val="bottom"/>
          </w:tcPr>
          <w:p w14:paraId="18601CF2" w14:textId="77777777" w:rsidR="00A91885" w:rsidRDefault="00A91885">
            <w:pPr>
              <w:rPr>
                <w:rFonts w:ascii="宋体"/>
                <w:vanish/>
              </w:rPr>
            </w:pPr>
          </w:p>
        </w:tc>
        <w:tc>
          <w:tcPr>
            <w:tcW w:w="0" w:type="auto"/>
            <w:gridSpan w:val="3"/>
            <w:shd w:val="clear" w:color="auto" w:fill="auto"/>
            <w:vAlign w:val="bottom"/>
          </w:tcPr>
          <w:p w14:paraId="18601CF3" w14:textId="77777777" w:rsidR="00A91885" w:rsidRDefault="00A91885">
            <w:pPr>
              <w:rPr>
                <w:rFonts w:ascii="宋体"/>
                <w:vanish/>
              </w:rPr>
            </w:pPr>
          </w:p>
        </w:tc>
        <w:tc>
          <w:tcPr>
            <w:tcW w:w="0" w:type="auto"/>
            <w:gridSpan w:val="3"/>
            <w:shd w:val="clear" w:color="auto" w:fill="auto"/>
            <w:vAlign w:val="bottom"/>
          </w:tcPr>
          <w:p w14:paraId="18601CF4" w14:textId="77777777" w:rsidR="00A91885" w:rsidRDefault="00A91885">
            <w:pPr>
              <w:rPr>
                <w:rFonts w:ascii="宋体"/>
                <w:vanish/>
              </w:rPr>
            </w:pPr>
          </w:p>
        </w:tc>
        <w:tc>
          <w:tcPr>
            <w:tcW w:w="0" w:type="auto"/>
            <w:gridSpan w:val="3"/>
            <w:shd w:val="clear" w:color="auto" w:fill="auto"/>
            <w:vAlign w:val="bottom"/>
          </w:tcPr>
          <w:p w14:paraId="18601CF5" w14:textId="77777777" w:rsidR="00A91885" w:rsidRDefault="00A91885">
            <w:pPr>
              <w:rPr>
                <w:rFonts w:ascii="宋体"/>
                <w:vanish/>
              </w:rPr>
            </w:pPr>
          </w:p>
        </w:tc>
        <w:tc>
          <w:tcPr>
            <w:tcW w:w="0" w:type="auto"/>
            <w:gridSpan w:val="3"/>
            <w:shd w:val="clear" w:color="auto" w:fill="auto"/>
            <w:vAlign w:val="bottom"/>
          </w:tcPr>
          <w:p w14:paraId="18601CF6" w14:textId="77777777" w:rsidR="00A91885" w:rsidRDefault="00A91885">
            <w:pPr>
              <w:rPr>
                <w:rFonts w:ascii="宋体"/>
                <w:vanish/>
              </w:rPr>
            </w:pPr>
          </w:p>
        </w:tc>
        <w:tc>
          <w:tcPr>
            <w:tcW w:w="0" w:type="auto"/>
            <w:gridSpan w:val="3"/>
            <w:shd w:val="clear" w:color="auto" w:fill="auto"/>
            <w:vAlign w:val="bottom"/>
          </w:tcPr>
          <w:p w14:paraId="18601CF7" w14:textId="77777777" w:rsidR="00A91885" w:rsidRDefault="00A91885">
            <w:pPr>
              <w:rPr>
                <w:rFonts w:ascii="宋体"/>
                <w:vanish/>
              </w:rPr>
            </w:pPr>
          </w:p>
        </w:tc>
        <w:tc>
          <w:tcPr>
            <w:tcW w:w="0" w:type="auto"/>
            <w:gridSpan w:val="3"/>
            <w:shd w:val="clear" w:color="auto" w:fill="auto"/>
            <w:vAlign w:val="bottom"/>
          </w:tcPr>
          <w:p w14:paraId="18601CF8" w14:textId="77777777" w:rsidR="00A91885" w:rsidRDefault="00A91885">
            <w:pPr>
              <w:rPr>
                <w:rFonts w:ascii="宋体"/>
                <w:vanish/>
              </w:rPr>
            </w:pPr>
          </w:p>
        </w:tc>
        <w:tc>
          <w:tcPr>
            <w:tcW w:w="0" w:type="auto"/>
            <w:gridSpan w:val="3"/>
            <w:shd w:val="clear" w:color="auto" w:fill="auto"/>
            <w:vAlign w:val="bottom"/>
          </w:tcPr>
          <w:p w14:paraId="18601CF9" w14:textId="77777777" w:rsidR="00A91885" w:rsidRDefault="00A91885">
            <w:pPr>
              <w:rPr>
                <w:rFonts w:ascii="宋体"/>
                <w:vanish/>
              </w:rPr>
            </w:pPr>
          </w:p>
        </w:tc>
      </w:tr>
      <w:tr w:rsidR="00A91885" w14:paraId="18601D07" w14:textId="77777777">
        <w:trPr>
          <w:hidden/>
        </w:trPr>
        <w:tc>
          <w:tcPr>
            <w:tcW w:w="0" w:type="auto"/>
            <w:gridSpan w:val="3"/>
            <w:shd w:val="clear" w:color="auto" w:fill="auto"/>
            <w:vAlign w:val="bottom"/>
          </w:tcPr>
          <w:p w14:paraId="18601CFB" w14:textId="77777777" w:rsidR="00A91885" w:rsidRDefault="00A91885">
            <w:pPr>
              <w:rPr>
                <w:rFonts w:ascii="宋体"/>
                <w:vanish/>
              </w:rPr>
            </w:pPr>
          </w:p>
        </w:tc>
        <w:tc>
          <w:tcPr>
            <w:tcW w:w="0" w:type="auto"/>
            <w:gridSpan w:val="3"/>
            <w:shd w:val="clear" w:color="auto" w:fill="auto"/>
            <w:vAlign w:val="bottom"/>
          </w:tcPr>
          <w:p w14:paraId="18601CFC" w14:textId="77777777" w:rsidR="00A91885" w:rsidRDefault="00A91885">
            <w:pPr>
              <w:rPr>
                <w:rFonts w:ascii="宋体"/>
                <w:vanish/>
              </w:rPr>
            </w:pPr>
          </w:p>
        </w:tc>
        <w:tc>
          <w:tcPr>
            <w:tcW w:w="0" w:type="auto"/>
            <w:gridSpan w:val="3"/>
            <w:shd w:val="clear" w:color="auto" w:fill="auto"/>
            <w:vAlign w:val="bottom"/>
          </w:tcPr>
          <w:p w14:paraId="18601CFD" w14:textId="77777777" w:rsidR="00A91885" w:rsidRDefault="00A91885">
            <w:pPr>
              <w:rPr>
                <w:rFonts w:ascii="宋体"/>
                <w:vanish/>
              </w:rPr>
            </w:pPr>
          </w:p>
        </w:tc>
        <w:tc>
          <w:tcPr>
            <w:tcW w:w="0" w:type="auto"/>
            <w:gridSpan w:val="3"/>
            <w:shd w:val="clear" w:color="auto" w:fill="auto"/>
            <w:vAlign w:val="bottom"/>
          </w:tcPr>
          <w:p w14:paraId="18601CFE" w14:textId="77777777" w:rsidR="00A91885" w:rsidRDefault="00A91885">
            <w:pPr>
              <w:rPr>
                <w:rFonts w:ascii="宋体"/>
                <w:vanish/>
              </w:rPr>
            </w:pPr>
          </w:p>
        </w:tc>
        <w:tc>
          <w:tcPr>
            <w:tcW w:w="0" w:type="auto"/>
            <w:gridSpan w:val="3"/>
            <w:shd w:val="clear" w:color="auto" w:fill="auto"/>
            <w:vAlign w:val="bottom"/>
          </w:tcPr>
          <w:p w14:paraId="18601CFF" w14:textId="77777777" w:rsidR="00A91885" w:rsidRDefault="00A91885">
            <w:pPr>
              <w:rPr>
                <w:rFonts w:ascii="宋体"/>
                <w:vanish/>
              </w:rPr>
            </w:pPr>
          </w:p>
        </w:tc>
        <w:tc>
          <w:tcPr>
            <w:tcW w:w="0" w:type="auto"/>
            <w:gridSpan w:val="3"/>
            <w:shd w:val="clear" w:color="auto" w:fill="auto"/>
            <w:vAlign w:val="bottom"/>
          </w:tcPr>
          <w:p w14:paraId="18601D00" w14:textId="77777777" w:rsidR="00A91885" w:rsidRDefault="00A91885">
            <w:pPr>
              <w:rPr>
                <w:rFonts w:ascii="宋体"/>
                <w:vanish/>
              </w:rPr>
            </w:pPr>
          </w:p>
        </w:tc>
        <w:tc>
          <w:tcPr>
            <w:tcW w:w="0" w:type="auto"/>
            <w:gridSpan w:val="3"/>
            <w:shd w:val="clear" w:color="auto" w:fill="auto"/>
            <w:vAlign w:val="bottom"/>
          </w:tcPr>
          <w:p w14:paraId="18601D01" w14:textId="77777777" w:rsidR="00A91885" w:rsidRDefault="00A91885">
            <w:pPr>
              <w:rPr>
                <w:rFonts w:ascii="宋体"/>
                <w:vanish/>
              </w:rPr>
            </w:pPr>
          </w:p>
        </w:tc>
        <w:tc>
          <w:tcPr>
            <w:tcW w:w="0" w:type="auto"/>
            <w:gridSpan w:val="3"/>
            <w:shd w:val="clear" w:color="auto" w:fill="auto"/>
            <w:vAlign w:val="bottom"/>
          </w:tcPr>
          <w:p w14:paraId="18601D02" w14:textId="77777777" w:rsidR="00A91885" w:rsidRDefault="00A91885">
            <w:pPr>
              <w:rPr>
                <w:rFonts w:ascii="宋体"/>
                <w:vanish/>
              </w:rPr>
            </w:pPr>
          </w:p>
        </w:tc>
        <w:tc>
          <w:tcPr>
            <w:tcW w:w="0" w:type="auto"/>
            <w:gridSpan w:val="3"/>
            <w:shd w:val="clear" w:color="auto" w:fill="auto"/>
            <w:vAlign w:val="bottom"/>
          </w:tcPr>
          <w:p w14:paraId="18601D03" w14:textId="77777777" w:rsidR="00A91885" w:rsidRDefault="00A91885">
            <w:pPr>
              <w:rPr>
                <w:rFonts w:ascii="宋体"/>
                <w:vanish/>
              </w:rPr>
            </w:pPr>
          </w:p>
        </w:tc>
        <w:tc>
          <w:tcPr>
            <w:tcW w:w="0" w:type="auto"/>
            <w:gridSpan w:val="3"/>
            <w:shd w:val="clear" w:color="auto" w:fill="auto"/>
            <w:vAlign w:val="bottom"/>
          </w:tcPr>
          <w:p w14:paraId="18601D04" w14:textId="77777777" w:rsidR="00A91885" w:rsidRDefault="00A91885">
            <w:pPr>
              <w:rPr>
                <w:rFonts w:ascii="宋体"/>
                <w:vanish/>
              </w:rPr>
            </w:pPr>
          </w:p>
        </w:tc>
        <w:tc>
          <w:tcPr>
            <w:tcW w:w="0" w:type="auto"/>
            <w:gridSpan w:val="3"/>
            <w:shd w:val="clear" w:color="auto" w:fill="auto"/>
            <w:vAlign w:val="bottom"/>
          </w:tcPr>
          <w:p w14:paraId="18601D05" w14:textId="77777777" w:rsidR="00A91885" w:rsidRDefault="00A91885">
            <w:pPr>
              <w:rPr>
                <w:rFonts w:ascii="宋体"/>
                <w:vanish/>
              </w:rPr>
            </w:pPr>
          </w:p>
        </w:tc>
        <w:tc>
          <w:tcPr>
            <w:tcW w:w="0" w:type="auto"/>
            <w:gridSpan w:val="3"/>
            <w:shd w:val="clear" w:color="auto" w:fill="auto"/>
            <w:vAlign w:val="bottom"/>
          </w:tcPr>
          <w:p w14:paraId="18601D06" w14:textId="77777777" w:rsidR="00A91885" w:rsidRDefault="00A91885">
            <w:pPr>
              <w:rPr>
                <w:rFonts w:ascii="宋体"/>
                <w:vanish/>
              </w:rPr>
            </w:pPr>
          </w:p>
        </w:tc>
      </w:tr>
      <w:tr w:rsidR="00A91885" w14:paraId="18601D14" w14:textId="77777777">
        <w:trPr>
          <w:trHeight w:val="160"/>
        </w:trPr>
        <w:tc>
          <w:tcPr>
            <w:tcW w:w="0" w:type="auto"/>
            <w:gridSpan w:val="3"/>
            <w:shd w:val="clear" w:color="auto" w:fill="FFFFFF"/>
            <w:tcMar>
              <w:top w:w="0" w:type="dxa"/>
              <w:left w:w="20" w:type="dxa"/>
              <w:bottom w:w="0" w:type="dxa"/>
              <w:right w:w="20" w:type="dxa"/>
            </w:tcMar>
            <w:vAlign w:val="bottom"/>
          </w:tcPr>
          <w:p w14:paraId="18601D08"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D09"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D0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D0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D0C"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D0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D0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D0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D10"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D1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D12"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D13" w14:textId="77777777" w:rsidR="00A91885" w:rsidRDefault="00A91885">
            <w:pPr>
              <w:rPr>
                <w:rFonts w:ascii="宋体"/>
              </w:rPr>
            </w:pPr>
          </w:p>
        </w:tc>
      </w:tr>
      <w:tr w:rsidR="00A91885" w14:paraId="18601D21" w14:textId="77777777">
        <w:tc>
          <w:tcPr>
            <w:tcW w:w="0" w:type="auto"/>
            <w:gridSpan w:val="3"/>
            <w:shd w:val="clear" w:color="auto" w:fill="E1E1E1"/>
            <w:tcMar>
              <w:top w:w="40" w:type="dxa"/>
              <w:left w:w="20" w:type="dxa"/>
              <w:bottom w:w="40" w:type="dxa"/>
              <w:right w:w="20" w:type="dxa"/>
            </w:tcMar>
            <w:vAlign w:val="bottom"/>
          </w:tcPr>
          <w:p w14:paraId="18601D15" w14:textId="77777777" w:rsidR="00A91885" w:rsidRDefault="009C4196">
            <w:pPr>
              <w:textAlignment w:val="bottom"/>
            </w:pPr>
            <w:r>
              <w:rPr>
                <w:rFonts w:ascii="Arial" w:eastAsia="宋体" w:hAnsi="Arial" w:cs="Arial"/>
                <w:b/>
                <w:bCs/>
                <w:color w:val="000000"/>
                <w:sz w:val="18"/>
                <w:szCs w:val="18"/>
              </w:rPr>
              <w:t>Net Revenues:</w:t>
            </w:r>
          </w:p>
        </w:tc>
        <w:tc>
          <w:tcPr>
            <w:tcW w:w="0" w:type="auto"/>
            <w:gridSpan w:val="3"/>
            <w:shd w:val="clear" w:color="auto" w:fill="E1E1E1"/>
            <w:tcMar>
              <w:top w:w="0" w:type="dxa"/>
              <w:left w:w="20" w:type="dxa"/>
              <w:bottom w:w="0" w:type="dxa"/>
              <w:right w:w="20" w:type="dxa"/>
            </w:tcMar>
            <w:vAlign w:val="bottom"/>
          </w:tcPr>
          <w:p w14:paraId="18601D16"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D17"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D18"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D19"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D1A"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D1B"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D1C"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D1D"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D1E"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D1F"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D20" w14:textId="77777777" w:rsidR="00A91885" w:rsidRDefault="00A91885">
            <w:pPr>
              <w:rPr>
                <w:rFonts w:ascii="宋体"/>
              </w:rPr>
            </w:pPr>
          </w:p>
        </w:tc>
      </w:tr>
      <w:tr w:rsidR="00A91885" w14:paraId="18601D38" w14:textId="77777777">
        <w:tc>
          <w:tcPr>
            <w:tcW w:w="0" w:type="auto"/>
            <w:gridSpan w:val="3"/>
            <w:shd w:val="clear" w:color="auto" w:fill="FFFFFF"/>
            <w:tcMar>
              <w:top w:w="40" w:type="dxa"/>
              <w:left w:w="140" w:type="dxa"/>
              <w:bottom w:w="40" w:type="dxa"/>
              <w:right w:w="20" w:type="dxa"/>
            </w:tcMar>
            <w:vAlign w:val="bottom"/>
          </w:tcPr>
          <w:p w14:paraId="18601D22" w14:textId="77777777" w:rsidR="00A91885" w:rsidRDefault="009C4196">
            <w:pPr>
              <w:textAlignment w:val="bottom"/>
            </w:pPr>
            <w:r>
              <w:rPr>
                <w:rFonts w:ascii="Arial" w:eastAsia="宋体" w:hAnsi="Arial" w:cs="Arial"/>
                <w:color w:val="000000"/>
                <w:sz w:val="18"/>
                <w:szCs w:val="18"/>
              </w:rPr>
              <w:t>Net transaction revenues</w:t>
            </w:r>
          </w:p>
        </w:tc>
        <w:tc>
          <w:tcPr>
            <w:tcW w:w="0" w:type="auto"/>
            <w:shd w:val="clear" w:color="auto" w:fill="FFFFFF"/>
            <w:tcMar>
              <w:top w:w="40" w:type="dxa"/>
              <w:left w:w="20" w:type="dxa"/>
              <w:bottom w:w="40" w:type="dxa"/>
              <w:right w:w="0" w:type="dxa"/>
            </w:tcMar>
            <w:vAlign w:val="bottom"/>
          </w:tcPr>
          <w:p w14:paraId="18601D23"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D24" w14:textId="77777777" w:rsidR="00A91885" w:rsidRDefault="009C4196">
            <w:pPr>
              <w:jc w:val="right"/>
              <w:textAlignment w:val="bottom"/>
            </w:pPr>
            <w:r>
              <w:rPr>
                <w:rFonts w:ascii="Arial" w:eastAsia="宋体" w:hAnsi="Arial" w:cs="Arial"/>
                <w:color w:val="000000"/>
                <w:sz w:val="18"/>
                <w:szCs w:val="18"/>
              </w:rPr>
              <w:t>2,297 </w:t>
            </w:r>
          </w:p>
        </w:tc>
        <w:tc>
          <w:tcPr>
            <w:tcW w:w="0" w:type="auto"/>
            <w:shd w:val="clear" w:color="auto" w:fill="FFFFFF"/>
            <w:tcMar>
              <w:top w:w="40" w:type="dxa"/>
              <w:left w:w="0" w:type="dxa"/>
              <w:bottom w:w="40" w:type="dxa"/>
              <w:right w:w="20" w:type="dxa"/>
            </w:tcMar>
            <w:vAlign w:val="bottom"/>
          </w:tcPr>
          <w:p w14:paraId="18601D2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D26"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D27"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D28" w14:textId="77777777" w:rsidR="00A91885" w:rsidRDefault="009C4196">
            <w:pPr>
              <w:jc w:val="right"/>
              <w:textAlignment w:val="bottom"/>
            </w:pPr>
            <w:r>
              <w:rPr>
                <w:rFonts w:ascii="Arial" w:eastAsia="宋体" w:hAnsi="Arial" w:cs="Arial"/>
                <w:color w:val="000000"/>
                <w:sz w:val="18"/>
                <w:szCs w:val="18"/>
              </w:rPr>
              <w:t>(91)</w:t>
            </w:r>
          </w:p>
        </w:tc>
        <w:tc>
          <w:tcPr>
            <w:tcW w:w="0" w:type="auto"/>
            <w:shd w:val="clear" w:color="auto" w:fill="FFFFFF"/>
            <w:tcMar>
              <w:top w:w="40" w:type="dxa"/>
              <w:left w:w="0" w:type="dxa"/>
              <w:bottom w:w="40" w:type="dxa"/>
              <w:right w:w="20" w:type="dxa"/>
            </w:tcMar>
            <w:vAlign w:val="bottom"/>
          </w:tcPr>
          <w:p w14:paraId="18601D2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D2A"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D2B"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D2C" w14:textId="77777777" w:rsidR="00A91885" w:rsidRDefault="009C4196">
            <w:pPr>
              <w:jc w:val="right"/>
              <w:textAlignment w:val="bottom"/>
            </w:pPr>
            <w:r>
              <w:rPr>
                <w:rFonts w:ascii="Arial" w:eastAsia="宋体" w:hAnsi="Arial" w:cs="Arial"/>
                <w:color w:val="000000"/>
                <w:sz w:val="18"/>
                <w:szCs w:val="18"/>
              </w:rPr>
              <w:t>2,388 </w:t>
            </w:r>
          </w:p>
        </w:tc>
        <w:tc>
          <w:tcPr>
            <w:tcW w:w="0" w:type="auto"/>
            <w:shd w:val="clear" w:color="auto" w:fill="FFFFFF"/>
            <w:tcMar>
              <w:top w:w="40" w:type="dxa"/>
              <w:left w:w="0" w:type="dxa"/>
              <w:bottom w:w="40" w:type="dxa"/>
              <w:right w:w="20" w:type="dxa"/>
            </w:tcMar>
            <w:vAlign w:val="bottom"/>
          </w:tcPr>
          <w:p w14:paraId="18601D2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D2E"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D2F"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D30" w14:textId="77777777" w:rsidR="00A91885" w:rsidRDefault="009C4196">
            <w:pPr>
              <w:jc w:val="right"/>
              <w:textAlignment w:val="bottom"/>
            </w:pPr>
            <w:r>
              <w:rPr>
                <w:rFonts w:ascii="Arial" w:eastAsia="宋体" w:hAnsi="Arial" w:cs="Arial"/>
                <w:color w:val="000000"/>
                <w:sz w:val="18"/>
                <w:szCs w:val="18"/>
              </w:rPr>
              <w:t>2,496 </w:t>
            </w:r>
          </w:p>
        </w:tc>
        <w:tc>
          <w:tcPr>
            <w:tcW w:w="0" w:type="auto"/>
            <w:shd w:val="clear" w:color="auto" w:fill="FFFFFF"/>
            <w:tcMar>
              <w:top w:w="40" w:type="dxa"/>
              <w:left w:w="0" w:type="dxa"/>
              <w:bottom w:w="40" w:type="dxa"/>
              <w:right w:w="20" w:type="dxa"/>
            </w:tcMar>
            <w:vAlign w:val="bottom"/>
          </w:tcPr>
          <w:p w14:paraId="18601D3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D3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D33" w14:textId="77777777" w:rsidR="00A91885" w:rsidRDefault="009C4196">
            <w:pPr>
              <w:jc w:val="right"/>
              <w:textAlignment w:val="bottom"/>
            </w:pPr>
            <w:r>
              <w:rPr>
                <w:rFonts w:ascii="Arial" w:eastAsia="宋体" w:hAnsi="Arial" w:cs="Arial"/>
                <w:color w:val="000000"/>
                <w:sz w:val="18"/>
                <w:szCs w:val="18"/>
              </w:rPr>
              <w:t>(8)</w:t>
            </w:r>
          </w:p>
        </w:tc>
        <w:tc>
          <w:tcPr>
            <w:tcW w:w="0" w:type="auto"/>
            <w:shd w:val="clear" w:color="auto" w:fill="FFFFFF"/>
            <w:tcMar>
              <w:top w:w="40" w:type="dxa"/>
              <w:left w:w="0" w:type="dxa"/>
              <w:bottom w:w="40" w:type="dxa"/>
              <w:right w:w="20" w:type="dxa"/>
            </w:tcMar>
            <w:vAlign w:val="bottom"/>
          </w:tcPr>
          <w:p w14:paraId="18601D34"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D35"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D36" w14:textId="77777777" w:rsidR="00A91885" w:rsidRDefault="009C4196">
            <w:pPr>
              <w:jc w:val="right"/>
              <w:textAlignment w:val="bottom"/>
            </w:pPr>
            <w:r>
              <w:rPr>
                <w:rFonts w:ascii="Arial" w:eastAsia="宋体" w:hAnsi="Arial" w:cs="Arial"/>
                <w:color w:val="000000"/>
                <w:sz w:val="18"/>
                <w:szCs w:val="18"/>
              </w:rPr>
              <w:t>(5)</w:t>
            </w:r>
          </w:p>
        </w:tc>
        <w:tc>
          <w:tcPr>
            <w:tcW w:w="0" w:type="auto"/>
            <w:shd w:val="clear" w:color="auto" w:fill="FFFFFF"/>
            <w:tcMar>
              <w:top w:w="40" w:type="dxa"/>
              <w:left w:w="0" w:type="dxa"/>
              <w:bottom w:w="40" w:type="dxa"/>
              <w:right w:w="20" w:type="dxa"/>
            </w:tcMar>
            <w:vAlign w:val="bottom"/>
          </w:tcPr>
          <w:p w14:paraId="18601D37" w14:textId="77777777" w:rsidR="00A91885" w:rsidRDefault="009C4196">
            <w:pPr>
              <w:jc w:val="right"/>
              <w:textAlignment w:val="bottom"/>
            </w:pPr>
            <w:r>
              <w:rPr>
                <w:rFonts w:ascii="Arial" w:eastAsia="宋体" w:hAnsi="Arial" w:cs="Arial"/>
                <w:color w:val="000000"/>
                <w:sz w:val="18"/>
                <w:szCs w:val="18"/>
              </w:rPr>
              <w:t>%</w:t>
            </w:r>
          </w:p>
        </w:tc>
      </w:tr>
      <w:tr w:rsidR="00A91885" w14:paraId="18601D45" w14:textId="77777777">
        <w:trPr>
          <w:hidden/>
        </w:trPr>
        <w:tc>
          <w:tcPr>
            <w:tcW w:w="0" w:type="auto"/>
            <w:gridSpan w:val="3"/>
            <w:shd w:val="clear" w:color="auto" w:fill="auto"/>
            <w:vAlign w:val="bottom"/>
          </w:tcPr>
          <w:p w14:paraId="18601D39" w14:textId="77777777" w:rsidR="00A91885" w:rsidRDefault="00A91885">
            <w:pPr>
              <w:rPr>
                <w:rFonts w:ascii="宋体"/>
                <w:vanish/>
              </w:rPr>
            </w:pPr>
          </w:p>
        </w:tc>
        <w:tc>
          <w:tcPr>
            <w:tcW w:w="0" w:type="auto"/>
            <w:gridSpan w:val="3"/>
            <w:shd w:val="clear" w:color="auto" w:fill="auto"/>
            <w:vAlign w:val="bottom"/>
          </w:tcPr>
          <w:p w14:paraId="18601D3A" w14:textId="77777777" w:rsidR="00A91885" w:rsidRDefault="00A91885">
            <w:pPr>
              <w:rPr>
                <w:rFonts w:ascii="宋体"/>
                <w:vanish/>
              </w:rPr>
            </w:pPr>
          </w:p>
        </w:tc>
        <w:tc>
          <w:tcPr>
            <w:tcW w:w="0" w:type="auto"/>
            <w:gridSpan w:val="3"/>
            <w:shd w:val="clear" w:color="auto" w:fill="auto"/>
            <w:vAlign w:val="bottom"/>
          </w:tcPr>
          <w:p w14:paraId="18601D3B" w14:textId="77777777" w:rsidR="00A91885" w:rsidRDefault="00A91885">
            <w:pPr>
              <w:rPr>
                <w:rFonts w:ascii="宋体"/>
                <w:vanish/>
              </w:rPr>
            </w:pPr>
          </w:p>
        </w:tc>
        <w:tc>
          <w:tcPr>
            <w:tcW w:w="0" w:type="auto"/>
            <w:gridSpan w:val="3"/>
            <w:shd w:val="clear" w:color="auto" w:fill="auto"/>
            <w:vAlign w:val="bottom"/>
          </w:tcPr>
          <w:p w14:paraId="18601D3C" w14:textId="77777777" w:rsidR="00A91885" w:rsidRDefault="00A91885">
            <w:pPr>
              <w:rPr>
                <w:rFonts w:ascii="宋体"/>
                <w:vanish/>
              </w:rPr>
            </w:pPr>
          </w:p>
        </w:tc>
        <w:tc>
          <w:tcPr>
            <w:tcW w:w="0" w:type="auto"/>
            <w:gridSpan w:val="3"/>
            <w:shd w:val="clear" w:color="auto" w:fill="auto"/>
            <w:vAlign w:val="bottom"/>
          </w:tcPr>
          <w:p w14:paraId="18601D3D" w14:textId="77777777" w:rsidR="00A91885" w:rsidRDefault="00A91885">
            <w:pPr>
              <w:rPr>
                <w:rFonts w:ascii="宋体"/>
                <w:vanish/>
              </w:rPr>
            </w:pPr>
          </w:p>
        </w:tc>
        <w:tc>
          <w:tcPr>
            <w:tcW w:w="0" w:type="auto"/>
            <w:gridSpan w:val="3"/>
            <w:shd w:val="clear" w:color="auto" w:fill="auto"/>
            <w:vAlign w:val="bottom"/>
          </w:tcPr>
          <w:p w14:paraId="18601D3E" w14:textId="77777777" w:rsidR="00A91885" w:rsidRDefault="00A91885">
            <w:pPr>
              <w:rPr>
                <w:rFonts w:ascii="宋体"/>
                <w:vanish/>
              </w:rPr>
            </w:pPr>
          </w:p>
        </w:tc>
        <w:tc>
          <w:tcPr>
            <w:tcW w:w="0" w:type="auto"/>
            <w:gridSpan w:val="3"/>
            <w:shd w:val="clear" w:color="auto" w:fill="auto"/>
            <w:vAlign w:val="bottom"/>
          </w:tcPr>
          <w:p w14:paraId="18601D3F" w14:textId="77777777" w:rsidR="00A91885" w:rsidRDefault="00A91885">
            <w:pPr>
              <w:rPr>
                <w:rFonts w:ascii="宋体"/>
                <w:vanish/>
              </w:rPr>
            </w:pPr>
          </w:p>
        </w:tc>
        <w:tc>
          <w:tcPr>
            <w:tcW w:w="0" w:type="auto"/>
            <w:gridSpan w:val="3"/>
            <w:shd w:val="clear" w:color="auto" w:fill="auto"/>
            <w:vAlign w:val="bottom"/>
          </w:tcPr>
          <w:p w14:paraId="18601D40" w14:textId="77777777" w:rsidR="00A91885" w:rsidRDefault="00A91885">
            <w:pPr>
              <w:rPr>
                <w:rFonts w:ascii="宋体"/>
                <w:vanish/>
              </w:rPr>
            </w:pPr>
          </w:p>
        </w:tc>
        <w:tc>
          <w:tcPr>
            <w:tcW w:w="0" w:type="auto"/>
            <w:gridSpan w:val="3"/>
            <w:shd w:val="clear" w:color="auto" w:fill="auto"/>
            <w:vAlign w:val="bottom"/>
          </w:tcPr>
          <w:p w14:paraId="18601D41" w14:textId="77777777" w:rsidR="00A91885" w:rsidRDefault="00A91885">
            <w:pPr>
              <w:rPr>
                <w:rFonts w:ascii="宋体"/>
                <w:vanish/>
              </w:rPr>
            </w:pPr>
          </w:p>
        </w:tc>
        <w:tc>
          <w:tcPr>
            <w:tcW w:w="0" w:type="auto"/>
            <w:gridSpan w:val="3"/>
            <w:shd w:val="clear" w:color="auto" w:fill="auto"/>
            <w:vAlign w:val="bottom"/>
          </w:tcPr>
          <w:p w14:paraId="18601D42" w14:textId="77777777" w:rsidR="00A91885" w:rsidRDefault="00A91885">
            <w:pPr>
              <w:rPr>
                <w:rFonts w:ascii="宋体"/>
                <w:vanish/>
              </w:rPr>
            </w:pPr>
          </w:p>
        </w:tc>
        <w:tc>
          <w:tcPr>
            <w:tcW w:w="0" w:type="auto"/>
            <w:gridSpan w:val="3"/>
            <w:shd w:val="clear" w:color="auto" w:fill="auto"/>
            <w:vAlign w:val="bottom"/>
          </w:tcPr>
          <w:p w14:paraId="18601D43" w14:textId="77777777" w:rsidR="00A91885" w:rsidRDefault="00A91885">
            <w:pPr>
              <w:rPr>
                <w:rFonts w:ascii="宋体"/>
                <w:vanish/>
              </w:rPr>
            </w:pPr>
          </w:p>
        </w:tc>
        <w:tc>
          <w:tcPr>
            <w:tcW w:w="0" w:type="auto"/>
            <w:gridSpan w:val="3"/>
            <w:shd w:val="clear" w:color="auto" w:fill="auto"/>
            <w:vAlign w:val="bottom"/>
          </w:tcPr>
          <w:p w14:paraId="18601D44" w14:textId="77777777" w:rsidR="00A91885" w:rsidRDefault="00A91885">
            <w:pPr>
              <w:rPr>
                <w:rFonts w:ascii="宋体"/>
                <w:vanish/>
              </w:rPr>
            </w:pPr>
          </w:p>
        </w:tc>
      </w:tr>
      <w:tr w:rsidR="00A91885" w14:paraId="18601D52" w14:textId="77777777">
        <w:trPr>
          <w:hidden/>
        </w:trPr>
        <w:tc>
          <w:tcPr>
            <w:tcW w:w="0" w:type="auto"/>
            <w:gridSpan w:val="3"/>
            <w:shd w:val="clear" w:color="auto" w:fill="auto"/>
            <w:vAlign w:val="bottom"/>
          </w:tcPr>
          <w:p w14:paraId="18601D46" w14:textId="77777777" w:rsidR="00A91885" w:rsidRDefault="00A91885">
            <w:pPr>
              <w:rPr>
                <w:rFonts w:ascii="宋体"/>
                <w:vanish/>
              </w:rPr>
            </w:pPr>
          </w:p>
        </w:tc>
        <w:tc>
          <w:tcPr>
            <w:tcW w:w="0" w:type="auto"/>
            <w:gridSpan w:val="3"/>
            <w:shd w:val="clear" w:color="auto" w:fill="auto"/>
            <w:vAlign w:val="bottom"/>
          </w:tcPr>
          <w:p w14:paraId="18601D47" w14:textId="77777777" w:rsidR="00A91885" w:rsidRDefault="00A91885">
            <w:pPr>
              <w:rPr>
                <w:rFonts w:ascii="宋体"/>
                <w:vanish/>
              </w:rPr>
            </w:pPr>
          </w:p>
        </w:tc>
        <w:tc>
          <w:tcPr>
            <w:tcW w:w="0" w:type="auto"/>
            <w:gridSpan w:val="3"/>
            <w:shd w:val="clear" w:color="auto" w:fill="auto"/>
            <w:vAlign w:val="bottom"/>
          </w:tcPr>
          <w:p w14:paraId="18601D48" w14:textId="77777777" w:rsidR="00A91885" w:rsidRDefault="00A91885">
            <w:pPr>
              <w:rPr>
                <w:rFonts w:ascii="宋体"/>
                <w:vanish/>
              </w:rPr>
            </w:pPr>
          </w:p>
        </w:tc>
        <w:tc>
          <w:tcPr>
            <w:tcW w:w="0" w:type="auto"/>
            <w:gridSpan w:val="3"/>
            <w:shd w:val="clear" w:color="auto" w:fill="auto"/>
            <w:vAlign w:val="bottom"/>
          </w:tcPr>
          <w:p w14:paraId="18601D49" w14:textId="77777777" w:rsidR="00A91885" w:rsidRDefault="00A91885">
            <w:pPr>
              <w:rPr>
                <w:rFonts w:ascii="宋体"/>
                <w:vanish/>
              </w:rPr>
            </w:pPr>
          </w:p>
        </w:tc>
        <w:tc>
          <w:tcPr>
            <w:tcW w:w="0" w:type="auto"/>
            <w:gridSpan w:val="3"/>
            <w:shd w:val="clear" w:color="auto" w:fill="auto"/>
            <w:vAlign w:val="bottom"/>
          </w:tcPr>
          <w:p w14:paraId="18601D4A" w14:textId="77777777" w:rsidR="00A91885" w:rsidRDefault="00A91885">
            <w:pPr>
              <w:rPr>
                <w:rFonts w:ascii="宋体"/>
                <w:vanish/>
              </w:rPr>
            </w:pPr>
          </w:p>
        </w:tc>
        <w:tc>
          <w:tcPr>
            <w:tcW w:w="0" w:type="auto"/>
            <w:gridSpan w:val="3"/>
            <w:shd w:val="clear" w:color="auto" w:fill="auto"/>
            <w:vAlign w:val="bottom"/>
          </w:tcPr>
          <w:p w14:paraId="18601D4B" w14:textId="77777777" w:rsidR="00A91885" w:rsidRDefault="00A91885">
            <w:pPr>
              <w:rPr>
                <w:rFonts w:ascii="宋体"/>
                <w:vanish/>
              </w:rPr>
            </w:pPr>
          </w:p>
        </w:tc>
        <w:tc>
          <w:tcPr>
            <w:tcW w:w="0" w:type="auto"/>
            <w:gridSpan w:val="3"/>
            <w:shd w:val="clear" w:color="auto" w:fill="auto"/>
            <w:vAlign w:val="bottom"/>
          </w:tcPr>
          <w:p w14:paraId="18601D4C" w14:textId="77777777" w:rsidR="00A91885" w:rsidRDefault="00A91885">
            <w:pPr>
              <w:rPr>
                <w:rFonts w:ascii="宋体"/>
                <w:vanish/>
              </w:rPr>
            </w:pPr>
          </w:p>
        </w:tc>
        <w:tc>
          <w:tcPr>
            <w:tcW w:w="0" w:type="auto"/>
            <w:gridSpan w:val="3"/>
            <w:shd w:val="clear" w:color="auto" w:fill="auto"/>
            <w:vAlign w:val="bottom"/>
          </w:tcPr>
          <w:p w14:paraId="18601D4D" w14:textId="77777777" w:rsidR="00A91885" w:rsidRDefault="00A91885">
            <w:pPr>
              <w:rPr>
                <w:rFonts w:ascii="宋体"/>
                <w:vanish/>
              </w:rPr>
            </w:pPr>
          </w:p>
        </w:tc>
        <w:tc>
          <w:tcPr>
            <w:tcW w:w="0" w:type="auto"/>
            <w:gridSpan w:val="3"/>
            <w:shd w:val="clear" w:color="auto" w:fill="auto"/>
            <w:vAlign w:val="bottom"/>
          </w:tcPr>
          <w:p w14:paraId="18601D4E" w14:textId="77777777" w:rsidR="00A91885" w:rsidRDefault="00A91885">
            <w:pPr>
              <w:rPr>
                <w:rFonts w:ascii="宋体"/>
                <w:vanish/>
              </w:rPr>
            </w:pPr>
          </w:p>
        </w:tc>
        <w:tc>
          <w:tcPr>
            <w:tcW w:w="0" w:type="auto"/>
            <w:gridSpan w:val="3"/>
            <w:shd w:val="clear" w:color="auto" w:fill="auto"/>
            <w:vAlign w:val="bottom"/>
          </w:tcPr>
          <w:p w14:paraId="18601D4F" w14:textId="77777777" w:rsidR="00A91885" w:rsidRDefault="00A91885">
            <w:pPr>
              <w:rPr>
                <w:rFonts w:ascii="宋体"/>
                <w:vanish/>
              </w:rPr>
            </w:pPr>
          </w:p>
        </w:tc>
        <w:tc>
          <w:tcPr>
            <w:tcW w:w="0" w:type="auto"/>
            <w:gridSpan w:val="3"/>
            <w:shd w:val="clear" w:color="auto" w:fill="auto"/>
            <w:vAlign w:val="bottom"/>
          </w:tcPr>
          <w:p w14:paraId="18601D50" w14:textId="77777777" w:rsidR="00A91885" w:rsidRDefault="00A91885">
            <w:pPr>
              <w:rPr>
                <w:rFonts w:ascii="宋体"/>
                <w:vanish/>
              </w:rPr>
            </w:pPr>
          </w:p>
        </w:tc>
        <w:tc>
          <w:tcPr>
            <w:tcW w:w="0" w:type="auto"/>
            <w:gridSpan w:val="3"/>
            <w:shd w:val="clear" w:color="auto" w:fill="auto"/>
            <w:vAlign w:val="bottom"/>
          </w:tcPr>
          <w:p w14:paraId="18601D51" w14:textId="77777777" w:rsidR="00A91885" w:rsidRDefault="00A91885">
            <w:pPr>
              <w:rPr>
                <w:rFonts w:ascii="宋体"/>
                <w:vanish/>
              </w:rPr>
            </w:pPr>
          </w:p>
        </w:tc>
      </w:tr>
      <w:tr w:rsidR="00A91885" w14:paraId="18601D5F" w14:textId="77777777">
        <w:trPr>
          <w:hidden/>
        </w:trPr>
        <w:tc>
          <w:tcPr>
            <w:tcW w:w="0" w:type="auto"/>
            <w:gridSpan w:val="3"/>
            <w:shd w:val="clear" w:color="auto" w:fill="auto"/>
            <w:vAlign w:val="bottom"/>
          </w:tcPr>
          <w:p w14:paraId="18601D53" w14:textId="77777777" w:rsidR="00A91885" w:rsidRDefault="00A91885">
            <w:pPr>
              <w:rPr>
                <w:rFonts w:ascii="宋体"/>
                <w:vanish/>
              </w:rPr>
            </w:pPr>
          </w:p>
        </w:tc>
        <w:tc>
          <w:tcPr>
            <w:tcW w:w="0" w:type="auto"/>
            <w:gridSpan w:val="3"/>
            <w:shd w:val="clear" w:color="auto" w:fill="auto"/>
            <w:vAlign w:val="bottom"/>
          </w:tcPr>
          <w:p w14:paraId="18601D54" w14:textId="77777777" w:rsidR="00A91885" w:rsidRDefault="00A91885">
            <w:pPr>
              <w:rPr>
                <w:rFonts w:ascii="宋体"/>
                <w:vanish/>
              </w:rPr>
            </w:pPr>
          </w:p>
        </w:tc>
        <w:tc>
          <w:tcPr>
            <w:tcW w:w="0" w:type="auto"/>
            <w:gridSpan w:val="3"/>
            <w:shd w:val="clear" w:color="auto" w:fill="auto"/>
            <w:vAlign w:val="bottom"/>
          </w:tcPr>
          <w:p w14:paraId="18601D55" w14:textId="77777777" w:rsidR="00A91885" w:rsidRDefault="00A91885">
            <w:pPr>
              <w:rPr>
                <w:rFonts w:ascii="宋体"/>
                <w:vanish/>
              </w:rPr>
            </w:pPr>
          </w:p>
        </w:tc>
        <w:tc>
          <w:tcPr>
            <w:tcW w:w="0" w:type="auto"/>
            <w:gridSpan w:val="3"/>
            <w:shd w:val="clear" w:color="auto" w:fill="auto"/>
            <w:vAlign w:val="bottom"/>
          </w:tcPr>
          <w:p w14:paraId="18601D56" w14:textId="77777777" w:rsidR="00A91885" w:rsidRDefault="00A91885">
            <w:pPr>
              <w:rPr>
                <w:rFonts w:ascii="宋体"/>
                <w:vanish/>
              </w:rPr>
            </w:pPr>
          </w:p>
        </w:tc>
        <w:tc>
          <w:tcPr>
            <w:tcW w:w="0" w:type="auto"/>
            <w:gridSpan w:val="3"/>
            <w:shd w:val="clear" w:color="auto" w:fill="auto"/>
            <w:vAlign w:val="bottom"/>
          </w:tcPr>
          <w:p w14:paraId="18601D57" w14:textId="77777777" w:rsidR="00A91885" w:rsidRDefault="00A91885">
            <w:pPr>
              <w:rPr>
                <w:rFonts w:ascii="宋体"/>
                <w:vanish/>
              </w:rPr>
            </w:pPr>
          </w:p>
        </w:tc>
        <w:tc>
          <w:tcPr>
            <w:tcW w:w="0" w:type="auto"/>
            <w:gridSpan w:val="3"/>
            <w:shd w:val="clear" w:color="auto" w:fill="auto"/>
            <w:vAlign w:val="bottom"/>
          </w:tcPr>
          <w:p w14:paraId="18601D58" w14:textId="77777777" w:rsidR="00A91885" w:rsidRDefault="00A91885">
            <w:pPr>
              <w:rPr>
                <w:rFonts w:ascii="宋体"/>
                <w:vanish/>
              </w:rPr>
            </w:pPr>
          </w:p>
        </w:tc>
        <w:tc>
          <w:tcPr>
            <w:tcW w:w="0" w:type="auto"/>
            <w:gridSpan w:val="3"/>
            <w:shd w:val="clear" w:color="auto" w:fill="auto"/>
            <w:vAlign w:val="bottom"/>
          </w:tcPr>
          <w:p w14:paraId="18601D59" w14:textId="77777777" w:rsidR="00A91885" w:rsidRDefault="00A91885">
            <w:pPr>
              <w:rPr>
                <w:rFonts w:ascii="宋体"/>
                <w:vanish/>
              </w:rPr>
            </w:pPr>
          </w:p>
        </w:tc>
        <w:tc>
          <w:tcPr>
            <w:tcW w:w="0" w:type="auto"/>
            <w:gridSpan w:val="3"/>
            <w:shd w:val="clear" w:color="auto" w:fill="auto"/>
            <w:vAlign w:val="bottom"/>
          </w:tcPr>
          <w:p w14:paraId="18601D5A" w14:textId="77777777" w:rsidR="00A91885" w:rsidRDefault="00A91885">
            <w:pPr>
              <w:rPr>
                <w:rFonts w:ascii="宋体"/>
                <w:vanish/>
              </w:rPr>
            </w:pPr>
          </w:p>
        </w:tc>
        <w:tc>
          <w:tcPr>
            <w:tcW w:w="0" w:type="auto"/>
            <w:gridSpan w:val="3"/>
            <w:shd w:val="clear" w:color="auto" w:fill="auto"/>
            <w:vAlign w:val="bottom"/>
          </w:tcPr>
          <w:p w14:paraId="18601D5B" w14:textId="77777777" w:rsidR="00A91885" w:rsidRDefault="00A91885">
            <w:pPr>
              <w:rPr>
                <w:rFonts w:ascii="宋体"/>
                <w:vanish/>
              </w:rPr>
            </w:pPr>
          </w:p>
        </w:tc>
        <w:tc>
          <w:tcPr>
            <w:tcW w:w="0" w:type="auto"/>
            <w:gridSpan w:val="3"/>
            <w:shd w:val="clear" w:color="auto" w:fill="auto"/>
            <w:vAlign w:val="bottom"/>
          </w:tcPr>
          <w:p w14:paraId="18601D5C" w14:textId="77777777" w:rsidR="00A91885" w:rsidRDefault="00A91885">
            <w:pPr>
              <w:rPr>
                <w:rFonts w:ascii="宋体"/>
                <w:vanish/>
              </w:rPr>
            </w:pPr>
          </w:p>
        </w:tc>
        <w:tc>
          <w:tcPr>
            <w:tcW w:w="0" w:type="auto"/>
            <w:gridSpan w:val="3"/>
            <w:shd w:val="clear" w:color="auto" w:fill="auto"/>
            <w:vAlign w:val="bottom"/>
          </w:tcPr>
          <w:p w14:paraId="18601D5D" w14:textId="77777777" w:rsidR="00A91885" w:rsidRDefault="00A91885">
            <w:pPr>
              <w:rPr>
                <w:rFonts w:ascii="宋体"/>
                <w:vanish/>
              </w:rPr>
            </w:pPr>
          </w:p>
        </w:tc>
        <w:tc>
          <w:tcPr>
            <w:tcW w:w="0" w:type="auto"/>
            <w:gridSpan w:val="3"/>
            <w:shd w:val="clear" w:color="auto" w:fill="auto"/>
            <w:vAlign w:val="bottom"/>
          </w:tcPr>
          <w:p w14:paraId="18601D5E" w14:textId="77777777" w:rsidR="00A91885" w:rsidRDefault="00A91885">
            <w:pPr>
              <w:rPr>
                <w:rFonts w:ascii="宋体"/>
                <w:vanish/>
              </w:rPr>
            </w:pPr>
          </w:p>
        </w:tc>
      </w:tr>
      <w:tr w:rsidR="00A91885" w14:paraId="18601D72" w14:textId="77777777">
        <w:tc>
          <w:tcPr>
            <w:tcW w:w="0" w:type="auto"/>
            <w:gridSpan w:val="3"/>
            <w:shd w:val="clear" w:color="auto" w:fill="E1E1E1"/>
            <w:tcMar>
              <w:top w:w="40" w:type="dxa"/>
              <w:left w:w="140" w:type="dxa"/>
              <w:bottom w:w="40" w:type="dxa"/>
              <w:right w:w="20" w:type="dxa"/>
            </w:tcMar>
            <w:vAlign w:val="bottom"/>
          </w:tcPr>
          <w:p w14:paraId="18601D60" w14:textId="77777777" w:rsidR="00A91885" w:rsidRDefault="009C4196">
            <w:pPr>
              <w:textAlignment w:val="bottom"/>
            </w:pPr>
            <w:r>
              <w:rPr>
                <w:rFonts w:ascii="Arial" w:eastAsia="宋体" w:hAnsi="Arial" w:cs="Arial"/>
                <w:color w:val="000000"/>
                <w:sz w:val="18"/>
                <w:szCs w:val="18"/>
              </w:rPr>
              <w:t>MS&amp;O revenues</w:t>
            </w:r>
          </w:p>
        </w:tc>
        <w:tc>
          <w:tcPr>
            <w:tcW w:w="0" w:type="auto"/>
            <w:gridSpan w:val="2"/>
            <w:shd w:val="clear" w:color="auto" w:fill="E1E1E1"/>
            <w:tcMar>
              <w:top w:w="40" w:type="dxa"/>
              <w:left w:w="20" w:type="dxa"/>
              <w:bottom w:w="40" w:type="dxa"/>
              <w:right w:w="0" w:type="dxa"/>
            </w:tcMar>
            <w:vAlign w:val="bottom"/>
          </w:tcPr>
          <w:p w14:paraId="18601D61" w14:textId="77777777" w:rsidR="00A91885" w:rsidRDefault="009C4196">
            <w:pPr>
              <w:jc w:val="right"/>
              <w:textAlignment w:val="bottom"/>
            </w:pPr>
            <w:r>
              <w:rPr>
                <w:rFonts w:ascii="Arial" w:eastAsia="宋体" w:hAnsi="Arial" w:cs="Arial"/>
                <w:color w:val="000000"/>
                <w:sz w:val="18"/>
                <w:szCs w:val="18"/>
              </w:rPr>
              <w:t>125 </w:t>
            </w:r>
          </w:p>
        </w:tc>
        <w:tc>
          <w:tcPr>
            <w:tcW w:w="0" w:type="auto"/>
            <w:shd w:val="clear" w:color="auto" w:fill="E1E1E1"/>
            <w:tcMar>
              <w:top w:w="40" w:type="dxa"/>
              <w:left w:w="0" w:type="dxa"/>
              <w:bottom w:w="40" w:type="dxa"/>
              <w:right w:w="20" w:type="dxa"/>
            </w:tcMar>
            <w:vAlign w:val="bottom"/>
          </w:tcPr>
          <w:p w14:paraId="18601D62"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D63"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D64" w14:textId="77777777" w:rsidR="00A91885" w:rsidRDefault="009C4196">
            <w:pPr>
              <w:jc w:val="right"/>
              <w:textAlignment w:val="bottom"/>
            </w:pPr>
            <w:r>
              <w:rPr>
                <w:rFonts w:ascii="Arial" w:eastAsia="宋体" w:hAnsi="Arial" w:cs="Arial"/>
                <w:color w:val="000000"/>
                <w:sz w:val="18"/>
                <w:szCs w:val="18"/>
              </w:rPr>
              <w:t>(4)</w:t>
            </w:r>
          </w:p>
        </w:tc>
        <w:tc>
          <w:tcPr>
            <w:tcW w:w="0" w:type="auto"/>
            <w:shd w:val="clear" w:color="auto" w:fill="E1E1E1"/>
            <w:tcMar>
              <w:top w:w="40" w:type="dxa"/>
              <w:left w:w="0" w:type="dxa"/>
              <w:bottom w:w="40" w:type="dxa"/>
              <w:right w:w="20" w:type="dxa"/>
            </w:tcMar>
            <w:vAlign w:val="bottom"/>
          </w:tcPr>
          <w:p w14:paraId="18601D65"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D66"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D67" w14:textId="77777777" w:rsidR="00A91885" w:rsidRDefault="009C4196">
            <w:pPr>
              <w:jc w:val="right"/>
              <w:textAlignment w:val="bottom"/>
            </w:pPr>
            <w:r>
              <w:rPr>
                <w:rFonts w:ascii="Arial" w:eastAsia="宋体" w:hAnsi="Arial" w:cs="Arial"/>
                <w:color w:val="000000"/>
                <w:sz w:val="18"/>
                <w:szCs w:val="18"/>
              </w:rPr>
              <w:t>129 </w:t>
            </w:r>
          </w:p>
        </w:tc>
        <w:tc>
          <w:tcPr>
            <w:tcW w:w="0" w:type="auto"/>
            <w:shd w:val="clear" w:color="auto" w:fill="E1E1E1"/>
            <w:tcMar>
              <w:top w:w="40" w:type="dxa"/>
              <w:left w:w="0" w:type="dxa"/>
              <w:bottom w:w="40" w:type="dxa"/>
              <w:right w:w="20" w:type="dxa"/>
            </w:tcMar>
            <w:vAlign w:val="bottom"/>
          </w:tcPr>
          <w:p w14:paraId="18601D68"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D69"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D6A" w14:textId="77777777" w:rsidR="00A91885" w:rsidRDefault="009C4196">
            <w:pPr>
              <w:jc w:val="right"/>
              <w:textAlignment w:val="bottom"/>
            </w:pPr>
            <w:r>
              <w:rPr>
                <w:rFonts w:ascii="Arial" w:eastAsia="宋体" w:hAnsi="Arial" w:cs="Arial"/>
                <w:color w:val="000000"/>
                <w:sz w:val="18"/>
                <w:szCs w:val="18"/>
              </w:rPr>
              <w:t>172 </w:t>
            </w:r>
          </w:p>
        </w:tc>
        <w:tc>
          <w:tcPr>
            <w:tcW w:w="0" w:type="auto"/>
            <w:shd w:val="clear" w:color="auto" w:fill="E1E1E1"/>
            <w:tcMar>
              <w:top w:w="40" w:type="dxa"/>
              <w:left w:w="0" w:type="dxa"/>
              <w:bottom w:w="40" w:type="dxa"/>
              <w:right w:w="20" w:type="dxa"/>
            </w:tcMar>
            <w:vAlign w:val="bottom"/>
          </w:tcPr>
          <w:p w14:paraId="18601D6B"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D6C"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D6D" w14:textId="77777777" w:rsidR="00A91885" w:rsidRDefault="009C4196">
            <w:pPr>
              <w:jc w:val="right"/>
              <w:textAlignment w:val="bottom"/>
            </w:pPr>
            <w:r>
              <w:rPr>
                <w:rFonts w:ascii="Arial" w:eastAsia="宋体" w:hAnsi="Arial" w:cs="Arial"/>
                <w:color w:val="000000"/>
                <w:sz w:val="18"/>
                <w:szCs w:val="18"/>
              </w:rPr>
              <w:t>(27)</w:t>
            </w:r>
          </w:p>
        </w:tc>
        <w:tc>
          <w:tcPr>
            <w:tcW w:w="0" w:type="auto"/>
            <w:shd w:val="clear" w:color="auto" w:fill="E1E1E1"/>
            <w:tcMar>
              <w:top w:w="40" w:type="dxa"/>
              <w:left w:w="0" w:type="dxa"/>
              <w:bottom w:w="40" w:type="dxa"/>
              <w:right w:w="20" w:type="dxa"/>
            </w:tcMar>
            <w:vAlign w:val="bottom"/>
          </w:tcPr>
          <w:p w14:paraId="18601D6E"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1E1E1"/>
            <w:tcMar>
              <w:top w:w="0" w:type="dxa"/>
              <w:left w:w="20" w:type="dxa"/>
              <w:bottom w:w="0" w:type="dxa"/>
              <w:right w:w="20" w:type="dxa"/>
            </w:tcMar>
            <w:vAlign w:val="bottom"/>
          </w:tcPr>
          <w:p w14:paraId="18601D6F"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D70" w14:textId="77777777" w:rsidR="00A91885" w:rsidRDefault="009C4196">
            <w:pPr>
              <w:jc w:val="right"/>
              <w:textAlignment w:val="bottom"/>
            </w:pPr>
            <w:r>
              <w:rPr>
                <w:rFonts w:ascii="Arial" w:eastAsia="宋体" w:hAnsi="Arial" w:cs="Arial"/>
                <w:color w:val="000000"/>
                <w:sz w:val="18"/>
                <w:szCs w:val="18"/>
              </w:rPr>
              <w:t>(25)</w:t>
            </w:r>
          </w:p>
        </w:tc>
        <w:tc>
          <w:tcPr>
            <w:tcW w:w="0" w:type="auto"/>
            <w:shd w:val="clear" w:color="auto" w:fill="E1E1E1"/>
            <w:tcMar>
              <w:top w:w="40" w:type="dxa"/>
              <w:left w:w="0" w:type="dxa"/>
              <w:bottom w:w="40" w:type="dxa"/>
              <w:right w:w="20" w:type="dxa"/>
            </w:tcMar>
            <w:vAlign w:val="bottom"/>
          </w:tcPr>
          <w:p w14:paraId="18601D71" w14:textId="77777777" w:rsidR="00A91885" w:rsidRDefault="009C4196">
            <w:pPr>
              <w:jc w:val="right"/>
              <w:textAlignment w:val="bottom"/>
            </w:pPr>
            <w:r>
              <w:rPr>
                <w:rFonts w:ascii="Arial" w:eastAsia="宋体" w:hAnsi="Arial" w:cs="Arial"/>
                <w:color w:val="000000"/>
                <w:sz w:val="18"/>
                <w:szCs w:val="18"/>
              </w:rPr>
              <w:t>%</w:t>
            </w:r>
          </w:p>
        </w:tc>
      </w:tr>
      <w:tr w:rsidR="00A91885" w14:paraId="18601D7F" w14:textId="77777777">
        <w:trPr>
          <w:hidden/>
        </w:trPr>
        <w:tc>
          <w:tcPr>
            <w:tcW w:w="0" w:type="auto"/>
            <w:gridSpan w:val="3"/>
            <w:shd w:val="clear" w:color="auto" w:fill="auto"/>
            <w:vAlign w:val="bottom"/>
          </w:tcPr>
          <w:p w14:paraId="18601D73" w14:textId="77777777" w:rsidR="00A91885" w:rsidRDefault="00A91885">
            <w:pPr>
              <w:rPr>
                <w:rFonts w:ascii="宋体"/>
                <w:vanish/>
              </w:rPr>
            </w:pPr>
          </w:p>
        </w:tc>
        <w:tc>
          <w:tcPr>
            <w:tcW w:w="0" w:type="auto"/>
            <w:gridSpan w:val="3"/>
            <w:shd w:val="clear" w:color="auto" w:fill="auto"/>
            <w:vAlign w:val="bottom"/>
          </w:tcPr>
          <w:p w14:paraId="18601D74" w14:textId="77777777" w:rsidR="00A91885" w:rsidRDefault="00A91885">
            <w:pPr>
              <w:rPr>
                <w:rFonts w:ascii="宋体"/>
                <w:vanish/>
              </w:rPr>
            </w:pPr>
          </w:p>
        </w:tc>
        <w:tc>
          <w:tcPr>
            <w:tcW w:w="0" w:type="auto"/>
            <w:gridSpan w:val="3"/>
            <w:shd w:val="clear" w:color="auto" w:fill="auto"/>
            <w:vAlign w:val="bottom"/>
          </w:tcPr>
          <w:p w14:paraId="18601D75" w14:textId="77777777" w:rsidR="00A91885" w:rsidRDefault="00A91885">
            <w:pPr>
              <w:rPr>
                <w:rFonts w:ascii="宋体"/>
                <w:vanish/>
              </w:rPr>
            </w:pPr>
          </w:p>
        </w:tc>
        <w:tc>
          <w:tcPr>
            <w:tcW w:w="0" w:type="auto"/>
            <w:gridSpan w:val="3"/>
            <w:shd w:val="clear" w:color="auto" w:fill="auto"/>
            <w:vAlign w:val="bottom"/>
          </w:tcPr>
          <w:p w14:paraId="18601D76" w14:textId="77777777" w:rsidR="00A91885" w:rsidRDefault="00A91885">
            <w:pPr>
              <w:rPr>
                <w:rFonts w:ascii="宋体"/>
                <w:vanish/>
              </w:rPr>
            </w:pPr>
          </w:p>
        </w:tc>
        <w:tc>
          <w:tcPr>
            <w:tcW w:w="0" w:type="auto"/>
            <w:gridSpan w:val="3"/>
            <w:shd w:val="clear" w:color="auto" w:fill="auto"/>
            <w:vAlign w:val="bottom"/>
          </w:tcPr>
          <w:p w14:paraId="18601D77" w14:textId="77777777" w:rsidR="00A91885" w:rsidRDefault="00A91885">
            <w:pPr>
              <w:rPr>
                <w:rFonts w:ascii="宋体"/>
                <w:vanish/>
              </w:rPr>
            </w:pPr>
          </w:p>
        </w:tc>
        <w:tc>
          <w:tcPr>
            <w:tcW w:w="0" w:type="auto"/>
            <w:gridSpan w:val="3"/>
            <w:shd w:val="clear" w:color="auto" w:fill="auto"/>
            <w:vAlign w:val="bottom"/>
          </w:tcPr>
          <w:p w14:paraId="18601D78" w14:textId="77777777" w:rsidR="00A91885" w:rsidRDefault="00A91885">
            <w:pPr>
              <w:rPr>
                <w:rFonts w:ascii="宋体"/>
                <w:vanish/>
              </w:rPr>
            </w:pPr>
          </w:p>
        </w:tc>
        <w:tc>
          <w:tcPr>
            <w:tcW w:w="0" w:type="auto"/>
            <w:gridSpan w:val="3"/>
            <w:shd w:val="clear" w:color="auto" w:fill="auto"/>
            <w:vAlign w:val="bottom"/>
          </w:tcPr>
          <w:p w14:paraId="18601D79" w14:textId="77777777" w:rsidR="00A91885" w:rsidRDefault="00A91885">
            <w:pPr>
              <w:rPr>
                <w:rFonts w:ascii="宋体"/>
                <w:vanish/>
              </w:rPr>
            </w:pPr>
          </w:p>
        </w:tc>
        <w:tc>
          <w:tcPr>
            <w:tcW w:w="0" w:type="auto"/>
            <w:gridSpan w:val="3"/>
            <w:shd w:val="clear" w:color="auto" w:fill="auto"/>
            <w:vAlign w:val="bottom"/>
          </w:tcPr>
          <w:p w14:paraId="18601D7A" w14:textId="77777777" w:rsidR="00A91885" w:rsidRDefault="00A91885">
            <w:pPr>
              <w:rPr>
                <w:rFonts w:ascii="宋体"/>
                <w:vanish/>
              </w:rPr>
            </w:pPr>
          </w:p>
        </w:tc>
        <w:tc>
          <w:tcPr>
            <w:tcW w:w="0" w:type="auto"/>
            <w:gridSpan w:val="3"/>
            <w:shd w:val="clear" w:color="auto" w:fill="auto"/>
            <w:vAlign w:val="bottom"/>
          </w:tcPr>
          <w:p w14:paraId="18601D7B" w14:textId="77777777" w:rsidR="00A91885" w:rsidRDefault="00A91885">
            <w:pPr>
              <w:rPr>
                <w:rFonts w:ascii="宋体"/>
                <w:vanish/>
              </w:rPr>
            </w:pPr>
          </w:p>
        </w:tc>
        <w:tc>
          <w:tcPr>
            <w:tcW w:w="0" w:type="auto"/>
            <w:gridSpan w:val="3"/>
            <w:shd w:val="clear" w:color="auto" w:fill="auto"/>
            <w:vAlign w:val="bottom"/>
          </w:tcPr>
          <w:p w14:paraId="18601D7C" w14:textId="77777777" w:rsidR="00A91885" w:rsidRDefault="00A91885">
            <w:pPr>
              <w:rPr>
                <w:rFonts w:ascii="宋体"/>
                <w:vanish/>
              </w:rPr>
            </w:pPr>
          </w:p>
        </w:tc>
        <w:tc>
          <w:tcPr>
            <w:tcW w:w="0" w:type="auto"/>
            <w:gridSpan w:val="3"/>
            <w:shd w:val="clear" w:color="auto" w:fill="auto"/>
            <w:vAlign w:val="bottom"/>
          </w:tcPr>
          <w:p w14:paraId="18601D7D" w14:textId="77777777" w:rsidR="00A91885" w:rsidRDefault="00A91885">
            <w:pPr>
              <w:rPr>
                <w:rFonts w:ascii="宋体"/>
                <w:vanish/>
              </w:rPr>
            </w:pPr>
          </w:p>
        </w:tc>
        <w:tc>
          <w:tcPr>
            <w:tcW w:w="0" w:type="auto"/>
            <w:gridSpan w:val="3"/>
            <w:shd w:val="clear" w:color="auto" w:fill="auto"/>
            <w:vAlign w:val="bottom"/>
          </w:tcPr>
          <w:p w14:paraId="18601D7E" w14:textId="77777777" w:rsidR="00A91885" w:rsidRDefault="00A91885">
            <w:pPr>
              <w:rPr>
                <w:rFonts w:ascii="宋体"/>
                <w:vanish/>
              </w:rPr>
            </w:pPr>
          </w:p>
        </w:tc>
      </w:tr>
      <w:tr w:rsidR="00A91885" w14:paraId="18601D8C" w14:textId="77777777">
        <w:trPr>
          <w:hidden/>
        </w:trPr>
        <w:tc>
          <w:tcPr>
            <w:tcW w:w="0" w:type="auto"/>
            <w:gridSpan w:val="3"/>
            <w:shd w:val="clear" w:color="auto" w:fill="auto"/>
            <w:vAlign w:val="bottom"/>
          </w:tcPr>
          <w:p w14:paraId="18601D80" w14:textId="77777777" w:rsidR="00A91885" w:rsidRDefault="00A91885">
            <w:pPr>
              <w:rPr>
                <w:rFonts w:ascii="宋体"/>
                <w:vanish/>
              </w:rPr>
            </w:pPr>
          </w:p>
        </w:tc>
        <w:tc>
          <w:tcPr>
            <w:tcW w:w="0" w:type="auto"/>
            <w:gridSpan w:val="3"/>
            <w:shd w:val="clear" w:color="auto" w:fill="auto"/>
            <w:vAlign w:val="bottom"/>
          </w:tcPr>
          <w:p w14:paraId="18601D81" w14:textId="77777777" w:rsidR="00A91885" w:rsidRDefault="00A91885">
            <w:pPr>
              <w:rPr>
                <w:rFonts w:ascii="宋体"/>
                <w:vanish/>
              </w:rPr>
            </w:pPr>
          </w:p>
        </w:tc>
        <w:tc>
          <w:tcPr>
            <w:tcW w:w="0" w:type="auto"/>
            <w:gridSpan w:val="3"/>
            <w:shd w:val="clear" w:color="auto" w:fill="auto"/>
            <w:vAlign w:val="bottom"/>
          </w:tcPr>
          <w:p w14:paraId="18601D82" w14:textId="77777777" w:rsidR="00A91885" w:rsidRDefault="00A91885">
            <w:pPr>
              <w:rPr>
                <w:rFonts w:ascii="宋体"/>
                <w:vanish/>
              </w:rPr>
            </w:pPr>
          </w:p>
        </w:tc>
        <w:tc>
          <w:tcPr>
            <w:tcW w:w="0" w:type="auto"/>
            <w:gridSpan w:val="3"/>
            <w:shd w:val="clear" w:color="auto" w:fill="auto"/>
            <w:vAlign w:val="bottom"/>
          </w:tcPr>
          <w:p w14:paraId="18601D83" w14:textId="77777777" w:rsidR="00A91885" w:rsidRDefault="00A91885">
            <w:pPr>
              <w:rPr>
                <w:rFonts w:ascii="宋体"/>
                <w:vanish/>
              </w:rPr>
            </w:pPr>
          </w:p>
        </w:tc>
        <w:tc>
          <w:tcPr>
            <w:tcW w:w="0" w:type="auto"/>
            <w:gridSpan w:val="3"/>
            <w:shd w:val="clear" w:color="auto" w:fill="auto"/>
            <w:vAlign w:val="bottom"/>
          </w:tcPr>
          <w:p w14:paraId="18601D84" w14:textId="77777777" w:rsidR="00A91885" w:rsidRDefault="00A91885">
            <w:pPr>
              <w:rPr>
                <w:rFonts w:ascii="宋体"/>
                <w:vanish/>
              </w:rPr>
            </w:pPr>
          </w:p>
        </w:tc>
        <w:tc>
          <w:tcPr>
            <w:tcW w:w="0" w:type="auto"/>
            <w:gridSpan w:val="3"/>
            <w:shd w:val="clear" w:color="auto" w:fill="auto"/>
            <w:vAlign w:val="bottom"/>
          </w:tcPr>
          <w:p w14:paraId="18601D85" w14:textId="77777777" w:rsidR="00A91885" w:rsidRDefault="00A91885">
            <w:pPr>
              <w:rPr>
                <w:rFonts w:ascii="宋体"/>
                <w:vanish/>
              </w:rPr>
            </w:pPr>
          </w:p>
        </w:tc>
        <w:tc>
          <w:tcPr>
            <w:tcW w:w="0" w:type="auto"/>
            <w:gridSpan w:val="3"/>
            <w:shd w:val="clear" w:color="auto" w:fill="auto"/>
            <w:vAlign w:val="bottom"/>
          </w:tcPr>
          <w:p w14:paraId="18601D86" w14:textId="77777777" w:rsidR="00A91885" w:rsidRDefault="00A91885">
            <w:pPr>
              <w:rPr>
                <w:rFonts w:ascii="宋体"/>
                <w:vanish/>
              </w:rPr>
            </w:pPr>
          </w:p>
        </w:tc>
        <w:tc>
          <w:tcPr>
            <w:tcW w:w="0" w:type="auto"/>
            <w:gridSpan w:val="3"/>
            <w:shd w:val="clear" w:color="auto" w:fill="auto"/>
            <w:vAlign w:val="bottom"/>
          </w:tcPr>
          <w:p w14:paraId="18601D87" w14:textId="77777777" w:rsidR="00A91885" w:rsidRDefault="00A91885">
            <w:pPr>
              <w:rPr>
                <w:rFonts w:ascii="宋体"/>
                <w:vanish/>
              </w:rPr>
            </w:pPr>
          </w:p>
        </w:tc>
        <w:tc>
          <w:tcPr>
            <w:tcW w:w="0" w:type="auto"/>
            <w:gridSpan w:val="3"/>
            <w:shd w:val="clear" w:color="auto" w:fill="auto"/>
            <w:vAlign w:val="bottom"/>
          </w:tcPr>
          <w:p w14:paraId="18601D88" w14:textId="77777777" w:rsidR="00A91885" w:rsidRDefault="00A91885">
            <w:pPr>
              <w:rPr>
                <w:rFonts w:ascii="宋体"/>
                <w:vanish/>
              </w:rPr>
            </w:pPr>
          </w:p>
        </w:tc>
        <w:tc>
          <w:tcPr>
            <w:tcW w:w="0" w:type="auto"/>
            <w:gridSpan w:val="3"/>
            <w:shd w:val="clear" w:color="auto" w:fill="auto"/>
            <w:vAlign w:val="bottom"/>
          </w:tcPr>
          <w:p w14:paraId="18601D89" w14:textId="77777777" w:rsidR="00A91885" w:rsidRDefault="00A91885">
            <w:pPr>
              <w:rPr>
                <w:rFonts w:ascii="宋体"/>
                <w:vanish/>
              </w:rPr>
            </w:pPr>
          </w:p>
        </w:tc>
        <w:tc>
          <w:tcPr>
            <w:tcW w:w="0" w:type="auto"/>
            <w:gridSpan w:val="3"/>
            <w:shd w:val="clear" w:color="auto" w:fill="auto"/>
            <w:vAlign w:val="bottom"/>
          </w:tcPr>
          <w:p w14:paraId="18601D8A" w14:textId="77777777" w:rsidR="00A91885" w:rsidRDefault="00A91885">
            <w:pPr>
              <w:rPr>
                <w:rFonts w:ascii="宋体"/>
                <w:vanish/>
              </w:rPr>
            </w:pPr>
          </w:p>
        </w:tc>
        <w:tc>
          <w:tcPr>
            <w:tcW w:w="0" w:type="auto"/>
            <w:gridSpan w:val="3"/>
            <w:shd w:val="clear" w:color="auto" w:fill="auto"/>
            <w:vAlign w:val="bottom"/>
          </w:tcPr>
          <w:p w14:paraId="18601D8B" w14:textId="77777777" w:rsidR="00A91885" w:rsidRDefault="00A91885">
            <w:pPr>
              <w:rPr>
                <w:rFonts w:ascii="宋体"/>
                <w:vanish/>
              </w:rPr>
            </w:pPr>
          </w:p>
        </w:tc>
      </w:tr>
      <w:tr w:rsidR="00A91885" w14:paraId="18601D99" w14:textId="77777777">
        <w:trPr>
          <w:hidden/>
        </w:trPr>
        <w:tc>
          <w:tcPr>
            <w:tcW w:w="0" w:type="auto"/>
            <w:gridSpan w:val="3"/>
            <w:shd w:val="clear" w:color="auto" w:fill="auto"/>
            <w:vAlign w:val="bottom"/>
          </w:tcPr>
          <w:p w14:paraId="18601D8D" w14:textId="77777777" w:rsidR="00A91885" w:rsidRDefault="00A91885">
            <w:pPr>
              <w:rPr>
                <w:rFonts w:ascii="宋体"/>
                <w:vanish/>
              </w:rPr>
            </w:pPr>
          </w:p>
        </w:tc>
        <w:tc>
          <w:tcPr>
            <w:tcW w:w="0" w:type="auto"/>
            <w:gridSpan w:val="3"/>
            <w:shd w:val="clear" w:color="auto" w:fill="auto"/>
            <w:vAlign w:val="bottom"/>
          </w:tcPr>
          <w:p w14:paraId="18601D8E" w14:textId="77777777" w:rsidR="00A91885" w:rsidRDefault="00A91885">
            <w:pPr>
              <w:rPr>
                <w:rFonts w:ascii="宋体"/>
                <w:vanish/>
              </w:rPr>
            </w:pPr>
          </w:p>
        </w:tc>
        <w:tc>
          <w:tcPr>
            <w:tcW w:w="0" w:type="auto"/>
            <w:gridSpan w:val="3"/>
            <w:shd w:val="clear" w:color="auto" w:fill="auto"/>
            <w:vAlign w:val="bottom"/>
          </w:tcPr>
          <w:p w14:paraId="18601D8F" w14:textId="77777777" w:rsidR="00A91885" w:rsidRDefault="00A91885">
            <w:pPr>
              <w:rPr>
                <w:rFonts w:ascii="宋体"/>
                <w:vanish/>
              </w:rPr>
            </w:pPr>
          </w:p>
        </w:tc>
        <w:tc>
          <w:tcPr>
            <w:tcW w:w="0" w:type="auto"/>
            <w:gridSpan w:val="3"/>
            <w:shd w:val="clear" w:color="auto" w:fill="auto"/>
            <w:vAlign w:val="bottom"/>
          </w:tcPr>
          <w:p w14:paraId="18601D90" w14:textId="77777777" w:rsidR="00A91885" w:rsidRDefault="00A91885">
            <w:pPr>
              <w:rPr>
                <w:rFonts w:ascii="宋体"/>
                <w:vanish/>
              </w:rPr>
            </w:pPr>
          </w:p>
        </w:tc>
        <w:tc>
          <w:tcPr>
            <w:tcW w:w="0" w:type="auto"/>
            <w:gridSpan w:val="3"/>
            <w:shd w:val="clear" w:color="auto" w:fill="auto"/>
            <w:vAlign w:val="bottom"/>
          </w:tcPr>
          <w:p w14:paraId="18601D91" w14:textId="77777777" w:rsidR="00A91885" w:rsidRDefault="00A91885">
            <w:pPr>
              <w:rPr>
                <w:rFonts w:ascii="宋体"/>
                <w:vanish/>
              </w:rPr>
            </w:pPr>
          </w:p>
        </w:tc>
        <w:tc>
          <w:tcPr>
            <w:tcW w:w="0" w:type="auto"/>
            <w:gridSpan w:val="3"/>
            <w:shd w:val="clear" w:color="auto" w:fill="auto"/>
            <w:vAlign w:val="bottom"/>
          </w:tcPr>
          <w:p w14:paraId="18601D92" w14:textId="77777777" w:rsidR="00A91885" w:rsidRDefault="00A91885">
            <w:pPr>
              <w:rPr>
                <w:rFonts w:ascii="宋体"/>
                <w:vanish/>
              </w:rPr>
            </w:pPr>
          </w:p>
        </w:tc>
        <w:tc>
          <w:tcPr>
            <w:tcW w:w="0" w:type="auto"/>
            <w:gridSpan w:val="3"/>
            <w:shd w:val="clear" w:color="auto" w:fill="auto"/>
            <w:vAlign w:val="bottom"/>
          </w:tcPr>
          <w:p w14:paraId="18601D93" w14:textId="77777777" w:rsidR="00A91885" w:rsidRDefault="00A91885">
            <w:pPr>
              <w:rPr>
                <w:rFonts w:ascii="宋体"/>
                <w:vanish/>
              </w:rPr>
            </w:pPr>
          </w:p>
        </w:tc>
        <w:tc>
          <w:tcPr>
            <w:tcW w:w="0" w:type="auto"/>
            <w:gridSpan w:val="3"/>
            <w:shd w:val="clear" w:color="auto" w:fill="auto"/>
            <w:vAlign w:val="bottom"/>
          </w:tcPr>
          <w:p w14:paraId="18601D94" w14:textId="77777777" w:rsidR="00A91885" w:rsidRDefault="00A91885">
            <w:pPr>
              <w:rPr>
                <w:rFonts w:ascii="宋体"/>
                <w:vanish/>
              </w:rPr>
            </w:pPr>
          </w:p>
        </w:tc>
        <w:tc>
          <w:tcPr>
            <w:tcW w:w="0" w:type="auto"/>
            <w:gridSpan w:val="3"/>
            <w:shd w:val="clear" w:color="auto" w:fill="auto"/>
            <w:vAlign w:val="bottom"/>
          </w:tcPr>
          <w:p w14:paraId="18601D95" w14:textId="77777777" w:rsidR="00A91885" w:rsidRDefault="00A91885">
            <w:pPr>
              <w:rPr>
                <w:rFonts w:ascii="宋体"/>
                <w:vanish/>
              </w:rPr>
            </w:pPr>
          </w:p>
        </w:tc>
        <w:tc>
          <w:tcPr>
            <w:tcW w:w="0" w:type="auto"/>
            <w:gridSpan w:val="3"/>
            <w:shd w:val="clear" w:color="auto" w:fill="auto"/>
            <w:vAlign w:val="bottom"/>
          </w:tcPr>
          <w:p w14:paraId="18601D96" w14:textId="77777777" w:rsidR="00A91885" w:rsidRDefault="00A91885">
            <w:pPr>
              <w:rPr>
                <w:rFonts w:ascii="宋体"/>
                <w:vanish/>
              </w:rPr>
            </w:pPr>
          </w:p>
        </w:tc>
        <w:tc>
          <w:tcPr>
            <w:tcW w:w="0" w:type="auto"/>
            <w:gridSpan w:val="3"/>
            <w:shd w:val="clear" w:color="auto" w:fill="auto"/>
            <w:vAlign w:val="bottom"/>
          </w:tcPr>
          <w:p w14:paraId="18601D97" w14:textId="77777777" w:rsidR="00A91885" w:rsidRDefault="00A91885">
            <w:pPr>
              <w:rPr>
                <w:rFonts w:ascii="宋体"/>
                <w:vanish/>
              </w:rPr>
            </w:pPr>
          </w:p>
        </w:tc>
        <w:tc>
          <w:tcPr>
            <w:tcW w:w="0" w:type="auto"/>
            <w:gridSpan w:val="3"/>
            <w:shd w:val="clear" w:color="auto" w:fill="auto"/>
            <w:vAlign w:val="bottom"/>
          </w:tcPr>
          <w:p w14:paraId="18601D98" w14:textId="77777777" w:rsidR="00A91885" w:rsidRDefault="00A91885">
            <w:pPr>
              <w:rPr>
                <w:rFonts w:ascii="宋体"/>
                <w:vanish/>
              </w:rPr>
            </w:pPr>
          </w:p>
        </w:tc>
      </w:tr>
      <w:tr w:rsidR="00A91885" w14:paraId="18601DA6" w14:textId="77777777">
        <w:trPr>
          <w:hidden/>
        </w:trPr>
        <w:tc>
          <w:tcPr>
            <w:tcW w:w="0" w:type="auto"/>
            <w:gridSpan w:val="3"/>
            <w:shd w:val="clear" w:color="auto" w:fill="auto"/>
            <w:vAlign w:val="bottom"/>
          </w:tcPr>
          <w:p w14:paraId="18601D9A" w14:textId="77777777" w:rsidR="00A91885" w:rsidRDefault="00A91885">
            <w:pPr>
              <w:rPr>
                <w:rFonts w:ascii="宋体"/>
                <w:vanish/>
              </w:rPr>
            </w:pPr>
          </w:p>
        </w:tc>
        <w:tc>
          <w:tcPr>
            <w:tcW w:w="0" w:type="auto"/>
            <w:gridSpan w:val="3"/>
            <w:shd w:val="clear" w:color="auto" w:fill="auto"/>
            <w:vAlign w:val="bottom"/>
          </w:tcPr>
          <w:p w14:paraId="18601D9B" w14:textId="77777777" w:rsidR="00A91885" w:rsidRDefault="00A91885">
            <w:pPr>
              <w:rPr>
                <w:rFonts w:ascii="宋体"/>
                <w:vanish/>
              </w:rPr>
            </w:pPr>
          </w:p>
        </w:tc>
        <w:tc>
          <w:tcPr>
            <w:tcW w:w="0" w:type="auto"/>
            <w:gridSpan w:val="3"/>
            <w:shd w:val="clear" w:color="auto" w:fill="auto"/>
            <w:vAlign w:val="bottom"/>
          </w:tcPr>
          <w:p w14:paraId="18601D9C" w14:textId="77777777" w:rsidR="00A91885" w:rsidRDefault="00A91885">
            <w:pPr>
              <w:rPr>
                <w:rFonts w:ascii="宋体"/>
                <w:vanish/>
              </w:rPr>
            </w:pPr>
          </w:p>
        </w:tc>
        <w:tc>
          <w:tcPr>
            <w:tcW w:w="0" w:type="auto"/>
            <w:gridSpan w:val="3"/>
            <w:shd w:val="clear" w:color="auto" w:fill="auto"/>
            <w:vAlign w:val="bottom"/>
          </w:tcPr>
          <w:p w14:paraId="18601D9D" w14:textId="77777777" w:rsidR="00A91885" w:rsidRDefault="00A91885">
            <w:pPr>
              <w:rPr>
                <w:rFonts w:ascii="宋体"/>
                <w:vanish/>
              </w:rPr>
            </w:pPr>
          </w:p>
        </w:tc>
        <w:tc>
          <w:tcPr>
            <w:tcW w:w="0" w:type="auto"/>
            <w:gridSpan w:val="3"/>
            <w:shd w:val="clear" w:color="auto" w:fill="auto"/>
            <w:vAlign w:val="bottom"/>
          </w:tcPr>
          <w:p w14:paraId="18601D9E" w14:textId="77777777" w:rsidR="00A91885" w:rsidRDefault="00A91885">
            <w:pPr>
              <w:rPr>
                <w:rFonts w:ascii="宋体"/>
                <w:vanish/>
              </w:rPr>
            </w:pPr>
          </w:p>
        </w:tc>
        <w:tc>
          <w:tcPr>
            <w:tcW w:w="0" w:type="auto"/>
            <w:gridSpan w:val="3"/>
            <w:shd w:val="clear" w:color="auto" w:fill="auto"/>
            <w:vAlign w:val="bottom"/>
          </w:tcPr>
          <w:p w14:paraId="18601D9F" w14:textId="77777777" w:rsidR="00A91885" w:rsidRDefault="00A91885">
            <w:pPr>
              <w:rPr>
                <w:rFonts w:ascii="宋体"/>
                <w:vanish/>
              </w:rPr>
            </w:pPr>
          </w:p>
        </w:tc>
        <w:tc>
          <w:tcPr>
            <w:tcW w:w="0" w:type="auto"/>
            <w:gridSpan w:val="3"/>
            <w:shd w:val="clear" w:color="auto" w:fill="auto"/>
            <w:vAlign w:val="bottom"/>
          </w:tcPr>
          <w:p w14:paraId="18601DA0" w14:textId="77777777" w:rsidR="00A91885" w:rsidRDefault="00A91885">
            <w:pPr>
              <w:rPr>
                <w:rFonts w:ascii="宋体"/>
                <w:vanish/>
              </w:rPr>
            </w:pPr>
          </w:p>
        </w:tc>
        <w:tc>
          <w:tcPr>
            <w:tcW w:w="0" w:type="auto"/>
            <w:gridSpan w:val="3"/>
            <w:shd w:val="clear" w:color="auto" w:fill="auto"/>
            <w:vAlign w:val="bottom"/>
          </w:tcPr>
          <w:p w14:paraId="18601DA1" w14:textId="77777777" w:rsidR="00A91885" w:rsidRDefault="00A91885">
            <w:pPr>
              <w:rPr>
                <w:rFonts w:ascii="宋体"/>
                <w:vanish/>
              </w:rPr>
            </w:pPr>
          </w:p>
        </w:tc>
        <w:tc>
          <w:tcPr>
            <w:tcW w:w="0" w:type="auto"/>
            <w:gridSpan w:val="3"/>
            <w:shd w:val="clear" w:color="auto" w:fill="auto"/>
            <w:vAlign w:val="bottom"/>
          </w:tcPr>
          <w:p w14:paraId="18601DA2" w14:textId="77777777" w:rsidR="00A91885" w:rsidRDefault="00A91885">
            <w:pPr>
              <w:rPr>
                <w:rFonts w:ascii="宋体"/>
                <w:vanish/>
              </w:rPr>
            </w:pPr>
          </w:p>
        </w:tc>
        <w:tc>
          <w:tcPr>
            <w:tcW w:w="0" w:type="auto"/>
            <w:gridSpan w:val="3"/>
            <w:shd w:val="clear" w:color="auto" w:fill="auto"/>
            <w:vAlign w:val="bottom"/>
          </w:tcPr>
          <w:p w14:paraId="18601DA3" w14:textId="77777777" w:rsidR="00A91885" w:rsidRDefault="00A91885">
            <w:pPr>
              <w:rPr>
                <w:rFonts w:ascii="宋体"/>
                <w:vanish/>
              </w:rPr>
            </w:pPr>
          </w:p>
        </w:tc>
        <w:tc>
          <w:tcPr>
            <w:tcW w:w="0" w:type="auto"/>
            <w:gridSpan w:val="3"/>
            <w:shd w:val="clear" w:color="auto" w:fill="auto"/>
            <w:vAlign w:val="bottom"/>
          </w:tcPr>
          <w:p w14:paraId="18601DA4" w14:textId="77777777" w:rsidR="00A91885" w:rsidRDefault="00A91885">
            <w:pPr>
              <w:rPr>
                <w:rFonts w:ascii="宋体"/>
                <w:vanish/>
              </w:rPr>
            </w:pPr>
          </w:p>
        </w:tc>
        <w:tc>
          <w:tcPr>
            <w:tcW w:w="0" w:type="auto"/>
            <w:gridSpan w:val="3"/>
            <w:shd w:val="clear" w:color="auto" w:fill="auto"/>
            <w:vAlign w:val="bottom"/>
          </w:tcPr>
          <w:p w14:paraId="18601DA5" w14:textId="77777777" w:rsidR="00A91885" w:rsidRDefault="00A91885">
            <w:pPr>
              <w:rPr>
                <w:rFonts w:ascii="宋体"/>
                <w:vanish/>
              </w:rPr>
            </w:pPr>
          </w:p>
        </w:tc>
      </w:tr>
      <w:tr w:rsidR="00A91885" w14:paraId="18601DBD" w14:textId="77777777">
        <w:tc>
          <w:tcPr>
            <w:tcW w:w="0" w:type="auto"/>
            <w:gridSpan w:val="3"/>
            <w:shd w:val="clear" w:color="auto" w:fill="FFFFFF"/>
            <w:tcMar>
              <w:top w:w="40" w:type="dxa"/>
              <w:left w:w="380" w:type="dxa"/>
              <w:bottom w:w="40" w:type="dxa"/>
              <w:right w:w="20" w:type="dxa"/>
            </w:tcMar>
            <w:vAlign w:val="bottom"/>
          </w:tcPr>
          <w:p w14:paraId="18601DA7" w14:textId="77777777" w:rsidR="00A91885" w:rsidRDefault="009C4196">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1DA8"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1DA9" w14:textId="77777777" w:rsidR="00A91885" w:rsidRDefault="009C4196">
            <w:pPr>
              <w:jc w:val="right"/>
              <w:textAlignment w:val="bottom"/>
            </w:pPr>
            <w:r>
              <w:rPr>
                <w:rFonts w:ascii="Arial" w:eastAsia="宋体" w:hAnsi="Arial" w:cs="Arial"/>
                <w:color w:val="000000"/>
                <w:sz w:val="18"/>
                <w:szCs w:val="18"/>
              </w:rPr>
              <w:t>2,422 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1DAA"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DAB"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1DAC"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1DAD" w14:textId="77777777" w:rsidR="00A91885" w:rsidRDefault="009C4196">
            <w:pPr>
              <w:jc w:val="right"/>
              <w:textAlignment w:val="bottom"/>
            </w:pPr>
            <w:r>
              <w:rPr>
                <w:rFonts w:ascii="Arial" w:eastAsia="宋体" w:hAnsi="Arial" w:cs="Arial"/>
                <w:color w:val="000000"/>
                <w:sz w:val="18"/>
                <w:szCs w:val="18"/>
              </w:rPr>
              <w:t>(95)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1DAE"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DAF"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1DB0"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1DB1" w14:textId="77777777" w:rsidR="00A91885" w:rsidRDefault="009C4196">
            <w:pPr>
              <w:jc w:val="right"/>
              <w:textAlignment w:val="bottom"/>
            </w:pPr>
            <w:r>
              <w:rPr>
                <w:rFonts w:ascii="Arial" w:eastAsia="宋体" w:hAnsi="Arial" w:cs="Arial"/>
                <w:color w:val="000000"/>
                <w:sz w:val="18"/>
                <w:szCs w:val="18"/>
              </w:rPr>
              <w:t>2,517 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1DB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DB3"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1DB4"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1DB5" w14:textId="77777777" w:rsidR="00A91885" w:rsidRDefault="009C4196">
            <w:pPr>
              <w:jc w:val="right"/>
              <w:textAlignment w:val="bottom"/>
            </w:pPr>
            <w:r>
              <w:rPr>
                <w:rFonts w:ascii="Arial" w:eastAsia="宋体" w:hAnsi="Arial" w:cs="Arial"/>
                <w:color w:val="000000"/>
                <w:sz w:val="18"/>
                <w:szCs w:val="18"/>
              </w:rPr>
              <w:t>2,668 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1DB6"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DB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DB8" w14:textId="77777777" w:rsidR="00A91885" w:rsidRDefault="009C4196">
            <w:pPr>
              <w:jc w:val="right"/>
              <w:textAlignment w:val="bottom"/>
            </w:pPr>
            <w:r>
              <w:rPr>
                <w:rFonts w:ascii="Arial" w:eastAsia="宋体" w:hAnsi="Arial" w:cs="Arial"/>
                <w:color w:val="000000"/>
                <w:sz w:val="18"/>
                <w:szCs w:val="18"/>
              </w:rPr>
              <w:t>(9)</w:t>
            </w:r>
          </w:p>
        </w:tc>
        <w:tc>
          <w:tcPr>
            <w:tcW w:w="0" w:type="auto"/>
            <w:shd w:val="clear" w:color="auto" w:fill="FFFFFF"/>
            <w:tcMar>
              <w:top w:w="40" w:type="dxa"/>
              <w:left w:w="0" w:type="dxa"/>
              <w:bottom w:w="40" w:type="dxa"/>
              <w:right w:w="20" w:type="dxa"/>
            </w:tcMar>
            <w:vAlign w:val="bottom"/>
          </w:tcPr>
          <w:p w14:paraId="18601DB9"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DB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DBB" w14:textId="77777777" w:rsidR="00A91885" w:rsidRDefault="009C4196">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18601DBC" w14:textId="77777777" w:rsidR="00A91885" w:rsidRDefault="009C4196">
            <w:pPr>
              <w:jc w:val="right"/>
              <w:textAlignment w:val="bottom"/>
            </w:pPr>
            <w:r>
              <w:rPr>
                <w:rFonts w:ascii="Arial" w:eastAsia="宋体" w:hAnsi="Arial" w:cs="Arial"/>
                <w:color w:val="000000"/>
                <w:sz w:val="18"/>
                <w:szCs w:val="18"/>
              </w:rPr>
              <w:t>%</w:t>
            </w:r>
          </w:p>
        </w:tc>
      </w:tr>
    </w:tbl>
    <w:p w14:paraId="18601DBE" w14:textId="77777777" w:rsidR="00A91885" w:rsidRDefault="00A918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0"/>
        <w:gridCol w:w="1588"/>
        <w:gridCol w:w="38"/>
        <w:gridCol w:w="122"/>
        <w:gridCol w:w="704"/>
        <w:gridCol w:w="36"/>
        <w:gridCol w:w="36"/>
        <w:gridCol w:w="36"/>
        <w:gridCol w:w="36"/>
        <w:gridCol w:w="122"/>
        <w:gridCol w:w="782"/>
        <w:gridCol w:w="36"/>
        <w:gridCol w:w="36"/>
        <w:gridCol w:w="36"/>
        <w:gridCol w:w="36"/>
        <w:gridCol w:w="122"/>
        <w:gridCol w:w="811"/>
        <w:gridCol w:w="36"/>
        <w:gridCol w:w="36"/>
        <w:gridCol w:w="36"/>
        <w:gridCol w:w="36"/>
        <w:gridCol w:w="122"/>
        <w:gridCol w:w="1155"/>
        <w:gridCol w:w="37"/>
        <w:gridCol w:w="36"/>
        <w:gridCol w:w="36"/>
        <w:gridCol w:w="36"/>
        <w:gridCol w:w="75"/>
        <w:gridCol w:w="705"/>
        <w:gridCol w:w="182"/>
        <w:gridCol w:w="36"/>
        <w:gridCol w:w="36"/>
        <w:gridCol w:w="36"/>
        <w:gridCol w:w="86"/>
        <w:gridCol w:w="806"/>
        <w:gridCol w:w="181"/>
      </w:tblGrid>
      <w:tr w:rsidR="00A91885" w14:paraId="18601DE3" w14:textId="77777777">
        <w:tc>
          <w:tcPr>
            <w:tcW w:w="50" w:type="pct"/>
            <w:shd w:val="clear" w:color="auto" w:fill="auto"/>
            <w:vAlign w:val="bottom"/>
          </w:tcPr>
          <w:p w14:paraId="18601DBF" w14:textId="77777777" w:rsidR="00A91885" w:rsidRDefault="00A91885">
            <w:pPr>
              <w:rPr>
                <w:rFonts w:ascii="宋体"/>
              </w:rPr>
            </w:pPr>
          </w:p>
        </w:tc>
        <w:tc>
          <w:tcPr>
            <w:tcW w:w="1107" w:type="pct"/>
            <w:shd w:val="clear" w:color="auto" w:fill="auto"/>
            <w:vAlign w:val="bottom"/>
          </w:tcPr>
          <w:p w14:paraId="18601DC0" w14:textId="77777777" w:rsidR="00A91885" w:rsidRDefault="00A91885">
            <w:pPr>
              <w:rPr>
                <w:rFonts w:ascii="宋体"/>
              </w:rPr>
            </w:pPr>
          </w:p>
        </w:tc>
        <w:tc>
          <w:tcPr>
            <w:tcW w:w="5" w:type="pct"/>
            <w:shd w:val="clear" w:color="auto" w:fill="auto"/>
            <w:vAlign w:val="bottom"/>
          </w:tcPr>
          <w:p w14:paraId="18601DC1" w14:textId="77777777" w:rsidR="00A91885" w:rsidRDefault="00A91885">
            <w:pPr>
              <w:rPr>
                <w:rFonts w:ascii="宋体"/>
              </w:rPr>
            </w:pPr>
          </w:p>
        </w:tc>
        <w:tc>
          <w:tcPr>
            <w:tcW w:w="50" w:type="pct"/>
            <w:shd w:val="clear" w:color="auto" w:fill="auto"/>
            <w:vAlign w:val="bottom"/>
          </w:tcPr>
          <w:p w14:paraId="18601DC2" w14:textId="77777777" w:rsidR="00A91885" w:rsidRDefault="00A91885">
            <w:pPr>
              <w:rPr>
                <w:rFonts w:ascii="宋体"/>
              </w:rPr>
            </w:pPr>
          </w:p>
        </w:tc>
        <w:tc>
          <w:tcPr>
            <w:tcW w:w="463" w:type="pct"/>
            <w:shd w:val="clear" w:color="auto" w:fill="auto"/>
            <w:vAlign w:val="bottom"/>
          </w:tcPr>
          <w:p w14:paraId="18601DC3" w14:textId="77777777" w:rsidR="00A91885" w:rsidRDefault="00A91885">
            <w:pPr>
              <w:rPr>
                <w:rFonts w:ascii="宋体"/>
              </w:rPr>
            </w:pPr>
          </w:p>
        </w:tc>
        <w:tc>
          <w:tcPr>
            <w:tcW w:w="5" w:type="pct"/>
            <w:shd w:val="clear" w:color="auto" w:fill="auto"/>
            <w:vAlign w:val="bottom"/>
          </w:tcPr>
          <w:p w14:paraId="18601DC4" w14:textId="77777777" w:rsidR="00A91885" w:rsidRDefault="00A91885">
            <w:pPr>
              <w:rPr>
                <w:rFonts w:ascii="宋体"/>
              </w:rPr>
            </w:pPr>
          </w:p>
        </w:tc>
        <w:tc>
          <w:tcPr>
            <w:tcW w:w="5" w:type="pct"/>
            <w:shd w:val="clear" w:color="auto" w:fill="auto"/>
            <w:vAlign w:val="bottom"/>
          </w:tcPr>
          <w:p w14:paraId="18601DC5" w14:textId="77777777" w:rsidR="00A91885" w:rsidRDefault="00A91885">
            <w:pPr>
              <w:rPr>
                <w:rFonts w:ascii="宋体"/>
              </w:rPr>
            </w:pPr>
          </w:p>
        </w:tc>
        <w:tc>
          <w:tcPr>
            <w:tcW w:w="19" w:type="pct"/>
            <w:shd w:val="clear" w:color="auto" w:fill="auto"/>
            <w:vAlign w:val="bottom"/>
          </w:tcPr>
          <w:p w14:paraId="18601DC6" w14:textId="77777777" w:rsidR="00A91885" w:rsidRDefault="00A91885">
            <w:pPr>
              <w:rPr>
                <w:rFonts w:ascii="宋体"/>
              </w:rPr>
            </w:pPr>
          </w:p>
        </w:tc>
        <w:tc>
          <w:tcPr>
            <w:tcW w:w="5" w:type="pct"/>
            <w:shd w:val="clear" w:color="auto" w:fill="auto"/>
            <w:vAlign w:val="bottom"/>
          </w:tcPr>
          <w:p w14:paraId="18601DC7" w14:textId="77777777" w:rsidR="00A91885" w:rsidRDefault="00A91885">
            <w:pPr>
              <w:rPr>
                <w:rFonts w:ascii="宋体"/>
              </w:rPr>
            </w:pPr>
          </w:p>
        </w:tc>
        <w:tc>
          <w:tcPr>
            <w:tcW w:w="50" w:type="pct"/>
            <w:shd w:val="clear" w:color="auto" w:fill="auto"/>
            <w:vAlign w:val="bottom"/>
          </w:tcPr>
          <w:p w14:paraId="18601DC8" w14:textId="77777777" w:rsidR="00A91885" w:rsidRDefault="00A91885">
            <w:pPr>
              <w:rPr>
                <w:rFonts w:ascii="宋体"/>
              </w:rPr>
            </w:pPr>
          </w:p>
        </w:tc>
        <w:tc>
          <w:tcPr>
            <w:tcW w:w="602" w:type="pct"/>
            <w:shd w:val="clear" w:color="auto" w:fill="auto"/>
            <w:vAlign w:val="bottom"/>
          </w:tcPr>
          <w:p w14:paraId="18601DC9" w14:textId="77777777" w:rsidR="00A91885" w:rsidRDefault="00A91885">
            <w:pPr>
              <w:rPr>
                <w:rFonts w:ascii="宋体"/>
              </w:rPr>
            </w:pPr>
          </w:p>
        </w:tc>
        <w:tc>
          <w:tcPr>
            <w:tcW w:w="5" w:type="pct"/>
            <w:shd w:val="clear" w:color="auto" w:fill="auto"/>
            <w:vAlign w:val="bottom"/>
          </w:tcPr>
          <w:p w14:paraId="18601DCA" w14:textId="77777777" w:rsidR="00A91885" w:rsidRDefault="00A91885">
            <w:pPr>
              <w:rPr>
                <w:rFonts w:ascii="宋体"/>
              </w:rPr>
            </w:pPr>
          </w:p>
        </w:tc>
        <w:tc>
          <w:tcPr>
            <w:tcW w:w="5" w:type="pct"/>
            <w:shd w:val="clear" w:color="auto" w:fill="auto"/>
            <w:vAlign w:val="bottom"/>
          </w:tcPr>
          <w:p w14:paraId="18601DCB" w14:textId="77777777" w:rsidR="00A91885" w:rsidRDefault="00A91885">
            <w:pPr>
              <w:rPr>
                <w:rFonts w:ascii="宋体"/>
              </w:rPr>
            </w:pPr>
          </w:p>
        </w:tc>
        <w:tc>
          <w:tcPr>
            <w:tcW w:w="19" w:type="pct"/>
            <w:shd w:val="clear" w:color="auto" w:fill="auto"/>
            <w:vAlign w:val="bottom"/>
          </w:tcPr>
          <w:p w14:paraId="18601DCC" w14:textId="77777777" w:rsidR="00A91885" w:rsidRDefault="00A91885">
            <w:pPr>
              <w:rPr>
                <w:rFonts w:ascii="宋体"/>
              </w:rPr>
            </w:pPr>
          </w:p>
        </w:tc>
        <w:tc>
          <w:tcPr>
            <w:tcW w:w="5" w:type="pct"/>
            <w:shd w:val="clear" w:color="auto" w:fill="auto"/>
            <w:vAlign w:val="bottom"/>
          </w:tcPr>
          <w:p w14:paraId="18601DCD" w14:textId="77777777" w:rsidR="00A91885" w:rsidRDefault="00A91885">
            <w:pPr>
              <w:rPr>
                <w:rFonts w:ascii="宋体"/>
              </w:rPr>
            </w:pPr>
          </w:p>
        </w:tc>
        <w:tc>
          <w:tcPr>
            <w:tcW w:w="50" w:type="pct"/>
            <w:shd w:val="clear" w:color="auto" w:fill="auto"/>
            <w:vAlign w:val="bottom"/>
          </w:tcPr>
          <w:p w14:paraId="18601DCE" w14:textId="77777777" w:rsidR="00A91885" w:rsidRDefault="00A91885">
            <w:pPr>
              <w:rPr>
                <w:rFonts w:ascii="宋体"/>
              </w:rPr>
            </w:pPr>
          </w:p>
        </w:tc>
        <w:tc>
          <w:tcPr>
            <w:tcW w:w="507" w:type="pct"/>
            <w:shd w:val="clear" w:color="auto" w:fill="auto"/>
            <w:vAlign w:val="bottom"/>
          </w:tcPr>
          <w:p w14:paraId="18601DCF" w14:textId="77777777" w:rsidR="00A91885" w:rsidRDefault="00A91885">
            <w:pPr>
              <w:rPr>
                <w:rFonts w:ascii="宋体"/>
              </w:rPr>
            </w:pPr>
          </w:p>
        </w:tc>
        <w:tc>
          <w:tcPr>
            <w:tcW w:w="5" w:type="pct"/>
            <w:shd w:val="clear" w:color="auto" w:fill="auto"/>
            <w:vAlign w:val="bottom"/>
          </w:tcPr>
          <w:p w14:paraId="18601DD0" w14:textId="77777777" w:rsidR="00A91885" w:rsidRDefault="00A91885">
            <w:pPr>
              <w:rPr>
                <w:rFonts w:ascii="宋体"/>
              </w:rPr>
            </w:pPr>
          </w:p>
        </w:tc>
        <w:tc>
          <w:tcPr>
            <w:tcW w:w="5" w:type="pct"/>
            <w:shd w:val="clear" w:color="auto" w:fill="auto"/>
            <w:vAlign w:val="bottom"/>
          </w:tcPr>
          <w:p w14:paraId="18601DD1" w14:textId="77777777" w:rsidR="00A91885" w:rsidRDefault="00A91885">
            <w:pPr>
              <w:rPr>
                <w:rFonts w:ascii="宋体"/>
              </w:rPr>
            </w:pPr>
          </w:p>
        </w:tc>
        <w:tc>
          <w:tcPr>
            <w:tcW w:w="19" w:type="pct"/>
            <w:shd w:val="clear" w:color="auto" w:fill="auto"/>
            <w:vAlign w:val="bottom"/>
          </w:tcPr>
          <w:p w14:paraId="18601DD2" w14:textId="77777777" w:rsidR="00A91885" w:rsidRDefault="00A91885">
            <w:pPr>
              <w:rPr>
                <w:rFonts w:ascii="宋体"/>
              </w:rPr>
            </w:pPr>
          </w:p>
        </w:tc>
        <w:tc>
          <w:tcPr>
            <w:tcW w:w="5" w:type="pct"/>
            <w:shd w:val="clear" w:color="auto" w:fill="auto"/>
            <w:vAlign w:val="bottom"/>
          </w:tcPr>
          <w:p w14:paraId="18601DD3" w14:textId="77777777" w:rsidR="00A91885" w:rsidRDefault="00A91885">
            <w:pPr>
              <w:rPr>
                <w:rFonts w:ascii="宋体"/>
              </w:rPr>
            </w:pPr>
          </w:p>
        </w:tc>
        <w:tc>
          <w:tcPr>
            <w:tcW w:w="50" w:type="pct"/>
            <w:shd w:val="clear" w:color="auto" w:fill="auto"/>
            <w:vAlign w:val="bottom"/>
          </w:tcPr>
          <w:p w14:paraId="18601DD4" w14:textId="77777777" w:rsidR="00A91885" w:rsidRDefault="00A91885">
            <w:pPr>
              <w:rPr>
                <w:rFonts w:ascii="宋体"/>
              </w:rPr>
            </w:pPr>
          </w:p>
        </w:tc>
        <w:tc>
          <w:tcPr>
            <w:tcW w:w="844" w:type="pct"/>
            <w:shd w:val="clear" w:color="auto" w:fill="auto"/>
            <w:vAlign w:val="bottom"/>
          </w:tcPr>
          <w:p w14:paraId="18601DD5" w14:textId="77777777" w:rsidR="00A91885" w:rsidRDefault="00A91885">
            <w:pPr>
              <w:rPr>
                <w:rFonts w:ascii="宋体"/>
              </w:rPr>
            </w:pPr>
          </w:p>
        </w:tc>
        <w:tc>
          <w:tcPr>
            <w:tcW w:w="5" w:type="pct"/>
            <w:shd w:val="clear" w:color="auto" w:fill="auto"/>
            <w:vAlign w:val="bottom"/>
          </w:tcPr>
          <w:p w14:paraId="18601DD6" w14:textId="77777777" w:rsidR="00A91885" w:rsidRDefault="00A91885">
            <w:pPr>
              <w:rPr>
                <w:rFonts w:ascii="宋体"/>
              </w:rPr>
            </w:pPr>
          </w:p>
        </w:tc>
        <w:tc>
          <w:tcPr>
            <w:tcW w:w="5" w:type="pct"/>
            <w:shd w:val="clear" w:color="auto" w:fill="auto"/>
            <w:vAlign w:val="bottom"/>
          </w:tcPr>
          <w:p w14:paraId="18601DD7" w14:textId="77777777" w:rsidR="00A91885" w:rsidRDefault="00A91885">
            <w:pPr>
              <w:rPr>
                <w:rFonts w:ascii="宋体"/>
              </w:rPr>
            </w:pPr>
          </w:p>
        </w:tc>
        <w:tc>
          <w:tcPr>
            <w:tcW w:w="19" w:type="pct"/>
            <w:shd w:val="clear" w:color="auto" w:fill="auto"/>
            <w:vAlign w:val="bottom"/>
          </w:tcPr>
          <w:p w14:paraId="18601DD8" w14:textId="77777777" w:rsidR="00A91885" w:rsidRDefault="00A91885">
            <w:pPr>
              <w:rPr>
                <w:rFonts w:ascii="宋体"/>
              </w:rPr>
            </w:pPr>
          </w:p>
        </w:tc>
        <w:tc>
          <w:tcPr>
            <w:tcW w:w="5" w:type="pct"/>
            <w:shd w:val="clear" w:color="auto" w:fill="auto"/>
            <w:vAlign w:val="bottom"/>
          </w:tcPr>
          <w:p w14:paraId="18601DD9" w14:textId="77777777" w:rsidR="00A91885" w:rsidRDefault="00A91885">
            <w:pPr>
              <w:rPr>
                <w:rFonts w:ascii="宋体"/>
              </w:rPr>
            </w:pPr>
          </w:p>
        </w:tc>
        <w:tc>
          <w:tcPr>
            <w:tcW w:w="50" w:type="pct"/>
            <w:shd w:val="clear" w:color="auto" w:fill="auto"/>
            <w:vAlign w:val="bottom"/>
          </w:tcPr>
          <w:p w14:paraId="18601DDA" w14:textId="77777777" w:rsidR="00A91885" w:rsidRDefault="00A91885">
            <w:pPr>
              <w:rPr>
                <w:rFonts w:ascii="宋体"/>
              </w:rPr>
            </w:pPr>
          </w:p>
        </w:tc>
        <w:tc>
          <w:tcPr>
            <w:tcW w:w="471" w:type="pct"/>
            <w:shd w:val="clear" w:color="auto" w:fill="auto"/>
            <w:vAlign w:val="bottom"/>
          </w:tcPr>
          <w:p w14:paraId="18601DDB" w14:textId="77777777" w:rsidR="00A91885" w:rsidRDefault="00A91885">
            <w:pPr>
              <w:rPr>
                <w:rFonts w:ascii="宋体"/>
              </w:rPr>
            </w:pPr>
          </w:p>
        </w:tc>
        <w:tc>
          <w:tcPr>
            <w:tcW w:w="5" w:type="pct"/>
            <w:shd w:val="clear" w:color="auto" w:fill="auto"/>
            <w:vAlign w:val="bottom"/>
          </w:tcPr>
          <w:p w14:paraId="18601DDC" w14:textId="77777777" w:rsidR="00A91885" w:rsidRDefault="00A91885">
            <w:pPr>
              <w:rPr>
                <w:rFonts w:ascii="宋体"/>
              </w:rPr>
            </w:pPr>
          </w:p>
        </w:tc>
        <w:tc>
          <w:tcPr>
            <w:tcW w:w="5" w:type="pct"/>
            <w:shd w:val="clear" w:color="auto" w:fill="auto"/>
            <w:vAlign w:val="bottom"/>
          </w:tcPr>
          <w:p w14:paraId="18601DDD" w14:textId="77777777" w:rsidR="00A91885" w:rsidRDefault="00A91885">
            <w:pPr>
              <w:rPr>
                <w:rFonts w:ascii="宋体"/>
              </w:rPr>
            </w:pPr>
          </w:p>
        </w:tc>
        <w:tc>
          <w:tcPr>
            <w:tcW w:w="19" w:type="pct"/>
            <w:shd w:val="clear" w:color="auto" w:fill="auto"/>
            <w:vAlign w:val="bottom"/>
          </w:tcPr>
          <w:p w14:paraId="18601DDE" w14:textId="77777777" w:rsidR="00A91885" w:rsidRDefault="00A91885">
            <w:pPr>
              <w:rPr>
                <w:rFonts w:ascii="宋体"/>
              </w:rPr>
            </w:pPr>
          </w:p>
        </w:tc>
        <w:tc>
          <w:tcPr>
            <w:tcW w:w="5" w:type="pct"/>
            <w:shd w:val="clear" w:color="auto" w:fill="auto"/>
            <w:vAlign w:val="bottom"/>
          </w:tcPr>
          <w:p w14:paraId="18601DDF" w14:textId="77777777" w:rsidR="00A91885" w:rsidRDefault="00A91885">
            <w:pPr>
              <w:rPr>
                <w:rFonts w:ascii="宋体"/>
              </w:rPr>
            </w:pPr>
          </w:p>
        </w:tc>
        <w:tc>
          <w:tcPr>
            <w:tcW w:w="50" w:type="pct"/>
            <w:shd w:val="clear" w:color="auto" w:fill="auto"/>
            <w:vAlign w:val="bottom"/>
          </w:tcPr>
          <w:p w14:paraId="18601DE0" w14:textId="77777777" w:rsidR="00A91885" w:rsidRDefault="00A91885">
            <w:pPr>
              <w:rPr>
                <w:rFonts w:ascii="宋体"/>
              </w:rPr>
            </w:pPr>
          </w:p>
        </w:tc>
        <w:tc>
          <w:tcPr>
            <w:tcW w:w="471" w:type="pct"/>
            <w:shd w:val="clear" w:color="auto" w:fill="auto"/>
            <w:vAlign w:val="bottom"/>
          </w:tcPr>
          <w:p w14:paraId="18601DE1" w14:textId="77777777" w:rsidR="00A91885" w:rsidRDefault="00A91885">
            <w:pPr>
              <w:rPr>
                <w:rFonts w:ascii="宋体"/>
              </w:rPr>
            </w:pPr>
          </w:p>
        </w:tc>
        <w:tc>
          <w:tcPr>
            <w:tcW w:w="5" w:type="pct"/>
            <w:shd w:val="clear" w:color="auto" w:fill="auto"/>
            <w:vAlign w:val="bottom"/>
          </w:tcPr>
          <w:p w14:paraId="18601DE2" w14:textId="77777777" w:rsidR="00A91885" w:rsidRDefault="00A91885">
            <w:pPr>
              <w:rPr>
                <w:rFonts w:ascii="宋体"/>
              </w:rPr>
            </w:pPr>
          </w:p>
        </w:tc>
      </w:tr>
      <w:tr w:rsidR="00A91885" w14:paraId="18601DEA" w14:textId="77777777">
        <w:tc>
          <w:tcPr>
            <w:tcW w:w="0" w:type="auto"/>
            <w:gridSpan w:val="3"/>
            <w:shd w:val="clear" w:color="auto" w:fill="auto"/>
            <w:tcMar>
              <w:top w:w="40" w:type="dxa"/>
              <w:left w:w="20" w:type="dxa"/>
              <w:bottom w:w="40" w:type="dxa"/>
              <w:right w:w="20" w:type="dxa"/>
            </w:tcMar>
            <w:vAlign w:val="bottom"/>
          </w:tcPr>
          <w:p w14:paraId="18601DE4" w14:textId="77777777" w:rsidR="00A91885" w:rsidRDefault="009C4196">
            <w:pPr>
              <w:textAlignment w:val="bottom"/>
            </w:pPr>
            <w:r>
              <w:rPr>
                <w:rFonts w:ascii="Arial" w:eastAsia="宋体" w:hAnsi="Arial" w:cs="Arial"/>
                <w:b/>
                <w:bCs/>
                <w:color w:val="000000"/>
                <w:sz w:val="17"/>
                <w:szCs w:val="17"/>
              </w:rPr>
              <w:t> </w:t>
            </w:r>
          </w:p>
        </w:tc>
        <w:tc>
          <w:tcPr>
            <w:tcW w:w="0" w:type="auto"/>
            <w:gridSpan w:val="15"/>
            <w:shd w:val="clear" w:color="auto" w:fill="auto"/>
            <w:tcMar>
              <w:top w:w="40" w:type="dxa"/>
              <w:left w:w="20" w:type="dxa"/>
              <w:bottom w:w="40" w:type="dxa"/>
              <w:right w:w="20" w:type="dxa"/>
            </w:tcMar>
            <w:vAlign w:val="bottom"/>
          </w:tcPr>
          <w:p w14:paraId="18601DE5"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 2022</w:t>
            </w:r>
          </w:p>
        </w:tc>
        <w:tc>
          <w:tcPr>
            <w:tcW w:w="0" w:type="auto"/>
            <w:gridSpan w:val="3"/>
            <w:shd w:val="clear" w:color="auto" w:fill="auto"/>
            <w:tcMar>
              <w:top w:w="0" w:type="dxa"/>
              <w:left w:w="20" w:type="dxa"/>
              <w:bottom w:w="0" w:type="dxa"/>
              <w:right w:w="20" w:type="dxa"/>
            </w:tcMar>
            <w:vAlign w:val="bottom"/>
          </w:tcPr>
          <w:p w14:paraId="18601DE6"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1DE7" w14:textId="77777777" w:rsidR="00A91885" w:rsidRDefault="009C4196">
            <w:pPr>
              <w:jc w:val="center"/>
              <w:textAlignment w:val="bottom"/>
            </w:pPr>
            <w:r>
              <w:rPr>
                <w:rFonts w:ascii="Arial" w:eastAsia="宋体" w:hAnsi="Arial" w:cs="Arial"/>
                <w:b/>
                <w:bCs/>
                <w:color w:val="000000"/>
                <w:sz w:val="17"/>
                <w:szCs w:val="17"/>
              </w:rPr>
              <w:t>Six Months Ended</w:t>
            </w:r>
            <w:r>
              <w:rPr>
                <w:rFonts w:ascii="Arial" w:eastAsia="宋体" w:hAnsi="Arial" w:cs="Arial"/>
                <w:b/>
                <w:bCs/>
                <w:color w:val="000000"/>
                <w:sz w:val="17"/>
                <w:szCs w:val="17"/>
              </w:rPr>
              <w:br/>
              <w:t>June 30, 2021</w:t>
            </w:r>
          </w:p>
        </w:tc>
        <w:tc>
          <w:tcPr>
            <w:tcW w:w="0" w:type="auto"/>
            <w:gridSpan w:val="3"/>
            <w:shd w:val="clear" w:color="auto" w:fill="auto"/>
            <w:tcMar>
              <w:top w:w="0" w:type="dxa"/>
              <w:left w:w="20" w:type="dxa"/>
              <w:bottom w:w="0" w:type="dxa"/>
              <w:right w:w="20" w:type="dxa"/>
            </w:tcMar>
            <w:vAlign w:val="bottom"/>
          </w:tcPr>
          <w:p w14:paraId="18601DE8" w14:textId="77777777" w:rsidR="00A91885" w:rsidRDefault="00A91885">
            <w:pPr>
              <w:rPr>
                <w:rFonts w:ascii="宋体"/>
              </w:rPr>
            </w:pPr>
          </w:p>
        </w:tc>
        <w:tc>
          <w:tcPr>
            <w:tcW w:w="0" w:type="auto"/>
            <w:gridSpan w:val="9"/>
            <w:shd w:val="clear" w:color="auto" w:fill="auto"/>
            <w:tcMar>
              <w:top w:w="40" w:type="dxa"/>
              <w:left w:w="20" w:type="dxa"/>
              <w:bottom w:w="40" w:type="dxa"/>
              <w:right w:w="20" w:type="dxa"/>
            </w:tcMar>
            <w:vAlign w:val="bottom"/>
          </w:tcPr>
          <w:p w14:paraId="18601DE9" w14:textId="77777777" w:rsidR="00A91885" w:rsidRDefault="009C4196">
            <w:pPr>
              <w:jc w:val="center"/>
              <w:textAlignment w:val="bottom"/>
            </w:pPr>
            <w:r>
              <w:rPr>
                <w:rFonts w:ascii="Arial" w:eastAsia="宋体" w:hAnsi="Arial" w:cs="Arial"/>
                <w:b/>
                <w:bCs/>
                <w:color w:val="000000"/>
                <w:sz w:val="17"/>
                <w:szCs w:val="17"/>
              </w:rPr>
              <w:t>% Change</w:t>
            </w:r>
          </w:p>
        </w:tc>
      </w:tr>
      <w:tr w:rsidR="00A91885" w14:paraId="18601DF8" w14:textId="77777777">
        <w:tc>
          <w:tcPr>
            <w:tcW w:w="0" w:type="auto"/>
            <w:gridSpan w:val="3"/>
            <w:shd w:val="clear" w:color="auto" w:fill="auto"/>
            <w:tcMar>
              <w:top w:w="40" w:type="dxa"/>
              <w:left w:w="20" w:type="dxa"/>
              <w:bottom w:w="40" w:type="dxa"/>
              <w:right w:w="20" w:type="dxa"/>
            </w:tcMar>
            <w:vAlign w:val="bottom"/>
          </w:tcPr>
          <w:p w14:paraId="18601DEB" w14:textId="77777777" w:rsidR="00A91885" w:rsidRDefault="009C4196">
            <w:pPr>
              <w:textAlignment w:val="bottom"/>
            </w:pPr>
            <w:r>
              <w:rPr>
                <w:rFonts w:ascii="Arial" w:eastAsia="宋体" w:hAnsi="Arial" w:cs="Arial"/>
                <w:b/>
                <w:bCs/>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DEC" w14:textId="77777777" w:rsidR="00A91885" w:rsidRDefault="009C4196">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DED"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DEE" w14:textId="77777777" w:rsidR="00A91885" w:rsidRDefault="009C4196">
            <w:pPr>
              <w:jc w:val="center"/>
              <w:textAlignment w:val="bottom"/>
            </w:pPr>
            <w:r>
              <w:rPr>
                <w:rFonts w:ascii="Arial" w:eastAsia="宋体" w:hAnsi="Arial" w:cs="Arial"/>
                <w:b/>
                <w:bCs/>
                <w:color w:val="000000"/>
                <w:sz w:val="17"/>
                <w:szCs w:val="17"/>
              </w:rPr>
              <w:t xml:space="preserve">Exchange Rate </w:t>
            </w:r>
          </w:p>
          <w:p w14:paraId="18601DEF" w14:textId="77777777" w:rsidR="00A91885" w:rsidRDefault="009C4196">
            <w:pPr>
              <w:jc w:val="center"/>
              <w:textAlignment w:val="bottom"/>
            </w:pPr>
            <w:r>
              <w:rPr>
                <w:rFonts w:ascii="Arial" w:eastAsia="宋体" w:hAnsi="Arial" w:cs="Arial"/>
                <w:b/>
                <w:bCs/>
                <w:color w:val="000000"/>
                <w:sz w:val="17"/>
                <w:szCs w:val="17"/>
              </w:rPr>
              <w:t xml:space="preserve">Effect </w:t>
            </w:r>
            <w:r>
              <w:rPr>
                <w:rFonts w:ascii="Arial" w:eastAsia="宋体" w:hAnsi="Arial" w:cs="Arial"/>
                <w:b/>
                <w:bCs/>
                <w:color w:val="000000"/>
                <w:sz w:val="11"/>
                <w:szCs w:val="11"/>
              </w:rPr>
              <w:t>(1)(3)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DF0"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DF1" w14:textId="77777777" w:rsidR="00A91885" w:rsidRDefault="009C4196">
            <w:pPr>
              <w:jc w:val="center"/>
              <w:textAlignment w:val="bottom"/>
            </w:pPr>
            <w:r>
              <w:rPr>
                <w:rFonts w:ascii="Arial" w:eastAsia="宋体" w:hAnsi="Arial" w:cs="Arial"/>
                <w:b/>
                <w:bCs/>
                <w:color w:val="000000"/>
                <w:sz w:val="17"/>
                <w:szCs w:val="17"/>
              </w:rPr>
              <w:t xml:space="preserve">FX-Neutral </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18601DF2"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DF3" w14:textId="77777777" w:rsidR="00A91885" w:rsidRDefault="009C4196">
            <w:pPr>
              <w:jc w:val="center"/>
              <w:textAlignment w:val="bottom"/>
            </w:pPr>
            <w:r>
              <w:rPr>
                <w:rFonts w:ascii="Arial" w:eastAsia="宋体" w:hAnsi="Arial" w:cs="Arial"/>
                <w:b/>
                <w:bCs/>
                <w:color w:val="000000"/>
                <w:sz w:val="17"/>
                <w:szCs w:val="17"/>
              </w:rPr>
              <w:t xml:space="preserve">As Reported </w:t>
            </w:r>
            <w:r>
              <w:rPr>
                <w:rFonts w:ascii="Arial" w:eastAsia="宋体" w:hAnsi="Arial" w:cs="Arial"/>
                <w:b/>
                <w:bCs/>
                <w:color w:val="000000"/>
                <w:sz w:val="11"/>
                <w:szCs w:val="11"/>
              </w:rPr>
              <w:t>(4)</w:t>
            </w:r>
          </w:p>
        </w:tc>
        <w:tc>
          <w:tcPr>
            <w:tcW w:w="0" w:type="auto"/>
            <w:gridSpan w:val="3"/>
            <w:shd w:val="clear" w:color="auto" w:fill="auto"/>
            <w:tcMar>
              <w:top w:w="0" w:type="dxa"/>
              <w:left w:w="20" w:type="dxa"/>
              <w:bottom w:w="0" w:type="dxa"/>
              <w:right w:w="20" w:type="dxa"/>
            </w:tcMar>
            <w:vAlign w:val="bottom"/>
          </w:tcPr>
          <w:p w14:paraId="18601DF4"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DF5" w14:textId="77777777" w:rsidR="00A91885" w:rsidRDefault="009C4196">
            <w:pPr>
              <w:jc w:val="center"/>
              <w:textAlignment w:val="bottom"/>
            </w:pPr>
            <w:r>
              <w:rPr>
                <w:rFonts w:ascii="Arial" w:eastAsia="宋体" w:hAnsi="Arial" w:cs="Arial"/>
                <w:b/>
                <w:bCs/>
                <w:color w:val="000000"/>
                <w:sz w:val="17"/>
                <w:szCs w:val="17"/>
              </w:rPr>
              <w:t>As Reported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DF6"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DF7" w14:textId="77777777" w:rsidR="00A91885" w:rsidRDefault="009C4196">
            <w:pPr>
              <w:jc w:val="center"/>
              <w:textAlignment w:val="bottom"/>
            </w:pPr>
            <w:r>
              <w:rPr>
                <w:rFonts w:ascii="Arial" w:eastAsia="宋体" w:hAnsi="Arial" w:cs="Arial"/>
                <w:b/>
                <w:bCs/>
                <w:color w:val="000000"/>
                <w:sz w:val="17"/>
                <w:szCs w:val="17"/>
              </w:rPr>
              <w:t>FX-Neutral</w:t>
            </w:r>
          </w:p>
        </w:tc>
      </w:tr>
      <w:tr w:rsidR="00A91885" w14:paraId="18601E0F" w14:textId="77777777">
        <w:tc>
          <w:tcPr>
            <w:tcW w:w="0" w:type="auto"/>
            <w:gridSpan w:val="3"/>
            <w:shd w:val="clear" w:color="auto" w:fill="E1E1E1"/>
            <w:tcMar>
              <w:top w:w="40" w:type="dxa"/>
              <w:left w:w="20" w:type="dxa"/>
              <w:bottom w:w="40" w:type="dxa"/>
              <w:right w:w="20" w:type="dxa"/>
            </w:tcMar>
            <w:vAlign w:val="bottom"/>
          </w:tcPr>
          <w:p w14:paraId="18601DF9" w14:textId="77777777" w:rsidR="00A91885" w:rsidRDefault="009C4196">
            <w:pPr>
              <w:textAlignment w:val="bottom"/>
            </w:pPr>
            <w:r>
              <w:rPr>
                <w:rFonts w:ascii="Arial" w:eastAsia="宋体" w:hAnsi="Arial" w:cs="Arial"/>
                <w:b/>
                <w:bCs/>
                <w:color w:val="000000"/>
                <w:sz w:val="18"/>
                <w:szCs w:val="18"/>
              </w:rPr>
              <w:t>GMV</w:t>
            </w:r>
          </w:p>
        </w:tc>
        <w:tc>
          <w:tcPr>
            <w:tcW w:w="0" w:type="auto"/>
            <w:tcBorders>
              <w:top w:val="single" w:sz="8" w:space="0" w:color="000000"/>
            </w:tcBorders>
            <w:shd w:val="clear" w:color="auto" w:fill="E1E1E1"/>
            <w:tcMar>
              <w:top w:w="40" w:type="dxa"/>
              <w:left w:w="20" w:type="dxa"/>
              <w:bottom w:w="40" w:type="dxa"/>
              <w:right w:w="0" w:type="dxa"/>
            </w:tcMar>
            <w:vAlign w:val="bottom"/>
          </w:tcPr>
          <w:p w14:paraId="18601DF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601DFB" w14:textId="77777777" w:rsidR="00A91885" w:rsidRDefault="009C4196">
            <w:pPr>
              <w:jc w:val="right"/>
              <w:textAlignment w:val="bottom"/>
            </w:pPr>
            <w:r>
              <w:rPr>
                <w:rFonts w:ascii="Arial" w:eastAsia="宋体" w:hAnsi="Arial" w:cs="Arial"/>
                <w:color w:val="000000"/>
                <w:sz w:val="18"/>
                <w:szCs w:val="18"/>
              </w:rPr>
              <w:t>37,958 </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DFC"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DFD"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601DF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601DFF" w14:textId="77777777" w:rsidR="00A91885" w:rsidRDefault="009C4196">
            <w:pPr>
              <w:jc w:val="right"/>
              <w:textAlignment w:val="bottom"/>
            </w:pPr>
            <w:r>
              <w:rPr>
                <w:rFonts w:ascii="Arial" w:eastAsia="宋体" w:hAnsi="Arial" w:cs="Arial"/>
                <w:color w:val="000000"/>
                <w:sz w:val="18"/>
                <w:szCs w:val="18"/>
              </w:rPr>
              <w:t>(1,431)</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E00"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E01"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601E0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601E03" w14:textId="77777777" w:rsidR="00A91885" w:rsidRDefault="009C4196">
            <w:pPr>
              <w:jc w:val="right"/>
              <w:textAlignment w:val="bottom"/>
            </w:pPr>
            <w:r>
              <w:rPr>
                <w:rFonts w:ascii="Arial" w:eastAsia="宋体" w:hAnsi="Arial" w:cs="Arial"/>
                <w:color w:val="000000"/>
                <w:sz w:val="18"/>
                <w:szCs w:val="18"/>
              </w:rPr>
              <w:t>39,389 </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E04"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E05" w14:textId="77777777" w:rsidR="00A91885" w:rsidRDefault="00A91885">
            <w:pPr>
              <w:rPr>
                <w:rFonts w:ascii="宋体"/>
              </w:rPr>
            </w:pPr>
          </w:p>
        </w:tc>
        <w:tc>
          <w:tcPr>
            <w:tcW w:w="0" w:type="auto"/>
            <w:tcBorders>
              <w:top w:val="single" w:sz="8" w:space="0" w:color="000000"/>
            </w:tcBorders>
            <w:shd w:val="clear" w:color="auto" w:fill="E1E1E1"/>
            <w:tcMar>
              <w:top w:w="40" w:type="dxa"/>
              <w:left w:w="20" w:type="dxa"/>
              <w:bottom w:w="40" w:type="dxa"/>
              <w:right w:w="0" w:type="dxa"/>
            </w:tcMar>
            <w:vAlign w:val="bottom"/>
          </w:tcPr>
          <w:p w14:paraId="18601E0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1E1E1"/>
            <w:tcMar>
              <w:top w:w="40" w:type="dxa"/>
              <w:left w:w="0" w:type="dxa"/>
              <w:bottom w:w="40" w:type="dxa"/>
              <w:right w:w="0" w:type="dxa"/>
            </w:tcMar>
            <w:vAlign w:val="bottom"/>
          </w:tcPr>
          <w:p w14:paraId="18601E07" w14:textId="77777777" w:rsidR="00A91885" w:rsidRDefault="009C4196">
            <w:pPr>
              <w:jc w:val="right"/>
              <w:textAlignment w:val="bottom"/>
            </w:pPr>
            <w:r>
              <w:rPr>
                <w:rFonts w:ascii="Arial" w:eastAsia="宋体" w:hAnsi="Arial" w:cs="Arial"/>
                <w:color w:val="000000"/>
                <w:sz w:val="18"/>
                <w:szCs w:val="18"/>
              </w:rPr>
              <w:t>46,714 </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E08"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E09"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601E0A" w14:textId="77777777" w:rsidR="00A91885" w:rsidRDefault="009C4196">
            <w:pPr>
              <w:jc w:val="right"/>
              <w:textAlignment w:val="bottom"/>
            </w:pPr>
            <w:r>
              <w:rPr>
                <w:rFonts w:ascii="Arial" w:eastAsia="宋体" w:hAnsi="Arial" w:cs="Arial"/>
                <w:color w:val="000000"/>
                <w:sz w:val="18"/>
                <w:szCs w:val="18"/>
              </w:rPr>
              <w:t>(19)</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E0B"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1E1E1"/>
            <w:tcMar>
              <w:top w:w="0" w:type="dxa"/>
              <w:left w:w="20" w:type="dxa"/>
              <w:bottom w:w="0" w:type="dxa"/>
              <w:right w:w="20" w:type="dxa"/>
            </w:tcMar>
            <w:vAlign w:val="bottom"/>
          </w:tcPr>
          <w:p w14:paraId="18601E0C" w14:textId="77777777" w:rsidR="00A91885" w:rsidRDefault="00A91885">
            <w:pPr>
              <w:rPr>
                <w:rFonts w:ascii="宋体"/>
              </w:rPr>
            </w:pPr>
          </w:p>
        </w:tc>
        <w:tc>
          <w:tcPr>
            <w:tcW w:w="0" w:type="auto"/>
            <w:gridSpan w:val="2"/>
            <w:tcBorders>
              <w:top w:val="single" w:sz="8" w:space="0" w:color="000000"/>
            </w:tcBorders>
            <w:shd w:val="clear" w:color="auto" w:fill="E1E1E1"/>
            <w:tcMar>
              <w:top w:w="40" w:type="dxa"/>
              <w:left w:w="20" w:type="dxa"/>
              <w:bottom w:w="40" w:type="dxa"/>
              <w:right w:w="0" w:type="dxa"/>
            </w:tcMar>
            <w:vAlign w:val="bottom"/>
          </w:tcPr>
          <w:p w14:paraId="18601E0D" w14:textId="77777777" w:rsidR="00A91885" w:rsidRDefault="009C4196">
            <w:pPr>
              <w:jc w:val="right"/>
              <w:textAlignment w:val="bottom"/>
            </w:pPr>
            <w:r>
              <w:rPr>
                <w:rFonts w:ascii="Arial" w:eastAsia="宋体" w:hAnsi="Arial" w:cs="Arial"/>
                <w:color w:val="000000"/>
                <w:sz w:val="18"/>
                <w:szCs w:val="18"/>
              </w:rPr>
              <w:t>(16)</w:t>
            </w:r>
          </w:p>
        </w:tc>
        <w:tc>
          <w:tcPr>
            <w:tcW w:w="0" w:type="auto"/>
            <w:tcBorders>
              <w:top w:val="single" w:sz="8" w:space="0" w:color="000000"/>
            </w:tcBorders>
            <w:shd w:val="clear" w:color="auto" w:fill="E1E1E1"/>
            <w:tcMar>
              <w:top w:w="40" w:type="dxa"/>
              <w:left w:w="0" w:type="dxa"/>
              <w:bottom w:w="40" w:type="dxa"/>
              <w:right w:w="20" w:type="dxa"/>
            </w:tcMar>
            <w:vAlign w:val="bottom"/>
          </w:tcPr>
          <w:p w14:paraId="18601E0E" w14:textId="77777777" w:rsidR="00A91885" w:rsidRDefault="009C4196">
            <w:pPr>
              <w:jc w:val="right"/>
              <w:textAlignment w:val="bottom"/>
            </w:pPr>
            <w:r>
              <w:rPr>
                <w:rFonts w:ascii="Arial" w:eastAsia="宋体" w:hAnsi="Arial" w:cs="Arial"/>
                <w:color w:val="000000"/>
                <w:sz w:val="18"/>
                <w:szCs w:val="18"/>
              </w:rPr>
              <w:t>%</w:t>
            </w:r>
          </w:p>
        </w:tc>
      </w:tr>
      <w:tr w:rsidR="00A91885" w14:paraId="18601E1C" w14:textId="77777777">
        <w:trPr>
          <w:hidden/>
        </w:trPr>
        <w:tc>
          <w:tcPr>
            <w:tcW w:w="0" w:type="auto"/>
            <w:gridSpan w:val="3"/>
            <w:shd w:val="clear" w:color="auto" w:fill="auto"/>
            <w:vAlign w:val="bottom"/>
          </w:tcPr>
          <w:p w14:paraId="18601E10" w14:textId="77777777" w:rsidR="00A91885" w:rsidRDefault="00A91885">
            <w:pPr>
              <w:rPr>
                <w:rFonts w:ascii="宋体"/>
                <w:vanish/>
              </w:rPr>
            </w:pPr>
          </w:p>
        </w:tc>
        <w:tc>
          <w:tcPr>
            <w:tcW w:w="0" w:type="auto"/>
            <w:gridSpan w:val="3"/>
            <w:shd w:val="clear" w:color="auto" w:fill="auto"/>
            <w:vAlign w:val="bottom"/>
          </w:tcPr>
          <w:p w14:paraId="18601E11" w14:textId="77777777" w:rsidR="00A91885" w:rsidRDefault="00A91885">
            <w:pPr>
              <w:rPr>
                <w:rFonts w:ascii="宋体"/>
                <w:vanish/>
              </w:rPr>
            </w:pPr>
          </w:p>
        </w:tc>
        <w:tc>
          <w:tcPr>
            <w:tcW w:w="0" w:type="auto"/>
            <w:gridSpan w:val="3"/>
            <w:shd w:val="clear" w:color="auto" w:fill="auto"/>
            <w:vAlign w:val="bottom"/>
          </w:tcPr>
          <w:p w14:paraId="18601E12" w14:textId="77777777" w:rsidR="00A91885" w:rsidRDefault="00A91885">
            <w:pPr>
              <w:rPr>
                <w:rFonts w:ascii="宋体"/>
                <w:vanish/>
              </w:rPr>
            </w:pPr>
          </w:p>
        </w:tc>
        <w:tc>
          <w:tcPr>
            <w:tcW w:w="0" w:type="auto"/>
            <w:gridSpan w:val="3"/>
            <w:shd w:val="clear" w:color="auto" w:fill="auto"/>
            <w:vAlign w:val="bottom"/>
          </w:tcPr>
          <w:p w14:paraId="18601E13" w14:textId="77777777" w:rsidR="00A91885" w:rsidRDefault="00A91885">
            <w:pPr>
              <w:rPr>
                <w:rFonts w:ascii="宋体"/>
                <w:vanish/>
              </w:rPr>
            </w:pPr>
          </w:p>
        </w:tc>
        <w:tc>
          <w:tcPr>
            <w:tcW w:w="0" w:type="auto"/>
            <w:gridSpan w:val="3"/>
            <w:shd w:val="clear" w:color="auto" w:fill="auto"/>
            <w:vAlign w:val="bottom"/>
          </w:tcPr>
          <w:p w14:paraId="18601E14" w14:textId="77777777" w:rsidR="00A91885" w:rsidRDefault="00A91885">
            <w:pPr>
              <w:rPr>
                <w:rFonts w:ascii="宋体"/>
                <w:vanish/>
              </w:rPr>
            </w:pPr>
          </w:p>
        </w:tc>
        <w:tc>
          <w:tcPr>
            <w:tcW w:w="0" w:type="auto"/>
            <w:gridSpan w:val="3"/>
            <w:shd w:val="clear" w:color="auto" w:fill="auto"/>
            <w:vAlign w:val="bottom"/>
          </w:tcPr>
          <w:p w14:paraId="18601E15" w14:textId="77777777" w:rsidR="00A91885" w:rsidRDefault="00A91885">
            <w:pPr>
              <w:rPr>
                <w:rFonts w:ascii="宋体"/>
                <w:vanish/>
              </w:rPr>
            </w:pPr>
          </w:p>
        </w:tc>
        <w:tc>
          <w:tcPr>
            <w:tcW w:w="0" w:type="auto"/>
            <w:gridSpan w:val="3"/>
            <w:shd w:val="clear" w:color="auto" w:fill="auto"/>
            <w:vAlign w:val="bottom"/>
          </w:tcPr>
          <w:p w14:paraId="18601E16" w14:textId="77777777" w:rsidR="00A91885" w:rsidRDefault="00A91885">
            <w:pPr>
              <w:rPr>
                <w:rFonts w:ascii="宋体"/>
                <w:vanish/>
              </w:rPr>
            </w:pPr>
          </w:p>
        </w:tc>
        <w:tc>
          <w:tcPr>
            <w:tcW w:w="0" w:type="auto"/>
            <w:gridSpan w:val="3"/>
            <w:shd w:val="clear" w:color="auto" w:fill="auto"/>
            <w:vAlign w:val="bottom"/>
          </w:tcPr>
          <w:p w14:paraId="18601E17" w14:textId="77777777" w:rsidR="00A91885" w:rsidRDefault="00A91885">
            <w:pPr>
              <w:rPr>
                <w:rFonts w:ascii="宋体"/>
                <w:vanish/>
              </w:rPr>
            </w:pPr>
          </w:p>
        </w:tc>
        <w:tc>
          <w:tcPr>
            <w:tcW w:w="0" w:type="auto"/>
            <w:gridSpan w:val="3"/>
            <w:shd w:val="clear" w:color="auto" w:fill="auto"/>
            <w:vAlign w:val="bottom"/>
          </w:tcPr>
          <w:p w14:paraId="18601E18" w14:textId="77777777" w:rsidR="00A91885" w:rsidRDefault="00A91885">
            <w:pPr>
              <w:rPr>
                <w:rFonts w:ascii="宋体"/>
                <w:vanish/>
              </w:rPr>
            </w:pPr>
          </w:p>
        </w:tc>
        <w:tc>
          <w:tcPr>
            <w:tcW w:w="0" w:type="auto"/>
            <w:gridSpan w:val="3"/>
            <w:shd w:val="clear" w:color="auto" w:fill="auto"/>
            <w:vAlign w:val="bottom"/>
          </w:tcPr>
          <w:p w14:paraId="18601E19" w14:textId="77777777" w:rsidR="00A91885" w:rsidRDefault="00A91885">
            <w:pPr>
              <w:rPr>
                <w:rFonts w:ascii="宋体"/>
                <w:vanish/>
              </w:rPr>
            </w:pPr>
          </w:p>
        </w:tc>
        <w:tc>
          <w:tcPr>
            <w:tcW w:w="0" w:type="auto"/>
            <w:gridSpan w:val="3"/>
            <w:shd w:val="clear" w:color="auto" w:fill="auto"/>
            <w:vAlign w:val="bottom"/>
          </w:tcPr>
          <w:p w14:paraId="18601E1A" w14:textId="77777777" w:rsidR="00A91885" w:rsidRDefault="00A91885">
            <w:pPr>
              <w:rPr>
                <w:rFonts w:ascii="宋体"/>
                <w:vanish/>
              </w:rPr>
            </w:pPr>
          </w:p>
        </w:tc>
        <w:tc>
          <w:tcPr>
            <w:tcW w:w="0" w:type="auto"/>
            <w:gridSpan w:val="3"/>
            <w:shd w:val="clear" w:color="auto" w:fill="auto"/>
            <w:vAlign w:val="bottom"/>
          </w:tcPr>
          <w:p w14:paraId="18601E1B" w14:textId="77777777" w:rsidR="00A91885" w:rsidRDefault="00A91885">
            <w:pPr>
              <w:rPr>
                <w:rFonts w:ascii="宋体"/>
                <w:vanish/>
              </w:rPr>
            </w:pPr>
          </w:p>
        </w:tc>
      </w:tr>
      <w:tr w:rsidR="00A91885" w14:paraId="18601E29" w14:textId="77777777">
        <w:trPr>
          <w:hidden/>
        </w:trPr>
        <w:tc>
          <w:tcPr>
            <w:tcW w:w="0" w:type="auto"/>
            <w:gridSpan w:val="3"/>
            <w:shd w:val="clear" w:color="auto" w:fill="auto"/>
            <w:vAlign w:val="bottom"/>
          </w:tcPr>
          <w:p w14:paraId="18601E1D" w14:textId="77777777" w:rsidR="00A91885" w:rsidRDefault="00A91885">
            <w:pPr>
              <w:rPr>
                <w:rFonts w:ascii="宋体"/>
                <w:vanish/>
              </w:rPr>
            </w:pPr>
          </w:p>
        </w:tc>
        <w:tc>
          <w:tcPr>
            <w:tcW w:w="0" w:type="auto"/>
            <w:gridSpan w:val="3"/>
            <w:shd w:val="clear" w:color="auto" w:fill="auto"/>
            <w:vAlign w:val="bottom"/>
          </w:tcPr>
          <w:p w14:paraId="18601E1E" w14:textId="77777777" w:rsidR="00A91885" w:rsidRDefault="00A91885">
            <w:pPr>
              <w:rPr>
                <w:rFonts w:ascii="宋体"/>
                <w:vanish/>
              </w:rPr>
            </w:pPr>
          </w:p>
        </w:tc>
        <w:tc>
          <w:tcPr>
            <w:tcW w:w="0" w:type="auto"/>
            <w:gridSpan w:val="3"/>
            <w:shd w:val="clear" w:color="auto" w:fill="auto"/>
            <w:vAlign w:val="bottom"/>
          </w:tcPr>
          <w:p w14:paraId="18601E1F" w14:textId="77777777" w:rsidR="00A91885" w:rsidRDefault="00A91885">
            <w:pPr>
              <w:rPr>
                <w:rFonts w:ascii="宋体"/>
                <w:vanish/>
              </w:rPr>
            </w:pPr>
          </w:p>
        </w:tc>
        <w:tc>
          <w:tcPr>
            <w:tcW w:w="0" w:type="auto"/>
            <w:gridSpan w:val="3"/>
            <w:shd w:val="clear" w:color="auto" w:fill="auto"/>
            <w:vAlign w:val="bottom"/>
          </w:tcPr>
          <w:p w14:paraId="18601E20" w14:textId="77777777" w:rsidR="00A91885" w:rsidRDefault="00A91885">
            <w:pPr>
              <w:rPr>
                <w:rFonts w:ascii="宋体"/>
                <w:vanish/>
              </w:rPr>
            </w:pPr>
          </w:p>
        </w:tc>
        <w:tc>
          <w:tcPr>
            <w:tcW w:w="0" w:type="auto"/>
            <w:gridSpan w:val="3"/>
            <w:shd w:val="clear" w:color="auto" w:fill="auto"/>
            <w:vAlign w:val="bottom"/>
          </w:tcPr>
          <w:p w14:paraId="18601E21" w14:textId="77777777" w:rsidR="00A91885" w:rsidRDefault="00A91885">
            <w:pPr>
              <w:rPr>
                <w:rFonts w:ascii="宋体"/>
                <w:vanish/>
              </w:rPr>
            </w:pPr>
          </w:p>
        </w:tc>
        <w:tc>
          <w:tcPr>
            <w:tcW w:w="0" w:type="auto"/>
            <w:gridSpan w:val="3"/>
            <w:shd w:val="clear" w:color="auto" w:fill="auto"/>
            <w:vAlign w:val="bottom"/>
          </w:tcPr>
          <w:p w14:paraId="18601E22" w14:textId="77777777" w:rsidR="00A91885" w:rsidRDefault="00A91885">
            <w:pPr>
              <w:rPr>
                <w:rFonts w:ascii="宋体"/>
                <w:vanish/>
              </w:rPr>
            </w:pPr>
          </w:p>
        </w:tc>
        <w:tc>
          <w:tcPr>
            <w:tcW w:w="0" w:type="auto"/>
            <w:gridSpan w:val="3"/>
            <w:shd w:val="clear" w:color="auto" w:fill="auto"/>
            <w:vAlign w:val="bottom"/>
          </w:tcPr>
          <w:p w14:paraId="18601E23" w14:textId="77777777" w:rsidR="00A91885" w:rsidRDefault="00A91885">
            <w:pPr>
              <w:rPr>
                <w:rFonts w:ascii="宋体"/>
                <w:vanish/>
              </w:rPr>
            </w:pPr>
          </w:p>
        </w:tc>
        <w:tc>
          <w:tcPr>
            <w:tcW w:w="0" w:type="auto"/>
            <w:gridSpan w:val="3"/>
            <w:shd w:val="clear" w:color="auto" w:fill="auto"/>
            <w:vAlign w:val="bottom"/>
          </w:tcPr>
          <w:p w14:paraId="18601E24" w14:textId="77777777" w:rsidR="00A91885" w:rsidRDefault="00A91885">
            <w:pPr>
              <w:rPr>
                <w:rFonts w:ascii="宋体"/>
                <w:vanish/>
              </w:rPr>
            </w:pPr>
          </w:p>
        </w:tc>
        <w:tc>
          <w:tcPr>
            <w:tcW w:w="0" w:type="auto"/>
            <w:gridSpan w:val="3"/>
            <w:shd w:val="clear" w:color="auto" w:fill="auto"/>
            <w:vAlign w:val="bottom"/>
          </w:tcPr>
          <w:p w14:paraId="18601E25" w14:textId="77777777" w:rsidR="00A91885" w:rsidRDefault="00A91885">
            <w:pPr>
              <w:rPr>
                <w:rFonts w:ascii="宋体"/>
                <w:vanish/>
              </w:rPr>
            </w:pPr>
          </w:p>
        </w:tc>
        <w:tc>
          <w:tcPr>
            <w:tcW w:w="0" w:type="auto"/>
            <w:gridSpan w:val="3"/>
            <w:shd w:val="clear" w:color="auto" w:fill="auto"/>
            <w:vAlign w:val="bottom"/>
          </w:tcPr>
          <w:p w14:paraId="18601E26" w14:textId="77777777" w:rsidR="00A91885" w:rsidRDefault="00A91885">
            <w:pPr>
              <w:rPr>
                <w:rFonts w:ascii="宋体"/>
                <w:vanish/>
              </w:rPr>
            </w:pPr>
          </w:p>
        </w:tc>
        <w:tc>
          <w:tcPr>
            <w:tcW w:w="0" w:type="auto"/>
            <w:gridSpan w:val="3"/>
            <w:shd w:val="clear" w:color="auto" w:fill="auto"/>
            <w:vAlign w:val="bottom"/>
          </w:tcPr>
          <w:p w14:paraId="18601E27" w14:textId="77777777" w:rsidR="00A91885" w:rsidRDefault="00A91885">
            <w:pPr>
              <w:rPr>
                <w:rFonts w:ascii="宋体"/>
                <w:vanish/>
              </w:rPr>
            </w:pPr>
          </w:p>
        </w:tc>
        <w:tc>
          <w:tcPr>
            <w:tcW w:w="0" w:type="auto"/>
            <w:gridSpan w:val="3"/>
            <w:shd w:val="clear" w:color="auto" w:fill="auto"/>
            <w:vAlign w:val="bottom"/>
          </w:tcPr>
          <w:p w14:paraId="18601E28" w14:textId="77777777" w:rsidR="00A91885" w:rsidRDefault="00A91885">
            <w:pPr>
              <w:rPr>
                <w:rFonts w:ascii="宋体"/>
                <w:vanish/>
              </w:rPr>
            </w:pPr>
          </w:p>
        </w:tc>
      </w:tr>
      <w:tr w:rsidR="00A91885" w14:paraId="18601E36" w14:textId="77777777">
        <w:trPr>
          <w:trHeight w:val="160"/>
        </w:trPr>
        <w:tc>
          <w:tcPr>
            <w:tcW w:w="0" w:type="auto"/>
            <w:gridSpan w:val="3"/>
            <w:shd w:val="clear" w:color="auto" w:fill="FFFFFF"/>
            <w:tcMar>
              <w:top w:w="0" w:type="dxa"/>
              <w:left w:w="20" w:type="dxa"/>
              <w:bottom w:w="0" w:type="dxa"/>
              <w:right w:w="20" w:type="dxa"/>
            </w:tcMar>
            <w:vAlign w:val="bottom"/>
          </w:tcPr>
          <w:p w14:paraId="18601E2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E2B"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E2C"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E2D"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E2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E2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E30"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E31"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E32"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E33"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E34"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1E35" w14:textId="77777777" w:rsidR="00A91885" w:rsidRDefault="00A91885">
            <w:pPr>
              <w:rPr>
                <w:rFonts w:ascii="宋体"/>
              </w:rPr>
            </w:pPr>
          </w:p>
        </w:tc>
      </w:tr>
      <w:tr w:rsidR="00A91885" w14:paraId="18601E43" w14:textId="77777777">
        <w:tc>
          <w:tcPr>
            <w:tcW w:w="0" w:type="auto"/>
            <w:gridSpan w:val="3"/>
            <w:shd w:val="clear" w:color="auto" w:fill="E1E1E1"/>
            <w:tcMar>
              <w:top w:w="40" w:type="dxa"/>
              <w:left w:w="20" w:type="dxa"/>
              <w:bottom w:w="40" w:type="dxa"/>
              <w:right w:w="20" w:type="dxa"/>
            </w:tcMar>
            <w:vAlign w:val="bottom"/>
          </w:tcPr>
          <w:p w14:paraId="18601E37" w14:textId="77777777" w:rsidR="00A91885" w:rsidRDefault="009C4196">
            <w:pPr>
              <w:textAlignment w:val="bottom"/>
            </w:pPr>
            <w:r>
              <w:rPr>
                <w:rFonts w:ascii="Arial" w:eastAsia="宋体" w:hAnsi="Arial" w:cs="Arial"/>
                <w:b/>
                <w:bCs/>
                <w:color w:val="000000"/>
                <w:sz w:val="18"/>
                <w:szCs w:val="18"/>
              </w:rPr>
              <w:t>Net Revenues:</w:t>
            </w:r>
          </w:p>
        </w:tc>
        <w:tc>
          <w:tcPr>
            <w:tcW w:w="0" w:type="auto"/>
            <w:gridSpan w:val="3"/>
            <w:shd w:val="clear" w:color="auto" w:fill="E1E1E1"/>
            <w:tcMar>
              <w:top w:w="0" w:type="dxa"/>
              <w:left w:w="20" w:type="dxa"/>
              <w:bottom w:w="0" w:type="dxa"/>
              <w:right w:w="20" w:type="dxa"/>
            </w:tcMar>
            <w:vAlign w:val="bottom"/>
          </w:tcPr>
          <w:p w14:paraId="18601E38"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E39"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E3A"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E3B"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E3C"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E3D"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E3E"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E3F"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E40"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E41" w14:textId="77777777" w:rsidR="00A91885" w:rsidRDefault="00A91885">
            <w:pPr>
              <w:rPr>
                <w:rFonts w:ascii="宋体"/>
              </w:rPr>
            </w:pPr>
          </w:p>
        </w:tc>
        <w:tc>
          <w:tcPr>
            <w:tcW w:w="0" w:type="auto"/>
            <w:gridSpan w:val="3"/>
            <w:shd w:val="clear" w:color="auto" w:fill="E1E1E1"/>
            <w:tcMar>
              <w:top w:w="0" w:type="dxa"/>
              <w:left w:w="20" w:type="dxa"/>
              <w:bottom w:w="0" w:type="dxa"/>
              <w:right w:w="20" w:type="dxa"/>
            </w:tcMar>
            <w:vAlign w:val="bottom"/>
          </w:tcPr>
          <w:p w14:paraId="18601E42" w14:textId="77777777" w:rsidR="00A91885" w:rsidRDefault="00A91885">
            <w:pPr>
              <w:rPr>
                <w:rFonts w:ascii="宋体"/>
              </w:rPr>
            </w:pPr>
          </w:p>
        </w:tc>
      </w:tr>
      <w:tr w:rsidR="00A91885" w14:paraId="18601E5A" w14:textId="77777777">
        <w:tc>
          <w:tcPr>
            <w:tcW w:w="0" w:type="auto"/>
            <w:gridSpan w:val="3"/>
            <w:shd w:val="clear" w:color="auto" w:fill="FFFFFF"/>
            <w:tcMar>
              <w:top w:w="40" w:type="dxa"/>
              <w:left w:w="140" w:type="dxa"/>
              <w:bottom w:w="40" w:type="dxa"/>
              <w:right w:w="20" w:type="dxa"/>
            </w:tcMar>
            <w:vAlign w:val="bottom"/>
          </w:tcPr>
          <w:p w14:paraId="18601E44" w14:textId="77777777" w:rsidR="00A91885" w:rsidRDefault="009C4196">
            <w:pPr>
              <w:textAlignment w:val="bottom"/>
            </w:pPr>
            <w:r>
              <w:rPr>
                <w:rFonts w:ascii="Arial" w:eastAsia="宋体" w:hAnsi="Arial" w:cs="Arial"/>
                <w:color w:val="000000"/>
                <w:sz w:val="18"/>
                <w:szCs w:val="18"/>
              </w:rPr>
              <w:t>Net transaction revenues</w:t>
            </w:r>
          </w:p>
        </w:tc>
        <w:tc>
          <w:tcPr>
            <w:tcW w:w="0" w:type="auto"/>
            <w:shd w:val="clear" w:color="auto" w:fill="FFFFFF"/>
            <w:tcMar>
              <w:top w:w="40" w:type="dxa"/>
              <w:left w:w="20" w:type="dxa"/>
              <w:bottom w:w="40" w:type="dxa"/>
              <w:right w:w="0" w:type="dxa"/>
            </w:tcMar>
            <w:vAlign w:val="bottom"/>
          </w:tcPr>
          <w:p w14:paraId="18601E45"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E46" w14:textId="77777777" w:rsidR="00A91885" w:rsidRDefault="009C4196">
            <w:pPr>
              <w:jc w:val="right"/>
              <w:textAlignment w:val="bottom"/>
            </w:pPr>
            <w:r>
              <w:rPr>
                <w:rFonts w:ascii="Arial" w:eastAsia="宋体" w:hAnsi="Arial" w:cs="Arial"/>
                <w:color w:val="000000"/>
                <w:sz w:val="18"/>
                <w:szCs w:val="18"/>
              </w:rPr>
              <w:t>4,652 </w:t>
            </w:r>
          </w:p>
        </w:tc>
        <w:tc>
          <w:tcPr>
            <w:tcW w:w="0" w:type="auto"/>
            <w:shd w:val="clear" w:color="auto" w:fill="FFFFFF"/>
            <w:tcMar>
              <w:top w:w="40" w:type="dxa"/>
              <w:left w:w="0" w:type="dxa"/>
              <w:bottom w:w="40" w:type="dxa"/>
              <w:right w:w="20" w:type="dxa"/>
            </w:tcMar>
            <w:vAlign w:val="bottom"/>
          </w:tcPr>
          <w:p w14:paraId="18601E47"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E48"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E49"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E4A" w14:textId="77777777" w:rsidR="00A91885" w:rsidRDefault="009C4196">
            <w:pPr>
              <w:jc w:val="right"/>
              <w:textAlignment w:val="bottom"/>
            </w:pPr>
            <w:r>
              <w:rPr>
                <w:rFonts w:ascii="Arial" w:eastAsia="宋体" w:hAnsi="Arial" w:cs="Arial"/>
                <w:color w:val="000000"/>
                <w:sz w:val="18"/>
                <w:szCs w:val="18"/>
              </w:rPr>
              <w:t>(147)</w:t>
            </w:r>
          </w:p>
        </w:tc>
        <w:tc>
          <w:tcPr>
            <w:tcW w:w="0" w:type="auto"/>
            <w:shd w:val="clear" w:color="auto" w:fill="FFFFFF"/>
            <w:tcMar>
              <w:top w:w="40" w:type="dxa"/>
              <w:left w:w="0" w:type="dxa"/>
              <w:bottom w:w="40" w:type="dxa"/>
              <w:right w:w="20" w:type="dxa"/>
            </w:tcMar>
            <w:vAlign w:val="bottom"/>
          </w:tcPr>
          <w:p w14:paraId="18601E4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E4C"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E4D"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E4E" w14:textId="77777777" w:rsidR="00A91885" w:rsidRDefault="009C4196">
            <w:pPr>
              <w:jc w:val="right"/>
              <w:textAlignment w:val="bottom"/>
            </w:pPr>
            <w:r>
              <w:rPr>
                <w:rFonts w:ascii="Arial" w:eastAsia="宋体" w:hAnsi="Arial" w:cs="Arial"/>
                <w:color w:val="000000"/>
                <w:sz w:val="18"/>
                <w:szCs w:val="18"/>
              </w:rPr>
              <w:t>4,799 </w:t>
            </w:r>
          </w:p>
        </w:tc>
        <w:tc>
          <w:tcPr>
            <w:tcW w:w="0" w:type="auto"/>
            <w:shd w:val="clear" w:color="auto" w:fill="FFFFFF"/>
            <w:tcMar>
              <w:top w:w="40" w:type="dxa"/>
              <w:left w:w="0" w:type="dxa"/>
              <w:bottom w:w="40" w:type="dxa"/>
              <w:right w:w="20" w:type="dxa"/>
            </w:tcMar>
            <w:vAlign w:val="bottom"/>
          </w:tcPr>
          <w:p w14:paraId="18601E4F"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E50"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E51"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E52" w14:textId="77777777" w:rsidR="00A91885" w:rsidRDefault="009C4196">
            <w:pPr>
              <w:jc w:val="right"/>
              <w:textAlignment w:val="bottom"/>
            </w:pPr>
            <w:r>
              <w:rPr>
                <w:rFonts w:ascii="Arial" w:eastAsia="宋体" w:hAnsi="Arial" w:cs="Arial"/>
                <w:color w:val="000000"/>
                <w:sz w:val="18"/>
                <w:szCs w:val="18"/>
              </w:rPr>
              <w:t>4,972 </w:t>
            </w:r>
          </w:p>
        </w:tc>
        <w:tc>
          <w:tcPr>
            <w:tcW w:w="0" w:type="auto"/>
            <w:shd w:val="clear" w:color="auto" w:fill="FFFFFF"/>
            <w:tcMar>
              <w:top w:w="40" w:type="dxa"/>
              <w:left w:w="0" w:type="dxa"/>
              <w:bottom w:w="40" w:type="dxa"/>
              <w:right w:w="20" w:type="dxa"/>
            </w:tcMar>
            <w:vAlign w:val="bottom"/>
          </w:tcPr>
          <w:p w14:paraId="18601E53"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E54"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E55" w14:textId="77777777" w:rsidR="00A91885" w:rsidRDefault="009C4196">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18601E56"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E57"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E58" w14:textId="77777777" w:rsidR="00A91885" w:rsidRDefault="009C4196">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18601E59" w14:textId="77777777" w:rsidR="00A91885" w:rsidRDefault="009C4196">
            <w:pPr>
              <w:jc w:val="right"/>
              <w:textAlignment w:val="bottom"/>
            </w:pPr>
            <w:r>
              <w:rPr>
                <w:rFonts w:ascii="Arial" w:eastAsia="宋体" w:hAnsi="Arial" w:cs="Arial"/>
                <w:color w:val="000000"/>
                <w:sz w:val="18"/>
                <w:szCs w:val="18"/>
              </w:rPr>
              <w:t>%</w:t>
            </w:r>
          </w:p>
        </w:tc>
      </w:tr>
      <w:tr w:rsidR="00A91885" w14:paraId="18601E67" w14:textId="77777777">
        <w:trPr>
          <w:hidden/>
        </w:trPr>
        <w:tc>
          <w:tcPr>
            <w:tcW w:w="0" w:type="auto"/>
            <w:gridSpan w:val="3"/>
            <w:shd w:val="clear" w:color="auto" w:fill="auto"/>
            <w:vAlign w:val="bottom"/>
          </w:tcPr>
          <w:p w14:paraId="18601E5B" w14:textId="77777777" w:rsidR="00A91885" w:rsidRDefault="00A91885">
            <w:pPr>
              <w:rPr>
                <w:rFonts w:ascii="宋体"/>
                <w:vanish/>
              </w:rPr>
            </w:pPr>
          </w:p>
        </w:tc>
        <w:tc>
          <w:tcPr>
            <w:tcW w:w="0" w:type="auto"/>
            <w:gridSpan w:val="3"/>
            <w:shd w:val="clear" w:color="auto" w:fill="auto"/>
            <w:vAlign w:val="bottom"/>
          </w:tcPr>
          <w:p w14:paraId="18601E5C" w14:textId="77777777" w:rsidR="00A91885" w:rsidRDefault="00A91885">
            <w:pPr>
              <w:rPr>
                <w:rFonts w:ascii="宋体"/>
                <w:vanish/>
              </w:rPr>
            </w:pPr>
          </w:p>
        </w:tc>
        <w:tc>
          <w:tcPr>
            <w:tcW w:w="0" w:type="auto"/>
            <w:gridSpan w:val="3"/>
            <w:shd w:val="clear" w:color="auto" w:fill="auto"/>
            <w:vAlign w:val="bottom"/>
          </w:tcPr>
          <w:p w14:paraId="18601E5D" w14:textId="77777777" w:rsidR="00A91885" w:rsidRDefault="00A91885">
            <w:pPr>
              <w:rPr>
                <w:rFonts w:ascii="宋体"/>
                <w:vanish/>
              </w:rPr>
            </w:pPr>
          </w:p>
        </w:tc>
        <w:tc>
          <w:tcPr>
            <w:tcW w:w="0" w:type="auto"/>
            <w:gridSpan w:val="3"/>
            <w:shd w:val="clear" w:color="auto" w:fill="auto"/>
            <w:vAlign w:val="bottom"/>
          </w:tcPr>
          <w:p w14:paraId="18601E5E" w14:textId="77777777" w:rsidR="00A91885" w:rsidRDefault="00A91885">
            <w:pPr>
              <w:rPr>
                <w:rFonts w:ascii="宋体"/>
                <w:vanish/>
              </w:rPr>
            </w:pPr>
          </w:p>
        </w:tc>
        <w:tc>
          <w:tcPr>
            <w:tcW w:w="0" w:type="auto"/>
            <w:gridSpan w:val="3"/>
            <w:shd w:val="clear" w:color="auto" w:fill="auto"/>
            <w:vAlign w:val="bottom"/>
          </w:tcPr>
          <w:p w14:paraId="18601E5F" w14:textId="77777777" w:rsidR="00A91885" w:rsidRDefault="00A91885">
            <w:pPr>
              <w:rPr>
                <w:rFonts w:ascii="宋体"/>
                <w:vanish/>
              </w:rPr>
            </w:pPr>
          </w:p>
        </w:tc>
        <w:tc>
          <w:tcPr>
            <w:tcW w:w="0" w:type="auto"/>
            <w:gridSpan w:val="3"/>
            <w:shd w:val="clear" w:color="auto" w:fill="auto"/>
            <w:vAlign w:val="bottom"/>
          </w:tcPr>
          <w:p w14:paraId="18601E60" w14:textId="77777777" w:rsidR="00A91885" w:rsidRDefault="00A91885">
            <w:pPr>
              <w:rPr>
                <w:rFonts w:ascii="宋体"/>
                <w:vanish/>
              </w:rPr>
            </w:pPr>
          </w:p>
        </w:tc>
        <w:tc>
          <w:tcPr>
            <w:tcW w:w="0" w:type="auto"/>
            <w:gridSpan w:val="3"/>
            <w:shd w:val="clear" w:color="auto" w:fill="auto"/>
            <w:vAlign w:val="bottom"/>
          </w:tcPr>
          <w:p w14:paraId="18601E61" w14:textId="77777777" w:rsidR="00A91885" w:rsidRDefault="00A91885">
            <w:pPr>
              <w:rPr>
                <w:rFonts w:ascii="宋体"/>
                <w:vanish/>
              </w:rPr>
            </w:pPr>
          </w:p>
        </w:tc>
        <w:tc>
          <w:tcPr>
            <w:tcW w:w="0" w:type="auto"/>
            <w:gridSpan w:val="3"/>
            <w:shd w:val="clear" w:color="auto" w:fill="auto"/>
            <w:vAlign w:val="bottom"/>
          </w:tcPr>
          <w:p w14:paraId="18601E62" w14:textId="77777777" w:rsidR="00A91885" w:rsidRDefault="00A91885">
            <w:pPr>
              <w:rPr>
                <w:rFonts w:ascii="宋体"/>
                <w:vanish/>
              </w:rPr>
            </w:pPr>
          </w:p>
        </w:tc>
        <w:tc>
          <w:tcPr>
            <w:tcW w:w="0" w:type="auto"/>
            <w:gridSpan w:val="3"/>
            <w:shd w:val="clear" w:color="auto" w:fill="auto"/>
            <w:vAlign w:val="bottom"/>
          </w:tcPr>
          <w:p w14:paraId="18601E63" w14:textId="77777777" w:rsidR="00A91885" w:rsidRDefault="00A91885">
            <w:pPr>
              <w:rPr>
                <w:rFonts w:ascii="宋体"/>
                <w:vanish/>
              </w:rPr>
            </w:pPr>
          </w:p>
        </w:tc>
        <w:tc>
          <w:tcPr>
            <w:tcW w:w="0" w:type="auto"/>
            <w:gridSpan w:val="3"/>
            <w:shd w:val="clear" w:color="auto" w:fill="auto"/>
            <w:vAlign w:val="bottom"/>
          </w:tcPr>
          <w:p w14:paraId="18601E64" w14:textId="77777777" w:rsidR="00A91885" w:rsidRDefault="00A91885">
            <w:pPr>
              <w:rPr>
                <w:rFonts w:ascii="宋体"/>
                <w:vanish/>
              </w:rPr>
            </w:pPr>
          </w:p>
        </w:tc>
        <w:tc>
          <w:tcPr>
            <w:tcW w:w="0" w:type="auto"/>
            <w:gridSpan w:val="3"/>
            <w:shd w:val="clear" w:color="auto" w:fill="auto"/>
            <w:vAlign w:val="bottom"/>
          </w:tcPr>
          <w:p w14:paraId="18601E65" w14:textId="77777777" w:rsidR="00A91885" w:rsidRDefault="00A91885">
            <w:pPr>
              <w:rPr>
                <w:rFonts w:ascii="宋体"/>
                <w:vanish/>
              </w:rPr>
            </w:pPr>
          </w:p>
        </w:tc>
        <w:tc>
          <w:tcPr>
            <w:tcW w:w="0" w:type="auto"/>
            <w:gridSpan w:val="3"/>
            <w:shd w:val="clear" w:color="auto" w:fill="auto"/>
            <w:vAlign w:val="bottom"/>
          </w:tcPr>
          <w:p w14:paraId="18601E66" w14:textId="77777777" w:rsidR="00A91885" w:rsidRDefault="00A91885">
            <w:pPr>
              <w:rPr>
                <w:rFonts w:ascii="宋体"/>
                <w:vanish/>
              </w:rPr>
            </w:pPr>
          </w:p>
        </w:tc>
      </w:tr>
      <w:tr w:rsidR="00A91885" w14:paraId="18601E74" w14:textId="77777777">
        <w:trPr>
          <w:hidden/>
        </w:trPr>
        <w:tc>
          <w:tcPr>
            <w:tcW w:w="0" w:type="auto"/>
            <w:gridSpan w:val="3"/>
            <w:shd w:val="clear" w:color="auto" w:fill="auto"/>
            <w:vAlign w:val="bottom"/>
          </w:tcPr>
          <w:p w14:paraId="18601E68" w14:textId="77777777" w:rsidR="00A91885" w:rsidRDefault="00A91885">
            <w:pPr>
              <w:rPr>
                <w:rFonts w:ascii="宋体"/>
                <w:vanish/>
              </w:rPr>
            </w:pPr>
          </w:p>
        </w:tc>
        <w:tc>
          <w:tcPr>
            <w:tcW w:w="0" w:type="auto"/>
            <w:gridSpan w:val="3"/>
            <w:shd w:val="clear" w:color="auto" w:fill="auto"/>
            <w:vAlign w:val="bottom"/>
          </w:tcPr>
          <w:p w14:paraId="18601E69" w14:textId="77777777" w:rsidR="00A91885" w:rsidRDefault="00A91885">
            <w:pPr>
              <w:rPr>
                <w:rFonts w:ascii="宋体"/>
                <w:vanish/>
              </w:rPr>
            </w:pPr>
          </w:p>
        </w:tc>
        <w:tc>
          <w:tcPr>
            <w:tcW w:w="0" w:type="auto"/>
            <w:gridSpan w:val="3"/>
            <w:shd w:val="clear" w:color="auto" w:fill="auto"/>
            <w:vAlign w:val="bottom"/>
          </w:tcPr>
          <w:p w14:paraId="18601E6A" w14:textId="77777777" w:rsidR="00A91885" w:rsidRDefault="00A91885">
            <w:pPr>
              <w:rPr>
                <w:rFonts w:ascii="宋体"/>
                <w:vanish/>
              </w:rPr>
            </w:pPr>
          </w:p>
        </w:tc>
        <w:tc>
          <w:tcPr>
            <w:tcW w:w="0" w:type="auto"/>
            <w:gridSpan w:val="3"/>
            <w:shd w:val="clear" w:color="auto" w:fill="auto"/>
            <w:vAlign w:val="bottom"/>
          </w:tcPr>
          <w:p w14:paraId="18601E6B" w14:textId="77777777" w:rsidR="00A91885" w:rsidRDefault="00A91885">
            <w:pPr>
              <w:rPr>
                <w:rFonts w:ascii="宋体"/>
                <w:vanish/>
              </w:rPr>
            </w:pPr>
          </w:p>
        </w:tc>
        <w:tc>
          <w:tcPr>
            <w:tcW w:w="0" w:type="auto"/>
            <w:gridSpan w:val="3"/>
            <w:shd w:val="clear" w:color="auto" w:fill="auto"/>
            <w:vAlign w:val="bottom"/>
          </w:tcPr>
          <w:p w14:paraId="18601E6C" w14:textId="77777777" w:rsidR="00A91885" w:rsidRDefault="00A91885">
            <w:pPr>
              <w:rPr>
                <w:rFonts w:ascii="宋体"/>
                <w:vanish/>
              </w:rPr>
            </w:pPr>
          </w:p>
        </w:tc>
        <w:tc>
          <w:tcPr>
            <w:tcW w:w="0" w:type="auto"/>
            <w:gridSpan w:val="3"/>
            <w:shd w:val="clear" w:color="auto" w:fill="auto"/>
            <w:vAlign w:val="bottom"/>
          </w:tcPr>
          <w:p w14:paraId="18601E6D" w14:textId="77777777" w:rsidR="00A91885" w:rsidRDefault="00A91885">
            <w:pPr>
              <w:rPr>
                <w:rFonts w:ascii="宋体"/>
                <w:vanish/>
              </w:rPr>
            </w:pPr>
          </w:p>
        </w:tc>
        <w:tc>
          <w:tcPr>
            <w:tcW w:w="0" w:type="auto"/>
            <w:gridSpan w:val="3"/>
            <w:shd w:val="clear" w:color="auto" w:fill="auto"/>
            <w:vAlign w:val="bottom"/>
          </w:tcPr>
          <w:p w14:paraId="18601E6E" w14:textId="77777777" w:rsidR="00A91885" w:rsidRDefault="00A91885">
            <w:pPr>
              <w:rPr>
                <w:rFonts w:ascii="宋体"/>
                <w:vanish/>
              </w:rPr>
            </w:pPr>
          </w:p>
        </w:tc>
        <w:tc>
          <w:tcPr>
            <w:tcW w:w="0" w:type="auto"/>
            <w:gridSpan w:val="3"/>
            <w:shd w:val="clear" w:color="auto" w:fill="auto"/>
            <w:vAlign w:val="bottom"/>
          </w:tcPr>
          <w:p w14:paraId="18601E6F" w14:textId="77777777" w:rsidR="00A91885" w:rsidRDefault="00A91885">
            <w:pPr>
              <w:rPr>
                <w:rFonts w:ascii="宋体"/>
                <w:vanish/>
              </w:rPr>
            </w:pPr>
          </w:p>
        </w:tc>
        <w:tc>
          <w:tcPr>
            <w:tcW w:w="0" w:type="auto"/>
            <w:gridSpan w:val="3"/>
            <w:shd w:val="clear" w:color="auto" w:fill="auto"/>
            <w:vAlign w:val="bottom"/>
          </w:tcPr>
          <w:p w14:paraId="18601E70" w14:textId="77777777" w:rsidR="00A91885" w:rsidRDefault="00A91885">
            <w:pPr>
              <w:rPr>
                <w:rFonts w:ascii="宋体"/>
                <w:vanish/>
              </w:rPr>
            </w:pPr>
          </w:p>
        </w:tc>
        <w:tc>
          <w:tcPr>
            <w:tcW w:w="0" w:type="auto"/>
            <w:gridSpan w:val="3"/>
            <w:shd w:val="clear" w:color="auto" w:fill="auto"/>
            <w:vAlign w:val="bottom"/>
          </w:tcPr>
          <w:p w14:paraId="18601E71" w14:textId="77777777" w:rsidR="00A91885" w:rsidRDefault="00A91885">
            <w:pPr>
              <w:rPr>
                <w:rFonts w:ascii="宋体"/>
                <w:vanish/>
              </w:rPr>
            </w:pPr>
          </w:p>
        </w:tc>
        <w:tc>
          <w:tcPr>
            <w:tcW w:w="0" w:type="auto"/>
            <w:gridSpan w:val="3"/>
            <w:shd w:val="clear" w:color="auto" w:fill="auto"/>
            <w:vAlign w:val="bottom"/>
          </w:tcPr>
          <w:p w14:paraId="18601E72" w14:textId="77777777" w:rsidR="00A91885" w:rsidRDefault="00A91885">
            <w:pPr>
              <w:rPr>
                <w:rFonts w:ascii="宋体"/>
                <w:vanish/>
              </w:rPr>
            </w:pPr>
          </w:p>
        </w:tc>
        <w:tc>
          <w:tcPr>
            <w:tcW w:w="0" w:type="auto"/>
            <w:gridSpan w:val="3"/>
            <w:shd w:val="clear" w:color="auto" w:fill="auto"/>
            <w:vAlign w:val="bottom"/>
          </w:tcPr>
          <w:p w14:paraId="18601E73" w14:textId="77777777" w:rsidR="00A91885" w:rsidRDefault="00A91885">
            <w:pPr>
              <w:rPr>
                <w:rFonts w:ascii="宋体"/>
                <w:vanish/>
              </w:rPr>
            </w:pPr>
          </w:p>
        </w:tc>
      </w:tr>
      <w:tr w:rsidR="00A91885" w14:paraId="18601E81" w14:textId="77777777">
        <w:trPr>
          <w:hidden/>
        </w:trPr>
        <w:tc>
          <w:tcPr>
            <w:tcW w:w="0" w:type="auto"/>
            <w:gridSpan w:val="3"/>
            <w:shd w:val="clear" w:color="auto" w:fill="auto"/>
            <w:vAlign w:val="bottom"/>
          </w:tcPr>
          <w:p w14:paraId="18601E75" w14:textId="77777777" w:rsidR="00A91885" w:rsidRDefault="00A91885">
            <w:pPr>
              <w:rPr>
                <w:rFonts w:ascii="宋体"/>
                <w:vanish/>
              </w:rPr>
            </w:pPr>
          </w:p>
        </w:tc>
        <w:tc>
          <w:tcPr>
            <w:tcW w:w="0" w:type="auto"/>
            <w:gridSpan w:val="3"/>
            <w:shd w:val="clear" w:color="auto" w:fill="auto"/>
            <w:vAlign w:val="bottom"/>
          </w:tcPr>
          <w:p w14:paraId="18601E76" w14:textId="77777777" w:rsidR="00A91885" w:rsidRDefault="00A91885">
            <w:pPr>
              <w:rPr>
                <w:rFonts w:ascii="宋体"/>
                <w:vanish/>
              </w:rPr>
            </w:pPr>
          </w:p>
        </w:tc>
        <w:tc>
          <w:tcPr>
            <w:tcW w:w="0" w:type="auto"/>
            <w:gridSpan w:val="3"/>
            <w:shd w:val="clear" w:color="auto" w:fill="auto"/>
            <w:vAlign w:val="bottom"/>
          </w:tcPr>
          <w:p w14:paraId="18601E77" w14:textId="77777777" w:rsidR="00A91885" w:rsidRDefault="00A91885">
            <w:pPr>
              <w:rPr>
                <w:rFonts w:ascii="宋体"/>
                <w:vanish/>
              </w:rPr>
            </w:pPr>
          </w:p>
        </w:tc>
        <w:tc>
          <w:tcPr>
            <w:tcW w:w="0" w:type="auto"/>
            <w:gridSpan w:val="3"/>
            <w:shd w:val="clear" w:color="auto" w:fill="auto"/>
            <w:vAlign w:val="bottom"/>
          </w:tcPr>
          <w:p w14:paraId="18601E78" w14:textId="77777777" w:rsidR="00A91885" w:rsidRDefault="00A91885">
            <w:pPr>
              <w:rPr>
                <w:rFonts w:ascii="宋体"/>
                <w:vanish/>
              </w:rPr>
            </w:pPr>
          </w:p>
        </w:tc>
        <w:tc>
          <w:tcPr>
            <w:tcW w:w="0" w:type="auto"/>
            <w:gridSpan w:val="3"/>
            <w:shd w:val="clear" w:color="auto" w:fill="auto"/>
            <w:vAlign w:val="bottom"/>
          </w:tcPr>
          <w:p w14:paraId="18601E79" w14:textId="77777777" w:rsidR="00A91885" w:rsidRDefault="00A91885">
            <w:pPr>
              <w:rPr>
                <w:rFonts w:ascii="宋体"/>
                <w:vanish/>
              </w:rPr>
            </w:pPr>
          </w:p>
        </w:tc>
        <w:tc>
          <w:tcPr>
            <w:tcW w:w="0" w:type="auto"/>
            <w:gridSpan w:val="3"/>
            <w:shd w:val="clear" w:color="auto" w:fill="auto"/>
            <w:vAlign w:val="bottom"/>
          </w:tcPr>
          <w:p w14:paraId="18601E7A" w14:textId="77777777" w:rsidR="00A91885" w:rsidRDefault="00A91885">
            <w:pPr>
              <w:rPr>
                <w:rFonts w:ascii="宋体"/>
                <w:vanish/>
              </w:rPr>
            </w:pPr>
          </w:p>
        </w:tc>
        <w:tc>
          <w:tcPr>
            <w:tcW w:w="0" w:type="auto"/>
            <w:gridSpan w:val="3"/>
            <w:shd w:val="clear" w:color="auto" w:fill="auto"/>
            <w:vAlign w:val="bottom"/>
          </w:tcPr>
          <w:p w14:paraId="18601E7B" w14:textId="77777777" w:rsidR="00A91885" w:rsidRDefault="00A91885">
            <w:pPr>
              <w:rPr>
                <w:rFonts w:ascii="宋体"/>
                <w:vanish/>
              </w:rPr>
            </w:pPr>
          </w:p>
        </w:tc>
        <w:tc>
          <w:tcPr>
            <w:tcW w:w="0" w:type="auto"/>
            <w:gridSpan w:val="3"/>
            <w:shd w:val="clear" w:color="auto" w:fill="auto"/>
            <w:vAlign w:val="bottom"/>
          </w:tcPr>
          <w:p w14:paraId="18601E7C" w14:textId="77777777" w:rsidR="00A91885" w:rsidRDefault="00A91885">
            <w:pPr>
              <w:rPr>
                <w:rFonts w:ascii="宋体"/>
                <w:vanish/>
              </w:rPr>
            </w:pPr>
          </w:p>
        </w:tc>
        <w:tc>
          <w:tcPr>
            <w:tcW w:w="0" w:type="auto"/>
            <w:gridSpan w:val="3"/>
            <w:shd w:val="clear" w:color="auto" w:fill="auto"/>
            <w:vAlign w:val="bottom"/>
          </w:tcPr>
          <w:p w14:paraId="18601E7D" w14:textId="77777777" w:rsidR="00A91885" w:rsidRDefault="00A91885">
            <w:pPr>
              <w:rPr>
                <w:rFonts w:ascii="宋体"/>
                <w:vanish/>
              </w:rPr>
            </w:pPr>
          </w:p>
        </w:tc>
        <w:tc>
          <w:tcPr>
            <w:tcW w:w="0" w:type="auto"/>
            <w:gridSpan w:val="3"/>
            <w:shd w:val="clear" w:color="auto" w:fill="auto"/>
            <w:vAlign w:val="bottom"/>
          </w:tcPr>
          <w:p w14:paraId="18601E7E" w14:textId="77777777" w:rsidR="00A91885" w:rsidRDefault="00A91885">
            <w:pPr>
              <w:rPr>
                <w:rFonts w:ascii="宋体"/>
                <w:vanish/>
              </w:rPr>
            </w:pPr>
          </w:p>
        </w:tc>
        <w:tc>
          <w:tcPr>
            <w:tcW w:w="0" w:type="auto"/>
            <w:gridSpan w:val="3"/>
            <w:shd w:val="clear" w:color="auto" w:fill="auto"/>
            <w:vAlign w:val="bottom"/>
          </w:tcPr>
          <w:p w14:paraId="18601E7F" w14:textId="77777777" w:rsidR="00A91885" w:rsidRDefault="00A91885">
            <w:pPr>
              <w:rPr>
                <w:rFonts w:ascii="宋体"/>
                <w:vanish/>
              </w:rPr>
            </w:pPr>
          </w:p>
        </w:tc>
        <w:tc>
          <w:tcPr>
            <w:tcW w:w="0" w:type="auto"/>
            <w:gridSpan w:val="3"/>
            <w:shd w:val="clear" w:color="auto" w:fill="auto"/>
            <w:vAlign w:val="bottom"/>
          </w:tcPr>
          <w:p w14:paraId="18601E80" w14:textId="77777777" w:rsidR="00A91885" w:rsidRDefault="00A91885">
            <w:pPr>
              <w:rPr>
                <w:rFonts w:ascii="宋体"/>
                <w:vanish/>
              </w:rPr>
            </w:pPr>
          </w:p>
        </w:tc>
      </w:tr>
      <w:tr w:rsidR="00A91885" w14:paraId="18601E94" w14:textId="77777777">
        <w:tc>
          <w:tcPr>
            <w:tcW w:w="0" w:type="auto"/>
            <w:gridSpan w:val="3"/>
            <w:shd w:val="clear" w:color="auto" w:fill="E1E1E1"/>
            <w:tcMar>
              <w:top w:w="40" w:type="dxa"/>
              <w:left w:w="140" w:type="dxa"/>
              <w:bottom w:w="40" w:type="dxa"/>
              <w:right w:w="20" w:type="dxa"/>
            </w:tcMar>
            <w:vAlign w:val="bottom"/>
          </w:tcPr>
          <w:p w14:paraId="18601E82" w14:textId="77777777" w:rsidR="00A91885" w:rsidRDefault="009C4196">
            <w:pPr>
              <w:textAlignment w:val="bottom"/>
            </w:pPr>
            <w:r>
              <w:rPr>
                <w:rFonts w:ascii="Arial" w:eastAsia="宋体" w:hAnsi="Arial" w:cs="Arial"/>
                <w:color w:val="000000"/>
                <w:sz w:val="18"/>
                <w:szCs w:val="18"/>
              </w:rPr>
              <w:t>MS&amp;O revenues</w:t>
            </w:r>
          </w:p>
        </w:tc>
        <w:tc>
          <w:tcPr>
            <w:tcW w:w="0" w:type="auto"/>
            <w:gridSpan w:val="2"/>
            <w:shd w:val="clear" w:color="auto" w:fill="E1E1E1"/>
            <w:tcMar>
              <w:top w:w="40" w:type="dxa"/>
              <w:left w:w="20" w:type="dxa"/>
              <w:bottom w:w="40" w:type="dxa"/>
              <w:right w:w="0" w:type="dxa"/>
            </w:tcMar>
            <w:vAlign w:val="bottom"/>
          </w:tcPr>
          <w:p w14:paraId="18601E83" w14:textId="77777777" w:rsidR="00A91885" w:rsidRDefault="009C4196">
            <w:pPr>
              <w:jc w:val="right"/>
              <w:textAlignment w:val="bottom"/>
            </w:pPr>
            <w:r>
              <w:rPr>
                <w:rFonts w:ascii="Arial" w:eastAsia="宋体" w:hAnsi="Arial" w:cs="Arial"/>
                <w:color w:val="000000"/>
                <w:sz w:val="18"/>
                <w:szCs w:val="18"/>
              </w:rPr>
              <w:t>253 </w:t>
            </w:r>
          </w:p>
        </w:tc>
        <w:tc>
          <w:tcPr>
            <w:tcW w:w="0" w:type="auto"/>
            <w:shd w:val="clear" w:color="auto" w:fill="E1E1E1"/>
            <w:tcMar>
              <w:top w:w="40" w:type="dxa"/>
              <w:left w:w="0" w:type="dxa"/>
              <w:bottom w:w="40" w:type="dxa"/>
              <w:right w:w="20" w:type="dxa"/>
            </w:tcMar>
            <w:vAlign w:val="bottom"/>
          </w:tcPr>
          <w:p w14:paraId="18601E84"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E85"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E86" w14:textId="77777777" w:rsidR="00A91885" w:rsidRDefault="009C4196">
            <w:pPr>
              <w:jc w:val="right"/>
              <w:textAlignment w:val="bottom"/>
            </w:pPr>
            <w:r>
              <w:rPr>
                <w:rFonts w:ascii="Arial" w:eastAsia="宋体" w:hAnsi="Arial" w:cs="Arial"/>
                <w:color w:val="000000"/>
                <w:sz w:val="18"/>
                <w:szCs w:val="18"/>
              </w:rPr>
              <w:t>(6)</w:t>
            </w:r>
          </w:p>
        </w:tc>
        <w:tc>
          <w:tcPr>
            <w:tcW w:w="0" w:type="auto"/>
            <w:shd w:val="clear" w:color="auto" w:fill="E1E1E1"/>
            <w:tcMar>
              <w:top w:w="40" w:type="dxa"/>
              <w:left w:w="0" w:type="dxa"/>
              <w:bottom w:w="40" w:type="dxa"/>
              <w:right w:w="20" w:type="dxa"/>
            </w:tcMar>
            <w:vAlign w:val="bottom"/>
          </w:tcPr>
          <w:p w14:paraId="18601E87"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E88"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E89" w14:textId="77777777" w:rsidR="00A91885" w:rsidRDefault="009C4196">
            <w:pPr>
              <w:jc w:val="right"/>
              <w:textAlignment w:val="bottom"/>
            </w:pPr>
            <w:r>
              <w:rPr>
                <w:rFonts w:ascii="Arial" w:eastAsia="宋体" w:hAnsi="Arial" w:cs="Arial"/>
                <w:color w:val="000000"/>
                <w:sz w:val="18"/>
                <w:szCs w:val="18"/>
              </w:rPr>
              <w:t>259 </w:t>
            </w:r>
          </w:p>
        </w:tc>
        <w:tc>
          <w:tcPr>
            <w:tcW w:w="0" w:type="auto"/>
            <w:shd w:val="clear" w:color="auto" w:fill="E1E1E1"/>
            <w:tcMar>
              <w:top w:w="40" w:type="dxa"/>
              <w:left w:w="0" w:type="dxa"/>
              <w:bottom w:w="40" w:type="dxa"/>
              <w:right w:w="20" w:type="dxa"/>
            </w:tcMar>
            <w:vAlign w:val="bottom"/>
          </w:tcPr>
          <w:p w14:paraId="18601E8A"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E8B"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E8C" w14:textId="77777777" w:rsidR="00A91885" w:rsidRDefault="009C4196">
            <w:pPr>
              <w:jc w:val="right"/>
              <w:textAlignment w:val="bottom"/>
            </w:pPr>
            <w:r>
              <w:rPr>
                <w:rFonts w:ascii="Arial" w:eastAsia="宋体" w:hAnsi="Arial" w:cs="Arial"/>
                <w:color w:val="000000"/>
                <w:sz w:val="18"/>
                <w:szCs w:val="18"/>
              </w:rPr>
              <w:t>334 </w:t>
            </w:r>
          </w:p>
        </w:tc>
        <w:tc>
          <w:tcPr>
            <w:tcW w:w="0" w:type="auto"/>
            <w:shd w:val="clear" w:color="auto" w:fill="E1E1E1"/>
            <w:tcMar>
              <w:top w:w="40" w:type="dxa"/>
              <w:left w:w="0" w:type="dxa"/>
              <w:bottom w:w="40" w:type="dxa"/>
              <w:right w:w="20" w:type="dxa"/>
            </w:tcMar>
            <w:vAlign w:val="bottom"/>
          </w:tcPr>
          <w:p w14:paraId="18601E8D" w14:textId="77777777" w:rsidR="00A91885" w:rsidRDefault="00A91885">
            <w:pPr>
              <w:jc w:val="right"/>
              <w:rPr>
                <w:rFonts w:ascii="宋体"/>
              </w:rPr>
            </w:pPr>
          </w:p>
        </w:tc>
        <w:tc>
          <w:tcPr>
            <w:tcW w:w="0" w:type="auto"/>
            <w:gridSpan w:val="3"/>
            <w:shd w:val="clear" w:color="auto" w:fill="E1E1E1"/>
            <w:tcMar>
              <w:top w:w="0" w:type="dxa"/>
              <w:left w:w="20" w:type="dxa"/>
              <w:bottom w:w="0" w:type="dxa"/>
              <w:right w:w="20" w:type="dxa"/>
            </w:tcMar>
            <w:vAlign w:val="bottom"/>
          </w:tcPr>
          <w:p w14:paraId="18601E8E"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E8F" w14:textId="77777777" w:rsidR="00A91885" w:rsidRDefault="009C4196">
            <w:pPr>
              <w:jc w:val="right"/>
              <w:textAlignment w:val="bottom"/>
            </w:pPr>
            <w:r>
              <w:rPr>
                <w:rFonts w:ascii="Arial" w:eastAsia="宋体" w:hAnsi="Arial" w:cs="Arial"/>
                <w:color w:val="000000"/>
                <w:sz w:val="18"/>
                <w:szCs w:val="18"/>
              </w:rPr>
              <w:t>(24)</w:t>
            </w:r>
          </w:p>
        </w:tc>
        <w:tc>
          <w:tcPr>
            <w:tcW w:w="0" w:type="auto"/>
            <w:shd w:val="clear" w:color="auto" w:fill="E1E1E1"/>
            <w:tcMar>
              <w:top w:w="40" w:type="dxa"/>
              <w:left w:w="0" w:type="dxa"/>
              <w:bottom w:w="40" w:type="dxa"/>
              <w:right w:w="20" w:type="dxa"/>
            </w:tcMar>
            <w:vAlign w:val="bottom"/>
          </w:tcPr>
          <w:p w14:paraId="18601E90"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E1E1E1"/>
            <w:tcMar>
              <w:top w:w="0" w:type="dxa"/>
              <w:left w:w="20" w:type="dxa"/>
              <w:bottom w:w="0" w:type="dxa"/>
              <w:right w:w="20" w:type="dxa"/>
            </w:tcMar>
            <w:vAlign w:val="bottom"/>
          </w:tcPr>
          <w:p w14:paraId="18601E91" w14:textId="77777777" w:rsidR="00A91885" w:rsidRDefault="00A91885">
            <w:pPr>
              <w:rPr>
                <w:rFonts w:ascii="宋体"/>
              </w:rPr>
            </w:pPr>
          </w:p>
        </w:tc>
        <w:tc>
          <w:tcPr>
            <w:tcW w:w="0" w:type="auto"/>
            <w:gridSpan w:val="2"/>
            <w:shd w:val="clear" w:color="auto" w:fill="E1E1E1"/>
            <w:tcMar>
              <w:top w:w="40" w:type="dxa"/>
              <w:left w:w="20" w:type="dxa"/>
              <w:bottom w:w="40" w:type="dxa"/>
              <w:right w:w="0" w:type="dxa"/>
            </w:tcMar>
            <w:vAlign w:val="bottom"/>
          </w:tcPr>
          <w:p w14:paraId="18601E92" w14:textId="77777777" w:rsidR="00A91885" w:rsidRDefault="009C4196">
            <w:pPr>
              <w:jc w:val="right"/>
              <w:textAlignment w:val="bottom"/>
            </w:pPr>
            <w:r>
              <w:rPr>
                <w:rFonts w:ascii="Arial" w:eastAsia="宋体" w:hAnsi="Arial" w:cs="Arial"/>
                <w:color w:val="000000"/>
                <w:sz w:val="18"/>
                <w:szCs w:val="18"/>
              </w:rPr>
              <w:t>(22)</w:t>
            </w:r>
          </w:p>
        </w:tc>
        <w:tc>
          <w:tcPr>
            <w:tcW w:w="0" w:type="auto"/>
            <w:shd w:val="clear" w:color="auto" w:fill="E1E1E1"/>
            <w:tcMar>
              <w:top w:w="40" w:type="dxa"/>
              <w:left w:w="0" w:type="dxa"/>
              <w:bottom w:w="40" w:type="dxa"/>
              <w:right w:w="20" w:type="dxa"/>
            </w:tcMar>
            <w:vAlign w:val="bottom"/>
          </w:tcPr>
          <w:p w14:paraId="18601E93" w14:textId="77777777" w:rsidR="00A91885" w:rsidRDefault="009C4196">
            <w:pPr>
              <w:jc w:val="right"/>
              <w:textAlignment w:val="bottom"/>
            </w:pPr>
            <w:r>
              <w:rPr>
                <w:rFonts w:ascii="Arial" w:eastAsia="宋体" w:hAnsi="Arial" w:cs="Arial"/>
                <w:color w:val="000000"/>
                <w:sz w:val="18"/>
                <w:szCs w:val="18"/>
              </w:rPr>
              <w:t>%</w:t>
            </w:r>
          </w:p>
        </w:tc>
      </w:tr>
      <w:tr w:rsidR="00A91885" w14:paraId="18601EA1" w14:textId="77777777">
        <w:trPr>
          <w:hidden/>
        </w:trPr>
        <w:tc>
          <w:tcPr>
            <w:tcW w:w="0" w:type="auto"/>
            <w:gridSpan w:val="3"/>
            <w:shd w:val="clear" w:color="auto" w:fill="auto"/>
            <w:vAlign w:val="bottom"/>
          </w:tcPr>
          <w:p w14:paraId="18601E95" w14:textId="77777777" w:rsidR="00A91885" w:rsidRDefault="00A91885">
            <w:pPr>
              <w:rPr>
                <w:rFonts w:ascii="宋体"/>
                <w:vanish/>
              </w:rPr>
            </w:pPr>
          </w:p>
        </w:tc>
        <w:tc>
          <w:tcPr>
            <w:tcW w:w="0" w:type="auto"/>
            <w:gridSpan w:val="3"/>
            <w:shd w:val="clear" w:color="auto" w:fill="auto"/>
            <w:vAlign w:val="bottom"/>
          </w:tcPr>
          <w:p w14:paraId="18601E96" w14:textId="77777777" w:rsidR="00A91885" w:rsidRDefault="00A91885">
            <w:pPr>
              <w:rPr>
                <w:rFonts w:ascii="宋体"/>
                <w:vanish/>
              </w:rPr>
            </w:pPr>
          </w:p>
        </w:tc>
        <w:tc>
          <w:tcPr>
            <w:tcW w:w="0" w:type="auto"/>
            <w:gridSpan w:val="3"/>
            <w:shd w:val="clear" w:color="auto" w:fill="auto"/>
            <w:vAlign w:val="bottom"/>
          </w:tcPr>
          <w:p w14:paraId="18601E97" w14:textId="77777777" w:rsidR="00A91885" w:rsidRDefault="00A91885">
            <w:pPr>
              <w:rPr>
                <w:rFonts w:ascii="宋体"/>
                <w:vanish/>
              </w:rPr>
            </w:pPr>
          </w:p>
        </w:tc>
        <w:tc>
          <w:tcPr>
            <w:tcW w:w="0" w:type="auto"/>
            <w:gridSpan w:val="3"/>
            <w:shd w:val="clear" w:color="auto" w:fill="auto"/>
            <w:vAlign w:val="bottom"/>
          </w:tcPr>
          <w:p w14:paraId="18601E98" w14:textId="77777777" w:rsidR="00A91885" w:rsidRDefault="00A91885">
            <w:pPr>
              <w:rPr>
                <w:rFonts w:ascii="宋体"/>
                <w:vanish/>
              </w:rPr>
            </w:pPr>
          </w:p>
        </w:tc>
        <w:tc>
          <w:tcPr>
            <w:tcW w:w="0" w:type="auto"/>
            <w:gridSpan w:val="3"/>
            <w:shd w:val="clear" w:color="auto" w:fill="auto"/>
            <w:vAlign w:val="bottom"/>
          </w:tcPr>
          <w:p w14:paraId="18601E99" w14:textId="77777777" w:rsidR="00A91885" w:rsidRDefault="00A91885">
            <w:pPr>
              <w:rPr>
                <w:rFonts w:ascii="宋体"/>
                <w:vanish/>
              </w:rPr>
            </w:pPr>
          </w:p>
        </w:tc>
        <w:tc>
          <w:tcPr>
            <w:tcW w:w="0" w:type="auto"/>
            <w:gridSpan w:val="3"/>
            <w:shd w:val="clear" w:color="auto" w:fill="auto"/>
            <w:vAlign w:val="bottom"/>
          </w:tcPr>
          <w:p w14:paraId="18601E9A" w14:textId="77777777" w:rsidR="00A91885" w:rsidRDefault="00A91885">
            <w:pPr>
              <w:rPr>
                <w:rFonts w:ascii="宋体"/>
                <w:vanish/>
              </w:rPr>
            </w:pPr>
          </w:p>
        </w:tc>
        <w:tc>
          <w:tcPr>
            <w:tcW w:w="0" w:type="auto"/>
            <w:gridSpan w:val="3"/>
            <w:shd w:val="clear" w:color="auto" w:fill="auto"/>
            <w:vAlign w:val="bottom"/>
          </w:tcPr>
          <w:p w14:paraId="18601E9B" w14:textId="77777777" w:rsidR="00A91885" w:rsidRDefault="00A91885">
            <w:pPr>
              <w:rPr>
                <w:rFonts w:ascii="宋体"/>
                <w:vanish/>
              </w:rPr>
            </w:pPr>
          </w:p>
        </w:tc>
        <w:tc>
          <w:tcPr>
            <w:tcW w:w="0" w:type="auto"/>
            <w:gridSpan w:val="3"/>
            <w:shd w:val="clear" w:color="auto" w:fill="auto"/>
            <w:vAlign w:val="bottom"/>
          </w:tcPr>
          <w:p w14:paraId="18601E9C" w14:textId="77777777" w:rsidR="00A91885" w:rsidRDefault="00A91885">
            <w:pPr>
              <w:rPr>
                <w:rFonts w:ascii="宋体"/>
                <w:vanish/>
              </w:rPr>
            </w:pPr>
          </w:p>
        </w:tc>
        <w:tc>
          <w:tcPr>
            <w:tcW w:w="0" w:type="auto"/>
            <w:gridSpan w:val="3"/>
            <w:shd w:val="clear" w:color="auto" w:fill="auto"/>
            <w:vAlign w:val="bottom"/>
          </w:tcPr>
          <w:p w14:paraId="18601E9D" w14:textId="77777777" w:rsidR="00A91885" w:rsidRDefault="00A91885">
            <w:pPr>
              <w:rPr>
                <w:rFonts w:ascii="宋体"/>
                <w:vanish/>
              </w:rPr>
            </w:pPr>
          </w:p>
        </w:tc>
        <w:tc>
          <w:tcPr>
            <w:tcW w:w="0" w:type="auto"/>
            <w:gridSpan w:val="3"/>
            <w:shd w:val="clear" w:color="auto" w:fill="auto"/>
            <w:vAlign w:val="bottom"/>
          </w:tcPr>
          <w:p w14:paraId="18601E9E" w14:textId="77777777" w:rsidR="00A91885" w:rsidRDefault="00A91885">
            <w:pPr>
              <w:rPr>
                <w:rFonts w:ascii="宋体"/>
                <w:vanish/>
              </w:rPr>
            </w:pPr>
          </w:p>
        </w:tc>
        <w:tc>
          <w:tcPr>
            <w:tcW w:w="0" w:type="auto"/>
            <w:gridSpan w:val="3"/>
            <w:shd w:val="clear" w:color="auto" w:fill="auto"/>
            <w:vAlign w:val="bottom"/>
          </w:tcPr>
          <w:p w14:paraId="18601E9F" w14:textId="77777777" w:rsidR="00A91885" w:rsidRDefault="00A91885">
            <w:pPr>
              <w:rPr>
                <w:rFonts w:ascii="宋体"/>
                <w:vanish/>
              </w:rPr>
            </w:pPr>
          </w:p>
        </w:tc>
        <w:tc>
          <w:tcPr>
            <w:tcW w:w="0" w:type="auto"/>
            <w:gridSpan w:val="3"/>
            <w:shd w:val="clear" w:color="auto" w:fill="auto"/>
            <w:vAlign w:val="bottom"/>
          </w:tcPr>
          <w:p w14:paraId="18601EA0" w14:textId="77777777" w:rsidR="00A91885" w:rsidRDefault="00A91885">
            <w:pPr>
              <w:rPr>
                <w:rFonts w:ascii="宋体"/>
                <w:vanish/>
              </w:rPr>
            </w:pPr>
          </w:p>
        </w:tc>
      </w:tr>
      <w:tr w:rsidR="00A91885" w14:paraId="18601EAE" w14:textId="77777777">
        <w:trPr>
          <w:hidden/>
        </w:trPr>
        <w:tc>
          <w:tcPr>
            <w:tcW w:w="0" w:type="auto"/>
            <w:gridSpan w:val="3"/>
            <w:shd w:val="clear" w:color="auto" w:fill="auto"/>
            <w:vAlign w:val="bottom"/>
          </w:tcPr>
          <w:p w14:paraId="18601EA2" w14:textId="77777777" w:rsidR="00A91885" w:rsidRDefault="00A91885">
            <w:pPr>
              <w:rPr>
                <w:rFonts w:ascii="宋体"/>
                <w:vanish/>
              </w:rPr>
            </w:pPr>
          </w:p>
        </w:tc>
        <w:tc>
          <w:tcPr>
            <w:tcW w:w="0" w:type="auto"/>
            <w:gridSpan w:val="3"/>
            <w:shd w:val="clear" w:color="auto" w:fill="auto"/>
            <w:vAlign w:val="bottom"/>
          </w:tcPr>
          <w:p w14:paraId="18601EA3" w14:textId="77777777" w:rsidR="00A91885" w:rsidRDefault="00A91885">
            <w:pPr>
              <w:rPr>
                <w:rFonts w:ascii="宋体"/>
                <w:vanish/>
              </w:rPr>
            </w:pPr>
          </w:p>
        </w:tc>
        <w:tc>
          <w:tcPr>
            <w:tcW w:w="0" w:type="auto"/>
            <w:gridSpan w:val="3"/>
            <w:shd w:val="clear" w:color="auto" w:fill="auto"/>
            <w:vAlign w:val="bottom"/>
          </w:tcPr>
          <w:p w14:paraId="18601EA4" w14:textId="77777777" w:rsidR="00A91885" w:rsidRDefault="00A91885">
            <w:pPr>
              <w:rPr>
                <w:rFonts w:ascii="宋体"/>
                <w:vanish/>
              </w:rPr>
            </w:pPr>
          </w:p>
        </w:tc>
        <w:tc>
          <w:tcPr>
            <w:tcW w:w="0" w:type="auto"/>
            <w:gridSpan w:val="3"/>
            <w:shd w:val="clear" w:color="auto" w:fill="auto"/>
            <w:vAlign w:val="bottom"/>
          </w:tcPr>
          <w:p w14:paraId="18601EA5" w14:textId="77777777" w:rsidR="00A91885" w:rsidRDefault="00A91885">
            <w:pPr>
              <w:rPr>
                <w:rFonts w:ascii="宋体"/>
                <w:vanish/>
              </w:rPr>
            </w:pPr>
          </w:p>
        </w:tc>
        <w:tc>
          <w:tcPr>
            <w:tcW w:w="0" w:type="auto"/>
            <w:gridSpan w:val="3"/>
            <w:shd w:val="clear" w:color="auto" w:fill="auto"/>
            <w:vAlign w:val="bottom"/>
          </w:tcPr>
          <w:p w14:paraId="18601EA6" w14:textId="77777777" w:rsidR="00A91885" w:rsidRDefault="00A91885">
            <w:pPr>
              <w:rPr>
                <w:rFonts w:ascii="宋体"/>
                <w:vanish/>
              </w:rPr>
            </w:pPr>
          </w:p>
        </w:tc>
        <w:tc>
          <w:tcPr>
            <w:tcW w:w="0" w:type="auto"/>
            <w:gridSpan w:val="3"/>
            <w:shd w:val="clear" w:color="auto" w:fill="auto"/>
            <w:vAlign w:val="bottom"/>
          </w:tcPr>
          <w:p w14:paraId="18601EA7" w14:textId="77777777" w:rsidR="00A91885" w:rsidRDefault="00A91885">
            <w:pPr>
              <w:rPr>
                <w:rFonts w:ascii="宋体"/>
                <w:vanish/>
              </w:rPr>
            </w:pPr>
          </w:p>
        </w:tc>
        <w:tc>
          <w:tcPr>
            <w:tcW w:w="0" w:type="auto"/>
            <w:gridSpan w:val="3"/>
            <w:shd w:val="clear" w:color="auto" w:fill="auto"/>
            <w:vAlign w:val="bottom"/>
          </w:tcPr>
          <w:p w14:paraId="18601EA8" w14:textId="77777777" w:rsidR="00A91885" w:rsidRDefault="00A91885">
            <w:pPr>
              <w:rPr>
                <w:rFonts w:ascii="宋体"/>
                <w:vanish/>
              </w:rPr>
            </w:pPr>
          </w:p>
        </w:tc>
        <w:tc>
          <w:tcPr>
            <w:tcW w:w="0" w:type="auto"/>
            <w:gridSpan w:val="3"/>
            <w:shd w:val="clear" w:color="auto" w:fill="auto"/>
            <w:vAlign w:val="bottom"/>
          </w:tcPr>
          <w:p w14:paraId="18601EA9" w14:textId="77777777" w:rsidR="00A91885" w:rsidRDefault="00A91885">
            <w:pPr>
              <w:rPr>
                <w:rFonts w:ascii="宋体"/>
                <w:vanish/>
              </w:rPr>
            </w:pPr>
          </w:p>
        </w:tc>
        <w:tc>
          <w:tcPr>
            <w:tcW w:w="0" w:type="auto"/>
            <w:gridSpan w:val="3"/>
            <w:shd w:val="clear" w:color="auto" w:fill="auto"/>
            <w:vAlign w:val="bottom"/>
          </w:tcPr>
          <w:p w14:paraId="18601EAA" w14:textId="77777777" w:rsidR="00A91885" w:rsidRDefault="00A91885">
            <w:pPr>
              <w:rPr>
                <w:rFonts w:ascii="宋体"/>
                <w:vanish/>
              </w:rPr>
            </w:pPr>
          </w:p>
        </w:tc>
        <w:tc>
          <w:tcPr>
            <w:tcW w:w="0" w:type="auto"/>
            <w:gridSpan w:val="3"/>
            <w:shd w:val="clear" w:color="auto" w:fill="auto"/>
            <w:vAlign w:val="bottom"/>
          </w:tcPr>
          <w:p w14:paraId="18601EAB" w14:textId="77777777" w:rsidR="00A91885" w:rsidRDefault="00A91885">
            <w:pPr>
              <w:rPr>
                <w:rFonts w:ascii="宋体"/>
                <w:vanish/>
              </w:rPr>
            </w:pPr>
          </w:p>
        </w:tc>
        <w:tc>
          <w:tcPr>
            <w:tcW w:w="0" w:type="auto"/>
            <w:gridSpan w:val="3"/>
            <w:shd w:val="clear" w:color="auto" w:fill="auto"/>
            <w:vAlign w:val="bottom"/>
          </w:tcPr>
          <w:p w14:paraId="18601EAC" w14:textId="77777777" w:rsidR="00A91885" w:rsidRDefault="00A91885">
            <w:pPr>
              <w:rPr>
                <w:rFonts w:ascii="宋体"/>
                <w:vanish/>
              </w:rPr>
            </w:pPr>
          </w:p>
        </w:tc>
        <w:tc>
          <w:tcPr>
            <w:tcW w:w="0" w:type="auto"/>
            <w:gridSpan w:val="3"/>
            <w:shd w:val="clear" w:color="auto" w:fill="auto"/>
            <w:vAlign w:val="bottom"/>
          </w:tcPr>
          <w:p w14:paraId="18601EAD" w14:textId="77777777" w:rsidR="00A91885" w:rsidRDefault="00A91885">
            <w:pPr>
              <w:rPr>
                <w:rFonts w:ascii="宋体"/>
                <w:vanish/>
              </w:rPr>
            </w:pPr>
          </w:p>
        </w:tc>
      </w:tr>
      <w:tr w:rsidR="00A91885" w14:paraId="18601EBB" w14:textId="77777777">
        <w:trPr>
          <w:hidden/>
        </w:trPr>
        <w:tc>
          <w:tcPr>
            <w:tcW w:w="0" w:type="auto"/>
            <w:gridSpan w:val="3"/>
            <w:shd w:val="clear" w:color="auto" w:fill="auto"/>
            <w:vAlign w:val="bottom"/>
          </w:tcPr>
          <w:p w14:paraId="18601EAF" w14:textId="77777777" w:rsidR="00A91885" w:rsidRDefault="00A91885">
            <w:pPr>
              <w:rPr>
                <w:rFonts w:ascii="宋体"/>
                <w:vanish/>
              </w:rPr>
            </w:pPr>
          </w:p>
        </w:tc>
        <w:tc>
          <w:tcPr>
            <w:tcW w:w="0" w:type="auto"/>
            <w:gridSpan w:val="3"/>
            <w:shd w:val="clear" w:color="auto" w:fill="auto"/>
            <w:vAlign w:val="bottom"/>
          </w:tcPr>
          <w:p w14:paraId="18601EB0" w14:textId="77777777" w:rsidR="00A91885" w:rsidRDefault="00A91885">
            <w:pPr>
              <w:rPr>
                <w:rFonts w:ascii="宋体"/>
                <w:vanish/>
              </w:rPr>
            </w:pPr>
          </w:p>
        </w:tc>
        <w:tc>
          <w:tcPr>
            <w:tcW w:w="0" w:type="auto"/>
            <w:gridSpan w:val="3"/>
            <w:shd w:val="clear" w:color="auto" w:fill="auto"/>
            <w:vAlign w:val="bottom"/>
          </w:tcPr>
          <w:p w14:paraId="18601EB1" w14:textId="77777777" w:rsidR="00A91885" w:rsidRDefault="00A91885">
            <w:pPr>
              <w:rPr>
                <w:rFonts w:ascii="宋体"/>
                <w:vanish/>
              </w:rPr>
            </w:pPr>
          </w:p>
        </w:tc>
        <w:tc>
          <w:tcPr>
            <w:tcW w:w="0" w:type="auto"/>
            <w:gridSpan w:val="3"/>
            <w:shd w:val="clear" w:color="auto" w:fill="auto"/>
            <w:vAlign w:val="bottom"/>
          </w:tcPr>
          <w:p w14:paraId="18601EB2" w14:textId="77777777" w:rsidR="00A91885" w:rsidRDefault="00A91885">
            <w:pPr>
              <w:rPr>
                <w:rFonts w:ascii="宋体"/>
                <w:vanish/>
              </w:rPr>
            </w:pPr>
          </w:p>
        </w:tc>
        <w:tc>
          <w:tcPr>
            <w:tcW w:w="0" w:type="auto"/>
            <w:gridSpan w:val="3"/>
            <w:shd w:val="clear" w:color="auto" w:fill="auto"/>
            <w:vAlign w:val="bottom"/>
          </w:tcPr>
          <w:p w14:paraId="18601EB3" w14:textId="77777777" w:rsidR="00A91885" w:rsidRDefault="00A91885">
            <w:pPr>
              <w:rPr>
                <w:rFonts w:ascii="宋体"/>
                <w:vanish/>
              </w:rPr>
            </w:pPr>
          </w:p>
        </w:tc>
        <w:tc>
          <w:tcPr>
            <w:tcW w:w="0" w:type="auto"/>
            <w:gridSpan w:val="3"/>
            <w:shd w:val="clear" w:color="auto" w:fill="auto"/>
            <w:vAlign w:val="bottom"/>
          </w:tcPr>
          <w:p w14:paraId="18601EB4" w14:textId="77777777" w:rsidR="00A91885" w:rsidRDefault="00A91885">
            <w:pPr>
              <w:rPr>
                <w:rFonts w:ascii="宋体"/>
                <w:vanish/>
              </w:rPr>
            </w:pPr>
          </w:p>
        </w:tc>
        <w:tc>
          <w:tcPr>
            <w:tcW w:w="0" w:type="auto"/>
            <w:gridSpan w:val="3"/>
            <w:shd w:val="clear" w:color="auto" w:fill="auto"/>
            <w:vAlign w:val="bottom"/>
          </w:tcPr>
          <w:p w14:paraId="18601EB5" w14:textId="77777777" w:rsidR="00A91885" w:rsidRDefault="00A91885">
            <w:pPr>
              <w:rPr>
                <w:rFonts w:ascii="宋体"/>
                <w:vanish/>
              </w:rPr>
            </w:pPr>
          </w:p>
        </w:tc>
        <w:tc>
          <w:tcPr>
            <w:tcW w:w="0" w:type="auto"/>
            <w:gridSpan w:val="3"/>
            <w:shd w:val="clear" w:color="auto" w:fill="auto"/>
            <w:vAlign w:val="bottom"/>
          </w:tcPr>
          <w:p w14:paraId="18601EB6" w14:textId="77777777" w:rsidR="00A91885" w:rsidRDefault="00A91885">
            <w:pPr>
              <w:rPr>
                <w:rFonts w:ascii="宋体"/>
                <w:vanish/>
              </w:rPr>
            </w:pPr>
          </w:p>
        </w:tc>
        <w:tc>
          <w:tcPr>
            <w:tcW w:w="0" w:type="auto"/>
            <w:gridSpan w:val="3"/>
            <w:shd w:val="clear" w:color="auto" w:fill="auto"/>
            <w:vAlign w:val="bottom"/>
          </w:tcPr>
          <w:p w14:paraId="18601EB7" w14:textId="77777777" w:rsidR="00A91885" w:rsidRDefault="00A91885">
            <w:pPr>
              <w:rPr>
                <w:rFonts w:ascii="宋体"/>
                <w:vanish/>
              </w:rPr>
            </w:pPr>
          </w:p>
        </w:tc>
        <w:tc>
          <w:tcPr>
            <w:tcW w:w="0" w:type="auto"/>
            <w:gridSpan w:val="3"/>
            <w:shd w:val="clear" w:color="auto" w:fill="auto"/>
            <w:vAlign w:val="bottom"/>
          </w:tcPr>
          <w:p w14:paraId="18601EB8" w14:textId="77777777" w:rsidR="00A91885" w:rsidRDefault="00A91885">
            <w:pPr>
              <w:rPr>
                <w:rFonts w:ascii="宋体"/>
                <w:vanish/>
              </w:rPr>
            </w:pPr>
          </w:p>
        </w:tc>
        <w:tc>
          <w:tcPr>
            <w:tcW w:w="0" w:type="auto"/>
            <w:gridSpan w:val="3"/>
            <w:shd w:val="clear" w:color="auto" w:fill="auto"/>
            <w:vAlign w:val="bottom"/>
          </w:tcPr>
          <w:p w14:paraId="18601EB9" w14:textId="77777777" w:rsidR="00A91885" w:rsidRDefault="00A91885">
            <w:pPr>
              <w:rPr>
                <w:rFonts w:ascii="宋体"/>
                <w:vanish/>
              </w:rPr>
            </w:pPr>
          </w:p>
        </w:tc>
        <w:tc>
          <w:tcPr>
            <w:tcW w:w="0" w:type="auto"/>
            <w:gridSpan w:val="3"/>
            <w:shd w:val="clear" w:color="auto" w:fill="auto"/>
            <w:vAlign w:val="bottom"/>
          </w:tcPr>
          <w:p w14:paraId="18601EBA" w14:textId="77777777" w:rsidR="00A91885" w:rsidRDefault="00A91885">
            <w:pPr>
              <w:rPr>
                <w:rFonts w:ascii="宋体"/>
                <w:vanish/>
              </w:rPr>
            </w:pPr>
          </w:p>
        </w:tc>
      </w:tr>
      <w:tr w:rsidR="00A91885" w14:paraId="18601EC8" w14:textId="77777777">
        <w:trPr>
          <w:hidden/>
        </w:trPr>
        <w:tc>
          <w:tcPr>
            <w:tcW w:w="0" w:type="auto"/>
            <w:gridSpan w:val="3"/>
            <w:shd w:val="clear" w:color="auto" w:fill="auto"/>
            <w:vAlign w:val="bottom"/>
          </w:tcPr>
          <w:p w14:paraId="18601EBC" w14:textId="77777777" w:rsidR="00A91885" w:rsidRDefault="00A91885">
            <w:pPr>
              <w:rPr>
                <w:rFonts w:ascii="宋体"/>
                <w:vanish/>
              </w:rPr>
            </w:pPr>
          </w:p>
        </w:tc>
        <w:tc>
          <w:tcPr>
            <w:tcW w:w="0" w:type="auto"/>
            <w:gridSpan w:val="3"/>
            <w:shd w:val="clear" w:color="auto" w:fill="auto"/>
            <w:vAlign w:val="bottom"/>
          </w:tcPr>
          <w:p w14:paraId="18601EBD" w14:textId="77777777" w:rsidR="00A91885" w:rsidRDefault="00A91885">
            <w:pPr>
              <w:rPr>
                <w:rFonts w:ascii="宋体"/>
                <w:vanish/>
              </w:rPr>
            </w:pPr>
          </w:p>
        </w:tc>
        <w:tc>
          <w:tcPr>
            <w:tcW w:w="0" w:type="auto"/>
            <w:gridSpan w:val="3"/>
            <w:shd w:val="clear" w:color="auto" w:fill="auto"/>
            <w:vAlign w:val="bottom"/>
          </w:tcPr>
          <w:p w14:paraId="18601EBE" w14:textId="77777777" w:rsidR="00A91885" w:rsidRDefault="00A91885">
            <w:pPr>
              <w:rPr>
                <w:rFonts w:ascii="宋体"/>
                <w:vanish/>
              </w:rPr>
            </w:pPr>
          </w:p>
        </w:tc>
        <w:tc>
          <w:tcPr>
            <w:tcW w:w="0" w:type="auto"/>
            <w:gridSpan w:val="3"/>
            <w:shd w:val="clear" w:color="auto" w:fill="auto"/>
            <w:vAlign w:val="bottom"/>
          </w:tcPr>
          <w:p w14:paraId="18601EBF" w14:textId="77777777" w:rsidR="00A91885" w:rsidRDefault="00A91885">
            <w:pPr>
              <w:rPr>
                <w:rFonts w:ascii="宋体"/>
                <w:vanish/>
              </w:rPr>
            </w:pPr>
          </w:p>
        </w:tc>
        <w:tc>
          <w:tcPr>
            <w:tcW w:w="0" w:type="auto"/>
            <w:gridSpan w:val="3"/>
            <w:shd w:val="clear" w:color="auto" w:fill="auto"/>
            <w:vAlign w:val="bottom"/>
          </w:tcPr>
          <w:p w14:paraId="18601EC0" w14:textId="77777777" w:rsidR="00A91885" w:rsidRDefault="00A91885">
            <w:pPr>
              <w:rPr>
                <w:rFonts w:ascii="宋体"/>
                <w:vanish/>
              </w:rPr>
            </w:pPr>
          </w:p>
        </w:tc>
        <w:tc>
          <w:tcPr>
            <w:tcW w:w="0" w:type="auto"/>
            <w:gridSpan w:val="3"/>
            <w:shd w:val="clear" w:color="auto" w:fill="auto"/>
            <w:vAlign w:val="bottom"/>
          </w:tcPr>
          <w:p w14:paraId="18601EC1" w14:textId="77777777" w:rsidR="00A91885" w:rsidRDefault="00A91885">
            <w:pPr>
              <w:rPr>
                <w:rFonts w:ascii="宋体"/>
                <w:vanish/>
              </w:rPr>
            </w:pPr>
          </w:p>
        </w:tc>
        <w:tc>
          <w:tcPr>
            <w:tcW w:w="0" w:type="auto"/>
            <w:gridSpan w:val="3"/>
            <w:shd w:val="clear" w:color="auto" w:fill="auto"/>
            <w:vAlign w:val="bottom"/>
          </w:tcPr>
          <w:p w14:paraId="18601EC2" w14:textId="77777777" w:rsidR="00A91885" w:rsidRDefault="00A91885">
            <w:pPr>
              <w:rPr>
                <w:rFonts w:ascii="宋体"/>
                <w:vanish/>
              </w:rPr>
            </w:pPr>
          </w:p>
        </w:tc>
        <w:tc>
          <w:tcPr>
            <w:tcW w:w="0" w:type="auto"/>
            <w:gridSpan w:val="3"/>
            <w:shd w:val="clear" w:color="auto" w:fill="auto"/>
            <w:vAlign w:val="bottom"/>
          </w:tcPr>
          <w:p w14:paraId="18601EC3" w14:textId="77777777" w:rsidR="00A91885" w:rsidRDefault="00A91885">
            <w:pPr>
              <w:rPr>
                <w:rFonts w:ascii="宋体"/>
                <w:vanish/>
              </w:rPr>
            </w:pPr>
          </w:p>
        </w:tc>
        <w:tc>
          <w:tcPr>
            <w:tcW w:w="0" w:type="auto"/>
            <w:gridSpan w:val="3"/>
            <w:shd w:val="clear" w:color="auto" w:fill="auto"/>
            <w:vAlign w:val="bottom"/>
          </w:tcPr>
          <w:p w14:paraId="18601EC4" w14:textId="77777777" w:rsidR="00A91885" w:rsidRDefault="00A91885">
            <w:pPr>
              <w:rPr>
                <w:rFonts w:ascii="宋体"/>
                <w:vanish/>
              </w:rPr>
            </w:pPr>
          </w:p>
        </w:tc>
        <w:tc>
          <w:tcPr>
            <w:tcW w:w="0" w:type="auto"/>
            <w:gridSpan w:val="3"/>
            <w:shd w:val="clear" w:color="auto" w:fill="auto"/>
            <w:vAlign w:val="bottom"/>
          </w:tcPr>
          <w:p w14:paraId="18601EC5" w14:textId="77777777" w:rsidR="00A91885" w:rsidRDefault="00A91885">
            <w:pPr>
              <w:rPr>
                <w:rFonts w:ascii="宋体"/>
                <w:vanish/>
              </w:rPr>
            </w:pPr>
          </w:p>
        </w:tc>
        <w:tc>
          <w:tcPr>
            <w:tcW w:w="0" w:type="auto"/>
            <w:gridSpan w:val="3"/>
            <w:shd w:val="clear" w:color="auto" w:fill="auto"/>
            <w:vAlign w:val="bottom"/>
          </w:tcPr>
          <w:p w14:paraId="18601EC6" w14:textId="77777777" w:rsidR="00A91885" w:rsidRDefault="00A91885">
            <w:pPr>
              <w:rPr>
                <w:rFonts w:ascii="宋体"/>
                <w:vanish/>
              </w:rPr>
            </w:pPr>
          </w:p>
        </w:tc>
        <w:tc>
          <w:tcPr>
            <w:tcW w:w="0" w:type="auto"/>
            <w:gridSpan w:val="3"/>
            <w:shd w:val="clear" w:color="auto" w:fill="auto"/>
            <w:vAlign w:val="bottom"/>
          </w:tcPr>
          <w:p w14:paraId="18601EC7" w14:textId="77777777" w:rsidR="00A91885" w:rsidRDefault="00A91885">
            <w:pPr>
              <w:rPr>
                <w:rFonts w:ascii="宋体"/>
                <w:vanish/>
              </w:rPr>
            </w:pPr>
          </w:p>
        </w:tc>
      </w:tr>
      <w:tr w:rsidR="00A91885" w14:paraId="18601EDF" w14:textId="77777777">
        <w:tc>
          <w:tcPr>
            <w:tcW w:w="0" w:type="auto"/>
            <w:gridSpan w:val="3"/>
            <w:shd w:val="clear" w:color="auto" w:fill="FFFFFF"/>
            <w:tcMar>
              <w:top w:w="40" w:type="dxa"/>
              <w:left w:w="380" w:type="dxa"/>
              <w:bottom w:w="40" w:type="dxa"/>
              <w:right w:w="20" w:type="dxa"/>
            </w:tcMar>
            <w:vAlign w:val="bottom"/>
          </w:tcPr>
          <w:p w14:paraId="18601EC9" w14:textId="77777777" w:rsidR="00A91885" w:rsidRDefault="009C4196">
            <w:pPr>
              <w:textAlignment w:val="bottom"/>
            </w:pPr>
            <w:r>
              <w:rPr>
                <w:rFonts w:ascii="Arial" w:eastAsia="宋体" w:hAnsi="Arial" w:cs="Arial"/>
                <w:color w:val="000000"/>
                <w:sz w:val="18"/>
                <w:szCs w:val="18"/>
              </w:rPr>
              <w:t>Total net revenues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1ECA"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1ECB" w14:textId="77777777" w:rsidR="00A91885" w:rsidRDefault="009C4196">
            <w:pPr>
              <w:jc w:val="right"/>
              <w:textAlignment w:val="bottom"/>
            </w:pPr>
            <w:r>
              <w:rPr>
                <w:rFonts w:ascii="Arial" w:eastAsia="宋体" w:hAnsi="Arial" w:cs="Arial"/>
                <w:color w:val="000000"/>
                <w:sz w:val="18"/>
                <w:szCs w:val="18"/>
              </w:rPr>
              <w:t>4,905 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1EC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ECD"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1ECE"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1ECF" w14:textId="77777777" w:rsidR="00A91885" w:rsidRDefault="009C4196">
            <w:pPr>
              <w:jc w:val="right"/>
              <w:textAlignment w:val="bottom"/>
            </w:pPr>
            <w:r>
              <w:rPr>
                <w:rFonts w:ascii="Arial" w:eastAsia="宋体" w:hAnsi="Arial" w:cs="Arial"/>
                <w:color w:val="000000"/>
                <w:sz w:val="18"/>
                <w:szCs w:val="18"/>
              </w:rPr>
              <w:t>(153)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1ED0"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ED1"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1ED2"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1ED3" w14:textId="77777777" w:rsidR="00A91885" w:rsidRDefault="009C4196">
            <w:pPr>
              <w:jc w:val="right"/>
              <w:textAlignment w:val="bottom"/>
            </w:pPr>
            <w:r>
              <w:rPr>
                <w:rFonts w:ascii="Arial" w:eastAsia="宋体" w:hAnsi="Arial" w:cs="Arial"/>
                <w:color w:val="000000"/>
                <w:sz w:val="18"/>
                <w:szCs w:val="18"/>
              </w:rPr>
              <w:t>5,058 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1ED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ED5" w14:textId="77777777" w:rsidR="00A91885" w:rsidRDefault="00A91885">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1ED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18601ED7" w14:textId="77777777" w:rsidR="00A91885" w:rsidRDefault="009C4196">
            <w:pPr>
              <w:jc w:val="right"/>
              <w:textAlignment w:val="bottom"/>
            </w:pPr>
            <w:r>
              <w:rPr>
                <w:rFonts w:ascii="Arial" w:eastAsia="宋体" w:hAnsi="Arial" w:cs="Arial"/>
                <w:color w:val="000000"/>
                <w:sz w:val="18"/>
                <w:szCs w:val="18"/>
              </w:rPr>
              <w:t>5,306 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1ED8"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ED9"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EDA" w14:textId="77777777" w:rsidR="00A91885" w:rsidRDefault="009C4196">
            <w:pPr>
              <w:jc w:val="right"/>
              <w:textAlignment w:val="bottom"/>
            </w:pPr>
            <w:r>
              <w:rPr>
                <w:rFonts w:ascii="Arial" w:eastAsia="宋体" w:hAnsi="Arial" w:cs="Arial"/>
                <w:color w:val="000000"/>
                <w:sz w:val="18"/>
                <w:szCs w:val="18"/>
              </w:rPr>
              <w:t>(8)</w:t>
            </w:r>
          </w:p>
        </w:tc>
        <w:tc>
          <w:tcPr>
            <w:tcW w:w="0" w:type="auto"/>
            <w:shd w:val="clear" w:color="auto" w:fill="FFFFFF"/>
            <w:tcMar>
              <w:top w:w="40" w:type="dxa"/>
              <w:left w:w="0" w:type="dxa"/>
              <w:bottom w:w="40" w:type="dxa"/>
              <w:right w:w="20" w:type="dxa"/>
            </w:tcMar>
            <w:vAlign w:val="bottom"/>
          </w:tcPr>
          <w:p w14:paraId="18601EDB" w14:textId="77777777" w:rsidR="00A91885" w:rsidRDefault="009C4196">
            <w:pPr>
              <w:jc w:val="right"/>
              <w:textAlignment w:val="bottom"/>
            </w:pPr>
            <w:r>
              <w:rPr>
                <w:rFonts w:ascii="Arial" w:eastAsia="宋体" w:hAnsi="Arial" w:cs="Arial"/>
                <w:color w:val="000000"/>
                <w:sz w:val="18"/>
                <w:szCs w:val="18"/>
              </w:rPr>
              <w:t>%</w:t>
            </w:r>
          </w:p>
        </w:tc>
        <w:tc>
          <w:tcPr>
            <w:tcW w:w="0" w:type="auto"/>
            <w:gridSpan w:val="3"/>
            <w:shd w:val="clear" w:color="auto" w:fill="FFFFFF"/>
            <w:tcMar>
              <w:top w:w="0" w:type="dxa"/>
              <w:left w:w="20" w:type="dxa"/>
              <w:bottom w:w="0" w:type="dxa"/>
              <w:right w:w="20" w:type="dxa"/>
            </w:tcMar>
            <w:vAlign w:val="bottom"/>
          </w:tcPr>
          <w:p w14:paraId="18601ED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EDD" w14:textId="77777777" w:rsidR="00A91885" w:rsidRDefault="009C4196">
            <w:pPr>
              <w:jc w:val="right"/>
              <w:textAlignment w:val="bottom"/>
            </w:pPr>
            <w:r>
              <w:rPr>
                <w:rFonts w:ascii="Arial" w:eastAsia="宋体" w:hAnsi="Arial" w:cs="Arial"/>
                <w:color w:val="000000"/>
                <w:sz w:val="18"/>
                <w:szCs w:val="18"/>
              </w:rPr>
              <w:t>(6)</w:t>
            </w:r>
          </w:p>
        </w:tc>
        <w:tc>
          <w:tcPr>
            <w:tcW w:w="0" w:type="auto"/>
            <w:shd w:val="clear" w:color="auto" w:fill="FFFFFF"/>
            <w:tcMar>
              <w:top w:w="40" w:type="dxa"/>
              <w:left w:w="0" w:type="dxa"/>
              <w:bottom w:w="40" w:type="dxa"/>
              <w:right w:w="20" w:type="dxa"/>
            </w:tcMar>
            <w:vAlign w:val="bottom"/>
          </w:tcPr>
          <w:p w14:paraId="18601EDE" w14:textId="77777777" w:rsidR="00A91885" w:rsidRDefault="009C4196">
            <w:pPr>
              <w:jc w:val="right"/>
              <w:textAlignment w:val="bottom"/>
            </w:pPr>
            <w:r>
              <w:rPr>
                <w:rFonts w:ascii="Arial" w:eastAsia="宋体" w:hAnsi="Arial" w:cs="Arial"/>
                <w:color w:val="000000"/>
                <w:sz w:val="18"/>
                <w:szCs w:val="18"/>
              </w:rPr>
              <w:t>%</w:t>
            </w:r>
          </w:p>
        </w:tc>
      </w:tr>
    </w:tbl>
    <w:p w14:paraId="18601EE0" w14:textId="77777777" w:rsidR="00A91885" w:rsidRDefault="009C4196">
      <w:pPr>
        <w:ind w:hanging="180"/>
        <w:jc w:val="both"/>
      </w:pPr>
      <w:r>
        <w:rPr>
          <w:rFonts w:ascii="Arial" w:eastAsia="宋体" w:hAnsi="Arial" w:cs="Arial"/>
          <w:color w:val="000000"/>
          <w:sz w:val="13"/>
          <w:szCs w:val="13"/>
        </w:rPr>
        <w:t>(1)</w:t>
      </w:r>
      <w:r>
        <w:rPr>
          <w:rFonts w:ascii="Arial" w:eastAsia="宋体" w:hAnsi="Arial" w:cs="Arial"/>
          <w:color w:val="000000"/>
          <w:sz w:val="16"/>
          <w:szCs w:val="16"/>
        </w:rPr>
        <w:t xml:space="preserve"> We define exchange rate effect as the year-over-year impact of foreign currency movements using prior period foreign currency rates applied to current year transactional currency amounts excluding hedging activity. </w:t>
      </w:r>
    </w:p>
    <w:p w14:paraId="18601EE1" w14:textId="77777777" w:rsidR="00A91885" w:rsidRDefault="009C4196">
      <w:pPr>
        <w:ind w:hanging="180"/>
        <w:jc w:val="both"/>
      </w:pPr>
      <w:r>
        <w:rPr>
          <w:rFonts w:ascii="Arial" w:eastAsia="宋体" w:hAnsi="Arial" w:cs="Arial"/>
          <w:color w:val="000000"/>
          <w:sz w:val="13"/>
          <w:szCs w:val="13"/>
        </w:rPr>
        <w:t>(2)</w:t>
      </w:r>
      <w:r>
        <w:rPr>
          <w:rFonts w:ascii="Arial" w:eastAsia="宋体" w:hAnsi="Arial" w:cs="Arial"/>
          <w:color w:val="000000"/>
          <w:sz w:val="16"/>
          <w:szCs w:val="16"/>
        </w:rPr>
        <w:t xml:space="preserve"> We define FX-Neutral GMV as GMV minus the exchange rate effect. We define the non-GAAP financial measures of FX-Neutral net revenues as net revenues minus the exchange rate effect.</w:t>
      </w:r>
    </w:p>
    <w:p w14:paraId="18601EE2" w14:textId="77777777" w:rsidR="00A91885" w:rsidRDefault="009C4196">
      <w:pPr>
        <w:ind w:hanging="180"/>
        <w:jc w:val="both"/>
      </w:pPr>
      <w:r>
        <w:rPr>
          <w:rFonts w:ascii="Arial" w:eastAsia="宋体" w:hAnsi="Arial" w:cs="Arial"/>
          <w:color w:val="000000"/>
          <w:sz w:val="13"/>
          <w:szCs w:val="13"/>
        </w:rPr>
        <w:t>(3)</w:t>
      </w:r>
      <w:r>
        <w:rPr>
          <w:rFonts w:ascii="Arial" w:eastAsia="宋体" w:hAnsi="Arial" w:cs="Arial"/>
          <w:color w:val="000000"/>
          <w:sz w:val="16"/>
          <w:szCs w:val="16"/>
        </w:rPr>
        <w:t xml:space="preserve"> Net transaction revenues were net of $9 million and $15 million of </w:t>
      </w:r>
      <w:r>
        <w:rPr>
          <w:rFonts w:ascii="Arial" w:eastAsia="宋体" w:hAnsi="Arial" w:cs="Arial"/>
          <w:color w:val="000000"/>
          <w:sz w:val="16"/>
          <w:szCs w:val="16"/>
        </w:rPr>
        <w:t>hedging gains during the three and six months ended June 30, 2022, respectively, as compared to $18 million and $46 million of hedging losses during the same periods in 2021.</w:t>
      </w:r>
    </w:p>
    <w:p w14:paraId="18601EE3" w14:textId="77777777" w:rsidR="00A91885" w:rsidRDefault="009C4196">
      <w:pPr>
        <w:ind w:hanging="180"/>
        <w:jc w:val="both"/>
      </w:pPr>
      <w:r>
        <w:rPr>
          <w:rFonts w:ascii="Arial" w:eastAsia="宋体" w:hAnsi="Arial" w:cs="Arial"/>
          <w:color w:val="000000"/>
          <w:sz w:val="13"/>
          <w:szCs w:val="13"/>
        </w:rPr>
        <w:t xml:space="preserve">(4) </w:t>
      </w:r>
      <w:r>
        <w:rPr>
          <w:rFonts w:ascii="Arial" w:eastAsia="宋体" w:hAnsi="Arial" w:cs="Arial"/>
          <w:color w:val="000000"/>
          <w:sz w:val="16"/>
          <w:szCs w:val="16"/>
        </w:rPr>
        <w:t>GMV for the three and six months ended June 30, 2021 has been retrospectively</w:t>
      </w:r>
      <w:r>
        <w:rPr>
          <w:rFonts w:ascii="Arial" w:eastAsia="宋体" w:hAnsi="Arial" w:cs="Arial"/>
          <w:color w:val="000000"/>
          <w:sz w:val="16"/>
          <w:szCs w:val="16"/>
        </w:rPr>
        <w:t xml:space="preserve"> recast to reflect the new definition of GMV announced in December 2021.</w:t>
      </w:r>
    </w:p>
    <w:p w14:paraId="18601EE4" w14:textId="77777777" w:rsidR="00A91885" w:rsidRDefault="00A91885">
      <w:pPr>
        <w:ind w:hanging="180"/>
        <w:jc w:val="both"/>
      </w:pPr>
    </w:p>
    <w:p w14:paraId="18601EE5" w14:textId="77777777" w:rsidR="00A91885" w:rsidRDefault="00A91885">
      <w:pPr>
        <w:jc w:val="center"/>
      </w:pPr>
    </w:p>
    <w:p w14:paraId="18601EE6" w14:textId="77777777" w:rsidR="00A91885" w:rsidRDefault="009C4196">
      <w:pPr>
        <w:jc w:val="center"/>
      </w:pPr>
      <w:r>
        <w:rPr>
          <w:rFonts w:ascii="Arial" w:eastAsia="宋体" w:hAnsi="Arial" w:cs="Arial"/>
          <w:color w:val="000000"/>
          <w:sz w:val="20"/>
          <w:szCs w:val="20"/>
        </w:rPr>
        <w:t>56</w:t>
      </w:r>
    </w:p>
    <w:p w14:paraId="18601EE7" w14:textId="77777777" w:rsidR="00A91885" w:rsidRDefault="009C4196">
      <w:r>
        <w:pict w14:anchorId="186021BB">
          <v:rect id="_x0000_i1080" style="width:415.3pt;height:1.5pt" o:hralign="center" o:hrstd="t" o:hr="t" fillcolor="#a0a0a0" stroked="f"/>
        </w:pict>
      </w:r>
    </w:p>
    <w:p w14:paraId="18601EE8" w14:textId="77777777" w:rsidR="00A91885" w:rsidRDefault="009C4196">
      <w:hyperlink r:id="rId140" w:anchor="ieb971428a625452486c65ae24899afca_7" w:history="1">
        <w:r>
          <w:rPr>
            <w:rStyle w:val="a5"/>
            <w:rFonts w:ascii="Arial" w:eastAsia="宋体" w:hAnsi="Arial" w:cs="Arial"/>
            <w:sz w:val="18"/>
            <w:szCs w:val="18"/>
          </w:rPr>
          <w:t>Table of Contents</w:t>
        </w:r>
      </w:hyperlink>
    </w:p>
    <w:p w14:paraId="18601EE9" w14:textId="77777777" w:rsidR="00A91885" w:rsidRDefault="009C4196">
      <w:r>
        <w:rPr>
          <w:rFonts w:ascii="Arial" w:eastAsia="宋体" w:hAnsi="Arial" w:cs="Arial"/>
          <w:b/>
          <w:bCs/>
          <w:color w:val="000000"/>
          <w:sz w:val="20"/>
          <w:szCs w:val="20"/>
        </w:rPr>
        <w:t>Liqui</w:t>
      </w:r>
      <w:r>
        <w:rPr>
          <w:rFonts w:ascii="Arial" w:eastAsia="宋体" w:hAnsi="Arial" w:cs="Arial"/>
          <w:b/>
          <w:bCs/>
          <w:color w:val="000000"/>
          <w:sz w:val="20"/>
          <w:szCs w:val="20"/>
        </w:rPr>
        <w:t xml:space="preserve">dity and Capital Resources </w:t>
      </w:r>
    </w:p>
    <w:p w14:paraId="18601EEA" w14:textId="77777777" w:rsidR="00A91885" w:rsidRDefault="00A91885"/>
    <w:p w14:paraId="18601EEB" w14:textId="77777777" w:rsidR="00A91885" w:rsidRDefault="009C4196">
      <w:r>
        <w:rPr>
          <w:rFonts w:ascii="Arial" w:eastAsia="宋体" w:hAnsi="Arial" w:cs="Arial"/>
          <w:b/>
          <w:bCs/>
          <w:i/>
          <w:iCs/>
          <w:color w:val="000000"/>
          <w:sz w:val="20"/>
          <w:szCs w:val="20"/>
        </w:rPr>
        <w:t>Cash Flows</w:t>
      </w:r>
      <w:r>
        <w:rPr>
          <w:rFonts w:ascii="Arial" w:eastAsia="宋体" w:hAnsi="Arial" w:cs="Arial"/>
          <w:b/>
          <w:bCs/>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39"/>
        <w:gridCol w:w="5693"/>
        <w:gridCol w:w="38"/>
        <w:gridCol w:w="121"/>
        <w:gridCol w:w="1071"/>
        <w:gridCol w:w="36"/>
        <w:gridCol w:w="36"/>
        <w:gridCol w:w="36"/>
        <w:gridCol w:w="36"/>
        <w:gridCol w:w="121"/>
        <w:gridCol w:w="1073"/>
        <w:gridCol w:w="36"/>
      </w:tblGrid>
      <w:tr w:rsidR="00A91885" w14:paraId="18601EF8" w14:textId="77777777">
        <w:tc>
          <w:tcPr>
            <w:tcW w:w="50" w:type="pct"/>
            <w:shd w:val="clear" w:color="auto" w:fill="auto"/>
            <w:vAlign w:val="bottom"/>
          </w:tcPr>
          <w:p w14:paraId="18601EEC" w14:textId="77777777" w:rsidR="00A91885" w:rsidRDefault="00A91885">
            <w:pPr>
              <w:rPr>
                <w:rFonts w:ascii="宋体"/>
              </w:rPr>
            </w:pPr>
          </w:p>
        </w:tc>
        <w:tc>
          <w:tcPr>
            <w:tcW w:w="3453" w:type="pct"/>
            <w:shd w:val="clear" w:color="auto" w:fill="auto"/>
            <w:vAlign w:val="bottom"/>
          </w:tcPr>
          <w:p w14:paraId="18601EED" w14:textId="77777777" w:rsidR="00A91885" w:rsidRDefault="00A91885">
            <w:pPr>
              <w:rPr>
                <w:rFonts w:ascii="宋体"/>
              </w:rPr>
            </w:pPr>
          </w:p>
        </w:tc>
        <w:tc>
          <w:tcPr>
            <w:tcW w:w="5" w:type="pct"/>
            <w:shd w:val="clear" w:color="auto" w:fill="auto"/>
            <w:vAlign w:val="bottom"/>
          </w:tcPr>
          <w:p w14:paraId="18601EEE" w14:textId="77777777" w:rsidR="00A91885" w:rsidRDefault="00A91885">
            <w:pPr>
              <w:rPr>
                <w:rFonts w:ascii="宋体"/>
              </w:rPr>
            </w:pPr>
          </w:p>
        </w:tc>
        <w:tc>
          <w:tcPr>
            <w:tcW w:w="50" w:type="pct"/>
            <w:shd w:val="clear" w:color="auto" w:fill="auto"/>
            <w:vAlign w:val="bottom"/>
          </w:tcPr>
          <w:p w14:paraId="18601EEF" w14:textId="77777777" w:rsidR="00A91885" w:rsidRDefault="00A91885">
            <w:pPr>
              <w:rPr>
                <w:rFonts w:ascii="宋体"/>
              </w:rPr>
            </w:pPr>
          </w:p>
        </w:tc>
        <w:tc>
          <w:tcPr>
            <w:tcW w:w="675" w:type="pct"/>
            <w:shd w:val="clear" w:color="auto" w:fill="auto"/>
            <w:vAlign w:val="bottom"/>
          </w:tcPr>
          <w:p w14:paraId="18601EF0" w14:textId="77777777" w:rsidR="00A91885" w:rsidRDefault="00A91885">
            <w:pPr>
              <w:rPr>
                <w:rFonts w:ascii="宋体"/>
              </w:rPr>
            </w:pPr>
          </w:p>
        </w:tc>
        <w:tc>
          <w:tcPr>
            <w:tcW w:w="5" w:type="pct"/>
            <w:shd w:val="clear" w:color="auto" w:fill="auto"/>
            <w:vAlign w:val="bottom"/>
          </w:tcPr>
          <w:p w14:paraId="18601EF1" w14:textId="77777777" w:rsidR="00A91885" w:rsidRDefault="00A91885">
            <w:pPr>
              <w:rPr>
                <w:rFonts w:ascii="宋体"/>
              </w:rPr>
            </w:pPr>
          </w:p>
        </w:tc>
        <w:tc>
          <w:tcPr>
            <w:tcW w:w="5" w:type="pct"/>
            <w:shd w:val="clear" w:color="auto" w:fill="auto"/>
            <w:vAlign w:val="bottom"/>
          </w:tcPr>
          <w:p w14:paraId="18601EF2" w14:textId="77777777" w:rsidR="00A91885" w:rsidRDefault="00A91885">
            <w:pPr>
              <w:rPr>
                <w:rFonts w:ascii="宋体"/>
              </w:rPr>
            </w:pPr>
          </w:p>
        </w:tc>
        <w:tc>
          <w:tcPr>
            <w:tcW w:w="19" w:type="pct"/>
            <w:shd w:val="clear" w:color="auto" w:fill="auto"/>
            <w:vAlign w:val="bottom"/>
          </w:tcPr>
          <w:p w14:paraId="18601EF3" w14:textId="77777777" w:rsidR="00A91885" w:rsidRDefault="00A91885">
            <w:pPr>
              <w:rPr>
                <w:rFonts w:ascii="宋体"/>
              </w:rPr>
            </w:pPr>
          </w:p>
        </w:tc>
        <w:tc>
          <w:tcPr>
            <w:tcW w:w="5" w:type="pct"/>
            <w:shd w:val="clear" w:color="auto" w:fill="auto"/>
            <w:vAlign w:val="bottom"/>
          </w:tcPr>
          <w:p w14:paraId="18601EF4" w14:textId="77777777" w:rsidR="00A91885" w:rsidRDefault="00A91885">
            <w:pPr>
              <w:rPr>
                <w:rFonts w:ascii="宋体"/>
              </w:rPr>
            </w:pPr>
          </w:p>
        </w:tc>
        <w:tc>
          <w:tcPr>
            <w:tcW w:w="50" w:type="pct"/>
            <w:shd w:val="clear" w:color="auto" w:fill="auto"/>
            <w:vAlign w:val="bottom"/>
          </w:tcPr>
          <w:p w14:paraId="18601EF5" w14:textId="77777777" w:rsidR="00A91885" w:rsidRDefault="00A91885">
            <w:pPr>
              <w:rPr>
                <w:rFonts w:ascii="宋体"/>
              </w:rPr>
            </w:pPr>
          </w:p>
        </w:tc>
        <w:tc>
          <w:tcPr>
            <w:tcW w:w="676" w:type="pct"/>
            <w:shd w:val="clear" w:color="auto" w:fill="auto"/>
            <w:vAlign w:val="bottom"/>
          </w:tcPr>
          <w:p w14:paraId="18601EF6" w14:textId="77777777" w:rsidR="00A91885" w:rsidRDefault="00A91885">
            <w:pPr>
              <w:rPr>
                <w:rFonts w:ascii="宋体"/>
              </w:rPr>
            </w:pPr>
          </w:p>
        </w:tc>
        <w:tc>
          <w:tcPr>
            <w:tcW w:w="5" w:type="pct"/>
            <w:shd w:val="clear" w:color="auto" w:fill="auto"/>
            <w:vAlign w:val="bottom"/>
          </w:tcPr>
          <w:p w14:paraId="18601EF7" w14:textId="77777777" w:rsidR="00A91885" w:rsidRDefault="00A91885">
            <w:pPr>
              <w:rPr>
                <w:rFonts w:ascii="宋体"/>
              </w:rPr>
            </w:pPr>
          </w:p>
        </w:tc>
      </w:tr>
      <w:tr w:rsidR="00A91885" w14:paraId="18601EFB" w14:textId="77777777">
        <w:tc>
          <w:tcPr>
            <w:tcW w:w="0" w:type="auto"/>
            <w:gridSpan w:val="3"/>
            <w:shd w:val="clear" w:color="auto" w:fill="auto"/>
            <w:tcMar>
              <w:top w:w="40" w:type="dxa"/>
              <w:left w:w="20" w:type="dxa"/>
              <w:bottom w:w="40" w:type="dxa"/>
              <w:right w:w="20" w:type="dxa"/>
            </w:tcMar>
            <w:vAlign w:val="bottom"/>
          </w:tcPr>
          <w:p w14:paraId="18601EF9" w14:textId="77777777" w:rsidR="00A91885" w:rsidRDefault="009C4196">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18601EFA" w14:textId="77777777" w:rsidR="00A91885" w:rsidRDefault="009C4196">
            <w:pPr>
              <w:jc w:val="center"/>
              <w:textAlignment w:val="bottom"/>
            </w:pPr>
            <w:r>
              <w:rPr>
                <w:rFonts w:ascii="Arial" w:eastAsia="宋体" w:hAnsi="Arial" w:cs="Arial"/>
                <w:b/>
                <w:bCs/>
                <w:color w:val="000000"/>
                <w:sz w:val="17"/>
                <w:szCs w:val="17"/>
              </w:rPr>
              <w:t>Six Months Ended June 30,</w:t>
            </w:r>
          </w:p>
        </w:tc>
      </w:tr>
      <w:tr w:rsidR="00A91885" w14:paraId="18601F00" w14:textId="77777777">
        <w:tc>
          <w:tcPr>
            <w:tcW w:w="0" w:type="auto"/>
            <w:gridSpan w:val="3"/>
            <w:shd w:val="clear" w:color="auto" w:fill="auto"/>
            <w:tcMar>
              <w:top w:w="40" w:type="dxa"/>
              <w:left w:w="20" w:type="dxa"/>
              <w:bottom w:w="40" w:type="dxa"/>
              <w:right w:w="20" w:type="dxa"/>
            </w:tcMar>
            <w:vAlign w:val="bottom"/>
          </w:tcPr>
          <w:p w14:paraId="18601EFC" w14:textId="77777777" w:rsidR="00A91885" w:rsidRDefault="009C4196">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18601EFD" w14:textId="77777777" w:rsidR="00A91885" w:rsidRDefault="009C4196">
            <w:pPr>
              <w:jc w:val="center"/>
              <w:textAlignment w:val="bottom"/>
            </w:pPr>
            <w:r>
              <w:rPr>
                <w:rFonts w:ascii="Arial" w:eastAsia="宋体" w:hAnsi="Arial" w:cs="Arial"/>
                <w:b/>
                <w:bCs/>
                <w:color w:val="000000"/>
                <w:sz w:val="17"/>
                <w:szCs w:val="17"/>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18601EFE" w14:textId="77777777" w:rsidR="00A91885" w:rsidRDefault="00A91885">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18601EFF" w14:textId="77777777" w:rsidR="00A91885" w:rsidRDefault="009C4196">
            <w:pPr>
              <w:jc w:val="center"/>
              <w:textAlignment w:val="bottom"/>
            </w:pPr>
            <w:r>
              <w:rPr>
                <w:rFonts w:ascii="Arial" w:eastAsia="宋体" w:hAnsi="Arial" w:cs="Arial"/>
                <w:b/>
                <w:bCs/>
                <w:color w:val="000000"/>
                <w:sz w:val="17"/>
                <w:szCs w:val="17"/>
              </w:rPr>
              <w:t>2021</w:t>
            </w:r>
          </w:p>
        </w:tc>
      </w:tr>
      <w:tr w:rsidR="00A91885" w14:paraId="18601F03" w14:textId="77777777">
        <w:tc>
          <w:tcPr>
            <w:tcW w:w="0" w:type="auto"/>
            <w:gridSpan w:val="3"/>
            <w:shd w:val="clear" w:color="auto" w:fill="auto"/>
            <w:tcMar>
              <w:top w:w="40" w:type="dxa"/>
              <w:left w:w="20" w:type="dxa"/>
              <w:bottom w:w="40" w:type="dxa"/>
              <w:right w:w="20" w:type="dxa"/>
            </w:tcMar>
            <w:vAlign w:val="bottom"/>
          </w:tcPr>
          <w:p w14:paraId="18601F01" w14:textId="77777777" w:rsidR="00A91885" w:rsidRDefault="009C4196">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601F02" w14:textId="77777777" w:rsidR="00A91885" w:rsidRDefault="009C4196">
            <w:pPr>
              <w:jc w:val="center"/>
              <w:textAlignment w:val="bottom"/>
            </w:pPr>
            <w:r>
              <w:rPr>
                <w:rFonts w:ascii="Arial" w:eastAsia="宋体" w:hAnsi="Arial" w:cs="Arial"/>
                <w:b/>
                <w:bCs/>
                <w:color w:val="000000"/>
                <w:sz w:val="17"/>
                <w:szCs w:val="17"/>
              </w:rPr>
              <w:t>(In millions)</w:t>
            </w:r>
          </w:p>
        </w:tc>
      </w:tr>
      <w:tr w:rsidR="00A91885" w14:paraId="18601F08" w14:textId="77777777">
        <w:tc>
          <w:tcPr>
            <w:tcW w:w="0" w:type="auto"/>
            <w:gridSpan w:val="3"/>
            <w:shd w:val="clear" w:color="auto" w:fill="E2E2E2"/>
            <w:tcMar>
              <w:top w:w="40" w:type="dxa"/>
              <w:left w:w="20" w:type="dxa"/>
              <w:bottom w:w="40" w:type="dxa"/>
              <w:right w:w="20" w:type="dxa"/>
            </w:tcMar>
            <w:vAlign w:val="bottom"/>
          </w:tcPr>
          <w:p w14:paraId="18601F04" w14:textId="77777777" w:rsidR="00A91885" w:rsidRDefault="009C4196">
            <w:pPr>
              <w:textAlignment w:val="bottom"/>
            </w:pPr>
            <w:r>
              <w:rPr>
                <w:rFonts w:ascii="Arial" w:eastAsia="宋体" w:hAnsi="Arial" w:cs="Arial"/>
                <w:color w:val="000000"/>
                <w:sz w:val="18"/>
                <w:szCs w:val="18"/>
              </w:rPr>
              <w:t>Net cash provided by (used in):</w:t>
            </w:r>
          </w:p>
        </w:tc>
        <w:tc>
          <w:tcPr>
            <w:tcW w:w="0" w:type="auto"/>
            <w:gridSpan w:val="3"/>
            <w:shd w:val="clear" w:color="auto" w:fill="E2E2E2"/>
            <w:tcMar>
              <w:top w:w="40" w:type="dxa"/>
              <w:left w:w="20" w:type="dxa"/>
              <w:bottom w:w="40" w:type="dxa"/>
              <w:right w:w="20" w:type="dxa"/>
            </w:tcMar>
            <w:vAlign w:val="bottom"/>
          </w:tcPr>
          <w:p w14:paraId="18601F05" w14:textId="77777777" w:rsidR="00A91885" w:rsidRDefault="009C4196">
            <w:pPr>
              <w:textAlignment w:val="bottom"/>
            </w:pPr>
            <w:r>
              <w:rPr>
                <w:rFonts w:ascii="Arial" w:eastAsia="宋体" w:hAnsi="Arial" w:cs="Arial"/>
                <w:color w:val="000000"/>
                <w:sz w:val="18"/>
                <w:szCs w:val="18"/>
              </w:rPr>
              <w:t> </w:t>
            </w:r>
          </w:p>
        </w:tc>
        <w:tc>
          <w:tcPr>
            <w:tcW w:w="0" w:type="auto"/>
            <w:gridSpan w:val="3"/>
            <w:shd w:val="clear" w:color="auto" w:fill="E2E2E2"/>
            <w:tcMar>
              <w:top w:w="0" w:type="dxa"/>
              <w:left w:w="20" w:type="dxa"/>
              <w:bottom w:w="0" w:type="dxa"/>
              <w:right w:w="20" w:type="dxa"/>
            </w:tcMar>
            <w:vAlign w:val="bottom"/>
          </w:tcPr>
          <w:p w14:paraId="18601F06" w14:textId="77777777" w:rsidR="00A91885" w:rsidRDefault="00A91885">
            <w:pPr>
              <w:rPr>
                <w:rFonts w:ascii="宋体"/>
              </w:rPr>
            </w:pPr>
          </w:p>
        </w:tc>
        <w:tc>
          <w:tcPr>
            <w:tcW w:w="0" w:type="auto"/>
            <w:gridSpan w:val="3"/>
            <w:shd w:val="clear" w:color="auto" w:fill="E2E2E2"/>
            <w:tcMar>
              <w:top w:w="40" w:type="dxa"/>
              <w:left w:w="20" w:type="dxa"/>
              <w:bottom w:w="40" w:type="dxa"/>
              <w:right w:w="20" w:type="dxa"/>
            </w:tcMar>
            <w:vAlign w:val="bottom"/>
          </w:tcPr>
          <w:p w14:paraId="18601F07" w14:textId="77777777" w:rsidR="00A91885" w:rsidRDefault="009C4196">
            <w:pPr>
              <w:textAlignment w:val="bottom"/>
            </w:pPr>
            <w:r>
              <w:rPr>
                <w:rFonts w:ascii="Arial" w:eastAsia="宋体" w:hAnsi="Arial" w:cs="Arial"/>
                <w:color w:val="000000"/>
                <w:sz w:val="18"/>
                <w:szCs w:val="18"/>
              </w:rPr>
              <w:t> </w:t>
            </w:r>
          </w:p>
        </w:tc>
      </w:tr>
      <w:tr w:rsidR="00A91885" w14:paraId="18601F11" w14:textId="77777777">
        <w:tc>
          <w:tcPr>
            <w:tcW w:w="0" w:type="auto"/>
            <w:gridSpan w:val="3"/>
            <w:shd w:val="clear" w:color="auto" w:fill="FFFFFF"/>
            <w:tcMar>
              <w:top w:w="40" w:type="dxa"/>
              <w:left w:w="380" w:type="dxa"/>
              <w:bottom w:w="40" w:type="dxa"/>
              <w:right w:w="20" w:type="dxa"/>
            </w:tcMar>
            <w:vAlign w:val="bottom"/>
          </w:tcPr>
          <w:p w14:paraId="18601F09" w14:textId="77777777" w:rsidR="00A91885" w:rsidRDefault="009C4196">
            <w:pPr>
              <w:textAlignment w:val="bottom"/>
            </w:pPr>
            <w:r>
              <w:rPr>
                <w:rFonts w:ascii="Arial" w:eastAsia="宋体" w:hAnsi="Arial" w:cs="Arial"/>
                <w:color w:val="000000"/>
                <w:sz w:val="18"/>
                <w:szCs w:val="18"/>
              </w:rPr>
              <w:t>Continuing operating activities</w:t>
            </w:r>
          </w:p>
        </w:tc>
        <w:tc>
          <w:tcPr>
            <w:tcW w:w="0" w:type="auto"/>
            <w:shd w:val="clear" w:color="auto" w:fill="FFFFFF"/>
            <w:tcMar>
              <w:top w:w="40" w:type="dxa"/>
              <w:left w:w="20" w:type="dxa"/>
              <w:bottom w:w="40" w:type="dxa"/>
              <w:right w:w="0" w:type="dxa"/>
            </w:tcMar>
            <w:vAlign w:val="bottom"/>
          </w:tcPr>
          <w:p w14:paraId="18601F0A"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F0B" w14:textId="77777777" w:rsidR="00A91885" w:rsidRDefault="009C4196">
            <w:pPr>
              <w:jc w:val="right"/>
              <w:textAlignment w:val="bottom"/>
            </w:pPr>
            <w:r>
              <w:rPr>
                <w:rFonts w:ascii="Arial" w:eastAsia="宋体" w:hAnsi="Arial" w:cs="Arial"/>
                <w:color w:val="000000"/>
                <w:sz w:val="18"/>
                <w:szCs w:val="18"/>
              </w:rPr>
              <w:t>1,206 </w:t>
            </w:r>
          </w:p>
        </w:tc>
        <w:tc>
          <w:tcPr>
            <w:tcW w:w="0" w:type="auto"/>
            <w:shd w:val="clear" w:color="auto" w:fill="FFFFFF"/>
            <w:tcMar>
              <w:top w:w="40" w:type="dxa"/>
              <w:left w:w="0" w:type="dxa"/>
              <w:bottom w:w="40" w:type="dxa"/>
              <w:right w:w="20" w:type="dxa"/>
            </w:tcMar>
            <w:vAlign w:val="bottom"/>
          </w:tcPr>
          <w:p w14:paraId="18601F0C"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F0D"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F0E"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F0F" w14:textId="77777777" w:rsidR="00A91885" w:rsidRDefault="009C4196">
            <w:pPr>
              <w:jc w:val="right"/>
              <w:textAlignment w:val="bottom"/>
            </w:pPr>
            <w:r>
              <w:rPr>
                <w:rFonts w:ascii="Arial" w:eastAsia="宋体" w:hAnsi="Arial" w:cs="Arial"/>
                <w:color w:val="000000"/>
                <w:sz w:val="18"/>
                <w:szCs w:val="18"/>
              </w:rPr>
              <w:t>1,957 </w:t>
            </w:r>
          </w:p>
        </w:tc>
        <w:tc>
          <w:tcPr>
            <w:tcW w:w="0" w:type="auto"/>
            <w:shd w:val="clear" w:color="auto" w:fill="FFFFFF"/>
            <w:tcMar>
              <w:top w:w="40" w:type="dxa"/>
              <w:left w:w="0" w:type="dxa"/>
              <w:bottom w:w="40" w:type="dxa"/>
              <w:right w:w="20" w:type="dxa"/>
            </w:tcMar>
            <w:vAlign w:val="bottom"/>
          </w:tcPr>
          <w:p w14:paraId="18601F10" w14:textId="77777777" w:rsidR="00A91885" w:rsidRDefault="00A91885">
            <w:pPr>
              <w:jc w:val="right"/>
              <w:rPr>
                <w:rFonts w:ascii="宋体"/>
              </w:rPr>
            </w:pPr>
          </w:p>
        </w:tc>
      </w:tr>
      <w:tr w:rsidR="00A91885" w14:paraId="18601F18" w14:textId="77777777">
        <w:tc>
          <w:tcPr>
            <w:tcW w:w="0" w:type="auto"/>
            <w:gridSpan w:val="3"/>
            <w:shd w:val="clear" w:color="auto" w:fill="E2E2E2"/>
            <w:tcMar>
              <w:top w:w="40" w:type="dxa"/>
              <w:left w:w="380" w:type="dxa"/>
              <w:bottom w:w="40" w:type="dxa"/>
              <w:right w:w="20" w:type="dxa"/>
            </w:tcMar>
            <w:vAlign w:val="bottom"/>
          </w:tcPr>
          <w:p w14:paraId="18601F12" w14:textId="77777777" w:rsidR="00A91885" w:rsidRDefault="009C4196">
            <w:pPr>
              <w:textAlignment w:val="bottom"/>
            </w:pPr>
            <w:r>
              <w:rPr>
                <w:rFonts w:ascii="Arial" w:eastAsia="宋体" w:hAnsi="Arial" w:cs="Arial"/>
                <w:color w:val="000000"/>
                <w:sz w:val="18"/>
                <w:szCs w:val="18"/>
              </w:rPr>
              <w:t>Continuing investing activities</w:t>
            </w:r>
          </w:p>
        </w:tc>
        <w:tc>
          <w:tcPr>
            <w:tcW w:w="0" w:type="auto"/>
            <w:gridSpan w:val="2"/>
            <w:shd w:val="clear" w:color="auto" w:fill="E2E2E2"/>
            <w:tcMar>
              <w:top w:w="40" w:type="dxa"/>
              <w:left w:w="20" w:type="dxa"/>
              <w:bottom w:w="40" w:type="dxa"/>
              <w:right w:w="0" w:type="dxa"/>
            </w:tcMar>
            <w:vAlign w:val="bottom"/>
          </w:tcPr>
          <w:p w14:paraId="18601F13" w14:textId="77777777" w:rsidR="00A91885" w:rsidRDefault="009C4196">
            <w:pPr>
              <w:jc w:val="right"/>
              <w:textAlignment w:val="bottom"/>
            </w:pPr>
            <w:r>
              <w:rPr>
                <w:rFonts w:ascii="Arial" w:eastAsia="宋体" w:hAnsi="Arial" w:cs="Arial"/>
                <w:color w:val="000000"/>
                <w:sz w:val="18"/>
                <w:szCs w:val="18"/>
              </w:rPr>
              <w:t>3,764 </w:t>
            </w:r>
          </w:p>
        </w:tc>
        <w:tc>
          <w:tcPr>
            <w:tcW w:w="0" w:type="auto"/>
            <w:shd w:val="clear" w:color="auto" w:fill="E2E2E2"/>
            <w:tcMar>
              <w:top w:w="40" w:type="dxa"/>
              <w:left w:w="0" w:type="dxa"/>
              <w:bottom w:w="40" w:type="dxa"/>
              <w:right w:w="20" w:type="dxa"/>
            </w:tcMar>
            <w:vAlign w:val="bottom"/>
          </w:tcPr>
          <w:p w14:paraId="18601F1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F15"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F16" w14:textId="77777777" w:rsidR="00A91885" w:rsidRDefault="009C4196">
            <w:pPr>
              <w:jc w:val="right"/>
              <w:textAlignment w:val="bottom"/>
            </w:pPr>
            <w:r>
              <w:rPr>
                <w:rFonts w:ascii="Arial" w:eastAsia="宋体" w:hAnsi="Arial" w:cs="Arial"/>
                <w:color w:val="000000"/>
                <w:sz w:val="18"/>
                <w:szCs w:val="18"/>
              </w:rPr>
              <w:t>(3,089)</w:t>
            </w:r>
          </w:p>
        </w:tc>
        <w:tc>
          <w:tcPr>
            <w:tcW w:w="0" w:type="auto"/>
            <w:shd w:val="clear" w:color="auto" w:fill="E2E2E2"/>
            <w:tcMar>
              <w:top w:w="40" w:type="dxa"/>
              <w:left w:w="0" w:type="dxa"/>
              <w:bottom w:w="40" w:type="dxa"/>
              <w:right w:w="20" w:type="dxa"/>
            </w:tcMar>
            <w:vAlign w:val="bottom"/>
          </w:tcPr>
          <w:p w14:paraId="18601F17" w14:textId="77777777" w:rsidR="00A91885" w:rsidRDefault="00A91885">
            <w:pPr>
              <w:jc w:val="right"/>
              <w:rPr>
                <w:rFonts w:ascii="宋体"/>
              </w:rPr>
            </w:pPr>
          </w:p>
        </w:tc>
      </w:tr>
      <w:tr w:rsidR="00A91885" w14:paraId="18601F1F" w14:textId="77777777">
        <w:tc>
          <w:tcPr>
            <w:tcW w:w="0" w:type="auto"/>
            <w:gridSpan w:val="3"/>
            <w:shd w:val="clear" w:color="auto" w:fill="FFFFFF"/>
            <w:tcMar>
              <w:top w:w="40" w:type="dxa"/>
              <w:left w:w="380" w:type="dxa"/>
              <w:bottom w:w="40" w:type="dxa"/>
              <w:right w:w="20" w:type="dxa"/>
            </w:tcMar>
            <w:vAlign w:val="bottom"/>
          </w:tcPr>
          <w:p w14:paraId="18601F19" w14:textId="77777777" w:rsidR="00A91885" w:rsidRDefault="009C4196">
            <w:pPr>
              <w:textAlignment w:val="bottom"/>
            </w:pPr>
            <w:r>
              <w:rPr>
                <w:rFonts w:ascii="Arial" w:eastAsia="宋体" w:hAnsi="Arial" w:cs="Arial"/>
                <w:color w:val="000000"/>
                <w:sz w:val="18"/>
                <w:szCs w:val="18"/>
              </w:rPr>
              <w:t>Continuing financing activities</w:t>
            </w:r>
          </w:p>
        </w:tc>
        <w:tc>
          <w:tcPr>
            <w:tcW w:w="0" w:type="auto"/>
            <w:gridSpan w:val="2"/>
            <w:shd w:val="clear" w:color="auto" w:fill="FFFFFF"/>
            <w:tcMar>
              <w:top w:w="40" w:type="dxa"/>
              <w:left w:w="20" w:type="dxa"/>
              <w:bottom w:w="40" w:type="dxa"/>
              <w:right w:w="0" w:type="dxa"/>
            </w:tcMar>
            <w:vAlign w:val="bottom"/>
          </w:tcPr>
          <w:p w14:paraId="18601F1A" w14:textId="77777777" w:rsidR="00A91885" w:rsidRDefault="009C4196">
            <w:pPr>
              <w:jc w:val="right"/>
              <w:textAlignment w:val="bottom"/>
            </w:pPr>
            <w:r>
              <w:rPr>
                <w:rFonts w:ascii="Arial" w:eastAsia="宋体" w:hAnsi="Arial" w:cs="Arial"/>
                <w:color w:val="000000"/>
                <w:sz w:val="18"/>
                <w:szCs w:val="18"/>
              </w:rPr>
              <w:t>(4,182)</w:t>
            </w:r>
          </w:p>
        </w:tc>
        <w:tc>
          <w:tcPr>
            <w:tcW w:w="0" w:type="auto"/>
            <w:shd w:val="clear" w:color="auto" w:fill="FFFFFF"/>
            <w:tcMar>
              <w:top w:w="40" w:type="dxa"/>
              <w:left w:w="0" w:type="dxa"/>
              <w:bottom w:w="40" w:type="dxa"/>
              <w:right w:w="20" w:type="dxa"/>
            </w:tcMar>
            <w:vAlign w:val="bottom"/>
          </w:tcPr>
          <w:p w14:paraId="18601F1B"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F1C"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F1D" w14:textId="77777777" w:rsidR="00A91885" w:rsidRDefault="009C4196">
            <w:pPr>
              <w:jc w:val="right"/>
              <w:textAlignment w:val="bottom"/>
            </w:pPr>
            <w:r>
              <w:rPr>
                <w:rFonts w:ascii="Arial" w:eastAsia="宋体" w:hAnsi="Arial" w:cs="Arial"/>
                <w:color w:val="000000"/>
                <w:sz w:val="18"/>
                <w:szCs w:val="18"/>
              </w:rPr>
              <w:t>(685)</w:t>
            </w:r>
          </w:p>
        </w:tc>
        <w:tc>
          <w:tcPr>
            <w:tcW w:w="0" w:type="auto"/>
            <w:shd w:val="clear" w:color="auto" w:fill="FFFFFF"/>
            <w:tcMar>
              <w:top w:w="40" w:type="dxa"/>
              <w:left w:w="0" w:type="dxa"/>
              <w:bottom w:w="40" w:type="dxa"/>
              <w:right w:w="20" w:type="dxa"/>
            </w:tcMar>
            <w:vAlign w:val="bottom"/>
          </w:tcPr>
          <w:p w14:paraId="18601F1E" w14:textId="77777777" w:rsidR="00A91885" w:rsidRDefault="00A91885">
            <w:pPr>
              <w:jc w:val="right"/>
              <w:rPr>
                <w:rFonts w:ascii="宋体"/>
              </w:rPr>
            </w:pPr>
          </w:p>
        </w:tc>
      </w:tr>
      <w:tr w:rsidR="00A91885" w14:paraId="18601F26" w14:textId="77777777">
        <w:tc>
          <w:tcPr>
            <w:tcW w:w="0" w:type="auto"/>
            <w:gridSpan w:val="3"/>
            <w:shd w:val="clear" w:color="auto" w:fill="E2E2E2"/>
            <w:tcMar>
              <w:top w:w="40" w:type="dxa"/>
              <w:left w:w="380" w:type="dxa"/>
              <w:bottom w:w="40" w:type="dxa"/>
              <w:right w:w="20" w:type="dxa"/>
            </w:tcMar>
            <w:vAlign w:val="bottom"/>
          </w:tcPr>
          <w:p w14:paraId="18601F20" w14:textId="77777777" w:rsidR="00A91885" w:rsidRDefault="009C4196">
            <w:pPr>
              <w:textAlignment w:val="bottom"/>
            </w:pPr>
            <w:r>
              <w:rPr>
                <w:rFonts w:ascii="Arial" w:eastAsia="宋体" w:hAnsi="Arial" w:cs="Arial"/>
                <w:color w:val="000000"/>
                <w:sz w:val="18"/>
                <w:szCs w:val="18"/>
              </w:rPr>
              <w:t>Effect of exchange rates on cash, cash equivalents and restricted cash</w:t>
            </w:r>
          </w:p>
        </w:tc>
        <w:tc>
          <w:tcPr>
            <w:tcW w:w="0" w:type="auto"/>
            <w:gridSpan w:val="2"/>
            <w:shd w:val="clear" w:color="auto" w:fill="E2E2E2"/>
            <w:tcMar>
              <w:top w:w="40" w:type="dxa"/>
              <w:left w:w="20" w:type="dxa"/>
              <w:bottom w:w="40" w:type="dxa"/>
              <w:right w:w="0" w:type="dxa"/>
            </w:tcMar>
            <w:vAlign w:val="bottom"/>
          </w:tcPr>
          <w:p w14:paraId="18601F21" w14:textId="77777777" w:rsidR="00A91885" w:rsidRDefault="009C4196">
            <w:pPr>
              <w:jc w:val="right"/>
              <w:textAlignment w:val="bottom"/>
            </w:pPr>
            <w:r>
              <w:rPr>
                <w:rFonts w:ascii="Arial" w:eastAsia="宋体" w:hAnsi="Arial" w:cs="Arial"/>
                <w:color w:val="000000"/>
                <w:sz w:val="18"/>
                <w:szCs w:val="18"/>
              </w:rPr>
              <w:t>(57)</w:t>
            </w:r>
          </w:p>
        </w:tc>
        <w:tc>
          <w:tcPr>
            <w:tcW w:w="0" w:type="auto"/>
            <w:shd w:val="clear" w:color="auto" w:fill="E2E2E2"/>
            <w:tcMar>
              <w:top w:w="40" w:type="dxa"/>
              <w:left w:w="0" w:type="dxa"/>
              <w:bottom w:w="40" w:type="dxa"/>
              <w:right w:w="20" w:type="dxa"/>
            </w:tcMar>
            <w:vAlign w:val="bottom"/>
          </w:tcPr>
          <w:p w14:paraId="18601F22"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F23"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1F24" w14:textId="77777777" w:rsidR="00A91885" w:rsidRDefault="009C4196">
            <w:pPr>
              <w:jc w:val="right"/>
              <w:textAlignment w:val="bottom"/>
            </w:pPr>
            <w:r>
              <w:rPr>
                <w:rFonts w:ascii="Arial" w:eastAsia="宋体" w:hAnsi="Arial" w:cs="Arial"/>
                <w:color w:val="000000"/>
                <w:sz w:val="18"/>
                <w:szCs w:val="18"/>
              </w:rPr>
              <w:t>(5)</w:t>
            </w:r>
          </w:p>
        </w:tc>
        <w:tc>
          <w:tcPr>
            <w:tcW w:w="0" w:type="auto"/>
            <w:shd w:val="clear" w:color="auto" w:fill="E2E2E2"/>
            <w:tcMar>
              <w:top w:w="40" w:type="dxa"/>
              <w:left w:w="0" w:type="dxa"/>
              <w:bottom w:w="40" w:type="dxa"/>
              <w:right w:w="20" w:type="dxa"/>
            </w:tcMar>
            <w:vAlign w:val="bottom"/>
          </w:tcPr>
          <w:p w14:paraId="18601F25" w14:textId="77777777" w:rsidR="00A91885" w:rsidRDefault="00A91885">
            <w:pPr>
              <w:jc w:val="right"/>
              <w:rPr>
                <w:rFonts w:ascii="宋体"/>
              </w:rPr>
            </w:pPr>
          </w:p>
        </w:tc>
      </w:tr>
      <w:tr w:rsidR="00A91885" w14:paraId="18601F2D" w14:textId="77777777">
        <w:tc>
          <w:tcPr>
            <w:tcW w:w="0" w:type="auto"/>
            <w:gridSpan w:val="3"/>
            <w:shd w:val="clear" w:color="auto" w:fill="FFFFFF"/>
            <w:tcMar>
              <w:top w:w="40" w:type="dxa"/>
              <w:left w:w="380" w:type="dxa"/>
              <w:bottom w:w="40" w:type="dxa"/>
              <w:right w:w="20" w:type="dxa"/>
            </w:tcMar>
            <w:vAlign w:val="bottom"/>
          </w:tcPr>
          <w:p w14:paraId="18601F27" w14:textId="77777777" w:rsidR="00A91885" w:rsidRDefault="009C4196">
            <w:pPr>
              <w:textAlignment w:val="bottom"/>
            </w:pPr>
            <w:r>
              <w:rPr>
                <w:rFonts w:ascii="Arial" w:eastAsia="宋体" w:hAnsi="Arial" w:cs="Arial"/>
                <w:color w:val="000000"/>
                <w:sz w:val="18"/>
                <w:szCs w:val="18"/>
              </w:rPr>
              <w:t>Net increase in cash, cash equivalents and restricted cash - discontinued operations</w:t>
            </w:r>
          </w:p>
        </w:tc>
        <w:tc>
          <w:tcPr>
            <w:tcW w:w="0" w:type="auto"/>
            <w:gridSpan w:val="2"/>
            <w:shd w:val="clear" w:color="auto" w:fill="FFFFFF"/>
            <w:tcMar>
              <w:top w:w="40" w:type="dxa"/>
              <w:left w:w="20" w:type="dxa"/>
              <w:bottom w:w="40" w:type="dxa"/>
              <w:right w:w="0" w:type="dxa"/>
            </w:tcMar>
            <w:vAlign w:val="bottom"/>
          </w:tcPr>
          <w:p w14:paraId="18601F28" w14:textId="77777777" w:rsidR="00A91885" w:rsidRDefault="009C4196">
            <w:pPr>
              <w:jc w:val="right"/>
              <w:textAlignment w:val="bottom"/>
            </w:pPr>
            <w:r>
              <w:rPr>
                <w:rFonts w:ascii="Arial" w:eastAsia="宋体" w:hAnsi="Arial" w:cs="Arial"/>
                <w:color w:val="000000"/>
                <w:sz w:val="18"/>
                <w:szCs w:val="18"/>
              </w:rPr>
              <w:t>(365)</w:t>
            </w:r>
          </w:p>
        </w:tc>
        <w:tc>
          <w:tcPr>
            <w:tcW w:w="0" w:type="auto"/>
            <w:shd w:val="clear" w:color="auto" w:fill="FFFFFF"/>
            <w:tcMar>
              <w:top w:w="40" w:type="dxa"/>
              <w:left w:w="0" w:type="dxa"/>
              <w:bottom w:w="40" w:type="dxa"/>
              <w:right w:w="20" w:type="dxa"/>
            </w:tcMar>
            <w:vAlign w:val="bottom"/>
          </w:tcPr>
          <w:p w14:paraId="18601F29"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F2A"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1F2B" w14:textId="77777777" w:rsidR="00A91885" w:rsidRDefault="009C4196">
            <w:pPr>
              <w:jc w:val="right"/>
              <w:textAlignment w:val="bottom"/>
            </w:pPr>
            <w:r>
              <w:rPr>
                <w:rFonts w:ascii="Arial" w:eastAsia="宋体" w:hAnsi="Arial" w:cs="Arial"/>
                <w:color w:val="000000"/>
                <w:sz w:val="18"/>
                <w:szCs w:val="18"/>
              </w:rPr>
              <w:t>2,534 </w:t>
            </w:r>
          </w:p>
        </w:tc>
        <w:tc>
          <w:tcPr>
            <w:tcW w:w="0" w:type="auto"/>
            <w:shd w:val="clear" w:color="auto" w:fill="FFFFFF"/>
            <w:tcMar>
              <w:top w:w="40" w:type="dxa"/>
              <w:left w:w="0" w:type="dxa"/>
              <w:bottom w:w="40" w:type="dxa"/>
              <w:right w:w="20" w:type="dxa"/>
            </w:tcMar>
            <w:vAlign w:val="bottom"/>
          </w:tcPr>
          <w:p w14:paraId="18601F2C" w14:textId="77777777" w:rsidR="00A91885" w:rsidRDefault="00A91885">
            <w:pPr>
              <w:jc w:val="right"/>
              <w:rPr>
                <w:rFonts w:ascii="宋体"/>
              </w:rPr>
            </w:pPr>
          </w:p>
        </w:tc>
      </w:tr>
      <w:tr w:rsidR="00A91885" w14:paraId="18601F36" w14:textId="77777777">
        <w:tc>
          <w:tcPr>
            <w:tcW w:w="0" w:type="auto"/>
            <w:gridSpan w:val="3"/>
            <w:shd w:val="clear" w:color="auto" w:fill="E2E2E2"/>
            <w:tcMar>
              <w:top w:w="40" w:type="dxa"/>
              <w:left w:w="20" w:type="dxa"/>
              <w:bottom w:w="40" w:type="dxa"/>
              <w:right w:w="20" w:type="dxa"/>
            </w:tcMar>
            <w:vAlign w:val="bottom"/>
          </w:tcPr>
          <w:p w14:paraId="18601F2E" w14:textId="77777777" w:rsidR="00A91885" w:rsidRDefault="009C4196">
            <w:pPr>
              <w:textAlignment w:val="bottom"/>
            </w:pPr>
            <w:r>
              <w:rPr>
                <w:rFonts w:ascii="Arial" w:eastAsia="宋体" w:hAnsi="Arial" w:cs="Arial"/>
                <w:color w:val="000000"/>
                <w:sz w:val="18"/>
                <w:szCs w:val="18"/>
              </w:rPr>
              <w:t xml:space="preserve">Net </w:t>
            </w:r>
            <w:r>
              <w:rPr>
                <w:rFonts w:ascii="Arial" w:eastAsia="宋体" w:hAnsi="Arial" w:cs="Arial"/>
                <w:color w:val="000000"/>
                <w:sz w:val="18"/>
                <w:szCs w:val="18"/>
              </w:rPr>
              <w:t>increase (decrease) in cash, cash equivalents and restricted cash</w:t>
            </w: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F2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F30" w14:textId="77777777" w:rsidR="00A91885" w:rsidRDefault="009C4196">
            <w:pPr>
              <w:jc w:val="right"/>
              <w:textAlignment w:val="bottom"/>
            </w:pPr>
            <w:r>
              <w:rPr>
                <w:rFonts w:ascii="Arial" w:eastAsia="宋体" w:hAnsi="Arial" w:cs="Arial"/>
                <w:color w:val="000000"/>
                <w:sz w:val="18"/>
                <w:szCs w:val="18"/>
              </w:rPr>
              <w:t>366 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F3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F32" w14:textId="77777777" w:rsidR="00A91885" w:rsidRDefault="00A91885">
            <w:pPr>
              <w:rPr>
                <w:rFonts w:ascii="宋体"/>
              </w:rPr>
            </w:pPr>
          </w:p>
        </w:tc>
        <w:tc>
          <w:tcPr>
            <w:tcW w:w="0" w:type="auto"/>
            <w:tcBorders>
              <w:top w:val="single" w:sz="8" w:space="0" w:color="000000"/>
              <w:bottom w:val="double" w:sz="6" w:space="0" w:color="000000"/>
            </w:tcBorders>
            <w:shd w:val="clear" w:color="auto" w:fill="E2E2E2"/>
            <w:tcMar>
              <w:top w:w="40" w:type="dxa"/>
              <w:left w:w="20" w:type="dxa"/>
              <w:bottom w:w="40" w:type="dxa"/>
              <w:right w:w="0" w:type="dxa"/>
            </w:tcMar>
            <w:vAlign w:val="bottom"/>
          </w:tcPr>
          <w:p w14:paraId="18601F33"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E2E2E2"/>
            <w:tcMar>
              <w:top w:w="40" w:type="dxa"/>
              <w:left w:w="0" w:type="dxa"/>
              <w:bottom w:w="40" w:type="dxa"/>
              <w:right w:w="0" w:type="dxa"/>
            </w:tcMar>
            <w:vAlign w:val="bottom"/>
          </w:tcPr>
          <w:p w14:paraId="18601F34" w14:textId="77777777" w:rsidR="00A91885" w:rsidRDefault="009C4196">
            <w:pPr>
              <w:jc w:val="right"/>
              <w:textAlignment w:val="bottom"/>
            </w:pPr>
            <w:r>
              <w:rPr>
                <w:rFonts w:ascii="Arial" w:eastAsia="宋体" w:hAnsi="Arial" w:cs="Arial"/>
                <w:color w:val="000000"/>
                <w:sz w:val="18"/>
                <w:szCs w:val="18"/>
              </w:rPr>
              <w:t>712 </w:t>
            </w:r>
          </w:p>
        </w:tc>
        <w:tc>
          <w:tcPr>
            <w:tcW w:w="0" w:type="auto"/>
            <w:tcBorders>
              <w:top w:val="single" w:sz="8" w:space="0" w:color="000000"/>
              <w:bottom w:val="double" w:sz="6" w:space="0" w:color="000000"/>
            </w:tcBorders>
            <w:shd w:val="clear" w:color="auto" w:fill="E2E2E2"/>
            <w:tcMar>
              <w:top w:w="40" w:type="dxa"/>
              <w:left w:w="0" w:type="dxa"/>
              <w:bottom w:w="40" w:type="dxa"/>
              <w:right w:w="20" w:type="dxa"/>
            </w:tcMar>
            <w:vAlign w:val="bottom"/>
          </w:tcPr>
          <w:p w14:paraId="18601F35" w14:textId="77777777" w:rsidR="00A91885" w:rsidRDefault="00A91885">
            <w:pPr>
              <w:jc w:val="right"/>
              <w:rPr>
                <w:rFonts w:ascii="宋体"/>
              </w:rPr>
            </w:pPr>
          </w:p>
        </w:tc>
      </w:tr>
    </w:tbl>
    <w:p w14:paraId="18601F37" w14:textId="77777777" w:rsidR="00A91885" w:rsidRDefault="009C4196">
      <w:r>
        <w:rPr>
          <w:rFonts w:ascii="Arial" w:eastAsia="宋体" w:hAnsi="Arial" w:cs="Arial"/>
          <w:color w:val="000000"/>
          <w:sz w:val="20"/>
          <w:szCs w:val="20"/>
        </w:rPr>
        <w:t> </w:t>
      </w:r>
    </w:p>
    <w:p w14:paraId="18601F38" w14:textId="77777777" w:rsidR="00A91885" w:rsidRDefault="009C4196">
      <w:pPr>
        <w:ind w:firstLine="540"/>
      </w:pPr>
      <w:r>
        <w:rPr>
          <w:rFonts w:ascii="Arial" w:eastAsia="宋体" w:hAnsi="Arial" w:cs="Arial"/>
          <w:i/>
          <w:iCs/>
          <w:color w:val="000000"/>
          <w:sz w:val="20"/>
          <w:szCs w:val="20"/>
        </w:rPr>
        <w:t>Continuing Operating Activities</w:t>
      </w:r>
    </w:p>
    <w:p w14:paraId="18601F39" w14:textId="77777777" w:rsidR="00A91885" w:rsidRDefault="00A91885">
      <w:pPr>
        <w:jc w:val="both"/>
      </w:pPr>
    </w:p>
    <w:p w14:paraId="18601F3A" w14:textId="77777777" w:rsidR="00A91885" w:rsidRDefault="009C4196">
      <w:pPr>
        <w:ind w:firstLine="540"/>
        <w:jc w:val="both"/>
      </w:pPr>
      <w:r>
        <w:rPr>
          <w:rFonts w:ascii="Arial" w:eastAsia="宋体" w:hAnsi="Arial" w:cs="Arial"/>
          <w:color w:val="000000"/>
          <w:sz w:val="20"/>
          <w:szCs w:val="20"/>
        </w:rPr>
        <w:t xml:space="preserve">Our operating cash flows arise primarily from cash received from our customers on our platforms offset by cash payments for sales and </w:t>
      </w:r>
      <w:r>
        <w:rPr>
          <w:rFonts w:ascii="Arial" w:eastAsia="宋体" w:hAnsi="Arial" w:cs="Arial"/>
          <w:color w:val="000000"/>
          <w:sz w:val="20"/>
          <w:szCs w:val="20"/>
        </w:rPr>
        <w:t>marketing, employee compensation and payment processing expenses.</w:t>
      </w:r>
    </w:p>
    <w:p w14:paraId="18601F3B" w14:textId="77777777" w:rsidR="00A91885" w:rsidRDefault="00A91885">
      <w:pPr>
        <w:ind w:firstLine="540"/>
        <w:jc w:val="both"/>
      </w:pPr>
    </w:p>
    <w:p w14:paraId="18601F3C" w14:textId="77777777" w:rsidR="00A91885" w:rsidRDefault="009C4196">
      <w:pPr>
        <w:ind w:firstLine="540"/>
        <w:jc w:val="both"/>
      </w:pPr>
      <w:r>
        <w:rPr>
          <w:rFonts w:ascii="Arial" w:eastAsia="宋体" w:hAnsi="Arial" w:cs="Arial"/>
          <w:color w:val="000000"/>
          <w:sz w:val="20"/>
          <w:szCs w:val="20"/>
        </w:rPr>
        <w:t>Cash provided by continuing operating activities of $1.2 billion in the six months ended June 30, 2022 compared to cash provided by continuing operating activities of $2.0 billion in the si</w:t>
      </w:r>
      <w:r>
        <w:rPr>
          <w:rFonts w:ascii="Arial" w:eastAsia="宋体" w:hAnsi="Arial" w:cs="Arial"/>
          <w:color w:val="000000"/>
          <w:sz w:val="20"/>
          <w:szCs w:val="20"/>
        </w:rPr>
        <w:t>x months ended June 30, 2021 was primarily attributable to a decrease in operating income from continuing operations of $356 million. The decrease in operating income was driven by a decrease in net revenues during the six months ended June 30, 2022 compar</w:t>
      </w:r>
      <w:r>
        <w:rPr>
          <w:rFonts w:ascii="Arial" w:eastAsia="宋体" w:hAnsi="Arial" w:cs="Arial"/>
          <w:color w:val="000000"/>
          <w:sz w:val="20"/>
          <w:szCs w:val="20"/>
        </w:rPr>
        <w:t>ed to the elevated traffic from the impact of COVID-19 during the same period in 2021, as noted in our comments on “Net Transaction Revenues.” The remaining changes in continuing operating cash flows are attributable to working capital movements and change</w:t>
      </w:r>
      <w:r>
        <w:rPr>
          <w:rFonts w:ascii="Arial" w:eastAsia="宋体" w:hAnsi="Arial" w:cs="Arial"/>
          <w:color w:val="000000"/>
          <w:sz w:val="20"/>
          <w:szCs w:val="20"/>
        </w:rPr>
        <w:t xml:space="preserve">s in non-cash items. </w:t>
      </w:r>
    </w:p>
    <w:p w14:paraId="18601F3D" w14:textId="77777777" w:rsidR="00A91885" w:rsidRDefault="00A91885">
      <w:pPr>
        <w:ind w:firstLine="540"/>
        <w:jc w:val="both"/>
      </w:pPr>
    </w:p>
    <w:p w14:paraId="18601F3E" w14:textId="77777777" w:rsidR="00A91885" w:rsidRDefault="009C4196">
      <w:pPr>
        <w:ind w:firstLine="540"/>
      </w:pPr>
      <w:r>
        <w:rPr>
          <w:rFonts w:ascii="Arial" w:eastAsia="宋体" w:hAnsi="Arial" w:cs="Arial"/>
          <w:i/>
          <w:iCs/>
          <w:color w:val="000000"/>
          <w:sz w:val="20"/>
          <w:szCs w:val="20"/>
        </w:rPr>
        <w:t>Continuing Investing Activities</w:t>
      </w:r>
    </w:p>
    <w:p w14:paraId="18601F3F" w14:textId="77777777" w:rsidR="00A91885" w:rsidRDefault="00A91885">
      <w:pPr>
        <w:ind w:firstLine="270"/>
      </w:pPr>
    </w:p>
    <w:p w14:paraId="18601F40" w14:textId="77777777" w:rsidR="00A91885" w:rsidRDefault="009C4196">
      <w:pPr>
        <w:ind w:firstLine="540"/>
        <w:jc w:val="both"/>
      </w:pPr>
      <w:r>
        <w:rPr>
          <w:rFonts w:ascii="Arial" w:eastAsia="宋体" w:hAnsi="Arial" w:cs="Arial"/>
          <w:color w:val="000000"/>
          <w:sz w:val="20"/>
          <w:szCs w:val="20"/>
        </w:rPr>
        <w:t>Cash provided by continuing investing activities of $3.8 billion in the six months ended June 30, 2022 was primarily attributable to proceeds of $13.2 billion from the maturities and sales of investme</w:t>
      </w:r>
      <w:r>
        <w:rPr>
          <w:rFonts w:ascii="Arial" w:eastAsia="宋体" w:hAnsi="Arial" w:cs="Arial"/>
          <w:color w:val="000000"/>
          <w:sz w:val="20"/>
          <w:szCs w:val="20"/>
        </w:rPr>
        <w:t>nts and proceeds of $967 million in the aggregate from the sales of shares in Adyen and KakaoBank, partially offset by cash paid for investments of $10.1 billion and property and equipment of $194 million.</w:t>
      </w:r>
    </w:p>
    <w:p w14:paraId="18601F41" w14:textId="77777777" w:rsidR="00A91885" w:rsidRDefault="00A91885">
      <w:pPr>
        <w:ind w:firstLine="540"/>
        <w:jc w:val="both"/>
      </w:pPr>
    </w:p>
    <w:p w14:paraId="18601F42" w14:textId="77777777" w:rsidR="00A91885" w:rsidRDefault="009C4196">
      <w:pPr>
        <w:ind w:firstLine="540"/>
        <w:jc w:val="both"/>
      </w:pPr>
      <w:r>
        <w:rPr>
          <w:rFonts w:ascii="Arial" w:eastAsia="宋体" w:hAnsi="Arial" w:cs="Arial"/>
          <w:color w:val="000000"/>
          <w:sz w:val="20"/>
          <w:szCs w:val="20"/>
        </w:rPr>
        <w:t>The largely offsetting effects of purchases of in</w:t>
      </w:r>
      <w:r>
        <w:rPr>
          <w:rFonts w:ascii="Arial" w:eastAsia="宋体" w:hAnsi="Arial" w:cs="Arial"/>
          <w:color w:val="000000"/>
          <w:sz w:val="20"/>
          <w:szCs w:val="20"/>
        </w:rPr>
        <w:t xml:space="preserve">vestments and maturities and sale of investments results from the management of our investments. As our immediate cash needs change, purchase and sale activity will fluctuate. </w:t>
      </w:r>
    </w:p>
    <w:p w14:paraId="18601F43" w14:textId="77777777" w:rsidR="00A91885" w:rsidRDefault="00A91885">
      <w:pPr>
        <w:ind w:firstLine="540"/>
        <w:jc w:val="both"/>
      </w:pPr>
    </w:p>
    <w:p w14:paraId="18601F44" w14:textId="77777777" w:rsidR="00A91885" w:rsidRDefault="009C4196">
      <w:pPr>
        <w:ind w:firstLine="540"/>
        <w:jc w:val="both"/>
      </w:pPr>
      <w:r>
        <w:rPr>
          <w:rFonts w:ascii="Arial" w:eastAsia="宋体" w:hAnsi="Arial" w:cs="Arial"/>
          <w:i/>
          <w:iCs/>
          <w:color w:val="000000"/>
          <w:sz w:val="20"/>
          <w:szCs w:val="20"/>
        </w:rPr>
        <w:t>Continuing Financing Activities</w:t>
      </w:r>
    </w:p>
    <w:p w14:paraId="18601F45" w14:textId="77777777" w:rsidR="00A91885" w:rsidRDefault="00A91885"/>
    <w:p w14:paraId="18601F46" w14:textId="77777777" w:rsidR="00A91885" w:rsidRDefault="009C4196">
      <w:pPr>
        <w:ind w:firstLine="540"/>
        <w:jc w:val="both"/>
      </w:pPr>
      <w:r>
        <w:rPr>
          <w:rFonts w:ascii="Arial" w:eastAsia="宋体" w:hAnsi="Arial" w:cs="Arial"/>
          <w:color w:val="000000"/>
          <w:sz w:val="20"/>
          <w:szCs w:val="20"/>
        </w:rPr>
        <w:t xml:space="preserve">Cash used in continuing financing activities </w:t>
      </w:r>
      <w:r>
        <w:rPr>
          <w:rFonts w:ascii="Arial" w:eastAsia="宋体" w:hAnsi="Arial" w:cs="Arial"/>
          <w:color w:val="000000"/>
          <w:sz w:val="20"/>
          <w:szCs w:val="20"/>
        </w:rPr>
        <w:t>of $4.2 billion in the six months ended June 30, 2022 was primarily attributable to cash paid to repurchase $2.5 billion of common stock, debt repayments of $1,355 million related to the redemption of our 3.800% senior fixed rate notes due 2022 and our 2.6</w:t>
      </w:r>
      <w:r>
        <w:rPr>
          <w:rFonts w:ascii="Arial" w:eastAsia="宋体" w:hAnsi="Arial" w:cs="Arial"/>
          <w:color w:val="000000"/>
          <w:sz w:val="20"/>
          <w:szCs w:val="20"/>
        </w:rPr>
        <w:t xml:space="preserve">00% senior notes due 2022 and $250 million paid in cash dividends. </w:t>
      </w:r>
    </w:p>
    <w:p w14:paraId="18601F47" w14:textId="77777777" w:rsidR="00A91885" w:rsidRDefault="00A91885">
      <w:pPr>
        <w:ind w:firstLine="540"/>
        <w:jc w:val="both"/>
      </w:pPr>
    </w:p>
    <w:p w14:paraId="18601F48" w14:textId="77777777" w:rsidR="00A91885" w:rsidRDefault="009C4196">
      <w:pPr>
        <w:ind w:firstLine="540"/>
        <w:jc w:val="both"/>
      </w:pPr>
      <w:r>
        <w:rPr>
          <w:rFonts w:ascii="Arial" w:eastAsia="宋体" w:hAnsi="Arial" w:cs="Arial"/>
          <w:color w:val="000000"/>
          <w:sz w:val="20"/>
          <w:szCs w:val="20"/>
        </w:rPr>
        <w:t>The negative effect of exchange rate movements on cash, cash equivalents and restricted cash was due to the strengthening of the U.S. dollar against other currencies during the six months</w:t>
      </w:r>
      <w:r>
        <w:rPr>
          <w:rFonts w:ascii="Arial" w:eastAsia="宋体" w:hAnsi="Arial" w:cs="Arial"/>
          <w:color w:val="000000"/>
          <w:sz w:val="20"/>
          <w:szCs w:val="20"/>
        </w:rPr>
        <w:t xml:space="preserve"> ended June 30, 2022 compared to the 2021 year-end rate.</w:t>
      </w:r>
    </w:p>
    <w:p w14:paraId="18601F49" w14:textId="77777777" w:rsidR="00A91885" w:rsidRDefault="00A91885">
      <w:pPr>
        <w:ind w:firstLine="540"/>
      </w:pPr>
    </w:p>
    <w:p w14:paraId="18601F4A" w14:textId="77777777" w:rsidR="00A91885" w:rsidRDefault="00A91885">
      <w:pPr>
        <w:jc w:val="center"/>
      </w:pPr>
    </w:p>
    <w:p w14:paraId="18601F4B" w14:textId="77777777" w:rsidR="00A91885" w:rsidRDefault="009C4196">
      <w:pPr>
        <w:jc w:val="center"/>
      </w:pPr>
      <w:r>
        <w:rPr>
          <w:rFonts w:ascii="Arial" w:eastAsia="宋体" w:hAnsi="Arial" w:cs="Arial"/>
          <w:color w:val="000000"/>
          <w:sz w:val="20"/>
          <w:szCs w:val="20"/>
        </w:rPr>
        <w:t>57</w:t>
      </w:r>
    </w:p>
    <w:p w14:paraId="18601F4C" w14:textId="77777777" w:rsidR="00A91885" w:rsidRDefault="009C4196">
      <w:r>
        <w:pict w14:anchorId="186021BC">
          <v:rect id="_x0000_i1081" style="width:415.3pt;height:1.5pt" o:hralign="center" o:hrstd="t" o:hr="t" fillcolor="#a0a0a0" stroked="f"/>
        </w:pict>
      </w:r>
    </w:p>
    <w:p w14:paraId="18601F4D" w14:textId="77777777" w:rsidR="00A91885" w:rsidRDefault="009C4196">
      <w:hyperlink r:id="rId141" w:anchor="ieb971428a625452486c65ae24899afca_7" w:history="1">
        <w:r>
          <w:rPr>
            <w:rStyle w:val="a5"/>
            <w:rFonts w:ascii="Arial" w:eastAsia="宋体" w:hAnsi="Arial" w:cs="Arial"/>
            <w:sz w:val="18"/>
            <w:szCs w:val="18"/>
          </w:rPr>
          <w:t>Table of Contents</w:t>
        </w:r>
      </w:hyperlink>
    </w:p>
    <w:p w14:paraId="18601F4E" w14:textId="77777777" w:rsidR="00A91885" w:rsidRDefault="009C4196">
      <w:r>
        <w:rPr>
          <w:rFonts w:ascii="Arial" w:eastAsia="宋体" w:hAnsi="Arial" w:cs="Arial"/>
          <w:b/>
          <w:bCs/>
          <w:i/>
          <w:iCs/>
          <w:color w:val="000000"/>
          <w:sz w:val="20"/>
          <w:szCs w:val="20"/>
        </w:rPr>
        <w:t>Liquidity and Capital</w:t>
      </w:r>
      <w:r>
        <w:rPr>
          <w:rFonts w:ascii="Arial" w:eastAsia="宋体" w:hAnsi="Arial" w:cs="Arial"/>
          <w:b/>
          <w:bCs/>
          <w:i/>
          <w:iCs/>
          <w:color w:val="000000"/>
          <w:sz w:val="20"/>
          <w:szCs w:val="20"/>
        </w:rPr>
        <w:t xml:space="preserve"> Resource Requirements</w:t>
      </w:r>
    </w:p>
    <w:p w14:paraId="18601F4F" w14:textId="77777777" w:rsidR="00A91885" w:rsidRDefault="00A91885"/>
    <w:p w14:paraId="18601F50" w14:textId="77777777" w:rsidR="00A91885" w:rsidRDefault="009C4196">
      <w:pPr>
        <w:ind w:firstLine="540"/>
        <w:jc w:val="both"/>
      </w:pPr>
      <w:r>
        <w:rPr>
          <w:rFonts w:ascii="Arial" w:eastAsia="宋体" w:hAnsi="Arial" w:cs="Arial"/>
          <w:color w:val="000000"/>
          <w:sz w:val="20"/>
          <w:szCs w:val="20"/>
        </w:rPr>
        <w:t xml:space="preserve">As of June 30, 2022 and December 31, 2021, we had assets classified as cash and cash equivalents, as well as short-term and long-term non-equity investments from continuing operations, in an aggregate amount of $4.5 billion and $7.3 billion, respectively. </w:t>
      </w:r>
      <w:r>
        <w:rPr>
          <w:rFonts w:ascii="Arial" w:eastAsia="宋体" w:hAnsi="Arial" w:cs="Arial"/>
          <w:color w:val="000000"/>
          <w:sz w:val="20"/>
          <w:szCs w:val="20"/>
        </w:rPr>
        <w:t>We believe that our cash, cash equivalents and short-term and long-term investments, together with cash expected to be generated from operations, borrowings available under our credit agreement and commercial paper program, and our access to capital market</w:t>
      </w:r>
      <w:r>
        <w:rPr>
          <w:rFonts w:ascii="Arial" w:eastAsia="宋体" w:hAnsi="Arial" w:cs="Arial"/>
          <w:color w:val="000000"/>
          <w:sz w:val="20"/>
          <w:szCs w:val="20"/>
        </w:rPr>
        <w:t xml:space="preserve">s, will be sufficient to satisfy our material cash requirements over the next 12 months and for the foreseeable future. </w:t>
      </w:r>
    </w:p>
    <w:p w14:paraId="18601F51" w14:textId="77777777" w:rsidR="00A91885" w:rsidRDefault="00A91885">
      <w:pPr>
        <w:ind w:firstLine="540"/>
        <w:jc w:val="both"/>
      </w:pPr>
    </w:p>
    <w:p w14:paraId="18601F52" w14:textId="77777777" w:rsidR="00A91885" w:rsidRDefault="009C4196">
      <w:pPr>
        <w:ind w:firstLine="540"/>
        <w:jc w:val="both"/>
      </w:pPr>
      <w:r>
        <w:rPr>
          <w:rFonts w:ascii="Arial" w:eastAsia="宋体" w:hAnsi="Arial" w:cs="Arial"/>
          <w:color w:val="000000"/>
          <w:sz w:val="20"/>
          <w:szCs w:val="20"/>
        </w:rPr>
        <w:t xml:space="preserve">However, geopolitical and macroeconomic events including the impact of COVID-19, the war in Ukraine and global economic </w:t>
      </w:r>
      <w:r>
        <w:rPr>
          <w:rFonts w:ascii="Arial" w:eastAsia="宋体" w:hAnsi="Arial" w:cs="Arial"/>
          <w:color w:val="000000"/>
          <w:sz w:val="20"/>
          <w:szCs w:val="20"/>
        </w:rPr>
        <w:t>uncertainty have caused material disruptions in both U.S. and international financial markets and economies and are uncertain in duration. The future impact of these events cannot be predicted with certainty and may increase our borrowing costs and other c</w:t>
      </w:r>
      <w:r>
        <w:rPr>
          <w:rFonts w:ascii="Arial" w:eastAsia="宋体" w:hAnsi="Arial" w:cs="Arial"/>
          <w:color w:val="000000"/>
          <w:sz w:val="20"/>
          <w:szCs w:val="20"/>
        </w:rPr>
        <w:t>osts of capital and otherwise adversely affect our business, results of operations, financial condition and liquidity, and we cannot assure that we will have access to external financing at times and on terms we consider acceptable, or at all, or that we w</w:t>
      </w:r>
      <w:r>
        <w:rPr>
          <w:rFonts w:ascii="Arial" w:eastAsia="宋体" w:hAnsi="Arial" w:cs="Arial"/>
          <w:color w:val="000000"/>
          <w:sz w:val="20"/>
          <w:szCs w:val="20"/>
        </w:rPr>
        <w:t>ill not experience other liquidity issues going forward.</w:t>
      </w:r>
    </w:p>
    <w:p w14:paraId="18601F53" w14:textId="77777777" w:rsidR="00A91885" w:rsidRDefault="00A91885"/>
    <w:p w14:paraId="18601F54" w14:textId="77777777" w:rsidR="00A91885" w:rsidRDefault="009C4196">
      <w:pPr>
        <w:ind w:firstLine="540"/>
      </w:pPr>
      <w:r>
        <w:rPr>
          <w:rFonts w:ascii="Arial" w:eastAsia="宋体" w:hAnsi="Arial" w:cs="Arial"/>
          <w:i/>
          <w:iCs/>
          <w:color w:val="000000"/>
          <w:sz w:val="20"/>
          <w:szCs w:val="20"/>
        </w:rPr>
        <w:t>Senior Notes</w:t>
      </w:r>
    </w:p>
    <w:p w14:paraId="18601F55" w14:textId="77777777" w:rsidR="00A91885" w:rsidRDefault="00A91885">
      <w:pPr>
        <w:ind w:firstLine="540"/>
        <w:jc w:val="both"/>
      </w:pPr>
    </w:p>
    <w:p w14:paraId="18601F56" w14:textId="77777777" w:rsidR="00A91885" w:rsidRDefault="009C4196">
      <w:pPr>
        <w:ind w:firstLine="540"/>
        <w:jc w:val="both"/>
      </w:pPr>
      <w:r>
        <w:rPr>
          <w:rFonts w:ascii="Arial" w:eastAsia="宋体" w:hAnsi="Arial" w:cs="Arial"/>
          <w:color w:val="000000"/>
          <w:sz w:val="20"/>
          <w:szCs w:val="20"/>
        </w:rPr>
        <w:t>As of June 30, 2022, we had floating- and fixed-rate senior notes outstanding for an aggregate principal amount of $7.8 billion, with $1.1 billion payable within 12 months. The net pro</w:t>
      </w:r>
      <w:r>
        <w:rPr>
          <w:rFonts w:ascii="Arial" w:eastAsia="宋体" w:hAnsi="Arial" w:cs="Arial"/>
          <w:color w:val="000000"/>
          <w:sz w:val="20"/>
          <w:szCs w:val="20"/>
        </w:rPr>
        <w:t xml:space="preserve">ceeds from the issuances of these senior notes are used for general corporate purposes, including, among other things, capital expenditures, share repurchases, repayment of indebtedness and possible acquisitions. </w:t>
      </w:r>
    </w:p>
    <w:p w14:paraId="18601F57" w14:textId="77777777" w:rsidR="00A91885" w:rsidRDefault="00A91885">
      <w:pPr>
        <w:ind w:firstLine="540"/>
        <w:jc w:val="both"/>
      </w:pPr>
    </w:p>
    <w:p w14:paraId="18601F58" w14:textId="77777777" w:rsidR="00A91885" w:rsidRDefault="009C4196">
      <w:pPr>
        <w:ind w:firstLine="540"/>
        <w:jc w:val="both"/>
      </w:pPr>
      <w:r>
        <w:rPr>
          <w:rFonts w:ascii="Arial" w:eastAsia="宋体" w:hAnsi="Arial" w:cs="Arial"/>
          <w:color w:val="000000"/>
          <w:sz w:val="20"/>
          <w:szCs w:val="20"/>
        </w:rPr>
        <w:t>On April 15, 2022, the company redeemed t</w:t>
      </w:r>
      <w:r>
        <w:rPr>
          <w:rFonts w:ascii="Arial" w:eastAsia="宋体" w:hAnsi="Arial" w:cs="Arial"/>
          <w:color w:val="000000"/>
          <w:sz w:val="20"/>
          <w:szCs w:val="20"/>
        </w:rPr>
        <w:t>he $605 million aggregate principal amount of the 2.600% senior notes due 2022. Total cash consideration paid was $605 million, as the redemption price was equal to 100% of the principal amount. In addition, we paid accrued and unpaid interest on the princ</w:t>
      </w:r>
      <w:r>
        <w:rPr>
          <w:rFonts w:ascii="Arial" w:eastAsia="宋体" w:hAnsi="Arial" w:cs="Arial"/>
          <w:color w:val="000000"/>
          <w:sz w:val="20"/>
          <w:szCs w:val="20"/>
        </w:rPr>
        <w:t>ipal amount.</w:t>
      </w:r>
    </w:p>
    <w:p w14:paraId="18601F59" w14:textId="77777777" w:rsidR="00A91885" w:rsidRDefault="00A91885">
      <w:pPr>
        <w:ind w:firstLine="540"/>
        <w:jc w:val="both"/>
      </w:pPr>
    </w:p>
    <w:p w14:paraId="18601F5A" w14:textId="77777777" w:rsidR="00A91885" w:rsidRDefault="009C4196">
      <w:pPr>
        <w:ind w:firstLine="540"/>
        <w:jc w:val="both"/>
      </w:pPr>
      <w:r>
        <w:rPr>
          <w:rFonts w:ascii="Arial" w:eastAsia="宋体" w:hAnsi="Arial" w:cs="Arial"/>
          <w:color w:val="000000"/>
          <w:sz w:val="20"/>
          <w:szCs w:val="20"/>
        </w:rPr>
        <w:t>On February 9, 2022, the company redeemed the $750 million aggregate principal amount of the 3.800% senior notes due March 2022. Total cash consideration paid was $750 million, as the redemption price was equal to 100% of the principal amount</w:t>
      </w:r>
      <w:r>
        <w:rPr>
          <w:rFonts w:ascii="Arial" w:eastAsia="宋体" w:hAnsi="Arial" w:cs="Arial"/>
          <w:color w:val="000000"/>
          <w:sz w:val="20"/>
          <w:szCs w:val="20"/>
        </w:rPr>
        <w:t>. In addition, we paid accrued and unpaid interest on the principal amount.</w:t>
      </w:r>
    </w:p>
    <w:p w14:paraId="18601F5B" w14:textId="77777777" w:rsidR="00A91885" w:rsidRDefault="00A91885">
      <w:pPr>
        <w:ind w:firstLine="540"/>
        <w:jc w:val="both"/>
      </w:pPr>
    </w:p>
    <w:p w14:paraId="18601F5C" w14:textId="77777777" w:rsidR="00A91885" w:rsidRDefault="009C4196">
      <w:pPr>
        <w:ind w:firstLine="540"/>
      </w:pPr>
      <w:r>
        <w:rPr>
          <w:rFonts w:ascii="Arial" w:eastAsia="宋体" w:hAnsi="Arial" w:cs="Arial"/>
          <w:i/>
          <w:iCs/>
          <w:color w:val="000000"/>
          <w:sz w:val="20"/>
          <w:szCs w:val="20"/>
        </w:rPr>
        <w:t>Commercial Paper</w:t>
      </w:r>
    </w:p>
    <w:p w14:paraId="18601F5D" w14:textId="77777777" w:rsidR="00A91885" w:rsidRDefault="00A91885">
      <w:pPr>
        <w:ind w:firstLine="360"/>
      </w:pPr>
    </w:p>
    <w:p w14:paraId="18601F5E" w14:textId="77777777" w:rsidR="00A91885" w:rsidRDefault="009C4196">
      <w:pPr>
        <w:ind w:firstLine="540"/>
        <w:jc w:val="both"/>
      </w:pPr>
      <w:r>
        <w:rPr>
          <w:rFonts w:ascii="Arial" w:eastAsia="宋体" w:hAnsi="Arial" w:cs="Arial"/>
          <w:color w:val="000000"/>
          <w:sz w:val="20"/>
          <w:szCs w:val="20"/>
        </w:rPr>
        <w:t>We have a commercial paper program pursuant to which we may issue commercial paper notes in an aggregate principal amount at maturity of up to $1.5 billion outst</w:t>
      </w:r>
      <w:r>
        <w:rPr>
          <w:rFonts w:ascii="Arial" w:eastAsia="宋体" w:hAnsi="Arial" w:cs="Arial"/>
          <w:color w:val="000000"/>
          <w:sz w:val="20"/>
          <w:szCs w:val="20"/>
        </w:rPr>
        <w:t>anding at any time with maturities of up to 397 days from the date of issue. As of June 30, 2022, there were no commercial paper notes outstanding.</w:t>
      </w:r>
    </w:p>
    <w:p w14:paraId="18601F5F" w14:textId="77777777" w:rsidR="00A91885" w:rsidRDefault="00A91885">
      <w:pPr>
        <w:ind w:firstLine="540"/>
        <w:jc w:val="both"/>
      </w:pPr>
    </w:p>
    <w:p w14:paraId="18601F60" w14:textId="77777777" w:rsidR="00A91885" w:rsidRDefault="009C4196">
      <w:pPr>
        <w:ind w:firstLine="540"/>
      </w:pPr>
      <w:r>
        <w:rPr>
          <w:rFonts w:ascii="Arial" w:eastAsia="宋体" w:hAnsi="Arial" w:cs="Arial"/>
          <w:i/>
          <w:iCs/>
          <w:color w:val="000000"/>
          <w:sz w:val="20"/>
          <w:szCs w:val="20"/>
        </w:rPr>
        <w:t>Credit Agreement</w:t>
      </w:r>
    </w:p>
    <w:p w14:paraId="18601F61" w14:textId="77777777" w:rsidR="00A91885" w:rsidRDefault="00A91885">
      <w:pPr>
        <w:ind w:firstLine="90"/>
        <w:jc w:val="both"/>
      </w:pPr>
    </w:p>
    <w:p w14:paraId="18601F62" w14:textId="77777777" w:rsidR="00A91885" w:rsidRDefault="009C4196">
      <w:pPr>
        <w:ind w:firstLine="540"/>
        <w:jc w:val="both"/>
      </w:pPr>
      <w:r>
        <w:rPr>
          <w:rFonts w:ascii="Arial" w:eastAsia="宋体" w:hAnsi="Arial" w:cs="Arial"/>
          <w:color w:val="000000"/>
          <w:sz w:val="20"/>
          <w:szCs w:val="20"/>
        </w:rPr>
        <w:t>In March 2020, we entered into a credit agreement that provides for an unsecured $2 billi</w:t>
      </w:r>
      <w:r>
        <w:rPr>
          <w:rFonts w:ascii="Arial" w:eastAsia="宋体" w:hAnsi="Arial" w:cs="Arial"/>
          <w:color w:val="000000"/>
          <w:sz w:val="20"/>
          <w:szCs w:val="20"/>
        </w:rPr>
        <w:t xml:space="preserve">on five-year credit facility. We may also, subject to the agreement of the applicable lenders, increase commitments under the revolving credit facility by up to $1 billion. Funds borrowed under the credit agreement may be used for working capital, capital </w:t>
      </w:r>
      <w:r>
        <w:rPr>
          <w:rFonts w:ascii="Arial" w:eastAsia="宋体" w:hAnsi="Arial" w:cs="Arial"/>
          <w:color w:val="000000"/>
          <w:sz w:val="20"/>
          <w:szCs w:val="20"/>
        </w:rPr>
        <w:t xml:space="preserve">expenditures, acquisitions and other general corporate purposes. As of June 30, 2022, no borrowings were outstanding under our $2 billion credit agreement. </w:t>
      </w:r>
    </w:p>
    <w:p w14:paraId="18601F63" w14:textId="77777777" w:rsidR="00A91885" w:rsidRDefault="00A91885">
      <w:pPr>
        <w:ind w:firstLine="540"/>
      </w:pPr>
    </w:p>
    <w:p w14:paraId="18601F64" w14:textId="77777777" w:rsidR="00A91885" w:rsidRDefault="009C4196">
      <w:pPr>
        <w:ind w:firstLine="540"/>
      </w:pPr>
      <w:r>
        <w:rPr>
          <w:rFonts w:ascii="Arial" w:eastAsia="宋体" w:hAnsi="Arial" w:cs="Arial"/>
          <w:i/>
          <w:iCs/>
          <w:color w:val="000000"/>
          <w:sz w:val="20"/>
          <w:szCs w:val="20"/>
        </w:rPr>
        <w:t>Credit Ratings</w:t>
      </w:r>
    </w:p>
    <w:p w14:paraId="18601F65" w14:textId="77777777" w:rsidR="00A91885" w:rsidRDefault="00A91885">
      <w:pPr>
        <w:ind w:firstLine="270"/>
      </w:pPr>
    </w:p>
    <w:p w14:paraId="18601F66" w14:textId="77777777" w:rsidR="00A91885" w:rsidRDefault="009C4196">
      <w:pPr>
        <w:ind w:firstLine="540"/>
        <w:jc w:val="both"/>
      </w:pPr>
      <w:r>
        <w:rPr>
          <w:rFonts w:ascii="Arial" w:eastAsia="宋体" w:hAnsi="Arial" w:cs="Arial"/>
          <w:color w:val="000000"/>
          <w:sz w:val="20"/>
          <w:szCs w:val="20"/>
        </w:rPr>
        <w:t>As of June 30, 2022, we were rated investment grade by Standard and Poor’s Financi</w:t>
      </w:r>
      <w:r>
        <w:rPr>
          <w:rFonts w:ascii="Arial" w:eastAsia="宋体" w:hAnsi="Arial" w:cs="Arial"/>
          <w:color w:val="000000"/>
          <w:sz w:val="20"/>
          <w:szCs w:val="20"/>
        </w:rPr>
        <w:t xml:space="preserve">al Services, LLC (long-term rated BBB+, short-term rated A-2, with a stable outlook) and Moody’s Investor Service (long-term rated Baa1, short-term rated P-2, with a stable outlook). We disclose these ratings to enhance the understanding of our sources of </w:t>
      </w:r>
      <w:r>
        <w:rPr>
          <w:rFonts w:ascii="Arial" w:eastAsia="宋体" w:hAnsi="Arial" w:cs="Arial"/>
          <w:color w:val="000000"/>
          <w:sz w:val="20"/>
          <w:szCs w:val="20"/>
        </w:rPr>
        <w:t>liquidity and the effects of our ratings on our costs of funds. Our borrowing costs depend, in part, on our credit ratings and any actions taken by these credit rating agencies to lower our credit ratings, as described above, will likely increase our borro</w:t>
      </w:r>
      <w:r>
        <w:rPr>
          <w:rFonts w:ascii="Arial" w:eastAsia="宋体" w:hAnsi="Arial" w:cs="Arial"/>
          <w:color w:val="000000"/>
          <w:sz w:val="20"/>
          <w:szCs w:val="20"/>
        </w:rPr>
        <w:t xml:space="preserve">wing costs. </w:t>
      </w:r>
    </w:p>
    <w:p w14:paraId="18601F67" w14:textId="77777777" w:rsidR="00A91885" w:rsidRDefault="00A91885">
      <w:pPr>
        <w:jc w:val="both"/>
      </w:pPr>
    </w:p>
    <w:p w14:paraId="18601F68" w14:textId="77777777" w:rsidR="00A91885" w:rsidRDefault="00A91885">
      <w:pPr>
        <w:jc w:val="center"/>
      </w:pPr>
    </w:p>
    <w:p w14:paraId="18601F69" w14:textId="77777777" w:rsidR="00A91885" w:rsidRDefault="009C4196">
      <w:pPr>
        <w:jc w:val="center"/>
      </w:pPr>
      <w:r>
        <w:rPr>
          <w:rFonts w:ascii="Arial" w:eastAsia="宋体" w:hAnsi="Arial" w:cs="Arial"/>
          <w:color w:val="000000"/>
          <w:sz w:val="20"/>
          <w:szCs w:val="20"/>
        </w:rPr>
        <w:t>58</w:t>
      </w:r>
    </w:p>
    <w:p w14:paraId="18601F6A" w14:textId="77777777" w:rsidR="00A91885" w:rsidRDefault="009C4196">
      <w:r>
        <w:pict w14:anchorId="186021BD">
          <v:rect id="_x0000_i1082" style="width:415.3pt;height:1.5pt" o:hralign="center" o:hrstd="t" o:hr="t" fillcolor="#a0a0a0" stroked="f"/>
        </w:pict>
      </w:r>
    </w:p>
    <w:p w14:paraId="18601F6B" w14:textId="77777777" w:rsidR="00A91885" w:rsidRDefault="009C4196">
      <w:hyperlink r:id="rId142" w:anchor="ieb971428a625452486c65ae24899afca_7" w:history="1">
        <w:r>
          <w:rPr>
            <w:rStyle w:val="a5"/>
            <w:rFonts w:ascii="Arial" w:eastAsia="宋体" w:hAnsi="Arial" w:cs="Arial"/>
            <w:sz w:val="18"/>
            <w:szCs w:val="18"/>
          </w:rPr>
          <w:t>Table of Contents</w:t>
        </w:r>
      </w:hyperlink>
    </w:p>
    <w:p w14:paraId="18601F6C" w14:textId="77777777" w:rsidR="00A91885" w:rsidRDefault="009C4196">
      <w:pPr>
        <w:ind w:firstLine="540"/>
        <w:jc w:val="both"/>
      </w:pPr>
      <w:r>
        <w:rPr>
          <w:rFonts w:ascii="Arial" w:eastAsia="宋体" w:hAnsi="Arial" w:cs="Arial"/>
          <w:color w:val="000000"/>
          <w:sz w:val="20"/>
          <w:szCs w:val="20"/>
        </w:rPr>
        <w:t>We were in compliance with all financial covenants in our outstanding debt instrument</w:t>
      </w:r>
      <w:r>
        <w:rPr>
          <w:rFonts w:ascii="Arial" w:eastAsia="宋体" w:hAnsi="Arial" w:cs="Arial"/>
          <w:color w:val="000000"/>
          <w:sz w:val="20"/>
          <w:szCs w:val="20"/>
        </w:rPr>
        <w:t>s for the six months ended June 30, 2022. For additional details related to our debt, please see “Note 9 — Debt” to the condensed consolidated financial statements included in this report.</w:t>
      </w:r>
    </w:p>
    <w:p w14:paraId="18601F6D" w14:textId="77777777" w:rsidR="00A91885" w:rsidRDefault="00A91885">
      <w:pPr>
        <w:ind w:firstLine="540"/>
        <w:jc w:val="both"/>
      </w:pPr>
    </w:p>
    <w:p w14:paraId="18601F6E" w14:textId="77777777" w:rsidR="00A91885" w:rsidRDefault="009C4196">
      <w:pPr>
        <w:ind w:firstLine="540"/>
        <w:jc w:val="both"/>
      </w:pPr>
      <w:r>
        <w:rPr>
          <w:rFonts w:ascii="Arial" w:eastAsia="宋体" w:hAnsi="Arial" w:cs="Arial"/>
          <w:i/>
          <w:iCs/>
          <w:color w:val="000000"/>
          <w:sz w:val="20"/>
          <w:szCs w:val="20"/>
        </w:rPr>
        <w:t>Income Taxes</w:t>
      </w:r>
    </w:p>
    <w:p w14:paraId="18601F6F" w14:textId="77777777" w:rsidR="00A91885" w:rsidRDefault="00A91885">
      <w:pPr>
        <w:ind w:firstLine="540"/>
        <w:jc w:val="both"/>
      </w:pPr>
    </w:p>
    <w:p w14:paraId="18601F70" w14:textId="77777777" w:rsidR="00A91885" w:rsidRDefault="009C4196">
      <w:pPr>
        <w:ind w:firstLine="540"/>
        <w:jc w:val="both"/>
      </w:pPr>
      <w:r>
        <w:rPr>
          <w:rFonts w:ascii="Arial" w:eastAsia="宋体" w:hAnsi="Arial" w:cs="Arial"/>
          <w:color w:val="000000"/>
          <w:sz w:val="20"/>
          <w:szCs w:val="20"/>
        </w:rPr>
        <w:t>As of June 30, 2022, our assets classified as cash a</w:t>
      </w:r>
      <w:r>
        <w:rPr>
          <w:rFonts w:ascii="Arial" w:eastAsia="宋体" w:hAnsi="Arial" w:cs="Arial"/>
          <w:color w:val="000000"/>
          <w:sz w:val="20"/>
          <w:szCs w:val="20"/>
        </w:rPr>
        <w:t>nd cash equivalents, and short-term and long-term non-equity investments from continuing operations included assets held in certain of our foreign operations totaling approximately $2.6 billion. As we repatriate these funds to the U.S., we will be required</w:t>
      </w:r>
      <w:r>
        <w:rPr>
          <w:rFonts w:ascii="Arial" w:eastAsia="宋体" w:hAnsi="Arial" w:cs="Arial"/>
          <w:color w:val="000000"/>
          <w:sz w:val="20"/>
          <w:szCs w:val="20"/>
        </w:rPr>
        <w:t xml:space="preserve"> to pay income taxes in certain U.S. states and applicable foreign withholding taxes on those amounts during the period when such repatriation occurs. We have accrued deferred taxes for the tax effect of repatriating the funds to the U.S.</w:t>
      </w:r>
    </w:p>
    <w:p w14:paraId="18601F71" w14:textId="77777777" w:rsidR="00A91885" w:rsidRDefault="00A91885">
      <w:pPr>
        <w:ind w:firstLine="540"/>
        <w:jc w:val="both"/>
      </w:pPr>
    </w:p>
    <w:p w14:paraId="18601F72" w14:textId="77777777" w:rsidR="00A91885" w:rsidRDefault="009C4196">
      <w:pPr>
        <w:ind w:firstLine="540"/>
        <w:jc w:val="both"/>
      </w:pPr>
      <w:r>
        <w:rPr>
          <w:rFonts w:ascii="Arial" w:eastAsia="宋体" w:hAnsi="Arial" w:cs="Arial"/>
          <w:color w:val="000000"/>
          <w:sz w:val="20"/>
          <w:szCs w:val="20"/>
        </w:rPr>
        <w:t>For additional d</w:t>
      </w:r>
      <w:r>
        <w:rPr>
          <w:rFonts w:ascii="Arial" w:eastAsia="宋体" w:hAnsi="Arial" w:cs="Arial"/>
          <w:color w:val="000000"/>
          <w:sz w:val="20"/>
          <w:szCs w:val="20"/>
        </w:rPr>
        <w:t>etails related to our income taxes, please see “Income Tax Provision” in our Results of Operations above and “Note 14 — Income Taxes” to the condensed consolidated financial statements included in this report.</w:t>
      </w:r>
    </w:p>
    <w:p w14:paraId="18601F73" w14:textId="77777777" w:rsidR="00A91885" w:rsidRDefault="00A91885">
      <w:pPr>
        <w:ind w:firstLine="540"/>
      </w:pPr>
    </w:p>
    <w:p w14:paraId="18601F74" w14:textId="77777777" w:rsidR="00A91885" w:rsidRDefault="009C4196">
      <w:pPr>
        <w:ind w:firstLine="270"/>
      </w:pPr>
      <w:r>
        <w:rPr>
          <w:rFonts w:ascii="Arial" w:eastAsia="宋体" w:hAnsi="Arial" w:cs="Arial"/>
          <w:b/>
          <w:bCs/>
          <w:i/>
          <w:iCs/>
          <w:color w:val="000000"/>
          <w:sz w:val="20"/>
          <w:szCs w:val="20"/>
        </w:rPr>
        <w:t>Stock Repurchases</w:t>
      </w:r>
    </w:p>
    <w:p w14:paraId="18601F75" w14:textId="77777777" w:rsidR="00A91885" w:rsidRDefault="00A91885">
      <w:pPr>
        <w:ind w:firstLine="270"/>
      </w:pPr>
    </w:p>
    <w:p w14:paraId="18601F76" w14:textId="77777777" w:rsidR="00A91885" w:rsidRDefault="009C4196">
      <w:pPr>
        <w:ind w:firstLine="540"/>
        <w:jc w:val="both"/>
      </w:pPr>
      <w:r>
        <w:rPr>
          <w:rFonts w:ascii="Arial" w:eastAsia="宋体" w:hAnsi="Arial" w:cs="Arial"/>
          <w:color w:val="000000"/>
          <w:sz w:val="20"/>
          <w:szCs w:val="20"/>
        </w:rPr>
        <w:t xml:space="preserve">Our stock </w:t>
      </w:r>
      <w:r>
        <w:rPr>
          <w:rFonts w:ascii="Arial" w:eastAsia="宋体" w:hAnsi="Arial" w:cs="Arial"/>
          <w:color w:val="000000"/>
          <w:sz w:val="20"/>
          <w:szCs w:val="20"/>
        </w:rPr>
        <w:t>repurchase programs are intended to programmatically offset the impact of dilution from our equity compensation programs and, subject to market conditions and other factors, to make opportunistic and programmatic repurchases of our common stock to reduce o</w:t>
      </w:r>
      <w:r>
        <w:rPr>
          <w:rFonts w:ascii="Arial" w:eastAsia="宋体" w:hAnsi="Arial" w:cs="Arial"/>
          <w:color w:val="000000"/>
          <w:sz w:val="20"/>
          <w:szCs w:val="20"/>
        </w:rPr>
        <w:t>ur outstanding share count. Any share repurchases under our stock repurchase programs may be made through open market transactions, block trades, privately negotiated transactions (including accelerated share repurchase transactions) or other means at time</w:t>
      </w:r>
      <w:r>
        <w:rPr>
          <w:rFonts w:ascii="Arial" w:eastAsia="宋体" w:hAnsi="Arial" w:cs="Arial"/>
          <w:color w:val="000000"/>
          <w:sz w:val="20"/>
          <w:szCs w:val="20"/>
        </w:rPr>
        <w:t>s and in such amounts as management deems appropriate and will be funded from our working capital or other financing alternatives.</w:t>
      </w:r>
    </w:p>
    <w:p w14:paraId="18601F77" w14:textId="77777777" w:rsidR="00A91885" w:rsidRDefault="00A91885">
      <w:pPr>
        <w:ind w:firstLine="540"/>
        <w:jc w:val="both"/>
      </w:pPr>
    </w:p>
    <w:p w14:paraId="18601F78" w14:textId="77777777" w:rsidR="00A91885" w:rsidRDefault="009C4196">
      <w:pPr>
        <w:ind w:firstLine="540"/>
        <w:jc w:val="both"/>
      </w:pPr>
      <w:r>
        <w:rPr>
          <w:rFonts w:ascii="Arial" w:eastAsia="宋体" w:hAnsi="Arial" w:cs="Arial"/>
          <w:color w:val="000000"/>
          <w:sz w:val="20"/>
          <w:szCs w:val="20"/>
        </w:rPr>
        <w:t>We expect, subject to market conditions and other uncertainties, to continue making opportunistic and programmatic repurchas</w:t>
      </w:r>
      <w:r>
        <w:rPr>
          <w:rFonts w:ascii="Arial" w:eastAsia="宋体" w:hAnsi="Arial" w:cs="Arial"/>
          <w:color w:val="000000"/>
          <w:sz w:val="20"/>
          <w:szCs w:val="20"/>
        </w:rPr>
        <w:t>es of our common stock. However, our stock repurchase programs may be limited or terminated at any time without prior notice. The timing and actual number of shares repurchased will depend on a variety of factors, including corporate and regulatory require</w:t>
      </w:r>
      <w:r>
        <w:rPr>
          <w:rFonts w:ascii="Arial" w:eastAsia="宋体" w:hAnsi="Arial" w:cs="Arial"/>
          <w:color w:val="000000"/>
          <w:sz w:val="20"/>
          <w:szCs w:val="20"/>
        </w:rPr>
        <w:t>ments, the impacts of the COVID-19 pandemic, price and other market conditions and management’s determination as to the appropriate use of our cash. </w:t>
      </w:r>
    </w:p>
    <w:p w14:paraId="18601F79" w14:textId="77777777" w:rsidR="00A91885" w:rsidRDefault="00A91885">
      <w:pPr>
        <w:ind w:firstLine="540"/>
        <w:jc w:val="both"/>
      </w:pPr>
    </w:p>
    <w:p w14:paraId="18601F7A" w14:textId="77777777" w:rsidR="00A91885" w:rsidRDefault="009C4196">
      <w:pPr>
        <w:ind w:firstLine="540"/>
        <w:jc w:val="both"/>
      </w:pPr>
      <w:r>
        <w:rPr>
          <w:rFonts w:ascii="Arial" w:eastAsia="宋体" w:hAnsi="Arial" w:cs="Arial"/>
          <w:color w:val="000000"/>
          <w:sz w:val="20"/>
          <w:szCs w:val="20"/>
        </w:rPr>
        <w:t xml:space="preserve">During the six months ended June 30, 2022, we repurchased approximately $2.5 billion of our common stock </w:t>
      </w:r>
      <w:r>
        <w:rPr>
          <w:rFonts w:ascii="Arial" w:eastAsia="宋体" w:hAnsi="Arial" w:cs="Arial"/>
          <w:color w:val="000000"/>
          <w:sz w:val="20"/>
          <w:szCs w:val="20"/>
        </w:rPr>
        <w:t>under our stock repurchase programs. In February 2022 our Board authorized an additional $4.0 billion stock repurchase program, with no expiration from the date of authorization. As of June 30, 2022, a total of approximately $3.4 billion remained available</w:t>
      </w:r>
      <w:r>
        <w:rPr>
          <w:rFonts w:ascii="Arial" w:eastAsia="宋体" w:hAnsi="Arial" w:cs="Arial"/>
          <w:color w:val="000000"/>
          <w:sz w:val="20"/>
          <w:szCs w:val="20"/>
        </w:rPr>
        <w:t xml:space="preserve"> for future repurchases of our common stock under our stock repurchase programs</w:t>
      </w:r>
      <w:r>
        <w:rPr>
          <w:rFonts w:ascii="Arial" w:eastAsia="宋体" w:hAnsi="Arial" w:cs="Arial"/>
          <w:color w:val="212529"/>
          <w:sz w:val="20"/>
          <w:szCs w:val="20"/>
        </w:rPr>
        <w:t xml:space="preserve">. </w:t>
      </w:r>
      <w:r>
        <w:rPr>
          <w:rFonts w:ascii="Arial" w:eastAsia="宋体" w:hAnsi="Arial" w:cs="Arial"/>
          <w:color w:val="000000"/>
          <w:sz w:val="20"/>
          <w:szCs w:val="20"/>
        </w:rPr>
        <w:t xml:space="preserve">See “Note 12 — Stockholders’ Equity” to the condensed consolidated financial statements included in this report for more information about our stock repurchase programs. </w:t>
      </w:r>
    </w:p>
    <w:p w14:paraId="18601F7B" w14:textId="77777777" w:rsidR="00A91885" w:rsidRDefault="00A91885">
      <w:pPr>
        <w:ind w:firstLine="540"/>
        <w:jc w:val="both"/>
      </w:pPr>
    </w:p>
    <w:p w14:paraId="18601F7C" w14:textId="77777777" w:rsidR="00A91885" w:rsidRDefault="009C4196">
      <w:pPr>
        <w:ind w:firstLine="270"/>
      </w:pPr>
      <w:r>
        <w:rPr>
          <w:rFonts w:ascii="Arial" w:eastAsia="宋体" w:hAnsi="Arial" w:cs="Arial"/>
          <w:b/>
          <w:bCs/>
          <w:i/>
          <w:iCs/>
          <w:color w:val="000000"/>
          <w:sz w:val="20"/>
          <w:szCs w:val="20"/>
        </w:rPr>
        <w:t>Div</w:t>
      </w:r>
      <w:r>
        <w:rPr>
          <w:rFonts w:ascii="Arial" w:eastAsia="宋体" w:hAnsi="Arial" w:cs="Arial"/>
          <w:b/>
          <w:bCs/>
          <w:i/>
          <w:iCs/>
          <w:color w:val="000000"/>
          <w:sz w:val="20"/>
          <w:szCs w:val="20"/>
        </w:rPr>
        <w:t>idends</w:t>
      </w:r>
    </w:p>
    <w:p w14:paraId="18601F7D" w14:textId="77777777" w:rsidR="00A91885" w:rsidRDefault="00A91885">
      <w:pPr>
        <w:ind w:firstLine="270"/>
      </w:pPr>
    </w:p>
    <w:p w14:paraId="18601F7E" w14:textId="77777777" w:rsidR="00A91885" w:rsidRDefault="009C4196">
      <w:pPr>
        <w:ind w:firstLine="540"/>
        <w:jc w:val="both"/>
      </w:pPr>
      <w:r>
        <w:rPr>
          <w:rFonts w:ascii="Arial" w:eastAsia="宋体" w:hAnsi="Arial" w:cs="Arial"/>
          <w:color w:val="000000"/>
          <w:sz w:val="20"/>
          <w:szCs w:val="20"/>
        </w:rPr>
        <w:t xml:space="preserve">The Company paid a total of $121 million and $121 million in cash dividends during the three months ended June 30, 2022 and 2021, respectively, and $250 million and $243 million in cash dividends during the six months ended June 30, 2022 and 2021, </w:t>
      </w:r>
      <w:r>
        <w:rPr>
          <w:rFonts w:ascii="Arial" w:eastAsia="宋体" w:hAnsi="Arial" w:cs="Arial"/>
          <w:color w:val="000000"/>
          <w:sz w:val="20"/>
          <w:szCs w:val="20"/>
        </w:rPr>
        <w:t>respectively. In August 2022, our Board of Directors declared a cash dividend of $0.22 per share of common stock to be paid on September 16, 2022 to stockholders of record as of September 1, 2022.</w:t>
      </w:r>
    </w:p>
    <w:p w14:paraId="18601F7F" w14:textId="77777777" w:rsidR="00A91885" w:rsidRDefault="00A91885">
      <w:pPr>
        <w:ind w:firstLine="540"/>
        <w:jc w:val="both"/>
      </w:pPr>
    </w:p>
    <w:p w14:paraId="18601F80" w14:textId="77777777" w:rsidR="00A91885" w:rsidRDefault="009C4196">
      <w:r>
        <w:rPr>
          <w:rFonts w:ascii="Arial" w:eastAsia="宋体" w:hAnsi="Arial" w:cs="Arial"/>
          <w:b/>
          <w:bCs/>
          <w:i/>
          <w:iCs/>
          <w:color w:val="000000"/>
          <w:sz w:val="20"/>
          <w:szCs w:val="20"/>
        </w:rPr>
        <w:t>Other Capital Resource Requirements</w:t>
      </w:r>
    </w:p>
    <w:p w14:paraId="18601F81" w14:textId="77777777" w:rsidR="00A91885" w:rsidRDefault="00A91885">
      <w:pPr>
        <w:ind w:firstLine="540"/>
        <w:jc w:val="both"/>
      </w:pPr>
    </w:p>
    <w:p w14:paraId="18601F82" w14:textId="77777777" w:rsidR="00A91885" w:rsidRDefault="009C4196">
      <w:pPr>
        <w:ind w:firstLine="540"/>
        <w:jc w:val="both"/>
      </w:pPr>
      <w:r>
        <w:rPr>
          <w:rFonts w:ascii="Arial" w:eastAsia="宋体" w:hAnsi="Arial" w:cs="Arial"/>
          <w:color w:val="000000"/>
          <w:sz w:val="20"/>
          <w:szCs w:val="20"/>
        </w:rPr>
        <w:t>We actively monitor a</w:t>
      </w:r>
      <w:r>
        <w:rPr>
          <w:rFonts w:ascii="Arial" w:eastAsia="宋体" w:hAnsi="Arial" w:cs="Arial"/>
          <w:color w:val="000000"/>
          <w:sz w:val="20"/>
          <w:szCs w:val="20"/>
        </w:rPr>
        <w:t>ll counterparties that hold our cash and cash equivalents and non-equity investments, focusing primarily on the safety of principal and secondarily on improving yield on these assets. We diversify our cash and cash equivalents and investments among various</w:t>
      </w:r>
      <w:r>
        <w:rPr>
          <w:rFonts w:ascii="Arial" w:eastAsia="宋体" w:hAnsi="Arial" w:cs="Arial"/>
          <w:color w:val="000000"/>
          <w:sz w:val="20"/>
          <w:szCs w:val="20"/>
        </w:rPr>
        <w:t xml:space="preserve"> counterparties in order to reduce our exposure should any one of these counterparties fail or encounter difficulties. To date, we have not experienced any material loss or lack of access to our invested cash, cash equivalents or short-term investments; ho</w:t>
      </w:r>
      <w:r>
        <w:rPr>
          <w:rFonts w:ascii="Arial" w:eastAsia="宋体" w:hAnsi="Arial" w:cs="Arial"/>
          <w:color w:val="000000"/>
          <w:sz w:val="20"/>
          <w:szCs w:val="20"/>
        </w:rPr>
        <w:t xml:space="preserve">wever, we can provide no assurances that access to our invested cash, cash equivalents or short-term investments will not be impacted by adverse conditions in the financial markets, including, without limitation, as a result of the impact of the COVID-19 </w:t>
      </w:r>
    </w:p>
    <w:p w14:paraId="18601F83" w14:textId="77777777" w:rsidR="00A91885" w:rsidRDefault="00A91885">
      <w:pPr>
        <w:jc w:val="center"/>
      </w:pPr>
    </w:p>
    <w:p w14:paraId="18601F84" w14:textId="77777777" w:rsidR="00A91885" w:rsidRDefault="009C4196">
      <w:pPr>
        <w:jc w:val="center"/>
      </w:pPr>
      <w:r>
        <w:rPr>
          <w:rFonts w:ascii="Arial" w:eastAsia="宋体" w:hAnsi="Arial" w:cs="Arial"/>
          <w:color w:val="000000"/>
          <w:sz w:val="20"/>
          <w:szCs w:val="20"/>
        </w:rPr>
        <w:t>59</w:t>
      </w:r>
    </w:p>
    <w:p w14:paraId="18601F85" w14:textId="77777777" w:rsidR="00A91885" w:rsidRDefault="009C4196">
      <w:r>
        <w:pict w14:anchorId="186021BE">
          <v:rect id="_x0000_i1083" style="width:415.3pt;height:1.5pt" o:hralign="center" o:hrstd="t" o:hr="t" fillcolor="#a0a0a0" stroked="f"/>
        </w:pict>
      </w:r>
    </w:p>
    <w:p w14:paraId="18601F86" w14:textId="77777777" w:rsidR="00A91885" w:rsidRDefault="009C4196">
      <w:hyperlink r:id="rId143" w:anchor="ieb971428a625452486c65ae24899afca_7" w:history="1">
        <w:r>
          <w:rPr>
            <w:rStyle w:val="a5"/>
            <w:rFonts w:ascii="Arial" w:eastAsia="宋体" w:hAnsi="Arial" w:cs="Arial"/>
            <w:sz w:val="18"/>
            <w:szCs w:val="18"/>
          </w:rPr>
          <w:t>Table of Contents</w:t>
        </w:r>
      </w:hyperlink>
    </w:p>
    <w:p w14:paraId="18601F87" w14:textId="77777777" w:rsidR="00A91885" w:rsidRDefault="009C4196">
      <w:pPr>
        <w:jc w:val="both"/>
      </w:pPr>
      <w:r>
        <w:rPr>
          <w:rFonts w:ascii="Arial" w:eastAsia="宋体" w:hAnsi="Arial" w:cs="Arial"/>
          <w:color w:val="000000"/>
          <w:sz w:val="20"/>
          <w:szCs w:val="20"/>
        </w:rPr>
        <w:t>pandemic. At any point in time we have funds in our operating accounts and customer a</w:t>
      </w:r>
      <w:r>
        <w:rPr>
          <w:rFonts w:ascii="Arial" w:eastAsia="宋体" w:hAnsi="Arial" w:cs="Arial"/>
          <w:color w:val="000000"/>
          <w:sz w:val="20"/>
          <w:szCs w:val="20"/>
        </w:rPr>
        <w:t>ccounts that are deposited and invested with third party financial institutions.</w:t>
      </w:r>
    </w:p>
    <w:p w14:paraId="18601F88" w14:textId="77777777" w:rsidR="00A91885" w:rsidRDefault="00A91885">
      <w:pPr>
        <w:ind w:firstLine="540"/>
        <w:jc w:val="both"/>
      </w:pPr>
    </w:p>
    <w:p w14:paraId="18601F89" w14:textId="77777777" w:rsidR="00A91885" w:rsidRDefault="009C4196">
      <w:pPr>
        <w:ind w:firstLine="540"/>
        <w:jc w:val="both"/>
      </w:pPr>
      <w:r>
        <w:rPr>
          <w:rFonts w:ascii="Arial" w:eastAsia="宋体" w:hAnsi="Arial" w:cs="Arial"/>
          <w:color w:val="000000"/>
          <w:sz w:val="20"/>
          <w:szCs w:val="20"/>
        </w:rPr>
        <w:t xml:space="preserve">We have a cash pooling arrangement with a financial institution for cash management purposes. As of June 30, 2022, we had a total of $1.3 billion in aggregate cash deposits, </w:t>
      </w:r>
      <w:r>
        <w:rPr>
          <w:rFonts w:ascii="Arial" w:eastAsia="宋体" w:hAnsi="Arial" w:cs="Arial"/>
          <w:color w:val="000000"/>
          <w:sz w:val="20"/>
          <w:szCs w:val="20"/>
        </w:rPr>
        <w:t>partially offset by $1.2 billion in cash withdrawals, held within the financial institution under the cash pooling arrangement. See “Note 11 — Commitments and Contingencies” to the condensed consolidated financial statements included in this report for mor</w:t>
      </w:r>
      <w:r>
        <w:rPr>
          <w:rFonts w:ascii="Arial" w:eastAsia="宋体" w:hAnsi="Arial" w:cs="Arial"/>
          <w:color w:val="000000"/>
          <w:sz w:val="20"/>
          <w:szCs w:val="20"/>
        </w:rPr>
        <w:t>e information about our cash pooling arrangement.</w:t>
      </w:r>
    </w:p>
    <w:p w14:paraId="18601F8A" w14:textId="77777777" w:rsidR="00A91885" w:rsidRDefault="00A91885">
      <w:pPr>
        <w:ind w:firstLine="540"/>
        <w:jc w:val="both"/>
      </w:pPr>
    </w:p>
    <w:p w14:paraId="18601F8B" w14:textId="77777777" w:rsidR="00A91885" w:rsidRDefault="009C4196">
      <w:pPr>
        <w:ind w:firstLine="540"/>
        <w:jc w:val="both"/>
      </w:pPr>
      <w:r>
        <w:rPr>
          <w:rFonts w:ascii="Arial" w:eastAsia="宋体" w:hAnsi="Arial" w:cs="Arial"/>
          <w:color w:val="000000"/>
          <w:sz w:val="20"/>
          <w:szCs w:val="20"/>
        </w:rPr>
        <w:t xml:space="preserve">We have entered into various indemnification agreements and, in the ordinary course of business, we have included limited indemnification provisions in certain of our agreements with parties with which we </w:t>
      </w:r>
      <w:r>
        <w:rPr>
          <w:rFonts w:ascii="Arial" w:eastAsia="宋体" w:hAnsi="Arial" w:cs="Arial"/>
          <w:color w:val="000000"/>
          <w:sz w:val="20"/>
          <w:szCs w:val="20"/>
        </w:rPr>
        <w:t>have commercial relations. It is not possible to determine the maximum potential loss under these various indemnification provisions due to our limited history of prior indemnification claims and the unique facts and circumstances involved in each particul</w:t>
      </w:r>
      <w:r>
        <w:rPr>
          <w:rFonts w:ascii="Arial" w:eastAsia="宋体" w:hAnsi="Arial" w:cs="Arial"/>
          <w:color w:val="000000"/>
          <w:sz w:val="20"/>
          <w:szCs w:val="20"/>
        </w:rPr>
        <w:t xml:space="preserve">ar provision. To date, losses recorded in our condensed consolidated statement of income in connection with our indemnification provisions have not been significant, either individually or collectively. See “Note 11 — Commitments and Contingencies” to the </w:t>
      </w:r>
      <w:r>
        <w:rPr>
          <w:rFonts w:ascii="Arial" w:eastAsia="宋体" w:hAnsi="Arial" w:cs="Arial"/>
          <w:color w:val="000000"/>
          <w:sz w:val="20"/>
          <w:szCs w:val="20"/>
        </w:rPr>
        <w:t>condensed consolidated financial statements included in this report for more information about our indemnification provisions.</w:t>
      </w:r>
    </w:p>
    <w:p w14:paraId="18601F8C" w14:textId="77777777" w:rsidR="00A91885" w:rsidRDefault="00A91885"/>
    <w:p w14:paraId="18601F8D" w14:textId="77777777" w:rsidR="00A91885" w:rsidRDefault="00A91885">
      <w:pPr>
        <w:jc w:val="center"/>
      </w:pPr>
    </w:p>
    <w:p w14:paraId="18601F8E" w14:textId="77777777" w:rsidR="00A91885" w:rsidRDefault="009C4196">
      <w:pPr>
        <w:jc w:val="center"/>
      </w:pPr>
      <w:r>
        <w:rPr>
          <w:rFonts w:ascii="Arial" w:eastAsia="宋体" w:hAnsi="Arial" w:cs="Arial"/>
          <w:color w:val="000000"/>
          <w:sz w:val="20"/>
          <w:szCs w:val="20"/>
        </w:rPr>
        <w:t>60</w:t>
      </w:r>
    </w:p>
    <w:p w14:paraId="18601F8F" w14:textId="77777777" w:rsidR="00A91885" w:rsidRDefault="009C4196">
      <w:r>
        <w:pict w14:anchorId="186021BF">
          <v:rect id="_x0000_i1084" style="width:415.3pt;height:1.5pt" o:hralign="center" o:hrstd="t" o:hr="t" fillcolor="#a0a0a0" stroked="f"/>
        </w:pict>
      </w:r>
    </w:p>
    <w:p w14:paraId="18601F90" w14:textId="77777777" w:rsidR="00A91885" w:rsidRDefault="009C4196">
      <w:hyperlink r:id="rId144" w:anchor="ieb971428a625452486c65ae24899afca_7" w:history="1">
        <w:r>
          <w:rPr>
            <w:rStyle w:val="a5"/>
            <w:rFonts w:ascii="Arial" w:eastAsia="宋体" w:hAnsi="Arial" w:cs="Arial"/>
            <w:sz w:val="18"/>
            <w:szCs w:val="18"/>
          </w:rPr>
          <w:t>Table of Contents</w:t>
        </w:r>
      </w:hyperlink>
    </w:p>
    <w:p w14:paraId="18601F91" w14:textId="77777777" w:rsidR="00A91885" w:rsidRDefault="009C4196">
      <w:pPr>
        <w:ind w:hanging="1080"/>
      </w:pPr>
      <w:r>
        <w:rPr>
          <w:rFonts w:ascii="Arial" w:eastAsia="宋体" w:hAnsi="Arial" w:cs="Arial"/>
          <w:b/>
          <w:bCs/>
          <w:color w:val="000000"/>
          <w:sz w:val="20"/>
          <w:szCs w:val="20"/>
        </w:rPr>
        <w:t>Item 3:    Quantitative and Qualitative Disclosures About Market Risk</w:t>
      </w:r>
    </w:p>
    <w:p w14:paraId="18601F92" w14:textId="77777777" w:rsidR="00A91885" w:rsidRDefault="00A91885">
      <w:pPr>
        <w:jc w:val="both"/>
      </w:pPr>
    </w:p>
    <w:p w14:paraId="18601F93" w14:textId="77777777" w:rsidR="00A91885" w:rsidRDefault="009C4196">
      <w:pPr>
        <w:jc w:val="both"/>
      </w:pPr>
      <w:r>
        <w:rPr>
          <w:rFonts w:ascii="Arial" w:eastAsia="宋体" w:hAnsi="Arial" w:cs="Arial"/>
          <w:b/>
          <w:bCs/>
          <w:i/>
          <w:iCs/>
          <w:color w:val="000000"/>
          <w:sz w:val="20"/>
          <w:szCs w:val="20"/>
        </w:rPr>
        <w:t>Interest Rate Risk</w:t>
      </w:r>
    </w:p>
    <w:p w14:paraId="18601F94" w14:textId="77777777" w:rsidR="00A91885" w:rsidRDefault="00A91885">
      <w:pPr>
        <w:ind w:firstLine="540"/>
        <w:jc w:val="both"/>
      </w:pPr>
    </w:p>
    <w:p w14:paraId="18601F95" w14:textId="77777777" w:rsidR="00A91885" w:rsidRDefault="009C4196">
      <w:pPr>
        <w:ind w:firstLine="540"/>
        <w:jc w:val="both"/>
      </w:pPr>
      <w:r>
        <w:rPr>
          <w:rFonts w:ascii="Arial" w:eastAsia="宋体" w:hAnsi="Arial" w:cs="Arial"/>
          <w:color w:val="000000"/>
          <w:sz w:val="20"/>
          <w:szCs w:val="20"/>
        </w:rPr>
        <w:t xml:space="preserve">We are exposed to interest rate risk relating to our investments and outstanding debt. In addition, adverse </w:t>
      </w:r>
      <w:r>
        <w:rPr>
          <w:rFonts w:ascii="Arial" w:eastAsia="宋体" w:hAnsi="Arial" w:cs="Arial"/>
          <w:color w:val="000000"/>
          <w:sz w:val="20"/>
          <w:szCs w:val="20"/>
        </w:rPr>
        <w:t>economic conditions and events (including volatility or distress in the equity and/or debt or credit markets) may impact regional and global financial markets. These events and conditions could cause us to write down our assets or investments. We seek to r</w:t>
      </w:r>
      <w:r>
        <w:rPr>
          <w:rFonts w:ascii="Arial" w:eastAsia="宋体" w:hAnsi="Arial" w:cs="Arial"/>
          <w:color w:val="000000"/>
          <w:sz w:val="20"/>
          <w:szCs w:val="20"/>
        </w:rPr>
        <w:t>educe earnings volatility that may result from adverse economic conditions and events or changes in interest rates.</w:t>
      </w:r>
    </w:p>
    <w:p w14:paraId="18601F96" w14:textId="77777777" w:rsidR="00A91885" w:rsidRDefault="00A91885">
      <w:pPr>
        <w:ind w:firstLine="450"/>
        <w:jc w:val="both"/>
      </w:pPr>
    </w:p>
    <w:p w14:paraId="18601F97" w14:textId="77777777" w:rsidR="00A91885" w:rsidRDefault="009C4196">
      <w:pPr>
        <w:ind w:firstLine="540"/>
        <w:jc w:val="both"/>
      </w:pPr>
      <w:r>
        <w:rPr>
          <w:rFonts w:ascii="Arial" w:eastAsia="宋体" w:hAnsi="Arial" w:cs="Arial"/>
          <w:color w:val="000000"/>
          <w:sz w:val="20"/>
          <w:szCs w:val="20"/>
        </w:rPr>
        <w:t>The primary objective of our investment activities is to preserve principal while at the same time improving yields without significantly i</w:t>
      </w:r>
      <w:r>
        <w:rPr>
          <w:rFonts w:ascii="Arial" w:eastAsia="宋体" w:hAnsi="Arial" w:cs="Arial"/>
          <w:color w:val="000000"/>
          <w:sz w:val="20"/>
          <w:szCs w:val="20"/>
        </w:rPr>
        <w:t>ncreasing risk. To achieve this objective, we maintain our cash equivalents and short-term and long-term investments in a variety of asset types, including bank deposits, government bonds and corporate debt securities. As of June 30, 2022, approximately 21</w:t>
      </w:r>
      <w:r>
        <w:rPr>
          <w:rFonts w:ascii="Arial" w:eastAsia="宋体" w:hAnsi="Arial" w:cs="Arial"/>
          <w:color w:val="000000"/>
          <w:sz w:val="20"/>
          <w:szCs w:val="20"/>
        </w:rPr>
        <w:t>% of our total cash and investments was held in cash and cash equivalents. As such, changes in interest rates will impact interest income. As discussed below, the fair market values of our fixed rate securities may be adversely affected due to a rise in in</w:t>
      </w:r>
      <w:r>
        <w:rPr>
          <w:rFonts w:ascii="Arial" w:eastAsia="宋体" w:hAnsi="Arial" w:cs="Arial"/>
          <w:color w:val="000000"/>
          <w:sz w:val="20"/>
          <w:szCs w:val="20"/>
        </w:rPr>
        <w:t>terest rates, and we may suffer losses in principal if we are forced to sell securities that have declined in market value due to changes in interest rates.</w:t>
      </w:r>
    </w:p>
    <w:p w14:paraId="18601F98" w14:textId="77777777" w:rsidR="00A91885" w:rsidRDefault="009C4196">
      <w:pPr>
        <w:jc w:val="both"/>
      </w:pPr>
      <w:r>
        <w:rPr>
          <w:rFonts w:ascii="Arial" w:eastAsia="宋体" w:hAnsi="Arial" w:cs="Arial"/>
          <w:color w:val="000000"/>
          <w:sz w:val="14"/>
          <w:szCs w:val="14"/>
        </w:rPr>
        <w:t> </w:t>
      </w:r>
    </w:p>
    <w:p w14:paraId="18601F99" w14:textId="77777777" w:rsidR="00A91885" w:rsidRDefault="009C4196">
      <w:pPr>
        <w:ind w:firstLine="540"/>
        <w:jc w:val="both"/>
      </w:pPr>
      <w:r>
        <w:rPr>
          <w:rFonts w:ascii="Arial" w:eastAsia="宋体" w:hAnsi="Arial" w:cs="Arial"/>
          <w:color w:val="000000"/>
          <w:sz w:val="20"/>
          <w:szCs w:val="20"/>
        </w:rPr>
        <w:t>As of June 30, 2022, the balance of our corporate debt and government bond securities was $2.8 bi</w:t>
      </w:r>
      <w:r>
        <w:rPr>
          <w:rFonts w:ascii="Arial" w:eastAsia="宋体" w:hAnsi="Arial" w:cs="Arial"/>
          <w:color w:val="000000"/>
          <w:sz w:val="20"/>
          <w:szCs w:val="20"/>
        </w:rPr>
        <w:t>llion, which represented approximately 34% of our total cash and investments. Investments in both fixed-rate and floating-rate interest-earning instruments carry varying degrees of interest rate risk. The fair market value of our fixed-rate investment secu</w:t>
      </w:r>
      <w:r>
        <w:rPr>
          <w:rFonts w:ascii="Arial" w:eastAsia="宋体" w:hAnsi="Arial" w:cs="Arial"/>
          <w:color w:val="000000"/>
          <w:sz w:val="20"/>
          <w:szCs w:val="20"/>
        </w:rPr>
        <w:t>rities may be adversely impacted due to a rise in interest rates. In general, fixed-rate securities with longer maturities are subject to greater interest rate risk than those with shorter maturities. While floating rate securities generally are subject to</w:t>
      </w:r>
      <w:r>
        <w:rPr>
          <w:rFonts w:ascii="Arial" w:eastAsia="宋体" w:hAnsi="Arial" w:cs="Arial"/>
          <w:color w:val="000000"/>
          <w:sz w:val="20"/>
          <w:szCs w:val="20"/>
        </w:rPr>
        <w:t xml:space="preserve"> less interest rate risk than fixed-rate securities, floating-rate securities may produce less income than expected if interest rates decrease and may also suffer a decline in market value if interest rates increase. Due in part to these factors, our inves</w:t>
      </w:r>
      <w:r>
        <w:rPr>
          <w:rFonts w:ascii="Arial" w:eastAsia="宋体" w:hAnsi="Arial" w:cs="Arial"/>
          <w:color w:val="000000"/>
          <w:sz w:val="20"/>
          <w:szCs w:val="20"/>
        </w:rPr>
        <w:t>tment income may fall short of expectations or we may suffer losses in principal if we sell securities that have declined in market value due to changes in interest rates. A hypothetical 100 basis point increase in interest rates would have resulted in a d</w:t>
      </w:r>
      <w:r>
        <w:rPr>
          <w:rFonts w:ascii="Arial" w:eastAsia="宋体" w:hAnsi="Arial" w:cs="Arial"/>
          <w:color w:val="000000"/>
          <w:sz w:val="20"/>
          <w:szCs w:val="20"/>
        </w:rPr>
        <w:t>ecrease in the fair value of our investments of $34 million and $4 million as of June 30, 2022 and December 31, 2021, respectively.</w:t>
      </w:r>
    </w:p>
    <w:p w14:paraId="18601F9A" w14:textId="77777777" w:rsidR="00A91885" w:rsidRDefault="00A91885">
      <w:pPr>
        <w:ind w:firstLine="540"/>
        <w:jc w:val="both"/>
      </w:pPr>
    </w:p>
    <w:p w14:paraId="18601F9B" w14:textId="77777777" w:rsidR="00A91885" w:rsidRDefault="009C4196">
      <w:pPr>
        <w:ind w:firstLine="540"/>
        <w:jc w:val="both"/>
      </w:pPr>
      <w:r>
        <w:rPr>
          <w:rFonts w:ascii="Arial" w:eastAsia="宋体" w:hAnsi="Arial" w:cs="Arial"/>
          <w:color w:val="000000"/>
          <w:sz w:val="20"/>
          <w:szCs w:val="20"/>
        </w:rPr>
        <w:t>As of June 30, 2022, we had an aggregate principal amount of $7.8 billion of outstanding senior notes, of which 95% bore in</w:t>
      </w:r>
      <w:r>
        <w:rPr>
          <w:rFonts w:ascii="Arial" w:eastAsia="宋体" w:hAnsi="Arial" w:cs="Arial"/>
          <w:color w:val="000000"/>
          <w:sz w:val="20"/>
          <w:szCs w:val="20"/>
        </w:rPr>
        <w:t>terest at fixed rates. During 2020, we began to hedge the variability of the cash flows in interest payments associated with our floating-rate debt using interest rate swaps. These interest rate swap agreements effectively convert our LIBOR-based floating-</w:t>
      </w:r>
      <w:r>
        <w:rPr>
          <w:rFonts w:ascii="Arial" w:eastAsia="宋体" w:hAnsi="Arial" w:cs="Arial"/>
          <w:color w:val="000000"/>
          <w:sz w:val="20"/>
          <w:szCs w:val="20"/>
        </w:rPr>
        <w:t>rate debt to a fixed-rate basis, reducing the impact of interest-rate changes on future interest expense. The total notional amount of these interest swaps was $400 million as of June 30, 2022 with terms calling for us to receive interest at a variable rat</w:t>
      </w:r>
      <w:r>
        <w:rPr>
          <w:rFonts w:ascii="Arial" w:eastAsia="宋体" w:hAnsi="Arial" w:cs="Arial"/>
          <w:color w:val="000000"/>
          <w:sz w:val="20"/>
          <w:szCs w:val="20"/>
        </w:rPr>
        <w:t>e and to pay interest at a fixed rate. Our interest rate swap contracts have maturity dates in 2023. At June 30, 2022, we did not have an unhedged balance on our floating-rate debt. Additionally during the second quarter of 2022, we began to hedge the vari</w:t>
      </w:r>
      <w:r>
        <w:rPr>
          <w:rFonts w:ascii="Arial" w:eastAsia="宋体" w:hAnsi="Arial" w:cs="Arial"/>
          <w:color w:val="000000"/>
          <w:sz w:val="20"/>
          <w:szCs w:val="20"/>
        </w:rPr>
        <w:t>ability of forecasted interest payments using forward-starting interest rate swaps. The notional amount of these swaps was $150 million as of June 30, 2022, with terms calling for us to receive interest at a variable rate and to pay interest at a fixed rat</w:t>
      </w:r>
      <w:r>
        <w:rPr>
          <w:rFonts w:ascii="Arial" w:eastAsia="宋体" w:hAnsi="Arial" w:cs="Arial"/>
          <w:color w:val="000000"/>
          <w:sz w:val="20"/>
          <w:szCs w:val="20"/>
        </w:rPr>
        <w:t>e. These interest rate swaps effectively fix the benchmark interest rate on anticipated debt issuances that occur by the second quarter of 2023, and they will be terminated upon issuance of the debt. When entering into forward-starting interest rate swaps,</w:t>
      </w:r>
      <w:r>
        <w:rPr>
          <w:rFonts w:ascii="Arial" w:eastAsia="宋体" w:hAnsi="Arial" w:cs="Arial"/>
          <w:color w:val="000000"/>
          <w:sz w:val="20"/>
          <w:szCs w:val="20"/>
        </w:rPr>
        <w:t xml:space="preserve"> we are subject to market risk with respect to changes in the underlying benchmark interest rate that impacts the fair value of the forward-starting interest rate swaps. We manage market risk by matching the terms of the swaps with the terms of the expecte</w:t>
      </w:r>
      <w:r>
        <w:rPr>
          <w:rFonts w:ascii="Arial" w:eastAsia="宋体" w:hAnsi="Arial" w:cs="Arial"/>
          <w:color w:val="000000"/>
          <w:sz w:val="20"/>
          <w:szCs w:val="20"/>
        </w:rPr>
        <w:t>d debt issuance. We considered the historical volatility of short-term interest rates and determined that it was reasonably possible that an adverse change of 100 basis points could be experienced in the near term. A hypothetical 1% (100 basis points) decr</w:t>
      </w:r>
      <w:r>
        <w:rPr>
          <w:rFonts w:ascii="Arial" w:eastAsia="宋体" w:hAnsi="Arial" w:cs="Arial"/>
          <w:color w:val="000000"/>
          <w:sz w:val="20"/>
          <w:szCs w:val="20"/>
        </w:rPr>
        <w:t>ease in interest rates would have resulted in a decrease in the fair values of our floating to fixed rate interest swaps and forward-starting interest rate swaps of approximately $15 million at June 30, 2022.</w:t>
      </w:r>
    </w:p>
    <w:p w14:paraId="18601F9C" w14:textId="77777777" w:rsidR="00A91885" w:rsidRDefault="00A91885">
      <w:pPr>
        <w:ind w:firstLine="540"/>
        <w:jc w:val="both"/>
      </w:pPr>
    </w:p>
    <w:p w14:paraId="18601F9D" w14:textId="77777777" w:rsidR="00A91885" w:rsidRDefault="009C4196">
      <w:pPr>
        <w:ind w:firstLine="540"/>
        <w:jc w:val="both"/>
      </w:pPr>
      <w:r>
        <w:rPr>
          <w:rFonts w:ascii="Arial" w:eastAsia="宋体" w:hAnsi="Arial" w:cs="Arial"/>
          <w:color w:val="000000"/>
          <w:sz w:val="20"/>
          <w:szCs w:val="20"/>
        </w:rPr>
        <w:t xml:space="preserve">Further changes in interest rates will </w:t>
      </w:r>
      <w:r>
        <w:rPr>
          <w:rFonts w:ascii="Arial" w:eastAsia="宋体" w:hAnsi="Arial" w:cs="Arial"/>
          <w:color w:val="000000"/>
          <w:sz w:val="20"/>
          <w:szCs w:val="20"/>
        </w:rPr>
        <w:t>impact interest expense on any borrowings under our revolving credit facility, which bear interest at floating rates, and the interest rate on any commercial paper borrowings we make and any debt securities we may issue in the future and, accordingly, will</w:t>
      </w:r>
      <w:r>
        <w:rPr>
          <w:rFonts w:ascii="Arial" w:eastAsia="宋体" w:hAnsi="Arial" w:cs="Arial"/>
          <w:color w:val="000000"/>
          <w:sz w:val="20"/>
          <w:szCs w:val="20"/>
        </w:rPr>
        <w:t xml:space="preserve"> impact interest expense. For additional details related to our debt, see “Note 9 — Debt” to the condensed consolidated financial statements included in this report.</w:t>
      </w:r>
    </w:p>
    <w:p w14:paraId="18601F9E" w14:textId="77777777" w:rsidR="00A91885" w:rsidRDefault="00A91885">
      <w:pPr>
        <w:jc w:val="both"/>
      </w:pPr>
    </w:p>
    <w:p w14:paraId="18601F9F" w14:textId="77777777" w:rsidR="00A91885" w:rsidRDefault="00A91885">
      <w:pPr>
        <w:jc w:val="center"/>
      </w:pPr>
    </w:p>
    <w:p w14:paraId="18601FA0" w14:textId="77777777" w:rsidR="00A91885" w:rsidRDefault="009C4196">
      <w:pPr>
        <w:jc w:val="center"/>
      </w:pPr>
      <w:r>
        <w:rPr>
          <w:rFonts w:ascii="Arial" w:eastAsia="宋体" w:hAnsi="Arial" w:cs="Arial"/>
          <w:color w:val="000000"/>
          <w:sz w:val="20"/>
          <w:szCs w:val="20"/>
        </w:rPr>
        <w:t>61</w:t>
      </w:r>
    </w:p>
    <w:p w14:paraId="18601FA1" w14:textId="77777777" w:rsidR="00A91885" w:rsidRDefault="009C4196">
      <w:r>
        <w:pict w14:anchorId="186021C0">
          <v:rect id="_x0000_i1085" style="width:415.3pt;height:1.5pt" o:hralign="center" o:hrstd="t" o:hr="t" fillcolor="#a0a0a0" stroked="f"/>
        </w:pict>
      </w:r>
    </w:p>
    <w:p w14:paraId="18601FA2" w14:textId="77777777" w:rsidR="00A91885" w:rsidRDefault="009C4196">
      <w:hyperlink r:id="rId145" w:anchor="ieb971428a625452486c65ae24899afca_7" w:history="1">
        <w:r>
          <w:rPr>
            <w:rStyle w:val="a5"/>
            <w:rFonts w:ascii="Arial" w:eastAsia="宋体" w:hAnsi="Arial" w:cs="Arial"/>
            <w:sz w:val="18"/>
            <w:szCs w:val="18"/>
          </w:rPr>
          <w:t>Table of Contents</w:t>
        </w:r>
      </w:hyperlink>
    </w:p>
    <w:p w14:paraId="18601FA3" w14:textId="77777777" w:rsidR="00A91885" w:rsidRDefault="009C4196">
      <w:r>
        <w:rPr>
          <w:rFonts w:ascii="Arial" w:eastAsia="宋体" w:hAnsi="Arial" w:cs="Arial"/>
          <w:b/>
          <w:bCs/>
          <w:i/>
          <w:iCs/>
          <w:color w:val="000000"/>
          <w:sz w:val="20"/>
          <w:szCs w:val="20"/>
        </w:rPr>
        <w:t>Equity Price Risk</w:t>
      </w:r>
    </w:p>
    <w:p w14:paraId="18601FA4" w14:textId="77777777" w:rsidR="00A91885" w:rsidRDefault="00A91885">
      <w:pPr>
        <w:jc w:val="both"/>
      </w:pPr>
    </w:p>
    <w:p w14:paraId="18601FA5" w14:textId="77777777" w:rsidR="00A91885" w:rsidRDefault="009C4196">
      <w:pPr>
        <w:ind w:firstLine="540"/>
        <w:jc w:val="both"/>
      </w:pPr>
      <w:r>
        <w:rPr>
          <w:rFonts w:ascii="Arial" w:eastAsia="宋体" w:hAnsi="Arial" w:cs="Arial"/>
          <w:i/>
          <w:iCs/>
          <w:color w:val="000000"/>
          <w:sz w:val="20"/>
          <w:szCs w:val="20"/>
        </w:rPr>
        <w:t>Equity investments</w:t>
      </w:r>
      <w:r>
        <w:rPr>
          <w:rFonts w:ascii="Arial" w:eastAsia="宋体" w:hAnsi="Arial" w:cs="Arial"/>
          <w:color w:val="000000"/>
          <w:sz w:val="20"/>
          <w:szCs w:val="20"/>
        </w:rPr>
        <w:t xml:space="preserve"> </w:t>
      </w:r>
    </w:p>
    <w:p w14:paraId="18601FA6" w14:textId="77777777" w:rsidR="00A91885" w:rsidRDefault="00A91885">
      <w:pPr>
        <w:ind w:firstLine="270"/>
        <w:jc w:val="both"/>
      </w:pPr>
    </w:p>
    <w:p w14:paraId="18601FA7" w14:textId="77777777" w:rsidR="00A91885" w:rsidRDefault="009C4196">
      <w:pPr>
        <w:ind w:firstLine="540"/>
        <w:jc w:val="both"/>
      </w:pPr>
      <w:r>
        <w:rPr>
          <w:rFonts w:ascii="Arial" w:eastAsia="宋体" w:hAnsi="Arial" w:cs="Arial"/>
          <w:color w:val="000000"/>
          <w:sz w:val="20"/>
          <w:szCs w:val="20"/>
        </w:rPr>
        <w:t>On June 24, 2021, we completed the transfer of our Classifieds business to Adevinta. Upon completion of the transfer we received an equity interest in Adevinta. The equity investment is accounted for under the fair value option and changes in Adevinta’s st</w:t>
      </w:r>
      <w:r>
        <w:rPr>
          <w:rFonts w:ascii="Arial" w:eastAsia="宋体" w:hAnsi="Arial" w:cs="Arial"/>
          <w:color w:val="000000"/>
          <w:sz w:val="20"/>
          <w:szCs w:val="20"/>
        </w:rPr>
        <w:t xml:space="preserve">ock price and equity volatility may have a significant impact on the value of our equity investment in Adevinta. As of June 30, 2022, a one dollar change in Adevinta’s common stock, holding other factors constant, would increase or decrease the fair value </w:t>
      </w:r>
      <w:r>
        <w:rPr>
          <w:rFonts w:ascii="Arial" w:eastAsia="宋体" w:hAnsi="Arial" w:cs="Arial"/>
          <w:color w:val="000000"/>
          <w:sz w:val="20"/>
          <w:szCs w:val="20"/>
        </w:rPr>
        <w:t xml:space="preserve">of the investment by approximately $405 million. </w:t>
      </w:r>
    </w:p>
    <w:p w14:paraId="18601FA8" w14:textId="77777777" w:rsidR="00A91885" w:rsidRDefault="00A91885">
      <w:pPr>
        <w:ind w:firstLine="540"/>
        <w:jc w:val="both"/>
      </w:pPr>
    </w:p>
    <w:p w14:paraId="18601FA9" w14:textId="77777777" w:rsidR="00A91885" w:rsidRDefault="009C4196">
      <w:pPr>
        <w:ind w:firstLine="540"/>
        <w:jc w:val="both"/>
      </w:pPr>
      <w:r>
        <w:rPr>
          <w:rFonts w:ascii="Arial" w:eastAsia="宋体" w:hAnsi="Arial" w:cs="Arial"/>
          <w:color w:val="000000"/>
          <w:sz w:val="20"/>
          <w:szCs w:val="20"/>
        </w:rPr>
        <w:t>In August 2021, KakaoBank completed its initial public offering which resulted in this investment having a readily determinable fair value. Previously this investment was accounted for as an equity investm</w:t>
      </w:r>
      <w:r>
        <w:rPr>
          <w:rFonts w:ascii="Arial" w:eastAsia="宋体" w:hAnsi="Arial" w:cs="Arial"/>
          <w:color w:val="000000"/>
          <w:sz w:val="20"/>
          <w:szCs w:val="20"/>
        </w:rPr>
        <w:t>ent without a readily determinable fair value. Valuation of equity investments with readily determinable fair values can be obtained from real time quotes in active markets. Changes in KakaoBank’s stock price and equity volatility may have a significant im</w:t>
      </w:r>
      <w:r>
        <w:rPr>
          <w:rFonts w:ascii="Arial" w:eastAsia="宋体" w:hAnsi="Arial" w:cs="Arial"/>
          <w:color w:val="000000"/>
          <w:sz w:val="20"/>
          <w:szCs w:val="20"/>
        </w:rPr>
        <w:t>pact on the value of our equity investment in KakaoBank. As of June 30, 2022, a one dollar change in KakaoBank’s common stock, holding other factors constant, would increase or decrease the fair value of the investment by approximately $5 million.</w:t>
      </w:r>
    </w:p>
    <w:p w14:paraId="18601FAA" w14:textId="77777777" w:rsidR="00A91885" w:rsidRDefault="00A91885">
      <w:pPr>
        <w:ind w:firstLine="540"/>
        <w:jc w:val="both"/>
      </w:pPr>
    </w:p>
    <w:p w14:paraId="18601FAB" w14:textId="77777777" w:rsidR="00A91885" w:rsidRDefault="009C4196">
      <w:pPr>
        <w:ind w:firstLine="540"/>
        <w:jc w:val="both"/>
      </w:pPr>
      <w:r>
        <w:rPr>
          <w:rFonts w:ascii="Arial" w:eastAsia="宋体" w:hAnsi="Arial" w:cs="Arial"/>
          <w:color w:val="000000"/>
          <w:sz w:val="20"/>
          <w:szCs w:val="20"/>
        </w:rPr>
        <w:t>As furt</w:t>
      </w:r>
      <w:r>
        <w:rPr>
          <w:rFonts w:ascii="Arial" w:eastAsia="宋体" w:hAnsi="Arial" w:cs="Arial"/>
          <w:color w:val="000000"/>
          <w:sz w:val="20"/>
          <w:szCs w:val="20"/>
        </w:rPr>
        <w:t>her described in the “Warrant” section below, we entered into a warrant agreement in conjunction with a commercial agreement with Adyen that, subject to meeting certain conditions, entitles us to acquire a fixed number of shares up to 5% of Adyen’s fully d</w:t>
      </w:r>
      <w:r>
        <w:rPr>
          <w:rFonts w:ascii="Arial" w:eastAsia="宋体" w:hAnsi="Arial" w:cs="Arial"/>
          <w:color w:val="000000"/>
          <w:sz w:val="20"/>
          <w:szCs w:val="20"/>
        </w:rPr>
        <w:t>iluted issued and outstanding share capital at a specific date. In 2021, we met the processing volume milestone target to vest the first tranche of the warrant. Upon vesting of the first tranche, we exercised the option to purchase shares of Adyen. Our equ</w:t>
      </w:r>
      <w:r>
        <w:rPr>
          <w:rFonts w:ascii="Arial" w:eastAsia="宋体" w:hAnsi="Arial" w:cs="Arial"/>
          <w:color w:val="000000"/>
          <w:sz w:val="20"/>
          <w:szCs w:val="20"/>
        </w:rPr>
        <w:t>ity investment in Adyen is accounted for as an equity investment with a readily determinable fair value. Changes in Adyen’s common stock price and equity volatility may have a significant impact on the value of the investment. As of June 30, 2022, a one do</w:t>
      </w:r>
      <w:r>
        <w:rPr>
          <w:rFonts w:ascii="Arial" w:eastAsia="宋体" w:hAnsi="Arial" w:cs="Arial"/>
          <w:color w:val="000000"/>
          <w:sz w:val="20"/>
          <w:szCs w:val="20"/>
        </w:rPr>
        <w:t>llar change in Adyen’s common stock, holding other factors constant, would increase or decrease the fair value of the investment by less than $0.1 million.</w:t>
      </w:r>
    </w:p>
    <w:p w14:paraId="18601FAC" w14:textId="77777777" w:rsidR="00A91885" w:rsidRDefault="00A91885">
      <w:pPr>
        <w:ind w:firstLine="540"/>
        <w:jc w:val="both"/>
      </w:pPr>
    </w:p>
    <w:p w14:paraId="18601FAD" w14:textId="77777777" w:rsidR="00A91885" w:rsidRDefault="009C4196">
      <w:pPr>
        <w:ind w:firstLine="540"/>
        <w:jc w:val="both"/>
      </w:pPr>
      <w:r>
        <w:rPr>
          <w:rFonts w:ascii="Arial" w:eastAsia="宋体" w:hAnsi="Arial" w:cs="Arial"/>
          <w:color w:val="000000"/>
          <w:sz w:val="20"/>
          <w:szCs w:val="20"/>
        </w:rPr>
        <w:t>Our remaining equity investments are primarily investments in privately-held companies, including e</w:t>
      </w:r>
      <w:r>
        <w:rPr>
          <w:rFonts w:ascii="Arial" w:eastAsia="宋体" w:hAnsi="Arial" w:cs="Arial"/>
          <w:color w:val="000000"/>
          <w:sz w:val="20"/>
          <w:szCs w:val="20"/>
        </w:rPr>
        <w:t xml:space="preserve">quity method investments, equity investments under the fair value option and equity investments without readily determinable fair values. Our consolidated results of operations include, as a component of gain (loss) on equity investments and warrant, net, </w:t>
      </w:r>
      <w:r>
        <w:rPr>
          <w:rFonts w:ascii="Arial" w:eastAsia="宋体" w:hAnsi="Arial" w:cs="Arial"/>
          <w:color w:val="000000"/>
          <w:sz w:val="20"/>
          <w:szCs w:val="20"/>
        </w:rPr>
        <w:t>our share of the net income or loss of the equity investments accounted for under the equity method of accounting and the change in fair value of the equity investments under the fair value option. Equity investments without readily determinable fair value</w:t>
      </w:r>
      <w:r>
        <w:rPr>
          <w:rFonts w:ascii="Arial" w:eastAsia="宋体" w:hAnsi="Arial" w:cs="Arial"/>
          <w:color w:val="000000"/>
          <w:sz w:val="20"/>
          <w:szCs w:val="20"/>
        </w:rPr>
        <w:t>s are accounted for at cost, less impairment and adjusted for subsequent observable price changes obtained from orderly transactions for identical or similar investments issued by the same investee. Such changes in the basis of the equity investment are re</w:t>
      </w:r>
      <w:r>
        <w:rPr>
          <w:rFonts w:ascii="Arial" w:eastAsia="宋体" w:hAnsi="Arial" w:cs="Arial"/>
          <w:color w:val="000000"/>
          <w:sz w:val="20"/>
          <w:szCs w:val="20"/>
        </w:rPr>
        <w:t>cognized in gain (loss) on equity investments and warrant, net.</w:t>
      </w:r>
    </w:p>
    <w:p w14:paraId="18601FAE" w14:textId="77777777" w:rsidR="00A91885" w:rsidRDefault="00A91885">
      <w:pPr>
        <w:ind w:firstLine="540"/>
        <w:jc w:val="both"/>
      </w:pPr>
    </w:p>
    <w:p w14:paraId="18601FAF" w14:textId="77777777" w:rsidR="00A91885" w:rsidRDefault="009C4196">
      <w:pPr>
        <w:ind w:firstLine="540"/>
        <w:jc w:val="both"/>
      </w:pPr>
      <w:r>
        <w:rPr>
          <w:rFonts w:ascii="Arial" w:eastAsia="宋体" w:hAnsi="Arial" w:cs="Arial"/>
          <w:color w:val="000000"/>
          <w:sz w:val="20"/>
          <w:szCs w:val="20"/>
        </w:rPr>
        <w:t>As of June 30, 2022, our equity investments totaled $3.8 billion, which represented approximately 45% of our total cash and investments, and primarily related to our equity investment in Adev</w:t>
      </w:r>
      <w:r>
        <w:rPr>
          <w:rFonts w:ascii="Arial" w:eastAsia="宋体" w:hAnsi="Arial" w:cs="Arial"/>
          <w:color w:val="000000"/>
          <w:sz w:val="20"/>
          <w:szCs w:val="20"/>
        </w:rPr>
        <w:t>inta.</w:t>
      </w:r>
    </w:p>
    <w:p w14:paraId="18601FB0" w14:textId="77777777" w:rsidR="00A91885" w:rsidRDefault="00A91885">
      <w:pPr>
        <w:ind w:firstLine="540"/>
        <w:jc w:val="both"/>
      </w:pPr>
    </w:p>
    <w:p w14:paraId="18601FB1" w14:textId="77777777" w:rsidR="00A91885" w:rsidRDefault="009C4196">
      <w:pPr>
        <w:ind w:firstLine="540"/>
        <w:jc w:val="both"/>
      </w:pPr>
      <w:r>
        <w:rPr>
          <w:rFonts w:ascii="Arial" w:eastAsia="宋体" w:hAnsi="Arial" w:cs="Arial"/>
          <w:color w:val="000000"/>
          <w:sz w:val="20"/>
          <w:szCs w:val="20"/>
        </w:rPr>
        <w:t>For additional details related to these investments, please see “Note 6 — Investments” to our condensed consolidated financial statements included in this report.</w:t>
      </w:r>
    </w:p>
    <w:p w14:paraId="18601FB2" w14:textId="77777777" w:rsidR="00A91885" w:rsidRDefault="00A91885">
      <w:pPr>
        <w:jc w:val="both"/>
      </w:pPr>
    </w:p>
    <w:p w14:paraId="18601FB3" w14:textId="77777777" w:rsidR="00A91885" w:rsidRDefault="009C4196">
      <w:pPr>
        <w:ind w:firstLine="540"/>
        <w:jc w:val="both"/>
      </w:pPr>
      <w:r>
        <w:rPr>
          <w:rFonts w:ascii="Arial" w:eastAsia="宋体" w:hAnsi="Arial" w:cs="Arial"/>
          <w:i/>
          <w:iCs/>
          <w:color w:val="000000"/>
          <w:sz w:val="20"/>
          <w:szCs w:val="20"/>
        </w:rPr>
        <w:t>Warrant</w:t>
      </w:r>
    </w:p>
    <w:p w14:paraId="18601FB4" w14:textId="77777777" w:rsidR="00A91885" w:rsidRDefault="00A91885">
      <w:pPr>
        <w:ind w:firstLine="540"/>
        <w:jc w:val="both"/>
      </w:pPr>
    </w:p>
    <w:p w14:paraId="18601FB5" w14:textId="77777777" w:rsidR="00A91885" w:rsidRDefault="009C4196">
      <w:pPr>
        <w:ind w:firstLine="540"/>
        <w:jc w:val="both"/>
      </w:pPr>
      <w:r>
        <w:rPr>
          <w:rFonts w:ascii="Arial" w:eastAsia="宋体" w:hAnsi="Arial" w:cs="Arial"/>
          <w:color w:val="000000"/>
          <w:sz w:val="20"/>
          <w:szCs w:val="20"/>
        </w:rPr>
        <w:t>We entered into a warrant agreement in conjunction with a commercial agreeme</w:t>
      </w:r>
      <w:r>
        <w:rPr>
          <w:rFonts w:ascii="Arial" w:eastAsia="宋体" w:hAnsi="Arial" w:cs="Arial"/>
          <w:color w:val="000000"/>
          <w:sz w:val="20"/>
          <w:szCs w:val="20"/>
        </w:rPr>
        <w:t>nt with Adyen that, subject to meeting certain conditions, entitles us to acquire a fixed number of shares up to 5% of Adyen’s fully diluted issued and outstanding share capital at a specific date. As discussed above, in 2021 we met the processing volume m</w:t>
      </w:r>
      <w:r>
        <w:rPr>
          <w:rFonts w:ascii="Arial" w:eastAsia="宋体" w:hAnsi="Arial" w:cs="Arial"/>
          <w:color w:val="000000"/>
          <w:sz w:val="20"/>
          <w:szCs w:val="20"/>
        </w:rPr>
        <w:t xml:space="preserve">ilestone target to vest the first tranche of the warrant, and we exercised the option to purchase shares of Adyen. The remaining tranches of the warrant are accounted for as a derivative instrument under ASC Topic 815, </w:t>
      </w:r>
      <w:r>
        <w:rPr>
          <w:rFonts w:ascii="Arial" w:eastAsia="宋体" w:hAnsi="Arial" w:cs="Arial"/>
          <w:i/>
          <w:iCs/>
          <w:color w:val="000000"/>
          <w:sz w:val="20"/>
          <w:szCs w:val="20"/>
        </w:rPr>
        <w:t>Derivatives and Hedging</w:t>
      </w:r>
      <w:r>
        <w:rPr>
          <w:rFonts w:ascii="Arial" w:eastAsia="宋体" w:hAnsi="Arial" w:cs="Arial"/>
          <w:color w:val="000000"/>
          <w:sz w:val="20"/>
          <w:szCs w:val="20"/>
        </w:rPr>
        <w:t>. Changes in A</w:t>
      </w:r>
      <w:r>
        <w:rPr>
          <w:rFonts w:ascii="Arial" w:eastAsia="宋体" w:hAnsi="Arial" w:cs="Arial"/>
          <w:color w:val="000000"/>
          <w:sz w:val="20"/>
          <w:szCs w:val="20"/>
        </w:rPr>
        <w:t>dyen’s common stock price and equity volatility may have a significant impact on the value of the warrant. As of June 30, 2022, a one dollar change in Adyen’s common stock, holding other factors constant, would increase or decrease the fair value of the wa</w:t>
      </w:r>
      <w:r>
        <w:rPr>
          <w:rFonts w:ascii="Arial" w:eastAsia="宋体" w:hAnsi="Arial" w:cs="Arial"/>
          <w:color w:val="000000"/>
          <w:sz w:val="20"/>
          <w:szCs w:val="20"/>
        </w:rPr>
        <w:t>rrant by approximately $0.2 million. For additional details related to the warrant, please see “Note 7 — Derivative Instruments” to our condensed consolidated financial statements included in this report.</w:t>
      </w:r>
    </w:p>
    <w:p w14:paraId="18601FB6" w14:textId="77777777" w:rsidR="00A91885" w:rsidRDefault="00A91885">
      <w:pPr>
        <w:ind w:firstLine="495"/>
        <w:jc w:val="both"/>
      </w:pPr>
    </w:p>
    <w:p w14:paraId="18601FB7" w14:textId="77777777" w:rsidR="00A91885" w:rsidRDefault="00A91885">
      <w:pPr>
        <w:jc w:val="center"/>
      </w:pPr>
    </w:p>
    <w:p w14:paraId="18601FB8" w14:textId="77777777" w:rsidR="00A91885" w:rsidRDefault="009C4196">
      <w:pPr>
        <w:jc w:val="center"/>
      </w:pPr>
      <w:r>
        <w:rPr>
          <w:rFonts w:ascii="Arial" w:eastAsia="宋体" w:hAnsi="Arial" w:cs="Arial"/>
          <w:color w:val="000000"/>
          <w:sz w:val="20"/>
          <w:szCs w:val="20"/>
        </w:rPr>
        <w:t>62</w:t>
      </w:r>
    </w:p>
    <w:p w14:paraId="18601FB9" w14:textId="77777777" w:rsidR="00A91885" w:rsidRDefault="009C4196">
      <w:r>
        <w:pict w14:anchorId="186021C1">
          <v:rect id="_x0000_i1086" style="width:415.3pt;height:1.5pt" o:hralign="center" o:hrstd="t" o:hr="t" fillcolor="#a0a0a0" stroked="f"/>
        </w:pict>
      </w:r>
    </w:p>
    <w:p w14:paraId="18601FBA" w14:textId="77777777" w:rsidR="00A91885" w:rsidRDefault="009C4196">
      <w:hyperlink r:id="rId146" w:anchor="ieb971428a625452486c65ae24899afca_7" w:history="1">
        <w:r>
          <w:rPr>
            <w:rStyle w:val="a5"/>
            <w:rFonts w:ascii="Arial" w:eastAsia="宋体" w:hAnsi="Arial" w:cs="Arial"/>
            <w:sz w:val="18"/>
            <w:szCs w:val="18"/>
          </w:rPr>
          <w:t>Table of Contents</w:t>
        </w:r>
      </w:hyperlink>
    </w:p>
    <w:p w14:paraId="18601FBB" w14:textId="77777777" w:rsidR="00A91885" w:rsidRDefault="009C4196">
      <w:pPr>
        <w:jc w:val="both"/>
      </w:pPr>
      <w:r>
        <w:rPr>
          <w:rFonts w:ascii="Arial" w:eastAsia="宋体" w:hAnsi="Arial" w:cs="Arial"/>
          <w:b/>
          <w:bCs/>
          <w:i/>
          <w:iCs/>
          <w:color w:val="000000"/>
          <w:sz w:val="20"/>
          <w:szCs w:val="20"/>
        </w:rPr>
        <w:t>Foreign Currency Risk</w:t>
      </w:r>
    </w:p>
    <w:p w14:paraId="18601FBC" w14:textId="77777777" w:rsidR="00A91885" w:rsidRDefault="00A91885">
      <w:pPr>
        <w:jc w:val="both"/>
      </w:pPr>
    </w:p>
    <w:p w14:paraId="18601FBD" w14:textId="77777777" w:rsidR="00A91885" w:rsidRDefault="009C4196">
      <w:pPr>
        <w:ind w:firstLine="540"/>
        <w:jc w:val="both"/>
      </w:pPr>
      <w:r>
        <w:rPr>
          <w:rFonts w:ascii="Arial" w:eastAsia="宋体" w:hAnsi="Arial" w:cs="Arial"/>
          <w:color w:val="000000"/>
          <w:sz w:val="20"/>
          <w:szCs w:val="20"/>
        </w:rPr>
        <w:t xml:space="preserve">Our commerce platforms operate globally, resulting in certain </w:t>
      </w:r>
      <w:r>
        <w:rPr>
          <w:rFonts w:ascii="Arial" w:eastAsia="宋体" w:hAnsi="Arial" w:cs="Arial"/>
          <w:color w:val="000000"/>
          <w:sz w:val="20"/>
          <w:szCs w:val="20"/>
        </w:rPr>
        <w:t>revenues and costs that are denominated in foreign currencies, primarily the British pound and euro, subjecting us to foreign currency risk, which may adversely impact our financial results. We transact business in various foreign currencies and have signi</w:t>
      </w:r>
      <w:r>
        <w:rPr>
          <w:rFonts w:ascii="Arial" w:eastAsia="宋体" w:hAnsi="Arial" w:cs="Arial"/>
          <w:color w:val="000000"/>
          <w:sz w:val="20"/>
          <w:szCs w:val="20"/>
        </w:rPr>
        <w:t>ficant international revenues as well as costs. In addition, we charge our international subsidiaries for their use of intellectual property and technology and for certain corporate services we provide. Our cash flow and results of operations that are expo</w:t>
      </w:r>
      <w:r>
        <w:rPr>
          <w:rFonts w:ascii="Arial" w:eastAsia="宋体" w:hAnsi="Arial" w:cs="Arial"/>
          <w:color w:val="000000"/>
          <w:sz w:val="20"/>
          <w:szCs w:val="20"/>
        </w:rPr>
        <w:t>sed to foreign exchange rate fluctuations may differ materially from expectations and we may record significant gains or losses due to foreign currency fluctuations and related hedging activities.</w:t>
      </w:r>
    </w:p>
    <w:p w14:paraId="18601FBE" w14:textId="77777777" w:rsidR="00A91885" w:rsidRDefault="00A91885">
      <w:pPr>
        <w:jc w:val="both"/>
      </w:pPr>
    </w:p>
    <w:p w14:paraId="18601FBF" w14:textId="77777777" w:rsidR="00A91885" w:rsidRDefault="009C4196">
      <w:pPr>
        <w:ind w:firstLine="540"/>
        <w:jc w:val="both"/>
      </w:pPr>
      <w:r>
        <w:rPr>
          <w:rFonts w:ascii="Arial" w:eastAsia="宋体" w:hAnsi="Arial" w:cs="Arial"/>
          <w:color w:val="000000"/>
          <w:sz w:val="20"/>
          <w:szCs w:val="20"/>
        </w:rPr>
        <w:t>We have a foreign exchange exposure management program des</w:t>
      </w:r>
      <w:r>
        <w:rPr>
          <w:rFonts w:ascii="Arial" w:eastAsia="宋体" w:hAnsi="Arial" w:cs="Arial"/>
          <w:color w:val="000000"/>
          <w:sz w:val="20"/>
          <w:szCs w:val="20"/>
        </w:rPr>
        <w:t>igned to identify material foreign currency exposures, manage these exposures and reduce the potential effects of currency fluctuations on our reported condensed consolidated cash flows and results of operations through the purchase of foreign currency exc</w:t>
      </w:r>
      <w:r>
        <w:rPr>
          <w:rFonts w:ascii="Arial" w:eastAsia="宋体" w:hAnsi="Arial" w:cs="Arial"/>
          <w:color w:val="000000"/>
          <w:sz w:val="20"/>
          <w:szCs w:val="20"/>
        </w:rPr>
        <w:t>hange contracts. The effectiveness of the program and resulting usage of foreign exchange derivative contracts is at times limited by our ability to achieve cash flow hedge accounting or net investment hedge accounting, as applicable. For additional detail</w:t>
      </w:r>
      <w:r>
        <w:rPr>
          <w:rFonts w:ascii="Arial" w:eastAsia="宋体" w:hAnsi="Arial" w:cs="Arial"/>
          <w:color w:val="000000"/>
          <w:sz w:val="20"/>
          <w:szCs w:val="20"/>
        </w:rPr>
        <w:t>s related to our derivative instruments, please see “Note 7 — Derivative Instruments” to our condensed consolidated financial statements included in this report.</w:t>
      </w:r>
    </w:p>
    <w:p w14:paraId="18601FC0" w14:textId="77777777" w:rsidR="00A91885" w:rsidRDefault="00A91885">
      <w:pPr>
        <w:ind w:firstLine="540"/>
        <w:jc w:val="both"/>
      </w:pPr>
    </w:p>
    <w:p w14:paraId="18601FC1" w14:textId="77777777" w:rsidR="00A91885" w:rsidRDefault="009C4196">
      <w:pPr>
        <w:ind w:firstLine="540"/>
        <w:jc w:val="both"/>
      </w:pPr>
      <w:r>
        <w:rPr>
          <w:rFonts w:ascii="Arial" w:eastAsia="宋体" w:hAnsi="Arial" w:cs="Arial"/>
          <w:color w:val="000000"/>
          <w:sz w:val="20"/>
          <w:szCs w:val="20"/>
        </w:rPr>
        <w:t>We use foreign exchange derivative contracts to help protect our forecasted U.S. dollar-equiv</w:t>
      </w:r>
      <w:r>
        <w:rPr>
          <w:rFonts w:ascii="Arial" w:eastAsia="宋体" w:hAnsi="Arial" w:cs="Arial"/>
          <w:color w:val="000000"/>
          <w:sz w:val="20"/>
          <w:szCs w:val="20"/>
        </w:rPr>
        <w:t>alent earnings from adverse changes in foreign currency exchange rates. These hedging contracts reduce, but do not entirely eliminate, the impact of adverse currency exchange rate movements. Most of these contracts are designated as cash flow hedges for ac</w:t>
      </w:r>
      <w:r>
        <w:rPr>
          <w:rFonts w:ascii="Arial" w:eastAsia="宋体" w:hAnsi="Arial" w:cs="Arial"/>
          <w:color w:val="000000"/>
          <w:sz w:val="20"/>
          <w:szCs w:val="20"/>
        </w:rPr>
        <w:t>counting purposes. For qualifying cash flow hedges, the derivative’s gain or loss is initially reported as a component of accumulated other comprehensive income and subsequently reclassified into earnings in the same period the forecasted transaction affec</w:t>
      </w:r>
      <w:r>
        <w:rPr>
          <w:rFonts w:ascii="Arial" w:eastAsia="宋体" w:hAnsi="Arial" w:cs="Arial"/>
          <w:color w:val="000000"/>
          <w:sz w:val="20"/>
          <w:szCs w:val="20"/>
        </w:rPr>
        <w:t xml:space="preserve">ts earnings. For contracts not designated for hedge accounting, the derivative’s gain or loss is recognized immediately in earnings in our condensed consolidated statement of income. However, only certain revenue and costs are eligible for cash flow hedge </w:t>
      </w:r>
      <w:r>
        <w:rPr>
          <w:rFonts w:ascii="Arial" w:eastAsia="宋体" w:hAnsi="Arial" w:cs="Arial"/>
          <w:color w:val="000000"/>
          <w:sz w:val="20"/>
          <w:szCs w:val="20"/>
        </w:rPr>
        <w:t>accounting.</w:t>
      </w:r>
    </w:p>
    <w:p w14:paraId="18601FC2" w14:textId="77777777" w:rsidR="00A91885" w:rsidRDefault="00A91885">
      <w:pPr>
        <w:jc w:val="both"/>
      </w:pPr>
    </w:p>
    <w:p w14:paraId="18601FC3" w14:textId="77777777" w:rsidR="00A91885" w:rsidRDefault="009C4196">
      <w:pPr>
        <w:spacing w:after="120"/>
        <w:ind w:firstLine="540"/>
        <w:jc w:val="both"/>
      </w:pPr>
      <w:r>
        <w:rPr>
          <w:rFonts w:ascii="Arial" w:eastAsia="宋体" w:hAnsi="Arial" w:cs="Arial"/>
          <w:color w:val="000000"/>
          <w:sz w:val="20"/>
          <w:szCs w:val="20"/>
        </w:rPr>
        <w:t>The following table illustrates the fair values of outstanding foreign exchange contracts designated as cash flow hedges and foreign exchange contracts not designated for hedge accounting and the before-tax effect on fair values of a hypotheti</w:t>
      </w:r>
      <w:r>
        <w:rPr>
          <w:rFonts w:ascii="Arial" w:eastAsia="宋体" w:hAnsi="Arial" w:cs="Arial"/>
          <w:color w:val="000000"/>
          <w:sz w:val="20"/>
          <w:szCs w:val="20"/>
        </w:rPr>
        <w:t>cal adverse change in the foreign exchange rates that existed as of June 30, 2022. The sensitivity for foreign currency contracts is based on a 20% adverse change in foreign exchange rates, against relevant functional currencies.</w:t>
      </w:r>
    </w:p>
    <w:tbl>
      <w:tblPr>
        <w:tblW w:w="5000" w:type="pct"/>
        <w:tblCellMar>
          <w:top w:w="15" w:type="dxa"/>
          <w:left w:w="15" w:type="dxa"/>
          <w:bottom w:w="15" w:type="dxa"/>
          <w:right w:w="15" w:type="dxa"/>
        </w:tblCellMar>
        <w:tblLook w:val="04A0" w:firstRow="1" w:lastRow="0" w:firstColumn="1" w:lastColumn="0" w:noHBand="0" w:noVBand="1"/>
      </w:tblPr>
      <w:tblGrid>
        <w:gridCol w:w="38"/>
        <w:gridCol w:w="5723"/>
        <w:gridCol w:w="37"/>
        <w:gridCol w:w="122"/>
        <w:gridCol w:w="1200"/>
        <w:gridCol w:w="36"/>
        <w:gridCol w:w="36"/>
        <w:gridCol w:w="36"/>
        <w:gridCol w:w="36"/>
        <w:gridCol w:w="122"/>
        <w:gridCol w:w="914"/>
        <w:gridCol w:w="36"/>
      </w:tblGrid>
      <w:tr w:rsidR="00A91885" w14:paraId="18601FD0" w14:textId="77777777">
        <w:tc>
          <w:tcPr>
            <w:tcW w:w="50" w:type="pct"/>
            <w:shd w:val="clear" w:color="auto" w:fill="auto"/>
            <w:vAlign w:val="bottom"/>
          </w:tcPr>
          <w:p w14:paraId="18601FC4" w14:textId="77777777" w:rsidR="00A91885" w:rsidRDefault="00A91885">
            <w:pPr>
              <w:rPr>
                <w:rFonts w:ascii="宋体"/>
              </w:rPr>
            </w:pPr>
          </w:p>
        </w:tc>
        <w:tc>
          <w:tcPr>
            <w:tcW w:w="3556" w:type="pct"/>
            <w:shd w:val="clear" w:color="auto" w:fill="auto"/>
            <w:vAlign w:val="bottom"/>
          </w:tcPr>
          <w:p w14:paraId="18601FC5" w14:textId="77777777" w:rsidR="00A91885" w:rsidRDefault="00A91885">
            <w:pPr>
              <w:rPr>
                <w:rFonts w:ascii="宋体"/>
              </w:rPr>
            </w:pPr>
          </w:p>
        </w:tc>
        <w:tc>
          <w:tcPr>
            <w:tcW w:w="5" w:type="pct"/>
            <w:shd w:val="clear" w:color="auto" w:fill="auto"/>
            <w:vAlign w:val="bottom"/>
          </w:tcPr>
          <w:p w14:paraId="18601FC6" w14:textId="77777777" w:rsidR="00A91885" w:rsidRDefault="00A91885">
            <w:pPr>
              <w:rPr>
                <w:rFonts w:ascii="宋体"/>
              </w:rPr>
            </w:pPr>
          </w:p>
        </w:tc>
        <w:tc>
          <w:tcPr>
            <w:tcW w:w="50" w:type="pct"/>
            <w:shd w:val="clear" w:color="auto" w:fill="auto"/>
            <w:vAlign w:val="bottom"/>
          </w:tcPr>
          <w:p w14:paraId="18601FC7" w14:textId="77777777" w:rsidR="00A91885" w:rsidRDefault="00A91885">
            <w:pPr>
              <w:rPr>
                <w:rFonts w:ascii="宋体"/>
              </w:rPr>
            </w:pPr>
          </w:p>
        </w:tc>
        <w:tc>
          <w:tcPr>
            <w:tcW w:w="624" w:type="pct"/>
            <w:shd w:val="clear" w:color="auto" w:fill="auto"/>
            <w:vAlign w:val="bottom"/>
          </w:tcPr>
          <w:p w14:paraId="18601FC8" w14:textId="77777777" w:rsidR="00A91885" w:rsidRDefault="00A91885">
            <w:pPr>
              <w:rPr>
                <w:rFonts w:ascii="宋体"/>
              </w:rPr>
            </w:pPr>
          </w:p>
        </w:tc>
        <w:tc>
          <w:tcPr>
            <w:tcW w:w="5" w:type="pct"/>
            <w:shd w:val="clear" w:color="auto" w:fill="auto"/>
            <w:vAlign w:val="bottom"/>
          </w:tcPr>
          <w:p w14:paraId="18601FC9" w14:textId="77777777" w:rsidR="00A91885" w:rsidRDefault="00A91885">
            <w:pPr>
              <w:rPr>
                <w:rFonts w:ascii="宋体"/>
              </w:rPr>
            </w:pPr>
          </w:p>
        </w:tc>
        <w:tc>
          <w:tcPr>
            <w:tcW w:w="5" w:type="pct"/>
            <w:shd w:val="clear" w:color="auto" w:fill="auto"/>
            <w:vAlign w:val="bottom"/>
          </w:tcPr>
          <w:p w14:paraId="18601FCA" w14:textId="77777777" w:rsidR="00A91885" w:rsidRDefault="00A91885">
            <w:pPr>
              <w:rPr>
                <w:rFonts w:ascii="宋体"/>
              </w:rPr>
            </w:pPr>
          </w:p>
        </w:tc>
        <w:tc>
          <w:tcPr>
            <w:tcW w:w="19" w:type="pct"/>
            <w:shd w:val="clear" w:color="auto" w:fill="auto"/>
            <w:vAlign w:val="bottom"/>
          </w:tcPr>
          <w:p w14:paraId="18601FCB" w14:textId="77777777" w:rsidR="00A91885" w:rsidRDefault="00A91885">
            <w:pPr>
              <w:rPr>
                <w:rFonts w:ascii="宋体"/>
              </w:rPr>
            </w:pPr>
          </w:p>
        </w:tc>
        <w:tc>
          <w:tcPr>
            <w:tcW w:w="5" w:type="pct"/>
            <w:shd w:val="clear" w:color="auto" w:fill="auto"/>
            <w:vAlign w:val="bottom"/>
          </w:tcPr>
          <w:p w14:paraId="18601FCC" w14:textId="77777777" w:rsidR="00A91885" w:rsidRDefault="00A91885">
            <w:pPr>
              <w:rPr>
                <w:rFonts w:ascii="宋体"/>
              </w:rPr>
            </w:pPr>
          </w:p>
        </w:tc>
        <w:tc>
          <w:tcPr>
            <w:tcW w:w="50" w:type="pct"/>
            <w:shd w:val="clear" w:color="auto" w:fill="auto"/>
            <w:vAlign w:val="bottom"/>
          </w:tcPr>
          <w:p w14:paraId="18601FCD" w14:textId="77777777" w:rsidR="00A91885" w:rsidRDefault="00A91885">
            <w:pPr>
              <w:rPr>
                <w:rFonts w:ascii="宋体"/>
              </w:rPr>
            </w:pPr>
          </w:p>
        </w:tc>
        <w:tc>
          <w:tcPr>
            <w:tcW w:w="624" w:type="pct"/>
            <w:shd w:val="clear" w:color="auto" w:fill="auto"/>
            <w:vAlign w:val="bottom"/>
          </w:tcPr>
          <w:p w14:paraId="18601FCE" w14:textId="77777777" w:rsidR="00A91885" w:rsidRDefault="00A91885">
            <w:pPr>
              <w:rPr>
                <w:rFonts w:ascii="宋体"/>
              </w:rPr>
            </w:pPr>
          </w:p>
        </w:tc>
        <w:tc>
          <w:tcPr>
            <w:tcW w:w="5" w:type="pct"/>
            <w:shd w:val="clear" w:color="auto" w:fill="auto"/>
            <w:vAlign w:val="bottom"/>
          </w:tcPr>
          <w:p w14:paraId="18601FCF" w14:textId="77777777" w:rsidR="00A91885" w:rsidRDefault="00A91885">
            <w:pPr>
              <w:rPr>
                <w:rFonts w:ascii="宋体"/>
              </w:rPr>
            </w:pPr>
          </w:p>
        </w:tc>
      </w:tr>
      <w:tr w:rsidR="00A91885" w14:paraId="18601FD5" w14:textId="77777777">
        <w:tc>
          <w:tcPr>
            <w:tcW w:w="0" w:type="auto"/>
            <w:gridSpan w:val="3"/>
            <w:shd w:val="clear" w:color="auto" w:fill="auto"/>
            <w:tcMar>
              <w:top w:w="40" w:type="dxa"/>
              <w:left w:w="20" w:type="dxa"/>
              <w:bottom w:w="40" w:type="dxa"/>
              <w:right w:w="20" w:type="dxa"/>
            </w:tcMar>
            <w:vAlign w:val="bottom"/>
          </w:tcPr>
          <w:p w14:paraId="18601FD1" w14:textId="77777777" w:rsidR="00A91885" w:rsidRDefault="009C4196">
            <w:pPr>
              <w:textAlignment w:val="bottom"/>
            </w:pPr>
            <w:r>
              <w:rPr>
                <w:rFonts w:ascii="Arial" w:eastAsia="宋体" w:hAnsi="Arial" w:cs="Arial"/>
                <w:color w:val="000000"/>
                <w:sz w:val="14"/>
                <w:szCs w:val="14"/>
              </w:rPr>
              <w:t> </w:t>
            </w:r>
          </w:p>
        </w:tc>
        <w:tc>
          <w:tcPr>
            <w:tcW w:w="0" w:type="auto"/>
            <w:gridSpan w:val="3"/>
            <w:shd w:val="clear" w:color="auto" w:fill="auto"/>
            <w:tcMar>
              <w:top w:w="40" w:type="dxa"/>
              <w:left w:w="20" w:type="dxa"/>
              <w:bottom w:w="40" w:type="dxa"/>
              <w:right w:w="20" w:type="dxa"/>
            </w:tcMar>
            <w:vAlign w:val="bottom"/>
          </w:tcPr>
          <w:p w14:paraId="18601FD2" w14:textId="77777777" w:rsidR="00A91885" w:rsidRDefault="009C4196">
            <w:pPr>
              <w:jc w:val="center"/>
              <w:textAlignment w:val="bottom"/>
            </w:pPr>
            <w:r>
              <w:rPr>
                <w:rFonts w:ascii="Arial" w:eastAsia="宋体" w:hAnsi="Arial" w:cs="Arial"/>
                <w:b/>
                <w:bCs/>
                <w:color w:val="000000"/>
                <w:sz w:val="17"/>
                <w:szCs w:val="17"/>
              </w:rPr>
              <w:t xml:space="preserve">Fair </w:t>
            </w:r>
            <w:r>
              <w:rPr>
                <w:rFonts w:ascii="Arial" w:eastAsia="宋体" w:hAnsi="Arial" w:cs="Arial"/>
                <w:b/>
                <w:bCs/>
                <w:color w:val="000000"/>
                <w:sz w:val="17"/>
                <w:szCs w:val="17"/>
              </w:rPr>
              <w:t>Value Asset/(Liability)</w:t>
            </w:r>
          </w:p>
        </w:tc>
        <w:tc>
          <w:tcPr>
            <w:tcW w:w="0" w:type="auto"/>
            <w:gridSpan w:val="3"/>
            <w:shd w:val="clear" w:color="auto" w:fill="auto"/>
            <w:tcMar>
              <w:top w:w="0" w:type="dxa"/>
              <w:left w:w="20" w:type="dxa"/>
              <w:bottom w:w="0" w:type="dxa"/>
              <w:right w:w="20" w:type="dxa"/>
            </w:tcMar>
            <w:vAlign w:val="bottom"/>
          </w:tcPr>
          <w:p w14:paraId="18601FD3" w14:textId="77777777" w:rsidR="00A91885" w:rsidRDefault="00A91885">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18601FD4" w14:textId="77777777" w:rsidR="00A91885" w:rsidRDefault="009C4196">
            <w:pPr>
              <w:jc w:val="center"/>
              <w:textAlignment w:val="bottom"/>
            </w:pPr>
            <w:r>
              <w:rPr>
                <w:rFonts w:ascii="Arial" w:eastAsia="宋体" w:hAnsi="Arial" w:cs="Arial"/>
                <w:b/>
                <w:bCs/>
                <w:color w:val="000000"/>
                <w:sz w:val="17"/>
                <w:szCs w:val="17"/>
              </w:rPr>
              <w:t>Fair Value Sensitivity</w:t>
            </w:r>
          </w:p>
        </w:tc>
      </w:tr>
      <w:tr w:rsidR="00A91885" w14:paraId="18601FD8" w14:textId="77777777">
        <w:tc>
          <w:tcPr>
            <w:tcW w:w="0" w:type="auto"/>
            <w:gridSpan w:val="3"/>
            <w:shd w:val="clear" w:color="auto" w:fill="auto"/>
            <w:tcMar>
              <w:top w:w="0" w:type="dxa"/>
              <w:left w:w="20" w:type="dxa"/>
              <w:bottom w:w="0" w:type="dxa"/>
              <w:right w:w="20" w:type="dxa"/>
            </w:tcMar>
            <w:vAlign w:val="bottom"/>
          </w:tcPr>
          <w:p w14:paraId="18601FD6" w14:textId="77777777" w:rsidR="00A91885" w:rsidRDefault="00A91885">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18601FD7" w14:textId="77777777" w:rsidR="00A91885" w:rsidRDefault="009C4196">
            <w:pPr>
              <w:jc w:val="center"/>
              <w:textAlignment w:val="bottom"/>
            </w:pPr>
            <w:r>
              <w:rPr>
                <w:rFonts w:ascii="Arial" w:eastAsia="宋体" w:hAnsi="Arial" w:cs="Arial"/>
                <w:b/>
                <w:bCs/>
                <w:color w:val="000000"/>
                <w:sz w:val="17"/>
                <w:szCs w:val="17"/>
              </w:rPr>
              <w:t>(In millions)</w:t>
            </w:r>
          </w:p>
        </w:tc>
      </w:tr>
      <w:tr w:rsidR="00A91885" w14:paraId="18601FE1" w14:textId="77777777">
        <w:tc>
          <w:tcPr>
            <w:tcW w:w="0" w:type="auto"/>
            <w:gridSpan w:val="3"/>
            <w:shd w:val="clear" w:color="auto" w:fill="E2E2E2"/>
            <w:tcMar>
              <w:top w:w="40" w:type="dxa"/>
              <w:left w:w="20" w:type="dxa"/>
              <w:bottom w:w="40" w:type="dxa"/>
              <w:right w:w="20" w:type="dxa"/>
            </w:tcMar>
            <w:vAlign w:val="bottom"/>
          </w:tcPr>
          <w:p w14:paraId="18601FD9" w14:textId="77777777" w:rsidR="00A91885" w:rsidRDefault="009C4196">
            <w:pPr>
              <w:textAlignment w:val="bottom"/>
            </w:pPr>
            <w:r>
              <w:rPr>
                <w:rFonts w:ascii="Arial" w:eastAsia="宋体" w:hAnsi="Arial" w:cs="Arial"/>
                <w:color w:val="000000"/>
                <w:sz w:val="18"/>
                <w:szCs w:val="18"/>
              </w:rPr>
              <w:t>Foreign exchange contracts - Cash flow hedges</w:t>
            </w:r>
          </w:p>
        </w:tc>
        <w:tc>
          <w:tcPr>
            <w:tcW w:w="0" w:type="auto"/>
            <w:shd w:val="clear" w:color="auto" w:fill="E2E2E2"/>
            <w:tcMar>
              <w:top w:w="40" w:type="dxa"/>
              <w:left w:w="20" w:type="dxa"/>
              <w:bottom w:w="40" w:type="dxa"/>
              <w:right w:w="0" w:type="dxa"/>
            </w:tcMar>
            <w:vAlign w:val="bottom"/>
          </w:tcPr>
          <w:p w14:paraId="18601FDA"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1FDB" w14:textId="77777777" w:rsidR="00A91885" w:rsidRDefault="009C4196">
            <w:pPr>
              <w:jc w:val="right"/>
              <w:textAlignment w:val="bottom"/>
            </w:pPr>
            <w:r>
              <w:rPr>
                <w:rFonts w:ascii="Arial" w:eastAsia="宋体" w:hAnsi="Arial" w:cs="Arial"/>
                <w:color w:val="000000"/>
                <w:sz w:val="18"/>
                <w:szCs w:val="18"/>
              </w:rPr>
              <w:t>131 </w:t>
            </w:r>
          </w:p>
        </w:tc>
        <w:tc>
          <w:tcPr>
            <w:tcW w:w="0" w:type="auto"/>
            <w:shd w:val="clear" w:color="auto" w:fill="E2E2E2"/>
            <w:tcMar>
              <w:top w:w="40" w:type="dxa"/>
              <w:left w:w="0" w:type="dxa"/>
              <w:bottom w:w="40" w:type="dxa"/>
              <w:right w:w="20" w:type="dxa"/>
            </w:tcMar>
            <w:vAlign w:val="bottom"/>
          </w:tcPr>
          <w:p w14:paraId="18601FDC"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1FDD"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1FDE"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1FDF" w14:textId="77777777" w:rsidR="00A91885" w:rsidRDefault="009C4196">
            <w:pPr>
              <w:jc w:val="right"/>
              <w:textAlignment w:val="bottom"/>
            </w:pPr>
            <w:r>
              <w:rPr>
                <w:rFonts w:ascii="Arial" w:eastAsia="宋体" w:hAnsi="Arial" w:cs="Arial"/>
                <w:color w:val="000000"/>
                <w:sz w:val="18"/>
                <w:szCs w:val="18"/>
              </w:rPr>
              <w:t>(197)</w:t>
            </w:r>
          </w:p>
        </w:tc>
        <w:tc>
          <w:tcPr>
            <w:tcW w:w="0" w:type="auto"/>
            <w:shd w:val="clear" w:color="auto" w:fill="E2E2E2"/>
            <w:tcMar>
              <w:top w:w="40" w:type="dxa"/>
              <w:left w:w="0" w:type="dxa"/>
              <w:bottom w:w="40" w:type="dxa"/>
              <w:right w:w="20" w:type="dxa"/>
            </w:tcMar>
            <w:vAlign w:val="bottom"/>
          </w:tcPr>
          <w:p w14:paraId="18601FE0" w14:textId="77777777" w:rsidR="00A91885" w:rsidRDefault="00A91885">
            <w:pPr>
              <w:jc w:val="right"/>
              <w:rPr>
                <w:rFonts w:ascii="宋体"/>
              </w:rPr>
            </w:pPr>
          </w:p>
        </w:tc>
      </w:tr>
      <w:tr w:rsidR="00A91885" w14:paraId="18601FEA" w14:textId="77777777">
        <w:tc>
          <w:tcPr>
            <w:tcW w:w="0" w:type="auto"/>
            <w:gridSpan w:val="3"/>
            <w:shd w:val="clear" w:color="auto" w:fill="FFFFFF"/>
            <w:tcMar>
              <w:top w:w="40" w:type="dxa"/>
              <w:left w:w="20" w:type="dxa"/>
              <w:bottom w:w="40" w:type="dxa"/>
              <w:right w:w="20" w:type="dxa"/>
            </w:tcMar>
            <w:vAlign w:val="bottom"/>
          </w:tcPr>
          <w:p w14:paraId="18601FE2" w14:textId="77777777" w:rsidR="00A91885" w:rsidRDefault="009C4196">
            <w:pPr>
              <w:textAlignment w:val="bottom"/>
            </w:pPr>
            <w:r>
              <w:rPr>
                <w:rFonts w:ascii="Arial" w:eastAsia="宋体" w:hAnsi="Arial" w:cs="Arial"/>
                <w:color w:val="000000"/>
                <w:sz w:val="18"/>
                <w:szCs w:val="18"/>
              </w:rPr>
              <w:t>Foreign exchange contracts - Not designated for hedge accounting</w:t>
            </w:r>
          </w:p>
        </w:tc>
        <w:tc>
          <w:tcPr>
            <w:tcW w:w="0" w:type="auto"/>
            <w:shd w:val="clear" w:color="auto" w:fill="FFFFFF"/>
            <w:tcMar>
              <w:top w:w="40" w:type="dxa"/>
              <w:left w:w="20" w:type="dxa"/>
              <w:bottom w:w="40" w:type="dxa"/>
              <w:right w:w="0" w:type="dxa"/>
            </w:tcMar>
            <w:vAlign w:val="bottom"/>
          </w:tcPr>
          <w:p w14:paraId="18601FE3"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FE4" w14:textId="77777777" w:rsidR="00A91885" w:rsidRDefault="009C4196">
            <w:pPr>
              <w:jc w:val="right"/>
              <w:textAlignment w:val="bottom"/>
            </w:pPr>
            <w:r>
              <w:rPr>
                <w:rFonts w:ascii="Arial" w:eastAsia="宋体" w:hAnsi="Arial" w:cs="Arial"/>
                <w:color w:val="000000"/>
                <w:sz w:val="18"/>
                <w:szCs w:val="18"/>
              </w:rPr>
              <w:t>55 </w:t>
            </w:r>
          </w:p>
        </w:tc>
        <w:tc>
          <w:tcPr>
            <w:tcW w:w="0" w:type="auto"/>
            <w:shd w:val="clear" w:color="auto" w:fill="FFFFFF"/>
            <w:tcMar>
              <w:top w:w="40" w:type="dxa"/>
              <w:left w:w="0" w:type="dxa"/>
              <w:bottom w:w="40" w:type="dxa"/>
              <w:right w:w="20" w:type="dxa"/>
            </w:tcMar>
            <w:vAlign w:val="bottom"/>
          </w:tcPr>
          <w:p w14:paraId="18601FE5"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1FE6"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1FE7"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1FE8" w14:textId="77777777" w:rsidR="00A91885" w:rsidRDefault="009C4196">
            <w:pPr>
              <w:jc w:val="right"/>
              <w:textAlignment w:val="bottom"/>
            </w:pPr>
            <w:r>
              <w:rPr>
                <w:rFonts w:ascii="Arial" w:eastAsia="宋体" w:hAnsi="Arial" w:cs="Arial"/>
                <w:color w:val="000000"/>
                <w:sz w:val="18"/>
                <w:szCs w:val="18"/>
              </w:rPr>
              <w:t>(119)</w:t>
            </w:r>
          </w:p>
        </w:tc>
        <w:tc>
          <w:tcPr>
            <w:tcW w:w="0" w:type="auto"/>
            <w:shd w:val="clear" w:color="auto" w:fill="FFFFFF"/>
            <w:tcMar>
              <w:top w:w="40" w:type="dxa"/>
              <w:left w:w="0" w:type="dxa"/>
              <w:bottom w:w="40" w:type="dxa"/>
              <w:right w:w="20" w:type="dxa"/>
            </w:tcMar>
            <w:vAlign w:val="bottom"/>
          </w:tcPr>
          <w:p w14:paraId="18601FE9" w14:textId="77777777" w:rsidR="00A91885" w:rsidRDefault="00A91885">
            <w:pPr>
              <w:jc w:val="right"/>
              <w:rPr>
                <w:rFonts w:ascii="宋体"/>
              </w:rPr>
            </w:pPr>
          </w:p>
        </w:tc>
      </w:tr>
    </w:tbl>
    <w:p w14:paraId="18601FEB" w14:textId="77777777" w:rsidR="00A91885" w:rsidRDefault="00A91885">
      <w:pPr>
        <w:ind w:firstLine="540"/>
        <w:jc w:val="both"/>
      </w:pPr>
    </w:p>
    <w:p w14:paraId="18601FEC" w14:textId="77777777" w:rsidR="00A91885" w:rsidRDefault="009C4196">
      <w:pPr>
        <w:ind w:firstLine="540"/>
        <w:jc w:val="both"/>
      </w:pPr>
      <w:r>
        <w:rPr>
          <w:rFonts w:ascii="Arial" w:eastAsia="宋体" w:hAnsi="Arial" w:cs="Arial"/>
          <w:color w:val="000000"/>
          <w:sz w:val="20"/>
          <w:szCs w:val="20"/>
        </w:rPr>
        <w:t xml:space="preserve">Since our risk management programs are </w:t>
      </w:r>
      <w:r>
        <w:rPr>
          <w:rFonts w:ascii="Arial" w:eastAsia="宋体" w:hAnsi="Arial" w:cs="Arial"/>
          <w:color w:val="000000"/>
          <w:sz w:val="20"/>
          <w:szCs w:val="20"/>
        </w:rPr>
        <w:t>highly effective, the potential loss in value described above would be largely offset by changes in the value of the underlying exposure.</w:t>
      </w:r>
    </w:p>
    <w:p w14:paraId="18601FED" w14:textId="77777777" w:rsidR="00A91885" w:rsidRDefault="00A91885">
      <w:pPr>
        <w:ind w:firstLine="540"/>
        <w:jc w:val="both"/>
      </w:pPr>
    </w:p>
    <w:p w14:paraId="18601FEE" w14:textId="77777777" w:rsidR="00A91885" w:rsidRDefault="009C4196">
      <w:pPr>
        <w:ind w:firstLine="540"/>
        <w:jc w:val="both"/>
      </w:pPr>
      <w:r>
        <w:rPr>
          <w:rFonts w:ascii="Arial" w:eastAsia="宋体" w:hAnsi="Arial" w:cs="Arial"/>
          <w:color w:val="000000"/>
          <w:sz w:val="20"/>
          <w:szCs w:val="20"/>
        </w:rPr>
        <w:t xml:space="preserve">We also use foreign exchange contracts to offset the foreign exchange risk on our assets and liabilities denominated </w:t>
      </w:r>
      <w:r>
        <w:rPr>
          <w:rFonts w:ascii="Arial" w:eastAsia="宋体" w:hAnsi="Arial" w:cs="Arial"/>
          <w:color w:val="000000"/>
          <w:sz w:val="20"/>
          <w:szCs w:val="20"/>
        </w:rPr>
        <w:t>in currencies other than the functional currency of our subsidiaries. These contracts reduce, but do not entirely eliminate, the impact of currency exchange rate movements on our assets and liabilities. The foreign currency gains and losses on the assets a</w:t>
      </w:r>
      <w:r>
        <w:rPr>
          <w:rFonts w:ascii="Arial" w:eastAsia="宋体" w:hAnsi="Arial" w:cs="Arial"/>
          <w:color w:val="000000"/>
          <w:sz w:val="20"/>
          <w:szCs w:val="20"/>
        </w:rPr>
        <w:t>nd liabilities are recorded in interest and other, net, which are offset by the gains and losses on the foreign exchange contracts.</w:t>
      </w:r>
    </w:p>
    <w:p w14:paraId="18601FEF" w14:textId="77777777" w:rsidR="00A91885" w:rsidRDefault="00A91885">
      <w:pPr>
        <w:jc w:val="both"/>
      </w:pPr>
    </w:p>
    <w:p w14:paraId="18601FF0" w14:textId="77777777" w:rsidR="00A91885" w:rsidRDefault="009C4196">
      <w:pPr>
        <w:ind w:firstLine="540"/>
        <w:jc w:val="both"/>
      </w:pPr>
      <w:r>
        <w:rPr>
          <w:rFonts w:ascii="Arial" w:eastAsia="宋体" w:hAnsi="Arial" w:cs="Arial"/>
          <w:color w:val="000000"/>
          <w:sz w:val="20"/>
          <w:szCs w:val="20"/>
        </w:rPr>
        <w:t xml:space="preserve">We considered the historical trends in currency exchange rates and determined that it was reasonably possible that </w:t>
      </w:r>
      <w:r>
        <w:rPr>
          <w:rFonts w:ascii="Arial" w:eastAsia="宋体" w:hAnsi="Arial" w:cs="Arial"/>
          <w:color w:val="000000"/>
          <w:sz w:val="20"/>
          <w:szCs w:val="20"/>
        </w:rPr>
        <w:t>adverse changes in exchange rates of 20% for all currencies could be experienced in the near term. These changes would have resulted in an adverse impact on income before income taxes of approximately $1 million as of June 30, 2022 taking into consideratio</w:t>
      </w:r>
      <w:r>
        <w:rPr>
          <w:rFonts w:ascii="Arial" w:eastAsia="宋体" w:hAnsi="Arial" w:cs="Arial"/>
          <w:color w:val="000000"/>
          <w:sz w:val="20"/>
          <w:szCs w:val="20"/>
        </w:rPr>
        <w:t>n the offsetting effect of foreign exchange forwards in place as of June 30, 2022.</w:t>
      </w:r>
    </w:p>
    <w:p w14:paraId="18601FF1" w14:textId="77777777" w:rsidR="00A91885" w:rsidRDefault="00A91885">
      <w:pPr>
        <w:ind w:firstLine="540"/>
        <w:jc w:val="both"/>
      </w:pPr>
    </w:p>
    <w:p w14:paraId="18601FF2" w14:textId="77777777" w:rsidR="00A91885" w:rsidRDefault="00A91885">
      <w:pPr>
        <w:jc w:val="center"/>
      </w:pPr>
    </w:p>
    <w:p w14:paraId="18601FF3" w14:textId="77777777" w:rsidR="00A91885" w:rsidRDefault="009C4196">
      <w:pPr>
        <w:jc w:val="center"/>
      </w:pPr>
      <w:r>
        <w:rPr>
          <w:rFonts w:ascii="Arial" w:eastAsia="宋体" w:hAnsi="Arial" w:cs="Arial"/>
          <w:color w:val="000000"/>
          <w:sz w:val="20"/>
          <w:szCs w:val="20"/>
        </w:rPr>
        <w:t>63</w:t>
      </w:r>
    </w:p>
    <w:p w14:paraId="18601FF4" w14:textId="77777777" w:rsidR="00A91885" w:rsidRDefault="009C4196">
      <w:r>
        <w:pict w14:anchorId="186021C2">
          <v:rect id="_x0000_i1087" style="width:415.3pt;height:1.5pt" o:hralign="center" o:hrstd="t" o:hr="t" fillcolor="#a0a0a0" stroked="f"/>
        </w:pict>
      </w:r>
    </w:p>
    <w:p w14:paraId="18601FF5" w14:textId="77777777" w:rsidR="00A91885" w:rsidRDefault="009C4196">
      <w:hyperlink r:id="rId147" w:anchor="ieb971428a625452486c65ae24899afca_7" w:history="1">
        <w:r>
          <w:rPr>
            <w:rStyle w:val="a5"/>
            <w:rFonts w:ascii="Arial" w:eastAsia="宋体" w:hAnsi="Arial" w:cs="Arial"/>
            <w:sz w:val="18"/>
            <w:szCs w:val="18"/>
          </w:rPr>
          <w:t>Table of Content</w:t>
        </w:r>
        <w:r>
          <w:rPr>
            <w:rStyle w:val="a5"/>
            <w:rFonts w:ascii="Arial" w:eastAsia="宋体" w:hAnsi="Arial" w:cs="Arial"/>
            <w:sz w:val="18"/>
            <w:szCs w:val="18"/>
          </w:rPr>
          <w:t>s</w:t>
        </w:r>
      </w:hyperlink>
    </w:p>
    <w:p w14:paraId="18601FF6" w14:textId="77777777" w:rsidR="00A91885" w:rsidRDefault="009C4196">
      <w:pPr>
        <w:ind w:hanging="1080"/>
      </w:pPr>
      <w:r>
        <w:rPr>
          <w:rFonts w:ascii="Arial" w:eastAsia="宋体" w:hAnsi="Arial" w:cs="Arial"/>
          <w:b/>
          <w:bCs/>
          <w:color w:val="000000"/>
          <w:sz w:val="20"/>
          <w:szCs w:val="20"/>
        </w:rPr>
        <w:t>Item 4:    Controls and Procedures</w:t>
      </w:r>
    </w:p>
    <w:p w14:paraId="18601FF7" w14:textId="77777777" w:rsidR="00A91885" w:rsidRDefault="00A91885">
      <w:pPr>
        <w:ind w:hanging="1080"/>
      </w:pPr>
    </w:p>
    <w:p w14:paraId="18601FF8" w14:textId="77777777" w:rsidR="00A91885" w:rsidRDefault="009C4196">
      <w:pPr>
        <w:ind w:firstLine="540"/>
        <w:jc w:val="both"/>
      </w:pPr>
      <w:r>
        <w:rPr>
          <w:rFonts w:ascii="Arial" w:eastAsia="宋体" w:hAnsi="Arial" w:cs="Arial"/>
          <w:color w:val="000000"/>
          <w:sz w:val="20"/>
          <w:szCs w:val="20"/>
        </w:rPr>
        <w:t>(a) </w:t>
      </w:r>
      <w:r>
        <w:rPr>
          <w:rFonts w:ascii="Arial" w:eastAsia="宋体" w:hAnsi="Arial" w:cs="Arial"/>
          <w:i/>
          <w:iCs/>
          <w:color w:val="000000"/>
          <w:sz w:val="20"/>
          <w:szCs w:val="20"/>
        </w:rPr>
        <w:t>Evaluation of disclosure controls and procedures.</w:t>
      </w:r>
      <w:r>
        <w:rPr>
          <w:rFonts w:ascii="Arial" w:eastAsia="宋体" w:hAnsi="Arial" w:cs="Arial"/>
          <w:color w:val="000000"/>
          <w:sz w:val="20"/>
          <w:szCs w:val="20"/>
        </w:rPr>
        <w:t xml:space="preserve"> Based on the evaluation of our disclosure controls and procedures (as defined in Rules 13a-15(e) and 15d-15(e) under the Securities Exchange Act of 1934, as </w:t>
      </w:r>
      <w:r>
        <w:rPr>
          <w:rFonts w:ascii="Arial" w:eastAsia="宋体" w:hAnsi="Arial" w:cs="Arial"/>
          <w:color w:val="000000"/>
          <w:sz w:val="20"/>
          <w:szCs w:val="20"/>
        </w:rPr>
        <w:t>amended, or the Exchange Act) required by Exchange Act Rules 13a-15(b) or 15d-15(b), our principal executive officer and our principal financial officer have concluded that our disclosure controls and procedures were effective as of June 30, 2022.</w:t>
      </w:r>
    </w:p>
    <w:p w14:paraId="18601FF9" w14:textId="77777777" w:rsidR="00A91885" w:rsidRDefault="00A91885">
      <w:pPr>
        <w:ind w:firstLine="495"/>
        <w:jc w:val="both"/>
      </w:pPr>
    </w:p>
    <w:p w14:paraId="18601FFA" w14:textId="77777777" w:rsidR="00A91885" w:rsidRDefault="009C4196">
      <w:pPr>
        <w:ind w:firstLine="540"/>
        <w:jc w:val="both"/>
      </w:pPr>
      <w:r>
        <w:rPr>
          <w:rFonts w:ascii="Arial" w:eastAsia="宋体" w:hAnsi="Arial" w:cs="Arial"/>
          <w:color w:val="000000"/>
          <w:sz w:val="20"/>
          <w:szCs w:val="20"/>
        </w:rPr>
        <w:t>(b) </w:t>
      </w:r>
      <w:r>
        <w:rPr>
          <w:rFonts w:ascii="Arial" w:eastAsia="宋体" w:hAnsi="Arial" w:cs="Arial"/>
          <w:i/>
          <w:iCs/>
          <w:color w:val="000000"/>
          <w:sz w:val="20"/>
          <w:szCs w:val="20"/>
        </w:rPr>
        <w:t>Cha</w:t>
      </w:r>
      <w:r>
        <w:rPr>
          <w:rFonts w:ascii="Arial" w:eastAsia="宋体" w:hAnsi="Arial" w:cs="Arial"/>
          <w:i/>
          <w:iCs/>
          <w:color w:val="000000"/>
          <w:sz w:val="20"/>
          <w:szCs w:val="20"/>
        </w:rPr>
        <w:t>nges in internal controls.</w:t>
      </w:r>
      <w:r>
        <w:rPr>
          <w:rFonts w:ascii="Arial" w:eastAsia="宋体" w:hAnsi="Arial" w:cs="Arial"/>
          <w:color w:val="000000"/>
          <w:sz w:val="20"/>
          <w:szCs w:val="20"/>
        </w:rPr>
        <w:t> There were no changes in our internal control over financial reporting as defined in Exchange Act Rules 13a-15(f) that occurred during our most recently completed fiscal quarter that have materially affected, or are reasonably li</w:t>
      </w:r>
      <w:r>
        <w:rPr>
          <w:rFonts w:ascii="Arial" w:eastAsia="宋体" w:hAnsi="Arial" w:cs="Arial"/>
          <w:color w:val="000000"/>
          <w:sz w:val="20"/>
          <w:szCs w:val="20"/>
        </w:rPr>
        <w:t xml:space="preserve">kely to materially affect, our internal control over financial reporting. </w:t>
      </w:r>
    </w:p>
    <w:p w14:paraId="18601FFB" w14:textId="77777777" w:rsidR="00A91885" w:rsidRDefault="00A91885">
      <w:pPr>
        <w:ind w:firstLine="540"/>
        <w:jc w:val="both"/>
      </w:pPr>
    </w:p>
    <w:p w14:paraId="18601FFC" w14:textId="77777777" w:rsidR="00A91885" w:rsidRDefault="00A91885">
      <w:pPr>
        <w:ind w:firstLine="540"/>
        <w:jc w:val="both"/>
      </w:pPr>
    </w:p>
    <w:p w14:paraId="18601FFD" w14:textId="77777777" w:rsidR="00A91885" w:rsidRDefault="00A91885">
      <w:pPr>
        <w:jc w:val="center"/>
      </w:pPr>
    </w:p>
    <w:p w14:paraId="18601FFE" w14:textId="77777777" w:rsidR="00A91885" w:rsidRDefault="009C4196">
      <w:pPr>
        <w:jc w:val="center"/>
      </w:pPr>
      <w:r>
        <w:rPr>
          <w:rFonts w:ascii="Arial" w:eastAsia="宋体" w:hAnsi="Arial" w:cs="Arial"/>
          <w:color w:val="000000"/>
          <w:sz w:val="20"/>
          <w:szCs w:val="20"/>
        </w:rPr>
        <w:t>64</w:t>
      </w:r>
    </w:p>
    <w:p w14:paraId="18601FFF" w14:textId="77777777" w:rsidR="00A91885" w:rsidRDefault="009C4196">
      <w:r>
        <w:pict w14:anchorId="186021C3">
          <v:rect id="_x0000_i1088" style="width:415.3pt;height:1.5pt" o:hralign="center" o:hrstd="t" o:hr="t" fillcolor="#a0a0a0" stroked="f"/>
        </w:pict>
      </w:r>
    </w:p>
    <w:p w14:paraId="18602000" w14:textId="77777777" w:rsidR="00A91885" w:rsidRDefault="009C4196">
      <w:hyperlink r:id="rId148" w:anchor="ieb971428a625452486c65ae24899afca_7" w:history="1">
        <w:r>
          <w:rPr>
            <w:rStyle w:val="a5"/>
            <w:rFonts w:ascii="Arial" w:eastAsia="宋体" w:hAnsi="Arial" w:cs="Arial"/>
            <w:sz w:val="18"/>
            <w:szCs w:val="18"/>
          </w:rPr>
          <w:t>Table of Contents</w:t>
        </w:r>
      </w:hyperlink>
    </w:p>
    <w:p w14:paraId="18602001" w14:textId="77777777" w:rsidR="00A91885" w:rsidRDefault="009C4196">
      <w:pPr>
        <w:jc w:val="center"/>
      </w:pPr>
      <w:r>
        <w:rPr>
          <w:rFonts w:ascii="Arial" w:eastAsia="宋体" w:hAnsi="Arial" w:cs="Arial"/>
          <w:b/>
          <w:bCs/>
          <w:color w:val="000000"/>
          <w:sz w:val="20"/>
          <w:szCs w:val="20"/>
        </w:rPr>
        <w:t>PA</w:t>
      </w:r>
      <w:r>
        <w:rPr>
          <w:rFonts w:ascii="Arial" w:eastAsia="宋体" w:hAnsi="Arial" w:cs="Arial"/>
          <w:b/>
          <w:bCs/>
          <w:color w:val="000000"/>
          <w:sz w:val="20"/>
          <w:szCs w:val="20"/>
        </w:rPr>
        <w:t>RT II: OTHER INFORMATION</w:t>
      </w:r>
    </w:p>
    <w:p w14:paraId="18602002" w14:textId="77777777" w:rsidR="00A91885" w:rsidRDefault="00A91885">
      <w:pPr>
        <w:jc w:val="center"/>
      </w:pPr>
    </w:p>
    <w:p w14:paraId="18602003" w14:textId="77777777" w:rsidR="00A91885" w:rsidRDefault="009C4196">
      <w:pPr>
        <w:ind w:hanging="1080"/>
      </w:pPr>
      <w:r>
        <w:rPr>
          <w:rFonts w:ascii="Arial" w:eastAsia="宋体" w:hAnsi="Arial" w:cs="Arial"/>
          <w:b/>
          <w:bCs/>
          <w:color w:val="000000"/>
          <w:sz w:val="20"/>
          <w:szCs w:val="20"/>
        </w:rPr>
        <w:t>Item 1:    Legal Proceedings</w:t>
      </w:r>
    </w:p>
    <w:p w14:paraId="18602004" w14:textId="77777777" w:rsidR="00A91885" w:rsidRDefault="00A91885">
      <w:pPr>
        <w:ind w:hanging="1080"/>
      </w:pPr>
    </w:p>
    <w:p w14:paraId="18602005" w14:textId="77777777" w:rsidR="00A91885" w:rsidRDefault="009C4196">
      <w:pPr>
        <w:ind w:firstLine="540"/>
        <w:jc w:val="both"/>
      </w:pPr>
      <w:r>
        <w:rPr>
          <w:rFonts w:ascii="Arial" w:eastAsia="宋体" w:hAnsi="Arial" w:cs="Arial"/>
          <w:color w:val="000000"/>
          <w:sz w:val="20"/>
          <w:szCs w:val="20"/>
        </w:rPr>
        <w:t>The information set forth under “Note 11 — Commitments and Contingencies — Litigation and Other Legal Matters” to the condensed consolidated financial statements included in Part I, Item 1 of this Qua</w:t>
      </w:r>
      <w:r>
        <w:rPr>
          <w:rFonts w:ascii="Arial" w:eastAsia="宋体" w:hAnsi="Arial" w:cs="Arial"/>
          <w:color w:val="000000"/>
          <w:sz w:val="20"/>
          <w:szCs w:val="20"/>
        </w:rPr>
        <w:t>rterly Report on Form 10-Q is incorporated herein by reference.</w:t>
      </w:r>
    </w:p>
    <w:p w14:paraId="18602006" w14:textId="77777777" w:rsidR="00A91885" w:rsidRDefault="00A91885">
      <w:pPr>
        <w:ind w:firstLine="540"/>
        <w:jc w:val="both"/>
      </w:pPr>
    </w:p>
    <w:p w14:paraId="18602007" w14:textId="77777777" w:rsidR="00A91885" w:rsidRDefault="009C4196">
      <w:pPr>
        <w:ind w:hanging="1080"/>
      </w:pPr>
      <w:r>
        <w:rPr>
          <w:rFonts w:ascii="Arial" w:eastAsia="宋体" w:hAnsi="Arial" w:cs="Arial"/>
          <w:b/>
          <w:bCs/>
          <w:color w:val="000000"/>
          <w:sz w:val="20"/>
          <w:szCs w:val="20"/>
        </w:rPr>
        <w:t>Item 1A:</w:t>
      </w:r>
      <w:r>
        <w:rPr>
          <w:rFonts w:ascii="Arial" w:eastAsia="宋体" w:hAnsi="Arial" w:cs="Arial"/>
          <w:color w:val="000000"/>
          <w:sz w:val="20"/>
          <w:szCs w:val="20"/>
        </w:rPr>
        <w:t>    </w:t>
      </w:r>
      <w:r>
        <w:rPr>
          <w:rFonts w:ascii="Arial" w:eastAsia="宋体" w:hAnsi="Arial" w:cs="Arial"/>
          <w:b/>
          <w:bCs/>
          <w:color w:val="000000"/>
          <w:sz w:val="20"/>
          <w:szCs w:val="20"/>
        </w:rPr>
        <w:t xml:space="preserve">Risk Factors </w:t>
      </w:r>
    </w:p>
    <w:p w14:paraId="18602008" w14:textId="77777777" w:rsidR="00A91885" w:rsidRDefault="00A91885">
      <w:pPr>
        <w:ind w:hanging="1080"/>
        <w:jc w:val="both"/>
      </w:pPr>
    </w:p>
    <w:p w14:paraId="18602009" w14:textId="77777777" w:rsidR="00A91885" w:rsidRDefault="009C4196">
      <w:pPr>
        <w:ind w:firstLine="270"/>
        <w:jc w:val="both"/>
      </w:pPr>
      <w:r>
        <w:rPr>
          <w:rFonts w:ascii="Arial" w:eastAsia="宋体" w:hAnsi="Arial" w:cs="Arial"/>
          <w:b/>
          <w:bCs/>
          <w:i/>
          <w:iCs/>
          <w:color w:val="000000"/>
          <w:sz w:val="20"/>
          <w:szCs w:val="20"/>
          <w:u w:val="single"/>
        </w:rPr>
        <w:t>Risk Factors:</w:t>
      </w:r>
    </w:p>
    <w:p w14:paraId="1860200A" w14:textId="77777777" w:rsidR="00A91885" w:rsidRDefault="00A91885">
      <w:pPr>
        <w:ind w:firstLine="450"/>
        <w:jc w:val="both"/>
      </w:pPr>
    </w:p>
    <w:p w14:paraId="1860200B" w14:textId="77777777" w:rsidR="00A91885" w:rsidRDefault="009C4196">
      <w:pPr>
        <w:ind w:firstLine="540"/>
        <w:jc w:val="both"/>
      </w:pPr>
      <w:r>
        <w:rPr>
          <w:rFonts w:ascii="Arial" w:eastAsia="宋体" w:hAnsi="Arial" w:cs="Arial"/>
          <w:color w:val="000000"/>
          <w:sz w:val="20"/>
          <w:szCs w:val="20"/>
        </w:rPr>
        <w:t>We are subject to various risks and uncertainties that may affect our business, results of operations and financial condition including not limited to, those described in Part I, Item 1A, Risk Factors in our Annual Report on Form 10-K for the year ended De</w:t>
      </w:r>
      <w:r>
        <w:rPr>
          <w:rFonts w:ascii="Arial" w:eastAsia="宋体" w:hAnsi="Arial" w:cs="Arial"/>
          <w:color w:val="000000"/>
          <w:sz w:val="20"/>
          <w:szCs w:val="20"/>
        </w:rPr>
        <w:t>cember 31, 2021 (“2021 Form 10-K”). Current global economic and geopolitical events and conditions may amplify many of these risks. These risks are not the only risks that may affect us. Additional risks that we are not aware of or do not believe are mater</w:t>
      </w:r>
      <w:r>
        <w:rPr>
          <w:rFonts w:ascii="Arial" w:eastAsia="宋体" w:hAnsi="Arial" w:cs="Arial"/>
          <w:color w:val="000000"/>
          <w:sz w:val="20"/>
          <w:szCs w:val="20"/>
        </w:rPr>
        <w:t xml:space="preserve">ial at the time of this filing may also become important factors that adversely affect our business. There have been no material changes to the Company’s risk factors since the 2021 Form 10-K. </w:t>
      </w:r>
    </w:p>
    <w:p w14:paraId="1860200C" w14:textId="77777777" w:rsidR="00A91885" w:rsidRDefault="00A91885">
      <w:pPr>
        <w:ind w:firstLine="450"/>
        <w:jc w:val="both"/>
      </w:pPr>
    </w:p>
    <w:p w14:paraId="1860200D" w14:textId="77777777" w:rsidR="00A91885" w:rsidRDefault="00A91885">
      <w:pPr>
        <w:jc w:val="center"/>
      </w:pPr>
    </w:p>
    <w:p w14:paraId="1860200E" w14:textId="77777777" w:rsidR="00A91885" w:rsidRDefault="009C4196">
      <w:pPr>
        <w:jc w:val="center"/>
      </w:pPr>
      <w:r>
        <w:rPr>
          <w:rFonts w:ascii="Arial" w:eastAsia="宋体" w:hAnsi="Arial" w:cs="Arial"/>
          <w:color w:val="000000"/>
          <w:sz w:val="20"/>
          <w:szCs w:val="20"/>
        </w:rPr>
        <w:t>65</w:t>
      </w:r>
    </w:p>
    <w:p w14:paraId="1860200F" w14:textId="77777777" w:rsidR="00A91885" w:rsidRDefault="009C4196">
      <w:r>
        <w:pict w14:anchorId="186021C4">
          <v:rect id="_x0000_i1089" style="width:415.3pt;height:1.5pt" o:hralign="center" o:hrstd="t" o:hr="t" fillcolor="#a0a0a0" stroked="f"/>
        </w:pict>
      </w:r>
    </w:p>
    <w:p w14:paraId="18602010" w14:textId="77777777" w:rsidR="00A91885" w:rsidRDefault="009C4196">
      <w:hyperlink r:id="rId149" w:anchor="ieb971428a625452486c65ae24899afca_7" w:history="1">
        <w:r>
          <w:rPr>
            <w:rStyle w:val="a5"/>
            <w:rFonts w:ascii="Arial" w:eastAsia="宋体" w:hAnsi="Arial" w:cs="Arial"/>
            <w:sz w:val="18"/>
            <w:szCs w:val="18"/>
          </w:rPr>
          <w:t>Table of Contents</w:t>
        </w:r>
      </w:hyperlink>
    </w:p>
    <w:p w14:paraId="18602011" w14:textId="77777777" w:rsidR="00A91885" w:rsidRDefault="009C4196">
      <w:pPr>
        <w:ind w:hanging="1080"/>
      </w:pPr>
      <w:r>
        <w:rPr>
          <w:rFonts w:ascii="Arial" w:eastAsia="宋体" w:hAnsi="Arial" w:cs="Arial"/>
          <w:b/>
          <w:bCs/>
          <w:color w:val="000000"/>
          <w:sz w:val="20"/>
          <w:szCs w:val="20"/>
        </w:rPr>
        <w:t>Item 2:</w:t>
      </w:r>
      <w:r>
        <w:rPr>
          <w:rFonts w:ascii="Arial" w:eastAsia="宋体" w:hAnsi="Arial" w:cs="Arial"/>
          <w:color w:val="000000"/>
          <w:sz w:val="20"/>
          <w:szCs w:val="20"/>
        </w:rPr>
        <w:t>    </w:t>
      </w:r>
      <w:r>
        <w:rPr>
          <w:rFonts w:ascii="Arial" w:eastAsia="宋体" w:hAnsi="Arial" w:cs="Arial"/>
          <w:b/>
          <w:bCs/>
          <w:color w:val="000000"/>
          <w:sz w:val="20"/>
          <w:szCs w:val="20"/>
        </w:rPr>
        <w:t xml:space="preserve">Unregistered Sales of Equity Securities and Use of Proceeds </w:t>
      </w:r>
    </w:p>
    <w:p w14:paraId="18602012" w14:textId="77777777" w:rsidR="00A91885" w:rsidRDefault="00A91885">
      <w:pPr>
        <w:ind w:firstLine="540"/>
      </w:pPr>
    </w:p>
    <w:p w14:paraId="18602013" w14:textId="77777777" w:rsidR="00A91885" w:rsidRDefault="009C4196">
      <w:pPr>
        <w:spacing w:after="120"/>
        <w:ind w:firstLine="540"/>
      </w:pPr>
      <w:r>
        <w:rPr>
          <w:rFonts w:ascii="Arial" w:eastAsia="宋体" w:hAnsi="Arial" w:cs="Arial"/>
          <w:color w:val="000000"/>
          <w:sz w:val="20"/>
          <w:szCs w:val="20"/>
        </w:rPr>
        <w:t>Stock repurc</w:t>
      </w:r>
      <w:r>
        <w:rPr>
          <w:rFonts w:ascii="Arial" w:eastAsia="宋体" w:hAnsi="Arial" w:cs="Arial"/>
          <w:color w:val="000000"/>
          <w:sz w:val="20"/>
          <w:szCs w:val="20"/>
        </w:rPr>
        <w:t>hase activity during the three months ended June 30, 2022 was as follows:</w:t>
      </w:r>
    </w:p>
    <w:tbl>
      <w:tblPr>
        <w:tblW w:w="5000" w:type="pct"/>
        <w:tblCellMar>
          <w:top w:w="15" w:type="dxa"/>
          <w:left w:w="15" w:type="dxa"/>
          <w:bottom w:w="15" w:type="dxa"/>
          <w:right w:w="15" w:type="dxa"/>
        </w:tblCellMar>
        <w:tblLook w:val="04A0" w:firstRow="1" w:lastRow="0" w:firstColumn="1" w:lastColumn="0" w:noHBand="0" w:noVBand="1"/>
      </w:tblPr>
      <w:tblGrid>
        <w:gridCol w:w="46"/>
        <w:gridCol w:w="2029"/>
        <w:gridCol w:w="36"/>
        <w:gridCol w:w="36"/>
        <w:gridCol w:w="92"/>
        <w:gridCol w:w="36"/>
        <w:gridCol w:w="71"/>
        <w:gridCol w:w="1007"/>
        <w:gridCol w:w="36"/>
        <w:gridCol w:w="36"/>
        <w:gridCol w:w="154"/>
        <w:gridCol w:w="36"/>
        <w:gridCol w:w="122"/>
        <w:gridCol w:w="1091"/>
        <w:gridCol w:w="36"/>
        <w:gridCol w:w="36"/>
        <w:gridCol w:w="154"/>
        <w:gridCol w:w="36"/>
        <w:gridCol w:w="54"/>
        <w:gridCol w:w="1414"/>
        <w:gridCol w:w="36"/>
        <w:gridCol w:w="36"/>
        <w:gridCol w:w="92"/>
        <w:gridCol w:w="36"/>
        <w:gridCol w:w="121"/>
        <w:gridCol w:w="1421"/>
        <w:gridCol w:w="36"/>
      </w:tblGrid>
      <w:tr w:rsidR="00A91885" w14:paraId="1860202F" w14:textId="77777777">
        <w:tc>
          <w:tcPr>
            <w:tcW w:w="50" w:type="pct"/>
            <w:shd w:val="clear" w:color="auto" w:fill="auto"/>
            <w:vAlign w:val="bottom"/>
          </w:tcPr>
          <w:p w14:paraId="18602014" w14:textId="77777777" w:rsidR="00A91885" w:rsidRDefault="00A91885">
            <w:pPr>
              <w:rPr>
                <w:rFonts w:ascii="宋体"/>
              </w:rPr>
            </w:pPr>
          </w:p>
        </w:tc>
        <w:tc>
          <w:tcPr>
            <w:tcW w:w="1238" w:type="pct"/>
            <w:shd w:val="clear" w:color="auto" w:fill="auto"/>
            <w:vAlign w:val="bottom"/>
          </w:tcPr>
          <w:p w14:paraId="18602015" w14:textId="77777777" w:rsidR="00A91885" w:rsidRDefault="00A91885">
            <w:pPr>
              <w:rPr>
                <w:rFonts w:ascii="宋体"/>
              </w:rPr>
            </w:pPr>
          </w:p>
        </w:tc>
        <w:tc>
          <w:tcPr>
            <w:tcW w:w="5" w:type="pct"/>
            <w:shd w:val="clear" w:color="auto" w:fill="auto"/>
            <w:vAlign w:val="bottom"/>
          </w:tcPr>
          <w:p w14:paraId="18602016" w14:textId="77777777" w:rsidR="00A91885" w:rsidRDefault="00A91885">
            <w:pPr>
              <w:rPr>
                <w:rFonts w:ascii="宋体"/>
              </w:rPr>
            </w:pPr>
          </w:p>
        </w:tc>
        <w:tc>
          <w:tcPr>
            <w:tcW w:w="5" w:type="pct"/>
            <w:shd w:val="clear" w:color="auto" w:fill="auto"/>
            <w:vAlign w:val="bottom"/>
          </w:tcPr>
          <w:p w14:paraId="18602017" w14:textId="77777777" w:rsidR="00A91885" w:rsidRDefault="00A91885">
            <w:pPr>
              <w:rPr>
                <w:rFonts w:ascii="宋体"/>
              </w:rPr>
            </w:pPr>
          </w:p>
        </w:tc>
        <w:tc>
          <w:tcPr>
            <w:tcW w:w="77" w:type="pct"/>
            <w:shd w:val="clear" w:color="auto" w:fill="auto"/>
            <w:vAlign w:val="bottom"/>
          </w:tcPr>
          <w:p w14:paraId="18602018" w14:textId="77777777" w:rsidR="00A91885" w:rsidRDefault="00A91885">
            <w:pPr>
              <w:rPr>
                <w:rFonts w:ascii="宋体"/>
              </w:rPr>
            </w:pPr>
          </w:p>
        </w:tc>
        <w:tc>
          <w:tcPr>
            <w:tcW w:w="5" w:type="pct"/>
            <w:shd w:val="clear" w:color="auto" w:fill="auto"/>
            <w:vAlign w:val="bottom"/>
          </w:tcPr>
          <w:p w14:paraId="18602019" w14:textId="77777777" w:rsidR="00A91885" w:rsidRDefault="00A91885">
            <w:pPr>
              <w:rPr>
                <w:rFonts w:ascii="宋体"/>
              </w:rPr>
            </w:pPr>
          </w:p>
        </w:tc>
        <w:tc>
          <w:tcPr>
            <w:tcW w:w="50" w:type="pct"/>
            <w:shd w:val="clear" w:color="auto" w:fill="auto"/>
            <w:vAlign w:val="bottom"/>
          </w:tcPr>
          <w:p w14:paraId="1860201A" w14:textId="77777777" w:rsidR="00A91885" w:rsidRDefault="00A91885">
            <w:pPr>
              <w:rPr>
                <w:rFonts w:ascii="宋体"/>
              </w:rPr>
            </w:pPr>
          </w:p>
        </w:tc>
        <w:tc>
          <w:tcPr>
            <w:tcW w:w="639" w:type="pct"/>
            <w:shd w:val="clear" w:color="auto" w:fill="auto"/>
            <w:vAlign w:val="bottom"/>
          </w:tcPr>
          <w:p w14:paraId="1860201B" w14:textId="77777777" w:rsidR="00A91885" w:rsidRDefault="00A91885">
            <w:pPr>
              <w:rPr>
                <w:rFonts w:ascii="宋体"/>
              </w:rPr>
            </w:pPr>
          </w:p>
        </w:tc>
        <w:tc>
          <w:tcPr>
            <w:tcW w:w="5" w:type="pct"/>
            <w:shd w:val="clear" w:color="auto" w:fill="auto"/>
            <w:vAlign w:val="bottom"/>
          </w:tcPr>
          <w:p w14:paraId="1860201C" w14:textId="77777777" w:rsidR="00A91885" w:rsidRDefault="00A91885">
            <w:pPr>
              <w:rPr>
                <w:rFonts w:ascii="宋体"/>
              </w:rPr>
            </w:pPr>
          </w:p>
        </w:tc>
        <w:tc>
          <w:tcPr>
            <w:tcW w:w="5" w:type="pct"/>
            <w:shd w:val="clear" w:color="auto" w:fill="auto"/>
            <w:vAlign w:val="bottom"/>
          </w:tcPr>
          <w:p w14:paraId="1860201D" w14:textId="77777777" w:rsidR="00A91885" w:rsidRDefault="00A91885">
            <w:pPr>
              <w:rPr>
                <w:rFonts w:ascii="宋体"/>
              </w:rPr>
            </w:pPr>
          </w:p>
        </w:tc>
        <w:tc>
          <w:tcPr>
            <w:tcW w:w="114" w:type="pct"/>
            <w:shd w:val="clear" w:color="auto" w:fill="auto"/>
            <w:vAlign w:val="bottom"/>
          </w:tcPr>
          <w:p w14:paraId="1860201E" w14:textId="77777777" w:rsidR="00A91885" w:rsidRDefault="00A91885">
            <w:pPr>
              <w:rPr>
                <w:rFonts w:ascii="宋体"/>
              </w:rPr>
            </w:pPr>
          </w:p>
        </w:tc>
        <w:tc>
          <w:tcPr>
            <w:tcW w:w="5" w:type="pct"/>
            <w:shd w:val="clear" w:color="auto" w:fill="auto"/>
            <w:vAlign w:val="bottom"/>
          </w:tcPr>
          <w:p w14:paraId="1860201F" w14:textId="77777777" w:rsidR="00A91885" w:rsidRDefault="00A91885">
            <w:pPr>
              <w:rPr>
                <w:rFonts w:ascii="宋体"/>
              </w:rPr>
            </w:pPr>
          </w:p>
        </w:tc>
        <w:tc>
          <w:tcPr>
            <w:tcW w:w="50" w:type="pct"/>
            <w:shd w:val="clear" w:color="auto" w:fill="auto"/>
            <w:vAlign w:val="bottom"/>
          </w:tcPr>
          <w:p w14:paraId="18602020" w14:textId="77777777" w:rsidR="00A91885" w:rsidRDefault="00A91885">
            <w:pPr>
              <w:rPr>
                <w:rFonts w:ascii="宋体"/>
              </w:rPr>
            </w:pPr>
          </w:p>
        </w:tc>
        <w:tc>
          <w:tcPr>
            <w:tcW w:w="675" w:type="pct"/>
            <w:shd w:val="clear" w:color="auto" w:fill="auto"/>
            <w:vAlign w:val="bottom"/>
          </w:tcPr>
          <w:p w14:paraId="18602021" w14:textId="77777777" w:rsidR="00A91885" w:rsidRDefault="00A91885">
            <w:pPr>
              <w:rPr>
                <w:rFonts w:ascii="宋体"/>
              </w:rPr>
            </w:pPr>
          </w:p>
        </w:tc>
        <w:tc>
          <w:tcPr>
            <w:tcW w:w="5" w:type="pct"/>
            <w:shd w:val="clear" w:color="auto" w:fill="auto"/>
            <w:vAlign w:val="bottom"/>
          </w:tcPr>
          <w:p w14:paraId="18602022" w14:textId="77777777" w:rsidR="00A91885" w:rsidRDefault="00A91885">
            <w:pPr>
              <w:rPr>
                <w:rFonts w:ascii="宋体"/>
              </w:rPr>
            </w:pPr>
          </w:p>
        </w:tc>
        <w:tc>
          <w:tcPr>
            <w:tcW w:w="5" w:type="pct"/>
            <w:shd w:val="clear" w:color="auto" w:fill="auto"/>
            <w:vAlign w:val="bottom"/>
          </w:tcPr>
          <w:p w14:paraId="18602023" w14:textId="77777777" w:rsidR="00A91885" w:rsidRDefault="00A91885">
            <w:pPr>
              <w:rPr>
                <w:rFonts w:ascii="宋体"/>
              </w:rPr>
            </w:pPr>
          </w:p>
        </w:tc>
        <w:tc>
          <w:tcPr>
            <w:tcW w:w="114" w:type="pct"/>
            <w:shd w:val="clear" w:color="auto" w:fill="auto"/>
            <w:vAlign w:val="bottom"/>
          </w:tcPr>
          <w:p w14:paraId="18602024" w14:textId="77777777" w:rsidR="00A91885" w:rsidRDefault="00A91885">
            <w:pPr>
              <w:rPr>
                <w:rFonts w:ascii="宋体"/>
              </w:rPr>
            </w:pPr>
          </w:p>
        </w:tc>
        <w:tc>
          <w:tcPr>
            <w:tcW w:w="5" w:type="pct"/>
            <w:shd w:val="clear" w:color="auto" w:fill="auto"/>
            <w:vAlign w:val="bottom"/>
          </w:tcPr>
          <w:p w14:paraId="18602025" w14:textId="77777777" w:rsidR="00A91885" w:rsidRDefault="00A91885">
            <w:pPr>
              <w:rPr>
                <w:rFonts w:ascii="宋体"/>
              </w:rPr>
            </w:pPr>
          </w:p>
        </w:tc>
        <w:tc>
          <w:tcPr>
            <w:tcW w:w="50" w:type="pct"/>
            <w:shd w:val="clear" w:color="auto" w:fill="auto"/>
            <w:vAlign w:val="bottom"/>
          </w:tcPr>
          <w:p w14:paraId="18602026" w14:textId="77777777" w:rsidR="00A91885" w:rsidRDefault="00A91885">
            <w:pPr>
              <w:rPr>
                <w:rFonts w:ascii="宋体"/>
              </w:rPr>
            </w:pPr>
          </w:p>
        </w:tc>
        <w:tc>
          <w:tcPr>
            <w:tcW w:w="873" w:type="pct"/>
            <w:shd w:val="clear" w:color="auto" w:fill="auto"/>
            <w:vAlign w:val="bottom"/>
          </w:tcPr>
          <w:p w14:paraId="18602027" w14:textId="77777777" w:rsidR="00A91885" w:rsidRDefault="00A91885">
            <w:pPr>
              <w:rPr>
                <w:rFonts w:ascii="宋体"/>
              </w:rPr>
            </w:pPr>
          </w:p>
        </w:tc>
        <w:tc>
          <w:tcPr>
            <w:tcW w:w="5" w:type="pct"/>
            <w:shd w:val="clear" w:color="auto" w:fill="auto"/>
            <w:vAlign w:val="bottom"/>
          </w:tcPr>
          <w:p w14:paraId="18602028" w14:textId="77777777" w:rsidR="00A91885" w:rsidRDefault="00A91885">
            <w:pPr>
              <w:rPr>
                <w:rFonts w:ascii="宋体"/>
              </w:rPr>
            </w:pPr>
          </w:p>
        </w:tc>
        <w:tc>
          <w:tcPr>
            <w:tcW w:w="5" w:type="pct"/>
            <w:shd w:val="clear" w:color="auto" w:fill="auto"/>
            <w:vAlign w:val="bottom"/>
          </w:tcPr>
          <w:p w14:paraId="18602029" w14:textId="77777777" w:rsidR="00A91885" w:rsidRDefault="00A91885">
            <w:pPr>
              <w:rPr>
                <w:rFonts w:ascii="宋体"/>
              </w:rPr>
            </w:pPr>
          </w:p>
        </w:tc>
        <w:tc>
          <w:tcPr>
            <w:tcW w:w="77" w:type="pct"/>
            <w:shd w:val="clear" w:color="auto" w:fill="auto"/>
            <w:vAlign w:val="bottom"/>
          </w:tcPr>
          <w:p w14:paraId="1860202A" w14:textId="77777777" w:rsidR="00A91885" w:rsidRDefault="00A91885">
            <w:pPr>
              <w:rPr>
                <w:rFonts w:ascii="宋体"/>
              </w:rPr>
            </w:pPr>
          </w:p>
        </w:tc>
        <w:tc>
          <w:tcPr>
            <w:tcW w:w="5" w:type="pct"/>
            <w:shd w:val="clear" w:color="auto" w:fill="auto"/>
            <w:vAlign w:val="bottom"/>
          </w:tcPr>
          <w:p w14:paraId="1860202B" w14:textId="77777777" w:rsidR="00A91885" w:rsidRDefault="00A91885">
            <w:pPr>
              <w:rPr>
                <w:rFonts w:ascii="宋体"/>
              </w:rPr>
            </w:pPr>
          </w:p>
        </w:tc>
        <w:tc>
          <w:tcPr>
            <w:tcW w:w="50" w:type="pct"/>
            <w:shd w:val="clear" w:color="auto" w:fill="auto"/>
            <w:vAlign w:val="bottom"/>
          </w:tcPr>
          <w:p w14:paraId="1860202C" w14:textId="77777777" w:rsidR="00A91885" w:rsidRDefault="00A91885">
            <w:pPr>
              <w:rPr>
                <w:rFonts w:ascii="宋体"/>
              </w:rPr>
            </w:pPr>
          </w:p>
        </w:tc>
        <w:tc>
          <w:tcPr>
            <w:tcW w:w="873" w:type="pct"/>
            <w:shd w:val="clear" w:color="auto" w:fill="auto"/>
            <w:vAlign w:val="bottom"/>
          </w:tcPr>
          <w:p w14:paraId="1860202D" w14:textId="77777777" w:rsidR="00A91885" w:rsidRDefault="00A91885">
            <w:pPr>
              <w:rPr>
                <w:rFonts w:ascii="宋体"/>
              </w:rPr>
            </w:pPr>
          </w:p>
        </w:tc>
        <w:tc>
          <w:tcPr>
            <w:tcW w:w="5" w:type="pct"/>
            <w:shd w:val="clear" w:color="auto" w:fill="auto"/>
            <w:vAlign w:val="bottom"/>
          </w:tcPr>
          <w:p w14:paraId="1860202E" w14:textId="77777777" w:rsidR="00A91885" w:rsidRDefault="00A91885">
            <w:pPr>
              <w:rPr>
                <w:rFonts w:ascii="宋体"/>
              </w:rPr>
            </w:pPr>
          </w:p>
        </w:tc>
      </w:tr>
      <w:tr w:rsidR="00A91885" w14:paraId="18602039" w14:textId="77777777">
        <w:tc>
          <w:tcPr>
            <w:tcW w:w="0" w:type="auto"/>
            <w:gridSpan w:val="3"/>
            <w:shd w:val="clear" w:color="auto" w:fill="auto"/>
            <w:tcMar>
              <w:top w:w="40" w:type="dxa"/>
              <w:left w:w="20" w:type="dxa"/>
              <w:bottom w:w="40" w:type="dxa"/>
              <w:right w:w="20" w:type="dxa"/>
            </w:tcMar>
            <w:vAlign w:val="bottom"/>
          </w:tcPr>
          <w:p w14:paraId="18602030" w14:textId="77777777" w:rsidR="00A91885" w:rsidRDefault="009C4196">
            <w:pPr>
              <w:textAlignment w:val="bottom"/>
            </w:pPr>
            <w:r>
              <w:rPr>
                <w:rFonts w:ascii="Arial" w:eastAsia="宋体" w:hAnsi="Arial" w:cs="Arial"/>
                <w:b/>
                <w:bCs/>
                <w:color w:val="000000"/>
                <w:sz w:val="17"/>
                <w:szCs w:val="17"/>
              </w:rPr>
              <w:t>Period Ended</w:t>
            </w:r>
          </w:p>
        </w:tc>
        <w:tc>
          <w:tcPr>
            <w:tcW w:w="0" w:type="auto"/>
            <w:gridSpan w:val="3"/>
            <w:shd w:val="clear" w:color="auto" w:fill="auto"/>
            <w:tcMar>
              <w:top w:w="0" w:type="dxa"/>
              <w:left w:w="20" w:type="dxa"/>
              <w:bottom w:w="0" w:type="dxa"/>
              <w:right w:w="20" w:type="dxa"/>
            </w:tcMar>
            <w:vAlign w:val="bottom"/>
          </w:tcPr>
          <w:p w14:paraId="18602031"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2032" w14:textId="77777777" w:rsidR="00A91885" w:rsidRDefault="009C4196">
            <w:pPr>
              <w:jc w:val="center"/>
              <w:textAlignment w:val="bottom"/>
            </w:pPr>
            <w:r>
              <w:rPr>
                <w:rFonts w:ascii="Arial" w:eastAsia="宋体" w:hAnsi="Arial" w:cs="Arial"/>
                <w:b/>
                <w:bCs/>
                <w:color w:val="000000"/>
                <w:sz w:val="17"/>
                <w:szCs w:val="17"/>
              </w:rPr>
              <w:t>Total Number of Shares Purchased</w:t>
            </w:r>
          </w:p>
        </w:tc>
        <w:tc>
          <w:tcPr>
            <w:tcW w:w="0" w:type="auto"/>
            <w:gridSpan w:val="3"/>
            <w:shd w:val="clear" w:color="auto" w:fill="auto"/>
            <w:tcMar>
              <w:top w:w="0" w:type="dxa"/>
              <w:left w:w="20" w:type="dxa"/>
              <w:bottom w:w="0" w:type="dxa"/>
              <w:right w:w="20" w:type="dxa"/>
            </w:tcMar>
            <w:vAlign w:val="bottom"/>
          </w:tcPr>
          <w:p w14:paraId="18602033"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2034" w14:textId="77777777" w:rsidR="00A91885" w:rsidRDefault="009C4196">
            <w:pPr>
              <w:jc w:val="center"/>
              <w:textAlignment w:val="bottom"/>
            </w:pPr>
            <w:r>
              <w:rPr>
                <w:rFonts w:ascii="Arial" w:eastAsia="宋体" w:hAnsi="Arial" w:cs="Arial"/>
                <w:b/>
                <w:bCs/>
                <w:color w:val="000000"/>
                <w:sz w:val="17"/>
                <w:szCs w:val="17"/>
              </w:rPr>
              <w:t xml:space="preserve">Average Price Paid per Share </w:t>
            </w:r>
            <w:r>
              <w:rPr>
                <w:rFonts w:ascii="Arial" w:eastAsia="宋体" w:hAnsi="Arial" w:cs="Arial"/>
                <w:b/>
                <w:bCs/>
                <w:color w:val="000000"/>
                <w:sz w:val="11"/>
                <w:szCs w:val="11"/>
              </w:rPr>
              <w:t>(2)</w:t>
            </w:r>
          </w:p>
        </w:tc>
        <w:tc>
          <w:tcPr>
            <w:tcW w:w="0" w:type="auto"/>
            <w:gridSpan w:val="3"/>
            <w:shd w:val="clear" w:color="auto" w:fill="auto"/>
            <w:tcMar>
              <w:top w:w="0" w:type="dxa"/>
              <w:left w:w="20" w:type="dxa"/>
              <w:bottom w:w="0" w:type="dxa"/>
              <w:right w:w="20" w:type="dxa"/>
            </w:tcMar>
            <w:vAlign w:val="bottom"/>
          </w:tcPr>
          <w:p w14:paraId="18602035"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2036" w14:textId="77777777" w:rsidR="00A91885" w:rsidRDefault="009C4196">
            <w:pPr>
              <w:jc w:val="center"/>
              <w:textAlignment w:val="bottom"/>
            </w:pPr>
            <w:r>
              <w:rPr>
                <w:rFonts w:ascii="Arial" w:eastAsia="宋体" w:hAnsi="Arial" w:cs="Arial"/>
                <w:b/>
                <w:bCs/>
                <w:color w:val="000000"/>
                <w:sz w:val="17"/>
                <w:szCs w:val="17"/>
              </w:rPr>
              <w:t>Total Number of Shares Purchased as Part of Publicly Announced Programs</w:t>
            </w:r>
          </w:p>
        </w:tc>
        <w:tc>
          <w:tcPr>
            <w:tcW w:w="0" w:type="auto"/>
            <w:gridSpan w:val="3"/>
            <w:shd w:val="clear" w:color="auto" w:fill="auto"/>
            <w:tcMar>
              <w:top w:w="0" w:type="dxa"/>
              <w:left w:w="20" w:type="dxa"/>
              <w:bottom w:w="0" w:type="dxa"/>
              <w:right w:w="20" w:type="dxa"/>
            </w:tcMar>
            <w:vAlign w:val="bottom"/>
          </w:tcPr>
          <w:p w14:paraId="18602037"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2038" w14:textId="77777777" w:rsidR="00A91885" w:rsidRDefault="009C4196">
            <w:pPr>
              <w:jc w:val="center"/>
              <w:textAlignment w:val="bottom"/>
            </w:pPr>
            <w:r>
              <w:rPr>
                <w:rFonts w:ascii="Arial" w:eastAsia="宋体" w:hAnsi="Arial" w:cs="Arial"/>
                <w:b/>
                <w:bCs/>
                <w:color w:val="000000"/>
                <w:sz w:val="17"/>
                <w:szCs w:val="17"/>
              </w:rPr>
              <w:t xml:space="preserve">Maximum Dollar Value that May Yet be Purchased Under the Programs </w:t>
            </w:r>
            <w:r>
              <w:rPr>
                <w:rFonts w:ascii="Arial" w:eastAsia="宋体" w:hAnsi="Arial" w:cs="Arial"/>
                <w:b/>
                <w:bCs/>
                <w:color w:val="000000"/>
                <w:sz w:val="11"/>
                <w:szCs w:val="11"/>
              </w:rPr>
              <w:t>(1)</w:t>
            </w:r>
          </w:p>
        </w:tc>
      </w:tr>
      <w:tr w:rsidR="00A91885" w14:paraId="18602049" w14:textId="77777777">
        <w:tc>
          <w:tcPr>
            <w:tcW w:w="0" w:type="auto"/>
            <w:gridSpan w:val="3"/>
            <w:tcBorders>
              <w:top w:val="single" w:sz="8" w:space="0" w:color="000000"/>
            </w:tcBorders>
            <w:shd w:val="clear" w:color="auto" w:fill="E2E2E2"/>
            <w:tcMar>
              <w:top w:w="40" w:type="dxa"/>
              <w:left w:w="20" w:type="dxa"/>
              <w:bottom w:w="40" w:type="dxa"/>
              <w:right w:w="20" w:type="dxa"/>
            </w:tcMar>
            <w:vAlign w:val="bottom"/>
          </w:tcPr>
          <w:p w14:paraId="1860203A" w14:textId="77777777" w:rsidR="00A91885" w:rsidRDefault="009C4196">
            <w:pPr>
              <w:textAlignment w:val="bottom"/>
            </w:pPr>
            <w:r>
              <w:rPr>
                <w:rFonts w:ascii="Arial" w:eastAsia="宋体" w:hAnsi="Arial" w:cs="Arial"/>
                <w:color w:val="000000"/>
                <w:sz w:val="18"/>
                <w:szCs w:val="18"/>
              </w:rPr>
              <w:t>April 30, 2022</w:t>
            </w:r>
          </w:p>
        </w:tc>
        <w:tc>
          <w:tcPr>
            <w:tcW w:w="0" w:type="auto"/>
            <w:gridSpan w:val="3"/>
            <w:shd w:val="clear" w:color="auto" w:fill="E2E2E2"/>
            <w:tcMar>
              <w:top w:w="0" w:type="dxa"/>
              <w:left w:w="20" w:type="dxa"/>
              <w:bottom w:w="0" w:type="dxa"/>
              <w:right w:w="20" w:type="dxa"/>
            </w:tcMar>
            <w:vAlign w:val="bottom"/>
          </w:tcPr>
          <w:p w14:paraId="1860203B"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203C" w14:textId="77777777" w:rsidR="00A91885" w:rsidRDefault="009C4196">
            <w:pPr>
              <w:jc w:val="right"/>
              <w:textAlignment w:val="bottom"/>
            </w:pPr>
            <w:r>
              <w:rPr>
                <w:rFonts w:ascii="Arial" w:eastAsia="宋体" w:hAnsi="Arial" w:cs="Arial"/>
                <w:color w:val="000000"/>
                <w:sz w:val="18"/>
                <w:szCs w:val="18"/>
              </w:rPr>
              <w:t>12,217,374 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203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203E"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203F"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2040" w14:textId="77777777" w:rsidR="00A91885" w:rsidRDefault="009C4196">
            <w:pPr>
              <w:jc w:val="right"/>
              <w:textAlignment w:val="bottom"/>
            </w:pPr>
            <w:r>
              <w:rPr>
                <w:rFonts w:ascii="Arial" w:eastAsia="宋体" w:hAnsi="Arial" w:cs="Arial"/>
                <w:color w:val="000000"/>
                <w:sz w:val="18"/>
                <w:szCs w:val="18"/>
              </w:rPr>
              <w:t>54.33 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204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2042" w14:textId="77777777" w:rsidR="00A91885" w:rsidRDefault="00A91885">
            <w:pPr>
              <w:rPr>
                <w:rFonts w:ascii="宋体"/>
              </w:rPr>
            </w:pPr>
          </w:p>
        </w:tc>
        <w:tc>
          <w:tcPr>
            <w:tcW w:w="0" w:type="auto"/>
            <w:gridSpan w:val="2"/>
            <w:tcBorders>
              <w:top w:val="single" w:sz="8" w:space="0" w:color="000000"/>
            </w:tcBorders>
            <w:shd w:val="clear" w:color="auto" w:fill="E2E2E2"/>
            <w:tcMar>
              <w:top w:w="40" w:type="dxa"/>
              <w:left w:w="20" w:type="dxa"/>
              <w:bottom w:w="40" w:type="dxa"/>
              <w:right w:w="0" w:type="dxa"/>
            </w:tcMar>
            <w:vAlign w:val="bottom"/>
          </w:tcPr>
          <w:p w14:paraId="18602043" w14:textId="77777777" w:rsidR="00A91885" w:rsidRDefault="009C4196">
            <w:pPr>
              <w:jc w:val="right"/>
              <w:textAlignment w:val="bottom"/>
            </w:pPr>
            <w:r>
              <w:rPr>
                <w:rFonts w:ascii="Arial" w:eastAsia="宋体" w:hAnsi="Arial" w:cs="Arial"/>
                <w:color w:val="000000"/>
                <w:sz w:val="18"/>
                <w:szCs w:val="18"/>
              </w:rPr>
              <w:t>12,217,374 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204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2045" w14:textId="77777777" w:rsidR="00A91885" w:rsidRDefault="00A91885">
            <w:pPr>
              <w:rPr>
                <w:rFonts w:ascii="宋体"/>
              </w:rPr>
            </w:pPr>
          </w:p>
        </w:tc>
        <w:tc>
          <w:tcPr>
            <w:tcW w:w="0" w:type="auto"/>
            <w:tcBorders>
              <w:top w:val="single" w:sz="8" w:space="0" w:color="000000"/>
            </w:tcBorders>
            <w:shd w:val="clear" w:color="auto" w:fill="E2E2E2"/>
            <w:tcMar>
              <w:top w:w="40" w:type="dxa"/>
              <w:left w:w="20" w:type="dxa"/>
              <w:bottom w:w="40" w:type="dxa"/>
              <w:right w:w="0" w:type="dxa"/>
            </w:tcMar>
            <w:vAlign w:val="bottom"/>
          </w:tcPr>
          <w:p w14:paraId="18602046" w14:textId="77777777" w:rsidR="00A91885" w:rsidRDefault="009C4196">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E2E2E2"/>
            <w:tcMar>
              <w:top w:w="40" w:type="dxa"/>
              <w:left w:w="0" w:type="dxa"/>
              <w:bottom w:w="40" w:type="dxa"/>
              <w:right w:w="0" w:type="dxa"/>
            </w:tcMar>
            <w:vAlign w:val="bottom"/>
          </w:tcPr>
          <w:p w14:paraId="18602047" w14:textId="77777777" w:rsidR="00A91885" w:rsidRDefault="009C4196">
            <w:pPr>
              <w:jc w:val="right"/>
              <w:textAlignment w:val="bottom"/>
            </w:pPr>
            <w:r>
              <w:rPr>
                <w:rFonts w:ascii="Arial" w:eastAsia="宋体" w:hAnsi="Arial" w:cs="Arial"/>
                <w:color w:val="000000"/>
                <w:sz w:val="18"/>
                <w:szCs w:val="18"/>
              </w:rPr>
              <w:t>4,077,490,420 </w:t>
            </w:r>
          </w:p>
        </w:tc>
        <w:tc>
          <w:tcPr>
            <w:tcW w:w="0" w:type="auto"/>
            <w:tcBorders>
              <w:top w:val="single" w:sz="8" w:space="0" w:color="000000"/>
            </w:tcBorders>
            <w:shd w:val="clear" w:color="auto" w:fill="E2E2E2"/>
            <w:tcMar>
              <w:top w:w="40" w:type="dxa"/>
              <w:left w:w="0" w:type="dxa"/>
              <w:bottom w:w="40" w:type="dxa"/>
              <w:right w:w="20" w:type="dxa"/>
            </w:tcMar>
            <w:vAlign w:val="bottom"/>
          </w:tcPr>
          <w:p w14:paraId="18602048" w14:textId="77777777" w:rsidR="00A91885" w:rsidRDefault="00A91885">
            <w:pPr>
              <w:jc w:val="right"/>
              <w:rPr>
                <w:rFonts w:ascii="宋体"/>
              </w:rPr>
            </w:pPr>
          </w:p>
        </w:tc>
      </w:tr>
      <w:tr w:rsidR="00A91885" w14:paraId="18602059" w14:textId="77777777">
        <w:tc>
          <w:tcPr>
            <w:tcW w:w="0" w:type="auto"/>
            <w:gridSpan w:val="3"/>
            <w:shd w:val="clear" w:color="auto" w:fill="FFFFFF"/>
            <w:tcMar>
              <w:top w:w="40" w:type="dxa"/>
              <w:left w:w="20" w:type="dxa"/>
              <w:bottom w:w="40" w:type="dxa"/>
              <w:right w:w="20" w:type="dxa"/>
            </w:tcMar>
            <w:vAlign w:val="bottom"/>
          </w:tcPr>
          <w:p w14:paraId="1860204A" w14:textId="77777777" w:rsidR="00A91885" w:rsidRDefault="009C4196">
            <w:pPr>
              <w:textAlignment w:val="bottom"/>
            </w:pPr>
            <w:r>
              <w:rPr>
                <w:rFonts w:ascii="Arial" w:eastAsia="宋体" w:hAnsi="Arial" w:cs="Arial"/>
                <w:color w:val="000000"/>
                <w:sz w:val="18"/>
                <w:szCs w:val="18"/>
              </w:rPr>
              <w:t>May 31, 2022</w:t>
            </w:r>
          </w:p>
        </w:tc>
        <w:tc>
          <w:tcPr>
            <w:tcW w:w="0" w:type="auto"/>
            <w:gridSpan w:val="3"/>
            <w:shd w:val="clear" w:color="auto" w:fill="FFFFFF"/>
            <w:tcMar>
              <w:top w:w="0" w:type="dxa"/>
              <w:left w:w="20" w:type="dxa"/>
              <w:bottom w:w="0" w:type="dxa"/>
              <w:right w:w="20" w:type="dxa"/>
            </w:tcMar>
            <w:vAlign w:val="bottom"/>
          </w:tcPr>
          <w:p w14:paraId="1860204B"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204C" w14:textId="77777777" w:rsidR="00A91885" w:rsidRDefault="009C4196">
            <w:pPr>
              <w:jc w:val="right"/>
              <w:textAlignment w:val="bottom"/>
            </w:pPr>
            <w:r>
              <w:rPr>
                <w:rFonts w:ascii="Arial" w:eastAsia="宋体" w:hAnsi="Arial" w:cs="Arial"/>
                <w:color w:val="000000"/>
                <w:sz w:val="18"/>
                <w:szCs w:val="18"/>
              </w:rPr>
              <w:t>10,450,397 </w:t>
            </w:r>
          </w:p>
        </w:tc>
        <w:tc>
          <w:tcPr>
            <w:tcW w:w="0" w:type="auto"/>
            <w:shd w:val="clear" w:color="auto" w:fill="FFFFFF"/>
            <w:tcMar>
              <w:top w:w="40" w:type="dxa"/>
              <w:left w:w="0" w:type="dxa"/>
              <w:bottom w:w="40" w:type="dxa"/>
              <w:right w:w="20" w:type="dxa"/>
            </w:tcMar>
            <w:vAlign w:val="bottom"/>
          </w:tcPr>
          <w:p w14:paraId="1860204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204E"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204F"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2050" w14:textId="77777777" w:rsidR="00A91885" w:rsidRDefault="009C4196">
            <w:pPr>
              <w:jc w:val="right"/>
              <w:textAlignment w:val="bottom"/>
            </w:pPr>
            <w:r>
              <w:rPr>
                <w:rFonts w:ascii="Arial" w:eastAsia="宋体" w:hAnsi="Arial" w:cs="Arial"/>
                <w:color w:val="000000"/>
                <w:sz w:val="18"/>
                <w:szCs w:val="18"/>
              </w:rPr>
              <w:t>48.57 </w:t>
            </w:r>
          </w:p>
        </w:tc>
        <w:tc>
          <w:tcPr>
            <w:tcW w:w="0" w:type="auto"/>
            <w:shd w:val="clear" w:color="auto" w:fill="FFFFFF"/>
            <w:tcMar>
              <w:top w:w="40" w:type="dxa"/>
              <w:left w:w="0" w:type="dxa"/>
              <w:bottom w:w="40" w:type="dxa"/>
              <w:right w:w="20" w:type="dxa"/>
            </w:tcMar>
            <w:vAlign w:val="bottom"/>
          </w:tcPr>
          <w:p w14:paraId="18602051"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2052" w14:textId="77777777" w:rsidR="00A91885" w:rsidRDefault="00A91885">
            <w:pPr>
              <w:rPr>
                <w:rFonts w:ascii="宋体"/>
              </w:rPr>
            </w:pPr>
          </w:p>
        </w:tc>
        <w:tc>
          <w:tcPr>
            <w:tcW w:w="0" w:type="auto"/>
            <w:gridSpan w:val="2"/>
            <w:shd w:val="clear" w:color="auto" w:fill="FFFFFF"/>
            <w:tcMar>
              <w:top w:w="40" w:type="dxa"/>
              <w:left w:w="20" w:type="dxa"/>
              <w:bottom w:w="40" w:type="dxa"/>
              <w:right w:w="0" w:type="dxa"/>
            </w:tcMar>
            <w:vAlign w:val="bottom"/>
          </w:tcPr>
          <w:p w14:paraId="18602053" w14:textId="77777777" w:rsidR="00A91885" w:rsidRDefault="009C4196">
            <w:pPr>
              <w:jc w:val="right"/>
              <w:textAlignment w:val="bottom"/>
            </w:pPr>
            <w:r>
              <w:rPr>
                <w:rFonts w:ascii="Arial" w:eastAsia="宋体" w:hAnsi="Arial" w:cs="Arial"/>
                <w:color w:val="000000"/>
                <w:sz w:val="18"/>
                <w:szCs w:val="18"/>
              </w:rPr>
              <w:t>10,450,397 </w:t>
            </w:r>
          </w:p>
        </w:tc>
        <w:tc>
          <w:tcPr>
            <w:tcW w:w="0" w:type="auto"/>
            <w:shd w:val="clear" w:color="auto" w:fill="FFFFFF"/>
            <w:tcMar>
              <w:top w:w="40" w:type="dxa"/>
              <w:left w:w="0" w:type="dxa"/>
              <w:bottom w:w="40" w:type="dxa"/>
              <w:right w:w="20" w:type="dxa"/>
            </w:tcMar>
            <w:vAlign w:val="bottom"/>
          </w:tcPr>
          <w:p w14:paraId="18602054"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2055" w14:textId="77777777" w:rsidR="00A91885" w:rsidRDefault="00A91885">
            <w:pPr>
              <w:rPr>
                <w:rFonts w:ascii="宋体"/>
              </w:rPr>
            </w:pPr>
          </w:p>
        </w:tc>
        <w:tc>
          <w:tcPr>
            <w:tcW w:w="0" w:type="auto"/>
            <w:shd w:val="clear" w:color="auto" w:fill="FFFFFF"/>
            <w:tcMar>
              <w:top w:w="40" w:type="dxa"/>
              <w:left w:w="20" w:type="dxa"/>
              <w:bottom w:w="40" w:type="dxa"/>
              <w:right w:w="0" w:type="dxa"/>
            </w:tcMar>
            <w:vAlign w:val="bottom"/>
          </w:tcPr>
          <w:p w14:paraId="18602056" w14:textId="77777777" w:rsidR="00A91885" w:rsidRDefault="009C4196">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18602057" w14:textId="77777777" w:rsidR="00A91885" w:rsidRDefault="009C4196">
            <w:pPr>
              <w:jc w:val="right"/>
              <w:textAlignment w:val="bottom"/>
            </w:pPr>
            <w:r>
              <w:rPr>
                <w:rFonts w:ascii="Arial" w:eastAsia="宋体" w:hAnsi="Arial" w:cs="Arial"/>
                <w:color w:val="000000"/>
                <w:sz w:val="18"/>
                <w:szCs w:val="18"/>
              </w:rPr>
              <w:t>3,569,907,111 </w:t>
            </w:r>
          </w:p>
        </w:tc>
        <w:tc>
          <w:tcPr>
            <w:tcW w:w="0" w:type="auto"/>
            <w:shd w:val="clear" w:color="auto" w:fill="FFFFFF"/>
            <w:tcMar>
              <w:top w:w="40" w:type="dxa"/>
              <w:left w:w="0" w:type="dxa"/>
              <w:bottom w:w="40" w:type="dxa"/>
              <w:right w:w="20" w:type="dxa"/>
            </w:tcMar>
            <w:vAlign w:val="bottom"/>
          </w:tcPr>
          <w:p w14:paraId="18602058" w14:textId="77777777" w:rsidR="00A91885" w:rsidRDefault="00A91885">
            <w:pPr>
              <w:jc w:val="right"/>
              <w:rPr>
                <w:rFonts w:ascii="宋体"/>
              </w:rPr>
            </w:pPr>
          </w:p>
        </w:tc>
      </w:tr>
      <w:tr w:rsidR="00A91885" w14:paraId="18602069" w14:textId="77777777">
        <w:tc>
          <w:tcPr>
            <w:tcW w:w="0" w:type="auto"/>
            <w:gridSpan w:val="3"/>
            <w:shd w:val="clear" w:color="auto" w:fill="E2E2E2"/>
            <w:tcMar>
              <w:top w:w="40" w:type="dxa"/>
              <w:left w:w="20" w:type="dxa"/>
              <w:bottom w:w="40" w:type="dxa"/>
              <w:right w:w="20" w:type="dxa"/>
            </w:tcMar>
            <w:vAlign w:val="bottom"/>
          </w:tcPr>
          <w:p w14:paraId="1860205A" w14:textId="77777777" w:rsidR="00A91885" w:rsidRDefault="009C4196">
            <w:pPr>
              <w:textAlignment w:val="bottom"/>
            </w:pPr>
            <w:r>
              <w:rPr>
                <w:rFonts w:ascii="Arial" w:eastAsia="宋体" w:hAnsi="Arial" w:cs="Arial"/>
                <w:color w:val="000000"/>
                <w:sz w:val="18"/>
                <w:szCs w:val="18"/>
              </w:rPr>
              <w:t>June 30, 2022</w:t>
            </w:r>
          </w:p>
        </w:tc>
        <w:tc>
          <w:tcPr>
            <w:tcW w:w="0" w:type="auto"/>
            <w:gridSpan w:val="3"/>
            <w:shd w:val="clear" w:color="auto" w:fill="E2E2E2"/>
            <w:tcMar>
              <w:top w:w="0" w:type="dxa"/>
              <w:left w:w="20" w:type="dxa"/>
              <w:bottom w:w="0" w:type="dxa"/>
              <w:right w:w="20" w:type="dxa"/>
            </w:tcMar>
            <w:vAlign w:val="bottom"/>
          </w:tcPr>
          <w:p w14:paraId="1860205B"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205C" w14:textId="77777777" w:rsidR="00A91885" w:rsidRDefault="009C4196">
            <w:pPr>
              <w:jc w:val="right"/>
              <w:textAlignment w:val="bottom"/>
            </w:pPr>
            <w:r>
              <w:rPr>
                <w:rFonts w:ascii="Arial" w:eastAsia="宋体" w:hAnsi="Arial" w:cs="Arial"/>
                <w:color w:val="000000"/>
                <w:sz w:val="18"/>
                <w:szCs w:val="18"/>
              </w:rPr>
              <w:t>2,592,147 </w:t>
            </w:r>
          </w:p>
        </w:tc>
        <w:tc>
          <w:tcPr>
            <w:tcW w:w="0" w:type="auto"/>
            <w:shd w:val="clear" w:color="auto" w:fill="E2E2E2"/>
            <w:tcMar>
              <w:top w:w="40" w:type="dxa"/>
              <w:left w:w="0" w:type="dxa"/>
              <w:bottom w:w="40" w:type="dxa"/>
              <w:right w:w="20" w:type="dxa"/>
            </w:tcMar>
            <w:vAlign w:val="bottom"/>
          </w:tcPr>
          <w:p w14:paraId="1860205D"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205E"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205F"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2060" w14:textId="77777777" w:rsidR="00A91885" w:rsidRDefault="009C4196">
            <w:pPr>
              <w:jc w:val="right"/>
              <w:textAlignment w:val="bottom"/>
            </w:pPr>
            <w:r>
              <w:rPr>
                <w:rFonts w:ascii="Arial" w:eastAsia="宋体" w:hAnsi="Arial" w:cs="Arial"/>
                <w:color w:val="000000"/>
                <w:sz w:val="18"/>
                <w:szCs w:val="18"/>
              </w:rPr>
              <w:t>46.40 </w:t>
            </w:r>
          </w:p>
        </w:tc>
        <w:tc>
          <w:tcPr>
            <w:tcW w:w="0" w:type="auto"/>
            <w:shd w:val="clear" w:color="auto" w:fill="E2E2E2"/>
            <w:tcMar>
              <w:top w:w="40" w:type="dxa"/>
              <w:left w:w="0" w:type="dxa"/>
              <w:bottom w:w="40" w:type="dxa"/>
              <w:right w:w="20" w:type="dxa"/>
            </w:tcMar>
            <w:vAlign w:val="bottom"/>
          </w:tcPr>
          <w:p w14:paraId="18602061"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2062" w14:textId="77777777" w:rsidR="00A91885" w:rsidRDefault="00A91885">
            <w:pPr>
              <w:rPr>
                <w:rFonts w:ascii="宋体"/>
              </w:rPr>
            </w:pPr>
          </w:p>
        </w:tc>
        <w:tc>
          <w:tcPr>
            <w:tcW w:w="0" w:type="auto"/>
            <w:gridSpan w:val="2"/>
            <w:shd w:val="clear" w:color="auto" w:fill="E2E2E2"/>
            <w:tcMar>
              <w:top w:w="40" w:type="dxa"/>
              <w:left w:w="20" w:type="dxa"/>
              <w:bottom w:w="40" w:type="dxa"/>
              <w:right w:w="0" w:type="dxa"/>
            </w:tcMar>
            <w:vAlign w:val="bottom"/>
          </w:tcPr>
          <w:p w14:paraId="18602063" w14:textId="77777777" w:rsidR="00A91885" w:rsidRDefault="009C4196">
            <w:pPr>
              <w:jc w:val="right"/>
              <w:textAlignment w:val="bottom"/>
            </w:pPr>
            <w:r>
              <w:rPr>
                <w:rFonts w:ascii="Arial" w:eastAsia="宋体" w:hAnsi="Arial" w:cs="Arial"/>
                <w:color w:val="000000"/>
                <w:sz w:val="18"/>
                <w:szCs w:val="18"/>
              </w:rPr>
              <w:t>2,592,147 </w:t>
            </w:r>
          </w:p>
        </w:tc>
        <w:tc>
          <w:tcPr>
            <w:tcW w:w="0" w:type="auto"/>
            <w:shd w:val="clear" w:color="auto" w:fill="E2E2E2"/>
            <w:tcMar>
              <w:top w:w="40" w:type="dxa"/>
              <w:left w:w="0" w:type="dxa"/>
              <w:bottom w:w="40" w:type="dxa"/>
              <w:right w:w="20" w:type="dxa"/>
            </w:tcMar>
            <w:vAlign w:val="bottom"/>
          </w:tcPr>
          <w:p w14:paraId="18602064" w14:textId="77777777" w:rsidR="00A91885" w:rsidRDefault="00A91885">
            <w:pPr>
              <w:jc w:val="right"/>
              <w:rPr>
                <w:rFonts w:ascii="宋体"/>
              </w:rPr>
            </w:pPr>
          </w:p>
        </w:tc>
        <w:tc>
          <w:tcPr>
            <w:tcW w:w="0" w:type="auto"/>
            <w:gridSpan w:val="3"/>
            <w:shd w:val="clear" w:color="auto" w:fill="E2E2E2"/>
            <w:tcMar>
              <w:top w:w="0" w:type="dxa"/>
              <w:left w:w="20" w:type="dxa"/>
              <w:bottom w:w="0" w:type="dxa"/>
              <w:right w:w="20" w:type="dxa"/>
            </w:tcMar>
            <w:vAlign w:val="bottom"/>
          </w:tcPr>
          <w:p w14:paraId="18602065" w14:textId="77777777" w:rsidR="00A91885" w:rsidRDefault="00A91885">
            <w:pPr>
              <w:rPr>
                <w:rFonts w:ascii="宋体"/>
              </w:rPr>
            </w:pPr>
          </w:p>
        </w:tc>
        <w:tc>
          <w:tcPr>
            <w:tcW w:w="0" w:type="auto"/>
            <w:shd w:val="clear" w:color="auto" w:fill="E2E2E2"/>
            <w:tcMar>
              <w:top w:w="40" w:type="dxa"/>
              <w:left w:w="20" w:type="dxa"/>
              <w:bottom w:w="40" w:type="dxa"/>
              <w:right w:w="0" w:type="dxa"/>
            </w:tcMar>
            <w:vAlign w:val="bottom"/>
          </w:tcPr>
          <w:p w14:paraId="18602066" w14:textId="77777777" w:rsidR="00A91885" w:rsidRDefault="009C4196">
            <w:pPr>
              <w:textAlignment w:val="bottom"/>
            </w:pPr>
            <w:r>
              <w:rPr>
                <w:rFonts w:ascii="Arial" w:eastAsia="宋体" w:hAnsi="Arial" w:cs="Arial"/>
                <w:color w:val="000000"/>
                <w:sz w:val="18"/>
                <w:szCs w:val="18"/>
              </w:rPr>
              <w:t>$</w:t>
            </w:r>
          </w:p>
        </w:tc>
        <w:tc>
          <w:tcPr>
            <w:tcW w:w="0" w:type="auto"/>
            <w:shd w:val="clear" w:color="auto" w:fill="E2E2E2"/>
            <w:tcMar>
              <w:top w:w="40" w:type="dxa"/>
              <w:left w:w="0" w:type="dxa"/>
              <w:bottom w:w="40" w:type="dxa"/>
              <w:right w:w="0" w:type="dxa"/>
            </w:tcMar>
            <w:vAlign w:val="bottom"/>
          </w:tcPr>
          <w:p w14:paraId="18602067" w14:textId="77777777" w:rsidR="00A91885" w:rsidRDefault="009C4196">
            <w:pPr>
              <w:jc w:val="right"/>
              <w:textAlignment w:val="bottom"/>
            </w:pPr>
            <w:r>
              <w:rPr>
                <w:rFonts w:ascii="Arial" w:eastAsia="宋体" w:hAnsi="Arial" w:cs="Arial"/>
                <w:color w:val="000000"/>
                <w:sz w:val="18"/>
                <w:szCs w:val="18"/>
              </w:rPr>
              <w:t>3,449,639,372 </w:t>
            </w:r>
          </w:p>
        </w:tc>
        <w:tc>
          <w:tcPr>
            <w:tcW w:w="0" w:type="auto"/>
            <w:shd w:val="clear" w:color="auto" w:fill="E2E2E2"/>
            <w:tcMar>
              <w:top w:w="40" w:type="dxa"/>
              <w:left w:w="0" w:type="dxa"/>
              <w:bottom w:w="40" w:type="dxa"/>
              <w:right w:w="20" w:type="dxa"/>
            </w:tcMar>
            <w:vAlign w:val="bottom"/>
          </w:tcPr>
          <w:p w14:paraId="18602068" w14:textId="77777777" w:rsidR="00A91885" w:rsidRDefault="00A91885">
            <w:pPr>
              <w:jc w:val="right"/>
              <w:rPr>
                <w:rFonts w:ascii="宋体"/>
              </w:rPr>
            </w:pPr>
          </w:p>
        </w:tc>
      </w:tr>
      <w:tr w:rsidR="00A91885" w14:paraId="18602075" w14:textId="77777777">
        <w:tc>
          <w:tcPr>
            <w:tcW w:w="0" w:type="auto"/>
            <w:gridSpan w:val="3"/>
            <w:shd w:val="clear" w:color="auto" w:fill="FFFFFF"/>
            <w:tcMar>
              <w:top w:w="0" w:type="dxa"/>
              <w:left w:w="20" w:type="dxa"/>
              <w:bottom w:w="0" w:type="dxa"/>
              <w:right w:w="20" w:type="dxa"/>
            </w:tcMar>
            <w:vAlign w:val="bottom"/>
          </w:tcPr>
          <w:p w14:paraId="1860206A"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206B" w14:textId="77777777" w:rsidR="00A91885" w:rsidRDefault="00A9188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206C" w14:textId="77777777" w:rsidR="00A91885" w:rsidRDefault="009C4196">
            <w:pPr>
              <w:jc w:val="right"/>
              <w:textAlignment w:val="bottom"/>
            </w:pPr>
            <w:r>
              <w:rPr>
                <w:rFonts w:ascii="Arial" w:eastAsia="宋体" w:hAnsi="Arial" w:cs="Arial"/>
                <w:color w:val="000000"/>
                <w:sz w:val="18"/>
                <w:szCs w:val="18"/>
              </w:rPr>
              <w:t>25,259,918 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206D"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206E"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206F"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2070" w14:textId="77777777" w:rsidR="00A91885" w:rsidRDefault="00A91885">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18602071" w14:textId="77777777" w:rsidR="00A91885" w:rsidRDefault="009C4196">
            <w:pPr>
              <w:jc w:val="right"/>
              <w:textAlignment w:val="bottom"/>
            </w:pPr>
            <w:r>
              <w:rPr>
                <w:rFonts w:ascii="Arial" w:eastAsia="宋体" w:hAnsi="Arial" w:cs="Arial"/>
                <w:color w:val="000000"/>
                <w:sz w:val="18"/>
                <w:szCs w:val="18"/>
              </w:rPr>
              <w:t>25,259,918 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18602072" w14:textId="77777777" w:rsidR="00A91885" w:rsidRDefault="00A91885">
            <w:pPr>
              <w:jc w:val="right"/>
              <w:rPr>
                <w:rFonts w:ascii="宋体"/>
              </w:rPr>
            </w:pPr>
          </w:p>
        </w:tc>
        <w:tc>
          <w:tcPr>
            <w:tcW w:w="0" w:type="auto"/>
            <w:gridSpan w:val="3"/>
            <w:shd w:val="clear" w:color="auto" w:fill="FFFFFF"/>
            <w:tcMar>
              <w:top w:w="0" w:type="dxa"/>
              <w:left w:w="20" w:type="dxa"/>
              <w:bottom w:w="0" w:type="dxa"/>
              <w:right w:w="20" w:type="dxa"/>
            </w:tcMar>
            <w:vAlign w:val="bottom"/>
          </w:tcPr>
          <w:p w14:paraId="18602073" w14:textId="77777777" w:rsidR="00A91885" w:rsidRDefault="00A91885">
            <w:pPr>
              <w:rPr>
                <w:rFonts w:ascii="宋体"/>
              </w:rPr>
            </w:pPr>
          </w:p>
        </w:tc>
        <w:tc>
          <w:tcPr>
            <w:tcW w:w="0" w:type="auto"/>
            <w:gridSpan w:val="3"/>
            <w:shd w:val="clear" w:color="auto" w:fill="FFFFFF"/>
            <w:tcMar>
              <w:top w:w="0" w:type="dxa"/>
              <w:left w:w="20" w:type="dxa"/>
              <w:bottom w:w="0" w:type="dxa"/>
              <w:right w:w="20" w:type="dxa"/>
            </w:tcMar>
            <w:vAlign w:val="bottom"/>
          </w:tcPr>
          <w:p w14:paraId="18602074" w14:textId="77777777" w:rsidR="00A91885" w:rsidRDefault="00A91885">
            <w:pPr>
              <w:rPr>
                <w:rFonts w:ascii="宋体"/>
              </w:rPr>
            </w:pPr>
          </w:p>
        </w:tc>
      </w:tr>
    </w:tbl>
    <w:p w14:paraId="18602076" w14:textId="77777777" w:rsidR="00A91885" w:rsidRDefault="009C4196">
      <w:pPr>
        <w:spacing w:after="60"/>
        <w:ind w:hanging="360"/>
        <w:jc w:val="both"/>
      </w:pPr>
      <w:r>
        <w:rPr>
          <w:rFonts w:ascii="Arial" w:eastAsia="宋体" w:hAnsi="Arial" w:cs="Arial"/>
          <w:color w:val="000000"/>
          <w:sz w:val="16"/>
          <w:szCs w:val="16"/>
        </w:rPr>
        <w:t xml:space="preserve">(1)In August 2021 our Board authorized an additional $3.0 billion stock repurchase program and in February 2022 our Board authorized an </w:t>
      </w:r>
      <w:r>
        <w:rPr>
          <w:rFonts w:ascii="Arial" w:eastAsia="宋体" w:hAnsi="Arial" w:cs="Arial"/>
          <w:color w:val="000000"/>
          <w:sz w:val="16"/>
          <w:szCs w:val="16"/>
        </w:rPr>
        <w:t>additional $4.0 billion stock repurchase program. These stock repurchase programs have no expiration from the date of authorization.</w:t>
      </w:r>
    </w:p>
    <w:p w14:paraId="18602077" w14:textId="77777777" w:rsidR="00A91885" w:rsidRDefault="009C4196">
      <w:pPr>
        <w:spacing w:after="60"/>
        <w:jc w:val="both"/>
      </w:pPr>
      <w:r>
        <w:rPr>
          <w:rFonts w:ascii="Arial" w:eastAsia="宋体" w:hAnsi="Arial" w:cs="Arial"/>
          <w:color w:val="000000"/>
          <w:sz w:val="16"/>
          <w:szCs w:val="16"/>
        </w:rPr>
        <w:t>Our stock repurchase programs are intended to programmatically offset the impact of dilution from our equity compensation p</w:t>
      </w:r>
      <w:r>
        <w:rPr>
          <w:rFonts w:ascii="Arial" w:eastAsia="宋体" w:hAnsi="Arial" w:cs="Arial"/>
          <w:color w:val="000000"/>
          <w:sz w:val="16"/>
          <w:szCs w:val="16"/>
        </w:rPr>
        <w:t>rograms and, subject to market conditions and other factors, to make opportunistic and programmatic repurchases of our common stock to reduce our outstanding share count. Any share repurchases under our stock repurchase programs may be made through open ma</w:t>
      </w:r>
      <w:r>
        <w:rPr>
          <w:rFonts w:ascii="Arial" w:eastAsia="宋体" w:hAnsi="Arial" w:cs="Arial"/>
          <w:color w:val="000000"/>
          <w:sz w:val="16"/>
          <w:szCs w:val="16"/>
        </w:rPr>
        <w:t>rket transactions, block trades, privately negotiated transactions (including accelerated share repurchase transactions) or other means at times and in such amounts as management deems appropriate and will be funded from our working capital or other financ</w:t>
      </w:r>
      <w:r>
        <w:rPr>
          <w:rFonts w:ascii="Arial" w:eastAsia="宋体" w:hAnsi="Arial" w:cs="Arial"/>
          <w:color w:val="000000"/>
          <w:sz w:val="16"/>
          <w:szCs w:val="16"/>
        </w:rPr>
        <w:t xml:space="preserve">ing alternatives. </w:t>
      </w:r>
    </w:p>
    <w:p w14:paraId="18602078" w14:textId="77777777" w:rsidR="00A91885" w:rsidRDefault="009C4196">
      <w:pPr>
        <w:spacing w:after="60"/>
        <w:jc w:val="both"/>
      </w:pPr>
      <w:r>
        <w:rPr>
          <w:rFonts w:ascii="Arial" w:eastAsia="宋体" w:hAnsi="Arial" w:cs="Arial"/>
          <w:color w:val="000000"/>
          <w:sz w:val="16"/>
          <w:szCs w:val="16"/>
        </w:rPr>
        <w:t>During the three months ended June 30, 2022, we repurchased approximately $2.5 billion of our common stock under our stock repurchase programs. As of June 30, 2022, a total of approximately $3.4 billion remained available for future repu</w:t>
      </w:r>
      <w:r>
        <w:rPr>
          <w:rFonts w:ascii="Arial" w:eastAsia="宋体" w:hAnsi="Arial" w:cs="Arial"/>
          <w:color w:val="000000"/>
          <w:sz w:val="16"/>
          <w:szCs w:val="16"/>
        </w:rPr>
        <w:t>rchases of our common stock under our stock repurchase programs.</w:t>
      </w:r>
    </w:p>
    <w:p w14:paraId="18602079" w14:textId="77777777" w:rsidR="00A91885" w:rsidRDefault="009C4196">
      <w:pPr>
        <w:spacing w:after="60"/>
        <w:jc w:val="both"/>
      </w:pPr>
      <w:r>
        <w:rPr>
          <w:rFonts w:ascii="Arial" w:eastAsia="宋体" w:hAnsi="Arial" w:cs="Arial"/>
          <w:color w:val="000000"/>
          <w:sz w:val="16"/>
          <w:szCs w:val="16"/>
        </w:rPr>
        <w:t xml:space="preserve">We expect, subject to market conditions and other uncertainties, to continue making opportunistic and programmatic repurchases of our common stock. However, our stock repurchase programs may </w:t>
      </w:r>
      <w:r>
        <w:rPr>
          <w:rFonts w:ascii="Arial" w:eastAsia="宋体" w:hAnsi="Arial" w:cs="Arial"/>
          <w:color w:val="000000"/>
          <w:sz w:val="16"/>
          <w:szCs w:val="16"/>
        </w:rPr>
        <w:t>be limited or terminated at any time without prior notice. The timing and actual number of shares repurchased will depend on a variety of factors, including corporate and regulatory requirements, price and other market conditions and management’s determina</w:t>
      </w:r>
      <w:r>
        <w:rPr>
          <w:rFonts w:ascii="Arial" w:eastAsia="宋体" w:hAnsi="Arial" w:cs="Arial"/>
          <w:color w:val="000000"/>
          <w:sz w:val="16"/>
          <w:szCs w:val="16"/>
        </w:rPr>
        <w:t>tion as to the appropriate use of our cash. </w:t>
      </w:r>
    </w:p>
    <w:p w14:paraId="1860207A" w14:textId="77777777" w:rsidR="00A91885" w:rsidRDefault="009C4196">
      <w:pPr>
        <w:spacing w:after="60"/>
        <w:ind w:hanging="360"/>
      </w:pPr>
      <w:r>
        <w:rPr>
          <w:rFonts w:ascii="Arial" w:eastAsia="宋体" w:hAnsi="Arial" w:cs="Arial"/>
          <w:color w:val="000000"/>
          <w:sz w:val="16"/>
          <w:szCs w:val="16"/>
        </w:rPr>
        <w:t>(2)Excludes broker commissions.</w:t>
      </w:r>
    </w:p>
    <w:p w14:paraId="1860207B" w14:textId="77777777" w:rsidR="00A91885" w:rsidRDefault="00A91885">
      <w:pPr>
        <w:ind w:firstLine="450"/>
      </w:pPr>
    </w:p>
    <w:p w14:paraId="1860207C" w14:textId="77777777" w:rsidR="00A91885" w:rsidRDefault="00A91885"/>
    <w:p w14:paraId="1860207D" w14:textId="77777777" w:rsidR="00A91885" w:rsidRDefault="009C4196">
      <w:pPr>
        <w:ind w:hanging="1080"/>
      </w:pPr>
      <w:r>
        <w:rPr>
          <w:rFonts w:ascii="Arial" w:eastAsia="宋体" w:hAnsi="Arial" w:cs="Arial"/>
          <w:b/>
          <w:bCs/>
          <w:color w:val="000000"/>
          <w:sz w:val="20"/>
          <w:szCs w:val="20"/>
        </w:rPr>
        <w:t>Item 3:</w:t>
      </w:r>
      <w:r>
        <w:rPr>
          <w:rFonts w:ascii="Arial" w:eastAsia="宋体" w:hAnsi="Arial" w:cs="Arial"/>
          <w:color w:val="000000"/>
          <w:sz w:val="20"/>
          <w:szCs w:val="20"/>
        </w:rPr>
        <w:t>    </w:t>
      </w:r>
      <w:r>
        <w:rPr>
          <w:rFonts w:ascii="Arial" w:eastAsia="宋体" w:hAnsi="Arial" w:cs="Arial"/>
          <w:b/>
          <w:bCs/>
          <w:color w:val="000000"/>
          <w:sz w:val="20"/>
          <w:szCs w:val="20"/>
        </w:rPr>
        <w:t>Defaults Upon Senior Securities</w:t>
      </w:r>
    </w:p>
    <w:p w14:paraId="1860207E" w14:textId="77777777" w:rsidR="00A91885" w:rsidRDefault="00A91885">
      <w:pPr>
        <w:ind w:hanging="1080"/>
      </w:pPr>
    </w:p>
    <w:p w14:paraId="1860207F" w14:textId="77777777" w:rsidR="00A91885" w:rsidRDefault="009C4196">
      <w:pPr>
        <w:ind w:firstLine="540"/>
      </w:pPr>
      <w:r>
        <w:rPr>
          <w:rFonts w:ascii="Arial" w:eastAsia="宋体" w:hAnsi="Arial" w:cs="Arial"/>
          <w:color w:val="000000"/>
          <w:sz w:val="20"/>
          <w:szCs w:val="20"/>
        </w:rPr>
        <w:t>Not applicable.</w:t>
      </w:r>
    </w:p>
    <w:p w14:paraId="18602080" w14:textId="77777777" w:rsidR="00A91885" w:rsidRDefault="00A91885">
      <w:pPr>
        <w:ind w:firstLine="540"/>
      </w:pPr>
    </w:p>
    <w:p w14:paraId="18602081" w14:textId="77777777" w:rsidR="00A91885" w:rsidRDefault="009C4196">
      <w:pPr>
        <w:ind w:hanging="1080"/>
      </w:pPr>
      <w:r>
        <w:rPr>
          <w:rFonts w:ascii="Arial" w:eastAsia="宋体" w:hAnsi="Arial" w:cs="Arial"/>
          <w:b/>
          <w:bCs/>
          <w:color w:val="000000"/>
          <w:sz w:val="20"/>
          <w:szCs w:val="20"/>
        </w:rPr>
        <w:t>Item 4:</w:t>
      </w:r>
      <w:r>
        <w:rPr>
          <w:rFonts w:ascii="Arial" w:eastAsia="宋体" w:hAnsi="Arial" w:cs="Arial"/>
          <w:color w:val="000000"/>
          <w:sz w:val="20"/>
          <w:szCs w:val="20"/>
        </w:rPr>
        <w:t>    </w:t>
      </w:r>
      <w:r>
        <w:rPr>
          <w:rFonts w:ascii="Arial" w:eastAsia="宋体" w:hAnsi="Arial" w:cs="Arial"/>
          <w:b/>
          <w:bCs/>
          <w:color w:val="000000"/>
          <w:sz w:val="20"/>
          <w:szCs w:val="20"/>
        </w:rPr>
        <w:t>Mine Safety Disclosures</w:t>
      </w:r>
    </w:p>
    <w:p w14:paraId="18602082" w14:textId="77777777" w:rsidR="00A91885" w:rsidRDefault="00A91885">
      <w:pPr>
        <w:ind w:firstLine="540"/>
      </w:pPr>
    </w:p>
    <w:p w14:paraId="18602083" w14:textId="77777777" w:rsidR="00A91885" w:rsidRDefault="009C4196">
      <w:pPr>
        <w:ind w:firstLine="540"/>
      </w:pPr>
      <w:r>
        <w:rPr>
          <w:rFonts w:ascii="Arial" w:eastAsia="宋体" w:hAnsi="Arial" w:cs="Arial"/>
          <w:color w:val="000000"/>
          <w:sz w:val="20"/>
          <w:szCs w:val="20"/>
        </w:rPr>
        <w:t>Not applicable.</w:t>
      </w:r>
    </w:p>
    <w:p w14:paraId="18602084" w14:textId="77777777" w:rsidR="00A91885" w:rsidRDefault="00A91885">
      <w:pPr>
        <w:ind w:firstLine="540"/>
      </w:pPr>
    </w:p>
    <w:p w14:paraId="18602085" w14:textId="77777777" w:rsidR="00A91885" w:rsidRDefault="009C4196">
      <w:pPr>
        <w:ind w:hanging="1080"/>
      </w:pPr>
      <w:r>
        <w:rPr>
          <w:rFonts w:ascii="Arial" w:eastAsia="宋体" w:hAnsi="Arial" w:cs="Arial"/>
          <w:b/>
          <w:bCs/>
          <w:color w:val="000000"/>
          <w:sz w:val="20"/>
          <w:szCs w:val="20"/>
        </w:rPr>
        <w:t>Item 5:</w:t>
      </w:r>
      <w:r>
        <w:rPr>
          <w:rFonts w:ascii="Arial" w:eastAsia="宋体" w:hAnsi="Arial" w:cs="Arial"/>
          <w:color w:val="000000"/>
          <w:sz w:val="20"/>
          <w:szCs w:val="20"/>
        </w:rPr>
        <w:t>    </w:t>
      </w:r>
      <w:r>
        <w:rPr>
          <w:rFonts w:ascii="Arial" w:eastAsia="宋体" w:hAnsi="Arial" w:cs="Arial"/>
          <w:b/>
          <w:bCs/>
          <w:color w:val="000000"/>
          <w:sz w:val="20"/>
          <w:szCs w:val="20"/>
        </w:rPr>
        <w:t>Other Information</w:t>
      </w:r>
    </w:p>
    <w:p w14:paraId="18602086" w14:textId="77777777" w:rsidR="00A91885" w:rsidRDefault="00A91885">
      <w:pPr>
        <w:ind w:firstLine="540"/>
      </w:pPr>
    </w:p>
    <w:p w14:paraId="18602087" w14:textId="77777777" w:rsidR="00A91885" w:rsidRDefault="009C4196">
      <w:pPr>
        <w:ind w:firstLine="540"/>
      </w:pPr>
      <w:r>
        <w:rPr>
          <w:rFonts w:ascii="Arial" w:eastAsia="宋体" w:hAnsi="Arial" w:cs="Arial"/>
          <w:color w:val="000000"/>
          <w:sz w:val="20"/>
          <w:szCs w:val="20"/>
        </w:rPr>
        <w:t>Not applicable.</w:t>
      </w:r>
    </w:p>
    <w:p w14:paraId="18602088" w14:textId="77777777" w:rsidR="00A91885" w:rsidRDefault="00A91885">
      <w:pPr>
        <w:jc w:val="center"/>
      </w:pPr>
    </w:p>
    <w:p w14:paraId="18602089" w14:textId="77777777" w:rsidR="00A91885" w:rsidRDefault="009C4196">
      <w:pPr>
        <w:jc w:val="center"/>
      </w:pPr>
      <w:r>
        <w:rPr>
          <w:rFonts w:ascii="Arial" w:eastAsia="宋体" w:hAnsi="Arial" w:cs="Arial"/>
          <w:color w:val="000000"/>
          <w:sz w:val="20"/>
          <w:szCs w:val="20"/>
        </w:rPr>
        <w:t>66</w:t>
      </w:r>
    </w:p>
    <w:p w14:paraId="1860208A" w14:textId="77777777" w:rsidR="00A91885" w:rsidRDefault="009C4196">
      <w:r>
        <w:pict w14:anchorId="186021C5">
          <v:rect id="_x0000_i1090" style="width:415.3pt;height:1.5pt" o:hralign="center" o:hrstd="t" o:hr="t" fillcolor="#a0a0a0" stroked="f"/>
        </w:pict>
      </w:r>
    </w:p>
    <w:p w14:paraId="1860208B" w14:textId="77777777" w:rsidR="00A91885" w:rsidRDefault="009C4196">
      <w:hyperlink r:id="rId150" w:anchor="ieb971428a625452486c65ae24899afca_7" w:history="1">
        <w:r>
          <w:rPr>
            <w:rStyle w:val="a5"/>
            <w:rFonts w:ascii="Arial" w:eastAsia="宋体" w:hAnsi="Arial" w:cs="Arial"/>
            <w:sz w:val="18"/>
            <w:szCs w:val="18"/>
          </w:rPr>
          <w:t>Table of Contents</w:t>
        </w:r>
      </w:hyperlink>
    </w:p>
    <w:p w14:paraId="1860208C" w14:textId="77777777" w:rsidR="00A91885" w:rsidRDefault="009C4196">
      <w:pPr>
        <w:ind w:hanging="1080"/>
      </w:pPr>
      <w:r>
        <w:rPr>
          <w:rFonts w:ascii="Arial" w:eastAsia="宋体" w:hAnsi="Arial" w:cs="Arial"/>
          <w:b/>
          <w:bCs/>
          <w:color w:val="000000"/>
          <w:sz w:val="20"/>
          <w:szCs w:val="20"/>
        </w:rPr>
        <w:t>Item 6:</w:t>
      </w:r>
      <w:r>
        <w:rPr>
          <w:rFonts w:ascii="Arial" w:eastAsia="宋体" w:hAnsi="Arial" w:cs="Arial"/>
          <w:color w:val="000000"/>
          <w:sz w:val="20"/>
          <w:szCs w:val="20"/>
        </w:rPr>
        <w:t>    </w:t>
      </w:r>
      <w:r>
        <w:rPr>
          <w:rFonts w:ascii="Arial" w:eastAsia="宋体" w:hAnsi="Arial" w:cs="Arial"/>
          <w:b/>
          <w:bCs/>
          <w:color w:val="000000"/>
          <w:sz w:val="20"/>
          <w:szCs w:val="20"/>
        </w:rPr>
        <w:t xml:space="preserve">Exhibits </w:t>
      </w:r>
    </w:p>
    <w:p w14:paraId="1860208D" w14:textId="77777777" w:rsidR="00A91885" w:rsidRDefault="00A91885">
      <w:pPr>
        <w:ind w:hanging="1080"/>
      </w:pPr>
    </w:p>
    <w:p w14:paraId="1860208E" w14:textId="77777777" w:rsidR="00A91885" w:rsidRDefault="009C4196">
      <w:pPr>
        <w:ind w:firstLine="540"/>
      </w:pPr>
      <w:r>
        <w:rPr>
          <w:rFonts w:ascii="Arial" w:eastAsia="宋体" w:hAnsi="Arial" w:cs="Arial"/>
          <w:color w:val="000000"/>
          <w:sz w:val="20"/>
          <w:szCs w:val="20"/>
        </w:rPr>
        <w:t xml:space="preserve">The information required by this Item is set forth in the </w:t>
      </w:r>
      <w:r>
        <w:rPr>
          <w:rFonts w:ascii="Arial" w:eastAsia="宋体" w:hAnsi="Arial" w:cs="Arial"/>
          <w:color w:val="000000"/>
          <w:sz w:val="20"/>
          <w:szCs w:val="20"/>
        </w:rPr>
        <w:t>Index to Exhibits of this Quarterly Report.</w:t>
      </w:r>
    </w:p>
    <w:p w14:paraId="1860208F" w14:textId="77777777" w:rsidR="00A91885" w:rsidRDefault="00A91885">
      <w:pPr>
        <w:ind w:firstLine="540"/>
      </w:pPr>
    </w:p>
    <w:p w14:paraId="18602090" w14:textId="77777777" w:rsidR="00A91885" w:rsidRDefault="009C4196">
      <w:pPr>
        <w:jc w:val="center"/>
      </w:pPr>
      <w:r>
        <w:rPr>
          <w:rFonts w:ascii="Arial" w:eastAsia="宋体" w:hAnsi="Arial" w:cs="Arial"/>
          <w:b/>
          <w:bCs/>
          <w:color w:val="000000"/>
          <w:sz w:val="20"/>
          <w:szCs w:val="20"/>
        </w:rPr>
        <w:t xml:space="preserve">INDEX TO EXHIBITS </w:t>
      </w:r>
    </w:p>
    <w:p w14:paraId="18602091" w14:textId="77777777" w:rsidR="00A91885" w:rsidRDefault="009C4196">
      <w:pPr>
        <w:spacing w:after="60"/>
      </w:pPr>
      <w:r>
        <w:rPr>
          <w:rFonts w:ascii="Arial" w:eastAsia="宋体" w:hAnsi="Arial" w:cs="Arial"/>
          <w:color w:val="000000"/>
          <w:sz w:val="18"/>
          <w:szCs w:val="18"/>
        </w:rPr>
        <w:t> </w:t>
      </w:r>
    </w:p>
    <w:tbl>
      <w:tblPr>
        <w:tblW w:w="4978" w:type="pct"/>
        <w:tblCellMar>
          <w:top w:w="15" w:type="dxa"/>
          <w:left w:w="15" w:type="dxa"/>
          <w:bottom w:w="15" w:type="dxa"/>
          <w:right w:w="15" w:type="dxa"/>
        </w:tblCellMar>
        <w:tblLook w:val="04A0" w:firstRow="1" w:lastRow="0" w:firstColumn="1" w:lastColumn="0" w:noHBand="0" w:noVBand="1"/>
      </w:tblPr>
      <w:tblGrid>
        <w:gridCol w:w="54"/>
        <w:gridCol w:w="929"/>
        <w:gridCol w:w="36"/>
        <w:gridCol w:w="36"/>
        <w:gridCol w:w="36"/>
        <w:gridCol w:w="36"/>
        <w:gridCol w:w="64"/>
        <w:gridCol w:w="919"/>
        <w:gridCol w:w="36"/>
        <w:gridCol w:w="36"/>
        <w:gridCol w:w="36"/>
        <w:gridCol w:w="36"/>
        <w:gridCol w:w="50"/>
        <w:gridCol w:w="5959"/>
        <w:gridCol w:w="36"/>
      </w:tblGrid>
      <w:tr w:rsidR="00A91885" w14:paraId="186020A1" w14:textId="77777777">
        <w:tc>
          <w:tcPr>
            <w:tcW w:w="50" w:type="pct"/>
            <w:shd w:val="clear" w:color="auto" w:fill="auto"/>
            <w:vAlign w:val="bottom"/>
          </w:tcPr>
          <w:p w14:paraId="18602092" w14:textId="77777777" w:rsidR="00A91885" w:rsidRDefault="00A91885">
            <w:pPr>
              <w:rPr>
                <w:rFonts w:ascii="宋体"/>
              </w:rPr>
            </w:pPr>
          </w:p>
        </w:tc>
        <w:tc>
          <w:tcPr>
            <w:tcW w:w="583" w:type="pct"/>
            <w:shd w:val="clear" w:color="auto" w:fill="auto"/>
            <w:vAlign w:val="bottom"/>
          </w:tcPr>
          <w:p w14:paraId="18602093" w14:textId="77777777" w:rsidR="00A91885" w:rsidRDefault="00A91885">
            <w:pPr>
              <w:rPr>
                <w:rFonts w:ascii="宋体"/>
              </w:rPr>
            </w:pPr>
          </w:p>
        </w:tc>
        <w:tc>
          <w:tcPr>
            <w:tcW w:w="5" w:type="pct"/>
            <w:shd w:val="clear" w:color="auto" w:fill="auto"/>
            <w:vAlign w:val="bottom"/>
          </w:tcPr>
          <w:p w14:paraId="18602094" w14:textId="77777777" w:rsidR="00A91885" w:rsidRDefault="00A91885">
            <w:pPr>
              <w:rPr>
                <w:rFonts w:ascii="宋体"/>
              </w:rPr>
            </w:pPr>
          </w:p>
        </w:tc>
        <w:tc>
          <w:tcPr>
            <w:tcW w:w="5" w:type="pct"/>
            <w:shd w:val="clear" w:color="auto" w:fill="auto"/>
            <w:vAlign w:val="bottom"/>
          </w:tcPr>
          <w:p w14:paraId="18602095" w14:textId="77777777" w:rsidR="00A91885" w:rsidRDefault="00A91885">
            <w:pPr>
              <w:rPr>
                <w:rFonts w:ascii="宋体"/>
              </w:rPr>
            </w:pPr>
          </w:p>
        </w:tc>
        <w:tc>
          <w:tcPr>
            <w:tcW w:w="19" w:type="pct"/>
            <w:shd w:val="clear" w:color="auto" w:fill="auto"/>
            <w:vAlign w:val="bottom"/>
          </w:tcPr>
          <w:p w14:paraId="18602096" w14:textId="77777777" w:rsidR="00A91885" w:rsidRDefault="00A91885">
            <w:pPr>
              <w:rPr>
                <w:rFonts w:ascii="宋体"/>
              </w:rPr>
            </w:pPr>
          </w:p>
        </w:tc>
        <w:tc>
          <w:tcPr>
            <w:tcW w:w="5" w:type="pct"/>
            <w:shd w:val="clear" w:color="auto" w:fill="auto"/>
            <w:vAlign w:val="bottom"/>
          </w:tcPr>
          <w:p w14:paraId="18602097" w14:textId="77777777" w:rsidR="00A91885" w:rsidRDefault="00A91885">
            <w:pPr>
              <w:rPr>
                <w:rFonts w:ascii="宋体"/>
              </w:rPr>
            </w:pPr>
          </w:p>
        </w:tc>
        <w:tc>
          <w:tcPr>
            <w:tcW w:w="50" w:type="pct"/>
            <w:shd w:val="clear" w:color="auto" w:fill="auto"/>
            <w:vAlign w:val="bottom"/>
          </w:tcPr>
          <w:p w14:paraId="18602098" w14:textId="77777777" w:rsidR="00A91885" w:rsidRDefault="00A91885">
            <w:pPr>
              <w:rPr>
                <w:rFonts w:ascii="宋体"/>
              </w:rPr>
            </w:pPr>
          </w:p>
        </w:tc>
        <w:tc>
          <w:tcPr>
            <w:tcW w:w="583" w:type="pct"/>
            <w:shd w:val="clear" w:color="auto" w:fill="auto"/>
            <w:vAlign w:val="bottom"/>
          </w:tcPr>
          <w:p w14:paraId="18602099" w14:textId="77777777" w:rsidR="00A91885" w:rsidRDefault="00A91885">
            <w:pPr>
              <w:rPr>
                <w:rFonts w:ascii="宋体"/>
              </w:rPr>
            </w:pPr>
          </w:p>
        </w:tc>
        <w:tc>
          <w:tcPr>
            <w:tcW w:w="5" w:type="pct"/>
            <w:shd w:val="clear" w:color="auto" w:fill="auto"/>
            <w:vAlign w:val="bottom"/>
          </w:tcPr>
          <w:p w14:paraId="1860209A" w14:textId="77777777" w:rsidR="00A91885" w:rsidRDefault="00A91885">
            <w:pPr>
              <w:rPr>
                <w:rFonts w:ascii="宋体"/>
              </w:rPr>
            </w:pPr>
          </w:p>
        </w:tc>
        <w:tc>
          <w:tcPr>
            <w:tcW w:w="5" w:type="pct"/>
            <w:shd w:val="clear" w:color="auto" w:fill="auto"/>
            <w:vAlign w:val="bottom"/>
          </w:tcPr>
          <w:p w14:paraId="1860209B" w14:textId="77777777" w:rsidR="00A91885" w:rsidRDefault="00A91885">
            <w:pPr>
              <w:rPr>
                <w:rFonts w:ascii="宋体"/>
              </w:rPr>
            </w:pPr>
          </w:p>
        </w:tc>
        <w:tc>
          <w:tcPr>
            <w:tcW w:w="19" w:type="pct"/>
            <w:shd w:val="clear" w:color="auto" w:fill="auto"/>
            <w:vAlign w:val="bottom"/>
          </w:tcPr>
          <w:p w14:paraId="1860209C" w14:textId="77777777" w:rsidR="00A91885" w:rsidRDefault="00A91885">
            <w:pPr>
              <w:rPr>
                <w:rFonts w:ascii="宋体"/>
              </w:rPr>
            </w:pPr>
          </w:p>
        </w:tc>
        <w:tc>
          <w:tcPr>
            <w:tcW w:w="5" w:type="pct"/>
            <w:shd w:val="clear" w:color="auto" w:fill="auto"/>
            <w:vAlign w:val="bottom"/>
          </w:tcPr>
          <w:p w14:paraId="1860209D" w14:textId="77777777" w:rsidR="00A91885" w:rsidRDefault="00A91885">
            <w:pPr>
              <w:rPr>
                <w:rFonts w:ascii="宋体"/>
              </w:rPr>
            </w:pPr>
          </w:p>
        </w:tc>
        <w:tc>
          <w:tcPr>
            <w:tcW w:w="50" w:type="pct"/>
            <w:shd w:val="clear" w:color="auto" w:fill="auto"/>
            <w:vAlign w:val="bottom"/>
          </w:tcPr>
          <w:p w14:paraId="1860209E" w14:textId="77777777" w:rsidR="00A91885" w:rsidRDefault="00A91885">
            <w:pPr>
              <w:rPr>
                <w:rFonts w:ascii="宋体"/>
              </w:rPr>
            </w:pPr>
          </w:p>
        </w:tc>
        <w:tc>
          <w:tcPr>
            <w:tcW w:w="3608" w:type="pct"/>
            <w:shd w:val="clear" w:color="auto" w:fill="auto"/>
            <w:vAlign w:val="bottom"/>
          </w:tcPr>
          <w:p w14:paraId="1860209F" w14:textId="77777777" w:rsidR="00A91885" w:rsidRDefault="00A91885">
            <w:pPr>
              <w:rPr>
                <w:rFonts w:ascii="宋体"/>
              </w:rPr>
            </w:pPr>
          </w:p>
        </w:tc>
        <w:tc>
          <w:tcPr>
            <w:tcW w:w="5" w:type="pct"/>
            <w:shd w:val="clear" w:color="auto" w:fill="auto"/>
            <w:vAlign w:val="bottom"/>
          </w:tcPr>
          <w:p w14:paraId="186020A0" w14:textId="77777777" w:rsidR="00A91885" w:rsidRDefault="00A91885">
            <w:pPr>
              <w:rPr>
                <w:rFonts w:ascii="宋体"/>
              </w:rPr>
            </w:pPr>
          </w:p>
        </w:tc>
      </w:tr>
      <w:tr w:rsidR="00A91885" w14:paraId="186020A7" w14:textId="77777777">
        <w:tc>
          <w:tcPr>
            <w:tcW w:w="0" w:type="auto"/>
            <w:gridSpan w:val="3"/>
            <w:shd w:val="clear" w:color="auto" w:fill="auto"/>
            <w:tcMar>
              <w:top w:w="40" w:type="dxa"/>
              <w:left w:w="20" w:type="dxa"/>
              <w:bottom w:w="40" w:type="dxa"/>
              <w:right w:w="20" w:type="dxa"/>
            </w:tcMar>
            <w:vAlign w:val="bottom"/>
          </w:tcPr>
          <w:p w14:paraId="186020A2" w14:textId="77777777" w:rsidR="00A91885" w:rsidRDefault="009C4196">
            <w:pPr>
              <w:textAlignment w:val="bottom"/>
            </w:pPr>
            <w:r>
              <w:rPr>
                <w:rFonts w:ascii="Arial" w:eastAsia="宋体" w:hAnsi="Arial" w:cs="Arial"/>
                <w:b/>
                <w:bCs/>
                <w:color w:val="000000"/>
                <w:sz w:val="17"/>
                <w:szCs w:val="17"/>
              </w:rPr>
              <w:t>Exhibit Number</w:t>
            </w:r>
          </w:p>
        </w:tc>
        <w:tc>
          <w:tcPr>
            <w:tcW w:w="0" w:type="auto"/>
            <w:gridSpan w:val="3"/>
            <w:shd w:val="clear" w:color="auto" w:fill="auto"/>
            <w:tcMar>
              <w:top w:w="0" w:type="dxa"/>
              <w:left w:w="20" w:type="dxa"/>
              <w:bottom w:w="0" w:type="dxa"/>
              <w:right w:w="20" w:type="dxa"/>
            </w:tcMar>
            <w:vAlign w:val="bottom"/>
          </w:tcPr>
          <w:p w14:paraId="186020A3"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20A4" w14:textId="77777777" w:rsidR="00A91885" w:rsidRDefault="009C4196">
            <w:pPr>
              <w:textAlignment w:val="bottom"/>
            </w:pPr>
            <w:r>
              <w:rPr>
                <w:rFonts w:ascii="Arial" w:eastAsia="宋体" w:hAnsi="Arial" w:cs="Arial"/>
                <w:b/>
                <w:bCs/>
                <w:color w:val="000000"/>
                <w:sz w:val="17"/>
                <w:szCs w:val="17"/>
              </w:rPr>
              <w:t>Filed or furnished with this 10-Q</w:t>
            </w:r>
          </w:p>
        </w:tc>
        <w:tc>
          <w:tcPr>
            <w:tcW w:w="0" w:type="auto"/>
            <w:gridSpan w:val="3"/>
            <w:shd w:val="clear" w:color="auto" w:fill="auto"/>
            <w:tcMar>
              <w:top w:w="0" w:type="dxa"/>
              <w:left w:w="20" w:type="dxa"/>
              <w:bottom w:w="0" w:type="dxa"/>
              <w:right w:w="20" w:type="dxa"/>
            </w:tcMar>
            <w:vAlign w:val="bottom"/>
          </w:tcPr>
          <w:p w14:paraId="186020A5"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vAlign w:val="bottom"/>
          </w:tcPr>
          <w:p w14:paraId="186020A6" w14:textId="77777777" w:rsidR="00A91885" w:rsidRDefault="009C4196">
            <w:pPr>
              <w:textAlignment w:val="bottom"/>
            </w:pPr>
            <w:r>
              <w:rPr>
                <w:rFonts w:ascii="Arial" w:eastAsia="宋体" w:hAnsi="Arial" w:cs="Arial"/>
                <w:b/>
                <w:bCs/>
                <w:color w:val="000000"/>
                <w:sz w:val="17"/>
                <w:szCs w:val="17"/>
              </w:rPr>
              <w:t>Description</w:t>
            </w:r>
          </w:p>
        </w:tc>
      </w:tr>
      <w:tr w:rsidR="00A91885" w14:paraId="186020AD" w14:textId="77777777">
        <w:tc>
          <w:tcPr>
            <w:tcW w:w="0" w:type="auto"/>
            <w:gridSpan w:val="3"/>
            <w:tcBorders>
              <w:top w:val="single" w:sz="8" w:space="0" w:color="000000"/>
            </w:tcBorders>
            <w:shd w:val="clear" w:color="auto" w:fill="auto"/>
            <w:tcMar>
              <w:top w:w="40" w:type="dxa"/>
              <w:left w:w="20" w:type="dxa"/>
              <w:bottom w:w="40" w:type="dxa"/>
              <w:right w:w="20" w:type="dxa"/>
            </w:tcMar>
          </w:tcPr>
          <w:p w14:paraId="186020A8" w14:textId="77777777" w:rsidR="00A91885" w:rsidRDefault="009C4196">
            <w:pPr>
              <w:textAlignment w:val="top"/>
            </w:pPr>
            <w:r>
              <w:rPr>
                <w:rFonts w:ascii="Arial" w:eastAsia="宋体" w:hAnsi="Arial" w:cs="Arial"/>
                <w:color w:val="000000"/>
                <w:sz w:val="18"/>
                <w:szCs w:val="18"/>
              </w:rPr>
              <w:t>31.01</w:t>
            </w:r>
          </w:p>
        </w:tc>
        <w:tc>
          <w:tcPr>
            <w:tcW w:w="0" w:type="auto"/>
            <w:gridSpan w:val="3"/>
            <w:shd w:val="clear" w:color="auto" w:fill="auto"/>
            <w:tcMar>
              <w:top w:w="0" w:type="dxa"/>
              <w:left w:w="20" w:type="dxa"/>
              <w:bottom w:w="0" w:type="dxa"/>
              <w:right w:w="20" w:type="dxa"/>
            </w:tcMar>
            <w:vAlign w:val="bottom"/>
          </w:tcPr>
          <w:p w14:paraId="186020A9"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186020AA" w14:textId="77777777" w:rsidR="00A91885" w:rsidRDefault="009C4196">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86020AB" w14:textId="77777777" w:rsidR="00A91885" w:rsidRDefault="00A91885">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186020AC" w14:textId="77777777" w:rsidR="00A91885" w:rsidRDefault="009C4196">
            <w:pPr>
              <w:textAlignment w:val="top"/>
            </w:pPr>
            <w:hyperlink r:id="rId151" w:history="1">
              <w:r>
                <w:rPr>
                  <w:rStyle w:val="a5"/>
                  <w:rFonts w:ascii="Arial" w:eastAsia="宋体" w:hAnsi="Arial" w:cs="Arial"/>
                  <w:sz w:val="18"/>
                  <w:szCs w:val="18"/>
                </w:rPr>
                <w:t>Certification of Registrant’s Chief Executive Officer, as required by Section 302 of the Sarbanes-Oxley Act of 2002.</w:t>
              </w:r>
            </w:hyperlink>
          </w:p>
        </w:tc>
      </w:tr>
      <w:tr w:rsidR="00A91885" w14:paraId="186020B3" w14:textId="77777777">
        <w:tc>
          <w:tcPr>
            <w:tcW w:w="0" w:type="auto"/>
            <w:gridSpan w:val="3"/>
            <w:shd w:val="clear" w:color="auto" w:fill="auto"/>
            <w:tcMar>
              <w:top w:w="40" w:type="dxa"/>
              <w:left w:w="20" w:type="dxa"/>
              <w:bottom w:w="40" w:type="dxa"/>
              <w:right w:w="20" w:type="dxa"/>
            </w:tcMar>
          </w:tcPr>
          <w:p w14:paraId="186020AE" w14:textId="77777777" w:rsidR="00A91885" w:rsidRDefault="009C4196">
            <w:pPr>
              <w:textAlignment w:val="top"/>
            </w:pPr>
            <w:r>
              <w:rPr>
                <w:rFonts w:ascii="Arial" w:eastAsia="宋体" w:hAnsi="Arial" w:cs="Arial"/>
                <w:color w:val="000000"/>
                <w:sz w:val="18"/>
                <w:szCs w:val="18"/>
              </w:rPr>
              <w:t>31.02</w:t>
            </w:r>
          </w:p>
        </w:tc>
        <w:tc>
          <w:tcPr>
            <w:tcW w:w="0" w:type="auto"/>
            <w:gridSpan w:val="3"/>
            <w:shd w:val="clear" w:color="auto" w:fill="auto"/>
            <w:tcMar>
              <w:top w:w="0" w:type="dxa"/>
              <w:left w:w="20" w:type="dxa"/>
              <w:bottom w:w="0" w:type="dxa"/>
              <w:right w:w="20" w:type="dxa"/>
            </w:tcMar>
            <w:vAlign w:val="bottom"/>
          </w:tcPr>
          <w:p w14:paraId="186020AF"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0B0" w14:textId="77777777" w:rsidR="00A91885" w:rsidRDefault="009C4196">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86020B1"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0B2" w14:textId="77777777" w:rsidR="00A91885" w:rsidRDefault="009C4196">
            <w:pPr>
              <w:textAlignment w:val="top"/>
            </w:pPr>
            <w:hyperlink r:id="rId152" w:history="1">
              <w:r>
                <w:rPr>
                  <w:rStyle w:val="a5"/>
                  <w:rFonts w:ascii="Arial" w:eastAsia="宋体" w:hAnsi="Arial" w:cs="Arial"/>
                  <w:sz w:val="18"/>
                  <w:szCs w:val="18"/>
                </w:rPr>
                <w:t>Certification of Registrant’s Chief Financial Officer, as required by Section 302 of the Sarbanes-Oxley Act of 2002.</w:t>
              </w:r>
            </w:hyperlink>
          </w:p>
        </w:tc>
      </w:tr>
      <w:tr w:rsidR="00A91885" w14:paraId="186020B9" w14:textId="77777777">
        <w:tc>
          <w:tcPr>
            <w:tcW w:w="0" w:type="auto"/>
            <w:gridSpan w:val="3"/>
            <w:shd w:val="clear" w:color="auto" w:fill="auto"/>
            <w:tcMar>
              <w:top w:w="40" w:type="dxa"/>
              <w:left w:w="20" w:type="dxa"/>
              <w:bottom w:w="40" w:type="dxa"/>
              <w:right w:w="20" w:type="dxa"/>
            </w:tcMar>
          </w:tcPr>
          <w:p w14:paraId="186020B4" w14:textId="77777777" w:rsidR="00A91885" w:rsidRDefault="009C4196">
            <w:pPr>
              <w:textAlignment w:val="top"/>
            </w:pPr>
            <w:r>
              <w:rPr>
                <w:rFonts w:ascii="Arial" w:eastAsia="宋体" w:hAnsi="Arial" w:cs="Arial"/>
                <w:color w:val="000000"/>
                <w:sz w:val="18"/>
                <w:szCs w:val="18"/>
              </w:rPr>
              <w:t>32.01</w:t>
            </w:r>
          </w:p>
        </w:tc>
        <w:tc>
          <w:tcPr>
            <w:tcW w:w="0" w:type="auto"/>
            <w:gridSpan w:val="3"/>
            <w:shd w:val="clear" w:color="auto" w:fill="auto"/>
            <w:tcMar>
              <w:top w:w="0" w:type="dxa"/>
              <w:left w:w="20" w:type="dxa"/>
              <w:bottom w:w="0" w:type="dxa"/>
              <w:right w:w="20" w:type="dxa"/>
            </w:tcMar>
            <w:vAlign w:val="bottom"/>
          </w:tcPr>
          <w:p w14:paraId="186020B5"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0B6" w14:textId="77777777" w:rsidR="00A91885" w:rsidRDefault="009C4196">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86020B7"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0B8" w14:textId="77777777" w:rsidR="00A91885" w:rsidRDefault="009C4196">
            <w:pPr>
              <w:textAlignment w:val="top"/>
            </w:pPr>
            <w:hyperlink r:id="rId153" w:history="1">
              <w:r>
                <w:rPr>
                  <w:rStyle w:val="a5"/>
                  <w:rFonts w:ascii="Arial" w:eastAsia="宋体" w:hAnsi="Arial" w:cs="Arial"/>
                  <w:sz w:val="18"/>
                  <w:szCs w:val="18"/>
                </w:rPr>
                <w:t>Certification of Registrant’s Chief Executive Officer, as required by Section 906 of the Sarbanes-Oxley Act of 2002.</w:t>
              </w:r>
            </w:hyperlink>
          </w:p>
        </w:tc>
      </w:tr>
      <w:tr w:rsidR="00A91885" w14:paraId="186020BF" w14:textId="77777777">
        <w:tc>
          <w:tcPr>
            <w:tcW w:w="0" w:type="auto"/>
            <w:gridSpan w:val="3"/>
            <w:shd w:val="clear" w:color="auto" w:fill="auto"/>
            <w:tcMar>
              <w:top w:w="40" w:type="dxa"/>
              <w:left w:w="20" w:type="dxa"/>
              <w:bottom w:w="40" w:type="dxa"/>
              <w:right w:w="20" w:type="dxa"/>
            </w:tcMar>
          </w:tcPr>
          <w:p w14:paraId="186020BA" w14:textId="77777777" w:rsidR="00A91885" w:rsidRDefault="009C4196">
            <w:pPr>
              <w:textAlignment w:val="top"/>
            </w:pPr>
            <w:r>
              <w:rPr>
                <w:rFonts w:ascii="Arial" w:eastAsia="宋体" w:hAnsi="Arial" w:cs="Arial"/>
                <w:color w:val="000000"/>
                <w:sz w:val="18"/>
                <w:szCs w:val="18"/>
              </w:rPr>
              <w:t>32.02</w:t>
            </w:r>
          </w:p>
        </w:tc>
        <w:tc>
          <w:tcPr>
            <w:tcW w:w="0" w:type="auto"/>
            <w:gridSpan w:val="3"/>
            <w:shd w:val="clear" w:color="auto" w:fill="auto"/>
            <w:tcMar>
              <w:top w:w="0" w:type="dxa"/>
              <w:left w:w="20" w:type="dxa"/>
              <w:bottom w:w="0" w:type="dxa"/>
              <w:right w:w="20" w:type="dxa"/>
            </w:tcMar>
            <w:vAlign w:val="bottom"/>
          </w:tcPr>
          <w:p w14:paraId="186020BB"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0BC" w14:textId="77777777" w:rsidR="00A91885" w:rsidRDefault="009C4196">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86020BD"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0BE" w14:textId="77777777" w:rsidR="00A91885" w:rsidRDefault="009C4196">
            <w:pPr>
              <w:textAlignment w:val="top"/>
            </w:pPr>
            <w:hyperlink r:id="rId154" w:history="1">
              <w:r>
                <w:rPr>
                  <w:rStyle w:val="a5"/>
                  <w:rFonts w:ascii="Arial" w:eastAsia="宋体" w:hAnsi="Arial" w:cs="Arial"/>
                  <w:sz w:val="18"/>
                  <w:szCs w:val="18"/>
                </w:rPr>
                <w:t>Certification of Registrant’s Chief Financial Officer, as required by Section 906 of the Sarbanes-Oxley Act of 2002.</w:t>
              </w:r>
            </w:hyperlink>
          </w:p>
        </w:tc>
      </w:tr>
      <w:tr w:rsidR="00A91885" w14:paraId="186020C5" w14:textId="77777777">
        <w:tc>
          <w:tcPr>
            <w:tcW w:w="0" w:type="auto"/>
            <w:gridSpan w:val="3"/>
            <w:shd w:val="clear" w:color="auto" w:fill="auto"/>
            <w:tcMar>
              <w:top w:w="40" w:type="dxa"/>
              <w:left w:w="20" w:type="dxa"/>
              <w:bottom w:w="40" w:type="dxa"/>
              <w:right w:w="20" w:type="dxa"/>
            </w:tcMar>
          </w:tcPr>
          <w:p w14:paraId="186020C0" w14:textId="77777777" w:rsidR="00A91885" w:rsidRDefault="009C4196">
            <w:pPr>
              <w:textAlignment w:val="top"/>
            </w:pPr>
            <w:r>
              <w:rPr>
                <w:rFonts w:ascii="Arial" w:eastAsia="宋体" w:hAnsi="Arial" w:cs="Arial"/>
                <w:color w:val="000000"/>
                <w:sz w:val="18"/>
                <w:szCs w:val="18"/>
              </w:rPr>
              <w:t>101</w:t>
            </w:r>
          </w:p>
        </w:tc>
        <w:tc>
          <w:tcPr>
            <w:tcW w:w="0" w:type="auto"/>
            <w:gridSpan w:val="3"/>
            <w:shd w:val="clear" w:color="auto" w:fill="auto"/>
            <w:tcMar>
              <w:top w:w="0" w:type="dxa"/>
              <w:left w:w="20" w:type="dxa"/>
              <w:bottom w:w="0" w:type="dxa"/>
              <w:right w:w="20" w:type="dxa"/>
            </w:tcMar>
            <w:vAlign w:val="bottom"/>
          </w:tcPr>
          <w:p w14:paraId="186020C1"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0C2" w14:textId="77777777" w:rsidR="00A91885" w:rsidRDefault="009C4196">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86020C3"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0C4" w14:textId="77777777" w:rsidR="00A91885" w:rsidRDefault="009C4196">
            <w:pPr>
              <w:textAlignment w:val="top"/>
            </w:pPr>
            <w:r>
              <w:rPr>
                <w:rFonts w:ascii="Arial" w:eastAsia="宋体" w:hAnsi="Arial" w:cs="Arial"/>
                <w:color w:val="000000"/>
                <w:sz w:val="18"/>
                <w:szCs w:val="18"/>
              </w:rPr>
              <w:t>The following materials</w:t>
            </w:r>
            <w:r>
              <w:rPr>
                <w:rFonts w:ascii="Arial" w:eastAsia="宋体" w:hAnsi="Arial" w:cs="Arial"/>
                <w:color w:val="000000"/>
                <w:sz w:val="18"/>
                <w:szCs w:val="18"/>
              </w:rPr>
              <w:t xml:space="preserve"> from the Company’s Quarterly Report on Form 10-Q for the periods ended June 30, 2022 were formatted in Inline XBRL (Extensible Business Reporting Language): (i) Condensed Consolidated Balance Sheet, (ii) Condensed Consolidated Statement of Income, (iii) C</w:t>
            </w:r>
            <w:r>
              <w:rPr>
                <w:rFonts w:ascii="Arial" w:eastAsia="宋体" w:hAnsi="Arial" w:cs="Arial"/>
                <w:color w:val="000000"/>
                <w:sz w:val="18"/>
                <w:szCs w:val="18"/>
              </w:rPr>
              <w:t xml:space="preserve">ondensed Consolidated Statement of Comprehensive Income (Loss) (iv) Condensed Consolidated Statement of Stockholders’ Equity and (v) Condensed Consolidated Statement of Cash Flows. The instance document does not appear in the Interactive Data File because </w:t>
            </w:r>
            <w:r>
              <w:rPr>
                <w:rFonts w:ascii="Arial" w:eastAsia="宋体" w:hAnsi="Arial" w:cs="Arial"/>
                <w:color w:val="000000"/>
                <w:sz w:val="18"/>
                <w:szCs w:val="18"/>
              </w:rPr>
              <w:t>its XBRL tags are embedded within the Inline XBRL document.</w:t>
            </w:r>
          </w:p>
        </w:tc>
      </w:tr>
      <w:tr w:rsidR="00A91885" w14:paraId="186020CB" w14:textId="77777777">
        <w:tc>
          <w:tcPr>
            <w:tcW w:w="0" w:type="auto"/>
            <w:gridSpan w:val="3"/>
            <w:shd w:val="clear" w:color="auto" w:fill="auto"/>
            <w:tcMar>
              <w:top w:w="40" w:type="dxa"/>
              <w:left w:w="20" w:type="dxa"/>
              <w:bottom w:w="40" w:type="dxa"/>
              <w:right w:w="20" w:type="dxa"/>
            </w:tcMar>
          </w:tcPr>
          <w:p w14:paraId="186020C6" w14:textId="77777777" w:rsidR="00A91885" w:rsidRDefault="009C4196">
            <w:pPr>
              <w:textAlignment w:val="top"/>
            </w:pPr>
            <w:r>
              <w:rPr>
                <w:rFonts w:ascii="Arial" w:eastAsia="宋体" w:hAnsi="Arial" w:cs="Arial"/>
                <w:color w:val="000000"/>
                <w:sz w:val="18"/>
                <w:szCs w:val="18"/>
              </w:rPr>
              <w:t>104</w:t>
            </w:r>
          </w:p>
        </w:tc>
        <w:tc>
          <w:tcPr>
            <w:tcW w:w="0" w:type="auto"/>
            <w:gridSpan w:val="3"/>
            <w:shd w:val="clear" w:color="auto" w:fill="auto"/>
            <w:tcMar>
              <w:top w:w="0" w:type="dxa"/>
              <w:left w:w="20" w:type="dxa"/>
              <w:bottom w:w="0" w:type="dxa"/>
              <w:right w:w="20" w:type="dxa"/>
            </w:tcMar>
            <w:vAlign w:val="bottom"/>
          </w:tcPr>
          <w:p w14:paraId="186020C7"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0C8" w14:textId="77777777" w:rsidR="00A91885" w:rsidRDefault="009C4196">
            <w:pPr>
              <w:jc w:val="center"/>
              <w:textAlignment w:val="top"/>
            </w:pPr>
            <w:r>
              <w:rPr>
                <w:rFonts w:ascii="Arial" w:eastAsia="宋体" w:hAnsi="Arial" w:cs="Arial"/>
                <w:color w:val="000000"/>
                <w:sz w:val="18"/>
                <w:szCs w:val="18"/>
              </w:rPr>
              <w:t>X</w:t>
            </w:r>
          </w:p>
        </w:tc>
        <w:tc>
          <w:tcPr>
            <w:tcW w:w="0" w:type="auto"/>
            <w:gridSpan w:val="3"/>
            <w:shd w:val="clear" w:color="auto" w:fill="auto"/>
            <w:tcMar>
              <w:top w:w="0" w:type="dxa"/>
              <w:left w:w="20" w:type="dxa"/>
              <w:bottom w:w="0" w:type="dxa"/>
              <w:right w:w="20" w:type="dxa"/>
            </w:tcMar>
            <w:vAlign w:val="bottom"/>
          </w:tcPr>
          <w:p w14:paraId="186020C9"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0CA" w14:textId="77777777" w:rsidR="00A91885" w:rsidRDefault="009C4196">
            <w:pPr>
              <w:textAlignment w:val="top"/>
            </w:pPr>
            <w:r>
              <w:rPr>
                <w:rFonts w:ascii="Arial" w:eastAsia="宋体" w:hAnsi="Arial" w:cs="Arial"/>
                <w:color w:val="000000"/>
                <w:sz w:val="18"/>
                <w:szCs w:val="18"/>
              </w:rPr>
              <w:t>Cover Page Interactive Data File - the cover page XBRL tags are embedded within the Inline XBRL document.</w:t>
            </w:r>
          </w:p>
        </w:tc>
      </w:tr>
    </w:tbl>
    <w:p w14:paraId="186020CC" w14:textId="77777777" w:rsidR="00A91885" w:rsidRDefault="00A91885">
      <w:pPr>
        <w:spacing w:after="60"/>
      </w:pPr>
    </w:p>
    <w:p w14:paraId="186020CD" w14:textId="77777777" w:rsidR="00A91885" w:rsidRDefault="00A91885">
      <w:pPr>
        <w:jc w:val="center"/>
      </w:pPr>
    </w:p>
    <w:p w14:paraId="186020CE" w14:textId="77777777" w:rsidR="00A91885" w:rsidRDefault="009C4196">
      <w:pPr>
        <w:jc w:val="center"/>
      </w:pPr>
      <w:r>
        <w:rPr>
          <w:rFonts w:ascii="Arial" w:eastAsia="宋体" w:hAnsi="Arial" w:cs="Arial"/>
          <w:color w:val="000000"/>
          <w:sz w:val="20"/>
          <w:szCs w:val="20"/>
        </w:rPr>
        <w:t>67</w:t>
      </w:r>
    </w:p>
    <w:p w14:paraId="186020CF" w14:textId="77777777" w:rsidR="00A91885" w:rsidRDefault="009C4196">
      <w:r>
        <w:pict w14:anchorId="186021C6">
          <v:rect id="_x0000_i1091" style="width:415.3pt;height:1.5pt" o:hralign="center" o:hrstd="t" o:hr="t" fillcolor="#a0a0a0" stroked="f"/>
        </w:pict>
      </w:r>
    </w:p>
    <w:p w14:paraId="186020D0" w14:textId="77777777" w:rsidR="00A91885" w:rsidRDefault="009C4196">
      <w:hyperlink r:id="rId155" w:anchor="ieb971428a625452486c65ae24899afca_7" w:history="1">
        <w:r>
          <w:rPr>
            <w:rStyle w:val="a5"/>
            <w:rFonts w:ascii="Arial" w:eastAsia="宋体" w:hAnsi="Arial" w:cs="Arial"/>
            <w:sz w:val="18"/>
            <w:szCs w:val="18"/>
          </w:rPr>
          <w:t>Table of Contents</w:t>
        </w:r>
      </w:hyperlink>
    </w:p>
    <w:p w14:paraId="186020D1" w14:textId="77777777" w:rsidR="00A91885" w:rsidRDefault="009C4196">
      <w:pPr>
        <w:jc w:val="center"/>
      </w:pPr>
      <w:r>
        <w:rPr>
          <w:rFonts w:ascii="Arial" w:eastAsia="宋体" w:hAnsi="Arial" w:cs="Arial"/>
          <w:b/>
          <w:bCs/>
          <w:color w:val="000000"/>
          <w:sz w:val="20"/>
          <w:szCs w:val="20"/>
        </w:rPr>
        <w:t>SIGNATURES</w:t>
      </w:r>
    </w:p>
    <w:p w14:paraId="186020D2" w14:textId="77777777" w:rsidR="00A91885" w:rsidRDefault="00A91885">
      <w:pPr>
        <w:jc w:val="center"/>
      </w:pPr>
    </w:p>
    <w:p w14:paraId="186020D3" w14:textId="77777777" w:rsidR="00A91885" w:rsidRDefault="009C4196">
      <w:pPr>
        <w:ind w:firstLine="495"/>
      </w:pPr>
      <w:r>
        <w:rPr>
          <w:rFonts w:ascii="Arial" w:eastAsia="宋体" w:hAnsi="Arial" w:cs="Arial"/>
          <w:color w:val="000000"/>
          <w:sz w:val="20"/>
          <w:szCs w:val="20"/>
        </w:rPr>
        <w:t xml:space="preserve">Pursuant to the requirements of the Securities Exchange Act of 1934, the </w:t>
      </w:r>
      <w:r>
        <w:rPr>
          <w:rFonts w:ascii="Arial" w:eastAsia="宋体" w:hAnsi="Arial" w:cs="Arial"/>
          <w:color w:val="000000"/>
          <w:sz w:val="20"/>
          <w:szCs w:val="20"/>
        </w:rPr>
        <w:t>registrant has duly caused this report to be signed on its behalf by the undersigned thereunto duly authorized.</w:t>
      </w:r>
    </w:p>
    <w:p w14:paraId="186020D4" w14:textId="77777777" w:rsidR="00A91885" w:rsidRDefault="009C4196">
      <w:r>
        <w:rPr>
          <w:rFonts w:ascii="Arial" w:eastAsia="宋体" w:hAnsi="Arial" w:cs="Arial"/>
          <w:color w:val="000000"/>
          <w:sz w:val="20"/>
          <w:szCs w:val="20"/>
        </w:rPr>
        <w:t> </w:t>
      </w:r>
    </w:p>
    <w:tbl>
      <w:tblPr>
        <w:tblW w:w="4993" w:type="pct"/>
        <w:tblCellMar>
          <w:top w:w="15" w:type="dxa"/>
          <w:left w:w="15" w:type="dxa"/>
          <w:bottom w:w="15" w:type="dxa"/>
          <w:right w:w="15" w:type="dxa"/>
        </w:tblCellMar>
        <w:tblLook w:val="04A0" w:firstRow="1" w:lastRow="0" w:firstColumn="1" w:lastColumn="0" w:noHBand="0" w:noVBand="1"/>
      </w:tblPr>
      <w:tblGrid>
        <w:gridCol w:w="76"/>
        <w:gridCol w:w="436"/>
        <w:gridCol w:w="36"/>
        <w:gridCol w:w="91"/>
        <w:gridCol w:w="3808"/>
        <w:gridCol w:w="36"/>
        <w:gridCol w:w="61"/>
        <w:gridCol w:w="261"/>
        <w:gridCol w:w="39"/>
        <w:gridCol w:w="38"/>
        <w:gridCol w:w="3405"/>
        <w:gridCol w:w="37"/>
      </w:tblGrid>
      <w:tr w:rsidR="00A91885" w14:paraId="186020E1" w14:textId="77777777">
        <w:tc>
          <w:tcPr>
            <w:tcW w:w="50" w:type="pct"/>
            <w:shd w:val="clear" w:color="auto" w:fill="auto"/>
            <w:vAlign w:val="bottom"/>
          </w:tcPr>
          <w:p w14:paraId="186020D5" w14:textId="77777777" w:rsidR="00A91885" w:rsidRDefault="00A91885">
            <w:pPr>
              <w:rPr>
                <w:rFonts w:ascii="宋体"/>
              </w:rPr>
            </w:pPr>
          </w:p>
        </w:tc>
        <w:tc>
          <w:tcPr>
            <w:tcW w:w="289" w:type="pct"/>
            <w:shd w:val="clear" w:color="auto" w:fill="auto"/>
            <w:vAlign w:val="bottom"/>
          </w:tcPr>
          <w:p w14:paraId="186020D6" w14:textId="77777777" w:rsidR="00A91885" w:rsidRDefault="00A91885">
            <w:pPr>
              <w:rPr>
                <w:rFonts w:ascii="宋体"/>
              </w:rPr>
            </w:pPr>
          </w:p>
        </w:tc>
        <w:tc>
          <w:tcPr>
            <w:tcW w:w="5" w:type="pct"/>
            <w:shd w:val="clear" w:color="auto" w:fill="auto"/>
            <w:vAlign w:val="bottom"/>
          </w:tcPr>
          <w:p w14:paraId="186020D7" w14:textId="77777777" w:rsidR="00A91885" w:rsidRDefault="00A91885">
            <w:pPr>
              <w:rPr>
                <w:rFonts w:ascii="宋体"/>
              </w:rPr>
            </w:pPr>
          </w:p>
        </w:tc>
        <w:tc>
          <w:tcPr>
            <w:tcW w:w="50" w:type="pct"/>
            <w:shd w:val="clear" w:color="auto" w:fill="auto"/>
            <w:vAlign w:val="bottom"/>
          </w:tcPr>
          <w:p w14:paraId="186020D8" w14:textId="77777777" w:rsidR="00A91885" w:rsidRDefault="00A91885">
            <w:pPr>
              <w:rPr>
                <w:rFonts w:ascii="宋体"/>
              </w:rPr>
            </w:pPr>
          </w:p>
        </w:tc>
        <w:tc>
          <w:tcPr>
            <w:tcW w:w="2104" w:type="pct"/>
            <w:shd w:val="clear" w:color="auto" w:fill="auto"/>
            <w:vAlign w:val="bottom"/>
          </w:tcPr>
          <w:p w14:paraId="186020D9" w14:textId="77777777" w:rsidR="00A91885" w:rsidRDefault="00A91885">
            <w:pPr>
              <w:rPr>
                <w:rFonts w:ascii="宋体"/>
              </w:rPr>
            </w:pPr>
          </w:p>
        </w:tc>
        <w:tc>
          <w:tcPr>
            <w:tcW w:w="5" w:type="pct"/>
            <w:shd w:val="clear" w:color="auto" w:fill="auto"/>
            <w:vAlign w:val="bottom"/>
          </w:tcPr>
          <w:p w14:paraId="186020DA" w14:textId="77777777" w:rsidR="00A91885" w:rsidRDefault="00A91885">
            <w:pPr>
              <w:rPr>
                <w:rFonts w:ascii="宋体"/>
              </w:rPr>
            </w:pPr>
          </w:p>
        </w:tc>
        <w:tc>
          <w:tcPr>
            <w:tcW w:w="50" w:type="pct"/>
            <w:shd w:val="clear" w:color="auto" w:fill="auto"/>
            <w:vAlign w:val="bottom"/>
          </w:tcPr>
          <w:p w14:paraId="186020DB" w14:textId="77777777" w:rsidR="00A91885" w:rsidRDefault="00A91885">
            <w:pPr>
              <w:rPr>
                <w:rFonts w:ascii="宋体"/>
              </w:rPr>
            </w:pPr>
          </w:p>
        </w:tc>
        <w:tc>
          <w:tcPr>
            <w:tcW w:w="215" w:type="pct"/>
            <w:shd w:val="clear" w:color="auto" w:fill="auto"/>
            <w:vAlign w:val="bottom"/>
          </w:tcPr>
          <w:p w14:paraId="186020DC" w14:textId="77777777" w:rsidR="00A91885" w:rsidRDefault="00A91885">
            <w:pPr>
              <w:rPr>
                <w:rFonts w:ascii="宋体"/>
              </w:rPr>
            </w:pPr>
          </w:p>
        </w:tc>
        <w:tc>
          <w:tcPr>
            <w:tcW w:w="5" w:type="pct"/>
            <w:shd w:val="clear" w:color="auto" w:fill="auto"/>
            <w:vAlign w:val="bottom"/>
          </w:tcPr>
          <w:p w14:paraId="186020DD" w14:textId="77777777" w:rsidR="00A91885" w:rsidRDefault="00A91885">
            <w:pPr>
              <w:rPr>
                <w:rFonts w:ascii="宋体"/>
              </w:rPr>
            </w:pPr>
          </w:p>
        </w:tc>
        <w:tc>
          <w:tcPr>
            <w:tcW w:w="50" w:type="pct"/>
            <w:shd w:val="clear" w:color="auto" w:fill="auto"/>
            <w:vAlign w:val="bottom"/>
          </w:tcPr>
          <w:p w14:paraId="186020DE" w14:textId="77777777" w:rsidR="00A91885" w:rsidRDefault="00A91885">
            <w:pPr>
              <w:rPr>
                <w:rFonts w:ascii="宋体"/>
              </w:rPr>
            </w:pPr>
          </w:p>
        </w:tc>
        <w:tc>
          <w:tcPr>
            <w:tcW w:w="2170" w:type="pct"/>
            <w:shd w:val="clear" w:color="auto" w:fill="auto"/>
            <w:vAlign w:val="bottom"/>
          </w:tcPr>
          <w:p w14:paraId="186020DF" w14:textId="77777777" w:rsidR="00A91885" w:rsidRDefault="00A91885">
            <w:pPr>
              <w:rPr>
                <w:rFonts w:ascii="宋体"/>
              </w:rPr>
            </w:pPr>
          </w:p>
        </w:tc>
        <w:tc>
          <w:tcPr>
            <w:tcW w:w="5" w:type="pct"/>
            <w:shd w:val="clear" w:color="auto" w:fill="auto"/>
            <w:vAlign w:val="bottom"/>
          </w:tcPr>
          <w:p w14:paraId="186020E0" w14:textId="77777777" w:rsidR="00A91885" w:rsidRDefault="00A91885">
            <w:pPr>
              <w:rPr>
                <w:rFonts w:ascii="宋体"/>
              </w:rPr>
            </w:pPr>
          </w:p>
        </w:tc>
      </w:tr>
      <w:tr w:rsidR="00A91885" w14:paraId="186020E5" w14:textId="77777777">
        <w:tc>
          <w:tcPr>
            <w:tcW w:w="0" w:type="auto"/>
            <w:gridSpan w:val="3"/>
            <w:shd w:val="clear" w:color="auto" w:fill="auto"/>
            <w:tcMar>
              <w:top w:w="0" w:type="dxa"/>
              <w:left w:w="20" w:type="dxa"/>
              <w:bottom w:w="0" w:type="dxa"/>
              <w:right w:w="20" w:type="dxa"/>
            </w:tcMar>
            <w:vAlign w:val="bottom"/>
          </w:tcPr>
          <w:p w14:paraId="186020E2"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0E3" w14:textId="77777777" w:rsidR="00A91885" w:rsidRDefault="009C4196">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186020E4" w14:textId="77777777" w:rsidR="00A91885" w:rsidRDefault="009C4196">
            <w:pPr>
              <w:textAlignment w:val="top"/>
            </w:pPr>
            <w:r>
              <w:rPr>
                <w:rFonts w:ascii="Arial" w:eastAsia="宋体" w:hAnsi="Arial" w:cs="Arial"/>
                <w:color w:val="000000"/>
                <w:sz w:val="20"/>
                <w:szCs w:val="20"/>
              </w:rPr>
              <w:t>eBay Inc.</w:t>
            </w:r>
          </w:p>
        </w:tc>
      </w:tr>
      <w:tr w:rsidR="00A91885" w14:paraId="186020E9" w14:textId="77777777">
        <w:tc>
          <w:tcPr>
            <w:tcW w:w="0" w:type="auto"/>
            <w:gridSpan w:val="3"/>
            <w:shd w:val="clear" w:color="auto" w:fill="auto"/>
            <w:tcMar>
              <w:top w:w="0" w:type="dxa"/>
              <w:left w:w="20" w:type="dxa"/>
              <w:bottom w:w="0" w:type="dxa"/>
              <w:right w:w="20" w:type="dxa"/>
            </w:tcMar>
            <w:vAlign w:val="bottom"/>
          </w:tcPr>
          <w:p w14:paraId="186020E6"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0E7" w14:textId="77777777" w:rsidR="00A91885" w:rsidRDefault="009C4196">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186020E8" w14:textId="77777777" w:rsidR="00A91885" w:rsidRDefault="009C4196">
            <w:pPr>
              <w:textAlignment w:val="top"/>
            </w:pPr>
            <w:r>
              <w:rPr>
                <w:rFonts w:ascii="Arial" w:eastAsia="宋体" w:hAnsi="Arial" w:cs="Arial"/>
                <w:color w:val="000000"/>
                <w:sz w:val="20"/>
                <w:szCs w:val="20"/>
              </w:rPr>
              <w:t>Principal Executive Officer:</w:t>
            </w:r>
          </w:p>
        </w:tc>
      </w:tr>
      <w:tr w:rsidR="00A91885" w14:paraId="186020EE" w14:textId="77777777">
        <w:trPr>
          <w:trHeight w:val="280"/>
        </w:trPr>
        <w:tc>
          <w:tcPr>
            <w:tcW w:w="0" w:type="auto"/>
            <w:gridSpan w:val="3"/>
            <w:shd w:val="clear" w:color="auto" w:fill="auto"/>
            <w:tcMar>
              <w:top w:w="0" w:type="dxa"/>
              <w:left w:w="20" w:type="dxa"/>
              <w:bottom w:w="0" w:type="dxa"/>
              <w:right w:w="20" w:type="dxa"/>
            </w:tcMar>
            <w:vAlign w:val="bottom"/>
          </w:tcPr>
          <w:p w14:paraId="186020EA"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20EB"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20EC"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20ED" w14:textId="77777777" w:rsidR="00A91885" w:rsidRDefault="00A91885">
            <w:pPr>
              <w:rPr>
                <w:rFonts w:ascii="宋体"/>
              </w:rPr>
            </w:pPr>
          </w:p>
        </w:tc>
      </w:tr>
      <w:tr w:rsidR="00A91885" w14:paraId="186020F3" w14:textId="77777777">
        <w:tc>
          <w:tcPr>
            <w:tcW w:w="0" w:type="auto"/>
            <w:gridSpan w:val="3"/>
            <w:shd w:val="clear" w:color="auto" w:fill="auto"/>
            <w:tcMar>
              <w:top w:w="0" w:type="dxa"/>
              <w:left w:w="20" w:type="dxa"/>
              <w:bottom w:w="0" w:type="dxa"/>
              <w:right w:w="20" w:type="dxa"/>
            </w:tcMar>
            <w:vAlign w:val="bottom"/>
          </w:tcPr>
          <w:p w14:paraId="186020EF"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0F0" w14:textId="77777777" w:rsidR="00A91885" w:rsidRDefault="009C4196">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186020F1" w14:textId="77777777" w:rsidR="00A91885" w:rsidRDefault="009C4196">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186020F2" w14:textId="77777777" w:rsidR="00A91885" w:rsidRDefault="009C4196">
            <w:pPr>
              <w:textAlignment w:val="bottom"/>
            </w:pPr>
            <w:r>
              <w:rPr>
                <w:rFonts w:ascii="Arial" w:eastAsia="宋体" w:hAnsi="Arial" w:cs="Arial"/>
                <w:color w:val="000000"/>
                <w:sz w:val="20"/>
                <w:szCs w:val="20"/>
              </w:rPr>
              <w:t>/s/ Jamie Iannone</w:t>
            </w:r>
          </w:p>
        </w:tc>
      </w:tr>
      <w:tr w:rsidR="00A91885" w14:paraId="186020F8" w14:textId="77777777">
        <w:tc>
          <w:tcPr>
            <w:tcW w:w="0" w:type="auto"/>
            <w:gridSpan w:val="3"/>
            <w:shd w:val="clear" w:color="auto" w:fill="auto"/>
            <w:tcMar>
              <w:top w:w="0" w:type="dxa"/>
              <w:left w:w="20" w:type="dxa"/>
              <w:bottom w:w="0" w:type="dxa"/>
              <w:right w:w="20" w:type="dxa"/>
            </w:tcMar>
            <w:vAlign w:val="bottom"/>
          </w:tcPr>
          <w:p w14:paraId="186020F4"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0F5" w14:textId="77777777" w:rsidR="00A91885" w:rsidRDefault="009C4196">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186020F6" w14:textId="77777777" w:rsidR="00A91885" w:rsidRDefault="009C4196">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186020F7" w14:textId="77777777" w:rsidR="00A91885" w:rsidRDefault="009C4196">
            <w:pPr>
              <w:jc w:val="center"/>
              <w:textAlignment w:val="top"/>
            </w:pPr>
            <w:r>
              <w:rPr>
                <w:rFonts w:ascii="Arial" w:eastAsia="宋体" w:hAnsi="Arial" w:cs="Arial"/>
                <w:b/>
                <w:bCs/>
                <w:color w:val="000000"/>
                <w:sz w:val="17"/>
                <w:szCs w:val="17"/>
              </w:rPr>
              <w:t>Jamie Iannone</w:t>
            </w:r>
          </w:p>
        </w:tc>
      </w:tr>
      <w:tr w:rsidR="00A91885" w14:paraId="186020FD" w14:textId="77777777">
        <w:tc>
          <w:tcPr>
            <w:tcW w:w="0" w:type="auto"/>
            <w:gridSpan w:val="3"/>
            <w:shd w:val="clear" w:color="auto" w:fill="auto"/>
            <w:tcMar>
              <w:top w:w="0" w:type="dxa"/>
              <w:left w:w="20" w:type="dxa"/>
              <w:bottom w:w="0" w:type="dxa"/>
              <w:right w:w="20" w:type="dxa"/>
            </w:tcMar>
            <w:vAlign w:val="bottom"/>
          </w:tcPr>
          <w:p w14:paraId="186020F9"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0FA" w14:textId="77777777" w:rsidR="00A91885" w:rsidRDefault="009C4196">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186020FB" w14:textId="77777777" w:rsidR="00A91885" w:rsidRDefault="009C4196">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186020FC" w14:textId="77777777" w:rsidR="00A91885" w:rsidRDefault="009C4196">
            <w:pPr>
              <w:jc w:val="center"/>
              <w:textAlignment w:val="top"/>
            </w:pPr>
            <w:r>
              <w:rPr>
                <w:rFonts w:ascii="Arial" w:eastAsia="宋体" w:hAnsi="Arial" w:cs="Arial"/>
                <w:b/>
                <w:bCs/>
                <w:color w:val="000000"/>
                <w:sz w:val="17"/>
                <w:szCs w:val="17"/>
              </w:rPr>
              <w:t xml:space="preserve">Chief Executive </w:t>
            </w:r>
            <w:r>
              <w:rPr>
                <w:rFonts w:ascii="Arial" w:eastAsia="宋体" w:hAnsi="Arial" w:cs="Arial"/>
                <w:b/>
                <w:bCs/>
                <w:color w:val="000000"/>
                <w:sz w:val="17"/>
                <w:szCs w:val="17"/>
              </w:rPr>
              <w:t>Officer</w:t>
            </w:r>
          </w:p>
        </w:tc>
      </w:tr>
      <w:tr w:rsidR="00A91885" w14:paraId="18602101" w14:textId="77777777">
        <w:tc>
          <w:tcPr>
            <w:tcW w:w="0" w:type="auto"/>
            <w:gridSpan w:val="3"/>
            <w:shd w:val="clear" w:color="auto" w:fill="auto"/>
            <w:tcMar>
              <w:top w:w="40" w:type="dxa"/>
              <w:left w:w="20" w:type="dxa"/>
              <w:bottom w:w="40" w:type="dxa"/>
              <w:right w:w="20" w:type="dxa"/>
            </w:tcMar>
            <w:vAlign w:val="bottom"/>
          </w:tcPr>
          <w:p w14:paraId="186020FE" w14:textId="77777777" w:rsidR="00A91885" w:rsidRDefault="009C4196">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186020FF" w14:textId="77777777" w:rsidR="00A91885" w:rsidRDefault="009C4196">
            <w:pPr>
              <w:textAlignment w:val="top"/>
            </w:pPr>
            <w:r>
              <w:rPr>
                <w:rFonts w:ascii="Arial" w:eastAsia="宋体" w:hAnsi="Arial" w:cs="Arial"/>
                <w:color w:val="000000"/>
                <w:sz w:val="20"/>
                <w:szCs w:val="20"/>
              </w:rPr>
              <w:t>August 4, 2022</w:t>
            </w:r>
          </w:p>
        </w:tc>
        <w:tc>
          <w:tcPr>
            <w:tcW w:w="0" w:type="auto"/>
            <w:gridSpan w:val="6"/>
            <w:shd w:val="clear" w:color="auto" w:fill="auto"/>
            <w:tcMar>
              <w:top w:w="40" w:type="dxa"/>
              <w:left w:w="20" w:type="dxa"/>
              <w:bottom w:w="40" w:type="dxa"/>
              <w:right w:w="20" w:type="dxa"/>
            </w:tcMar>
          </w:tcPr>
          <w:p w14:paraId="18602100" w14:textId="77777777" w:rsidR="00A91885" w:rsidRDefault="009C4196">
            <w:pPr>
              <w:textAlignment w:val="top"/>
            </w:pPr>
            <w:r>
              <w:rPr>
                <w:rFonts w:ascii="Arial" w:eastAsia="宋体" w:hAnsi="Arial" w:cs="Arial"/>
                <w:color w:val="000000"/>
                <w:sz w:val="20"/>
                <w:szCs w:val="20"/>
              </w:rPr>
              <w:t> </w:t>
            </w:r>
          </w:p>
        </w:tc>
      </w:tr>
      <w:tr w:rsidR="00A91885" w14:paraId="18602105" w14:textId="77777777">
        <w:tc>
          <w:tcPr>
            <w:tcW w:w="0" w:type="auto"/>
            <w:gridSpan w:val="3"/>
            <w:shd w:val="clear" w:color="auto" w:fill="auto"/>
            <w:tcMar>
              <w:top w:w="0" w:type="dxa"/>
              <w:left w:w="20" w:type="dxa"/>
              <w:bottom w:w="0" w:type="dxa"/>
              <w:right w:w="20" w:type="dxa"/>
            </w:tcMar>
            <w:vAlign w:val="bottom"/>
          </w:tcPr>
          <w:p w14:paraId="18602102"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103" w14:textId="77777777" w:rsidR="00A91885" w:rsidRDefault="009C4196">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18602104" w14:textId="77777777" w:rsidR="00A91885" w:rsidRDefault="009C4196">
            <w:pPr>
              <w:textAlignment w:val="top"/>
            </w:pPr>
            <w:r>
              <w:rPr>
                <w:rFonts w:ascii="Arial" w:eastAsia="宋体" w:hAnsi="Arial" w:cs="Arial"/>
                <w:color w:val="000000"/>
                <w:sz w:val="20"/>
                <w:szCs w:val="20"/>
              </w:rPr>
              <w:t>Principal Financial Officer:</w:t>
            </w:r>
          </w:p>
        </w:tc>
      </w:tr>
      <w:tr w:rsidR="00A91885" w14:paraId="1860210A" w14:textId="77777777">
        <w:trPr>
          <w:trHeight w:val="280"/>
        </w:trPr>
        <w:tc>
          <w:tcPr>
            <w:tcW w:w="0" w:type="auto"/>
            <w:gridSpan w:val="3"/>
            <w:shd w:val="clear" w:color="auto" w:fill="auto"/>
            <w:tcMar>
              <w:top w:w="0" w:type="dxa"/>
              <w:left w:w="20" w:type="dxa"/>
              <w:bottom w:w="0" w:type="dxa"/>
              <w:right w:w="20" w:type="dxa"/>
            </w:tcMar>
            <w:vAlign w:val="bottom"/>
          </w:tcPr>
          <w:p w14:paraId="18602106"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2107"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2108"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2109" w14:textId="77777777" w:rsidR="00A91885" w:rsidRDefault="00A91885">
            <w:pPr>
              <w:rPr>
                <w:rFonts w:ascii="宋体"/>
              </w:rPr>
            </w:pPr>
          </w:p>
        </w:tc>
      </w:tr>
      <w:tr w:rsidR="00A91885" w14:paraId="1860210F" w14:textId="77777777">
        <w:tc>
          <w:tcPr>
            <w:tcW w:w="0" w:type="auto"/>
            <w:gridSpan w:val="3"/>
            <w:shd w:val="clear" w:color="auto" w:fill="auto"/>
            <w:tcMar>
              <w:top w:w="0" w:type="dxa"/>
              <w:left w:w="20" w:type="dxa"/>
              <w:bottom w:w="0" w:type="dxa"/>
              <w:right w:w="20" w:type="dxa"/>
            </w:tcMar>
            <w:vAlign w:val="bottom"/>
          </w:tcPr>
          <w:p w14:paraId="1860210B"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10C" w14:textId="77777777" w:rsidR="00A91885" w:rsidRDefault="009C4196">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1860210D" w14:textId="77777777" w:rsidR="00A91885" w:rsidRDefault="009C4196">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1860210E" w14:textId="77777777" w:rsidR="00A91885" w:rsidRDefault="009C4196">
            <w:pPr>
              <w:textAlignment w:val="bottom"/>
            </w:pPr>
            <w:r>
              <w:rPr>
                <w:rFonts w:ascii="Arial" w:eastAsia="宋体" w:hAnsi="Arial" w:cs="Arial"/>
                <w:color w:val="000000"/>
                <w:sz w:val="20"/>
                <w:szCs w:val="20"/>
              </w:rPr>
              <w:t>/s/ Steve Priest</w:t>
            </w:r>
          </w:p>
        </w:tc>
      </w:tr>
      <w:tr w:rsidR="00A91885" w14:paraId="18602114" w14:textId="77777777">
        <w:tc>
          <w:tcPr>
            <w:tcW w:w="0" w:type="auto"/>
            <w:gridSpan w:val="3"/>
            <w:shd w:val="clear" w:color="auto" w:fill="auto"/>
            <w:tcMar>
              <w:top w:w="0" w:type="dxa"/>
              <w:left w:w="20" w:type="dxa"/>
              <w:bottom w:w="0" w:type="dxa"/>
              <w:right w:w="20" w:type="dxa"/>
            </w:tcMar>
            <w:vAlign w:val="bottom"/>
          </w:tcPr>
          <w:p w14:paraId="18602110"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111" w14:textId="77777777" w:rsidR="00A91885" w:rsidRDefault="009C4196">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18602112" w14:textId="77777777" w:rsidR="00A91885" w:rsidRDefault="009C4196">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18602113" w14:textId="77777777" w:rsidR="00A91885" w:rsidRDefault="009C4196">
            <w:pPr>
              <w:jc w:val="center"/>
              <w:textAlignment w:val="top"/>
            </w:pPr>
            <w:r>
              <w:rPr>
                <w:rFonts w:ascii="Arial" w:eastAsia="宋体" w:hAnsi="Arial" w:cs="Arial"/>
                <w:b/>
                <w:bCs/>
                <w:color w:val="000000"/>
                <w:sz w:val="17"/>
                <w:szCs w:val="17"/>
              </w:rPr>
              <w:t>Steve Priest</w:t>
            </w:r>
          </w:p>
        </w:tc>
      </w:tr>
      <w:tr w:rsidR="00A91885" w14:paraId="18602119" w14:textId="77777777">
        <w:tc>
          <w:tcPr>
            <w:tcW w:w="0" w:type="auto"/>
            <w:gridSpan w:val="3"/>
            <w:shd w:val="clear" w:color="auto" w:fill="auto"/>
            <w:tcMar>
              <w:top w:w="0" w:type="dxa"/>
              <w:left w:w="20" w:type="dxa"/>
              <w:bottom w:w="0" w:type="dxa"/>
              <w:right w:w="20" w:type="dxa"/>
            </w:tcMar>
            <w:vAlign w:val="bottom"/>
          </w:tcPr>
          <w:p w14:paraId="18602115"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116" w14:textId="77777777" w:rsidR="00A91885" w:rsidRDefault="009C4196">
            <w:pPr>
              <w:textAlignment w:val="top"/>
            </w:pPr>
            <w:r>
              <w:rPr>
                <w:rFonts w:ascii="Arial" w:eastAsia="宋体" w:hAnsi="Arial" w:cs="Arial"/>
                <w:b/>
                <w:bCs/>
                <w:color w:val="FFFFFF"/>
                <w:sz w:val="16"/>
                <w:szCs w:val="16"/>
              </w:rPr>
              <w:t>                                                                                       </w:t>
            </w:r>
          </w:p>
        </w:tc>
        <w:tc>
          <w:tcPr>
            <w:tcW w:w="0" w:type="auto"/>
            <w:gridSpan w:val="3"/>
            <w:shd w:val="clear" w:color="auto" w:fill="auto"/>
            <w:tcMar>
              <w:top w:w="40" w:type="dxa"/>
              <w:left w:w="20" w:type="dxa"/>
              <w:bottom w:w="40" w:type="dxa"/>
              <w:right w:w="20" w:type="dxa"/>
            </w:tcMar>
          </w:tcPr>
          <w:p w14:paraId="18602117" w14:textId="77777777" w:rsidR="00A91885" w:rsidRDefault="009C4196">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18602118" w14:textId="77777777" w:rsidR="00A91885" w:rsidRDefault="009C4196">
            <w:pPr>
              <w:jc w:val="center"/>
              <w:textAlignment w:val="top"/>
            </w:pPr>
            <w:r>
              <w:rPr>
                <w:rFonts w:ascii="Arial" w:eastAsia="宋体" w:hAnsi="Arial" w:cs="Arial"/>
                <w:b/>
                <w:bCs/>
                <w:color w:val="000000"/>
                <w:sz w:val="17"/>
                <w:szCs w:val="17"/>
              </w:rPr>
              <w:t>Chief Financial Officer</w:t>
            </w:r>
          </w:p>
        </w:tc>
      </w:tr>
      <w:tr w:rsidR="00A91885" w14:paraId="1860211D" w14:textId="77777777">
        <w:tc>
          <w:tcPr>
            <w:tcW w:w="0" w:type="auto"/>
            <w:gridSpan w:val="3"/>
            <w:shd w:val="clear" w:color="auto" w:fill="auto"/>
            <w:tcMar>
              <w:top w:w="40" w:type="dxa"/>
              <w:left w:w="20" w:type="dxa"/>
              <w:bottom w:w="40" w:type="dxa"/>
              <w:right w:w="20" w:type="dxa"/>
            </w:tcMar>
            <w:vAlign w:val="bottom"/>
          </w:tcPr>
          <w:p w14:paraId="1860211A" w14:textId="77777777" w:rsidR="00A91885" w:rsidRDefault="009C4196">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1860211B" w14:textId="77777777" w:rsidR="00A91885" w:rsidRDefault="009C4196">
            <w:pPr>
              <w:textAlignment w:val="top"/>
            </w:pPr>
            <w:r>
              <w:rPr>
                <w:rFonts w:ascii="Arial" w:eastAsia="宋体" w:hAnsi="Arial" w:cs="Arial"/>
                <w:color w:val="000000"/>
                <w:sz w:val="20"/>
                <w:szCs w:val="20"/>
              </w:rPr>
              <w:t>August 4, 2022</w:t>
            </w:r>
          </w:p>
        </w:tc>
        <w:tc>
          <w:tcPr>
            <w:tcW w:w="0" w:type="auto"/>
            <w:gridSpan w:val="6"/>
            <w:shd w:val="clear" w:color="auto" w:fill="auto"/>
            <w:tcMar>
              <w:top w:w="40" w:type="dxa"/>
              <w:left w:w="20" w:type="dxa"/>
              <w:bottom w:w="40" w:type="dxa"/>
              <w:right w:w="20" w:type="dxa"/>
            </w:tcMar>
          </w:tcPr>
          <w:p w14:paraId="1860211C" w14:textId="77777777" w:rsidR="00A91885" w:rsidRDefault="009C4196">
            <w:pPr>
              <w:textAlignment w:val="top"/>
            </w:pPr>
            <w:r>
              <w:rPr>
                <w:rFonts w:ascii="Arial" w:eastAsia="宋体" w:hAnsi="Arial" w:cs="Arial"/>
                <w:color w:val="000000"/>
                <w:sz w:val="20"/>
                <w:szCs w:val="20"/>
              </w:rPr>
              <w:t> </w:t>
            </w:r>
          </w:p>
        </w:tc>
      </w:tr>
      <w:tr w:rsidR="00A91885" w14:paraId="18602121" w14:textId="77777777">
        <w:tc>
          <w:tcPr>
            <w:tcW w:w="0" w:type="auto"/>
            <w:gridSpan w:val="3"/>
            <w:shd w:val="clear" w:color="auto" w:fill="auto"/>
            <w:tcMar>
              <w:top w:w="0" w:type="dxa"/>
              <w:left w:w="20" w:type="dxa"/>
              <w:bottom w:w="0" w:type="dxa"/>
              <w:right w:w="20" w:type="dxa"/>
            </w:tcMar>
            <w:vAlign w:val="bottom"/>
          </w:tcPr>
          <w:p w14:paraId="1860211E"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11F" w14:textId="77777777" w:rsidR="00A91885" w:rsidRDefault="009C4196">
            <w:pPr>
              <w:textAlignment w:val="top"/>
            </w:pPr>
            <w:r>
              <w:rPr>
                <w:rFonts w:ascii="Arial" w:eastAsia="宋体" w:hAnsi="Arial" w:cs="Arial"/>
                <w:color w:val="000000"/>
                <w:sz w:val="20"/>
                <w:szCs w:val="20"/>
              </w:rPr>
              <w:t> </w:t>
            </w:r>
          </w:p>
        </w:tc>
        <w:tc>
          <w:tcPr>
            <w:tcW w:w="0" w:type="auto"/>
            <w:gridSpan w:val="6"/>
            <w:shd w:val="clear" w:color="auto" w:fill="auto"/>
            <w:tcMar>
              <w:top w:w="40" w:type="dxa"/>
              <w:left w:w="20" w:type="dxa"/>
              <w:bottom w:w="40" w:type="dxa"/>
              <w:right w:w="20" w:type="dxa"/>
            </w:tcMar>
          </w:tcPr>
          <w:p w14:paraId="18602120" w14:textId="77777777" w:rsidR="00A91885" w:rsidRDefault="009C4196">
            <w:pPr>
              <w:textAlignment w:val="top"/>
            </w:pPr>
            <w:r>
              <w:rPr>
                <w:rFonts w:ascii="Arial" w:eastAsia="宋体" w:hAnsi="Arial" w:cs="Arial"/>
                <w:color w:val="000000"/>
                <w:sz w:val="20"/>
                <w:szCs w:val="20"/>
              </w:rPr>
              <w:t>Principal Accounting Officer:</w:t>
            </w:r>
          </w:p>
        </w:tc>
      </w:tr>
      <w:tr w:rsidR="00A91885" w14:paraId="18602126" w14:textId="77777777">
        <w:trPr>
          <w:trHeight w:val="280"/>
        </w:trPr>
        <w:tc>
          <w:tcPr>
            <w:tcW w:w="0" w:type="auto"/>
            <w:gridSpan w:val="3"/>
            <w:shd w:val="clear" w:color="auto" w:fill="auto"/>
            <w:tcMar>
              <w:top w:w="0" w:type="dxa"/>
              <w:left w:w="20" w:type="dxa"/>
              <w:bottom w:w="0" w:type="dxa"/>
              <w:right w:w="20" w:type="dxa"/>
            </w:tcMar>
            <w:vAlign w:val="bottom"/>
          </w:tcPr>
          <w:p w14:paraId="18602122"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2123"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2124" w14:textId="77777777" w:rsidR="00A91885" w:rsidRDefault="00A91885">
            <w:pPr>
              <w:rPr>
                <w:rFonts w:ascii="宋体"/>
              </w:rPr>
            </w:pPr>
          </w:p>
        </w:tc>
        <w:tc>
          <w:tcPr>
            <w:tcW w:w="0" w:type="auto"/>
            <w:gridSpan w:val="3"/>
            <w:shd w:val="clear" w:color="auto" w:fill="auto"/>
            <w:tcMar>
              <w:top w:w="0" w:type="dxa"/>
              <w:left w:w="20" w:type="dxa"/>
              <w:bottom w:w="0" w:type="dxa"/>
              <w:right w:w="20" w:type="dxa"/>
            </w:tcMar>
            <w:vAlign w:val="bottom"/>
          </w:tcPr>
          <w:p w14:paraId="18602125" w14:textId="77777777" w:rsidR="00A91885" w:rsidRDefault="00A91885">
            <w:pPr>
              <w:rPr>
                <w:rFonts w:ascii="宋体"/>
              </w:rPr>
            </w:pPr>
          </w:p>
        </w:tc>
      </w:tr>
      <w:tr w:rsidR="00A91885" w14:paraId="1860212B" w14:textId="77777777">
        <w:tc>
          <w:tcPr>
            <w:tcW w:w="0" w:type="auto"/>
            <w:gridSpan w:val="3"/>
            <w:shd w:val="clear" w:color="auto" w:fill="auto"/>
            <w:tcMar>
              <w:top w:w="0" w:type="dxa"/>
              <w:left w:w="20" w:type="dxa"/>
              <w:bottom w:w="0" w:type="dxa"/>
              <w:right w:w="20" w:type="dxa"/>
            </w:tcMar>
            <w:vAlign w:val="bottom"/>
          </w:tcPr>
          <w:p w14:paraId="18602127"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128" w14:textId="77777777" w:rsidR="00A91885" w:rsidRDefault="009C4196">
            <w:pPr>
              <w:textAlignment w:val="top"/>
            </w:pPr>
            <w:r>
              <w:rPr>
                <w:rFonts w:ascii="Arial" w:eastAsia="宋体" w:hAnsi="Arial" w:cs="Arial"/>
                <w:color w:val="000000"/>
                <w:sz w:val="20"/>
                <w:szCs w:val="20"/>
              </w:rPr>
              <w:t> </w:t>
            </w:r>
          </w:p>
        </w:tc>
        <w:tc>
          <w:tcPr>
            <w:tcW w:w="0" w:type="auto"/>
            <w:gridSpan w:val="3"/>
            <w:shd w:val="clear" w:color="auto" w:fill="auto"/>
            <w:tcMar>
              <w:top w:w="40" w:type="dxa"/>
              <w:left w:w="20" w:type="dxa"/>
              <w:bottom w:w="40" w:type="dxa"/>
              <w:right w:w="20" w:type="dxa"/>
            </w:tcMar>
          </w:tcPr>
          <w:p w14:paraId="18602129" w14:textId="77777777" w:rsidR="00A91885" w:rsidRDefault="009C4196">
            <w:pPr>
              <w:textAlignment w:val="top"/>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1860212A" w14:textId="77777777" w:rsidR="00A91885" w:rsidRDefault="009C4196">
            <w:pPr>
              <w:textAlignment w:val="bottom"/>
            </w:pPr>
            <w:r>
              <w:rPr>
                <w:rFonts w:ascii="Arial" w:eastAsia="宋体" w:hAnsi="Arial" w:cs="Arial"/>
                <w:color w:val="000000"/>
                <w:sz w:val="20"/>
                <w:szCs w:val="20"/>
              </w:rPr>
              <w:t>/s/ Brian J. Doerger</w:t>
            </w:r>
          </w:p>
        </w:tc>
      </w:tr>
      <w:tr w:rsidR="00A91885" w14:paraId="18602130" w14:textId="77777777">
        <w:tc>
          <w:tcPr>
            <w:tcW w:w="0" w:type="auto"/>
            <w:gridSpan w:val="3"/>
            <w:shd w:val="clear" w:color="auto" w:fill="auto"/>
            <w:tcMar>
              <w:top w:w="0" w:type="dxa"/>
              <w:left w:w="20" w:type="dxa"/>
              <w:bottom w:w="0" w:type="dxa"/>
              <w:right w:w="20" w:type="dxa"/>
            </w:tcMar>
            <w:vAlign w:val="bottom"/>
          </w:tcPr>
          <w:p w14:paraId="1860212C"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12D" w14:textId="77777777" w:rsidR="00A91885" w:rsidRDefault="009C4196">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1860212E" w14:textId="77777777" w:rsidR="00A91885" w:rsidRDefault="009C4196">
            <w:pPr>
              <w:textAlignment w:val="top"/>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1860212F" w14:textId="77777777" w:rsidR="00A91885" w:rsidRDefault="009C4196">
            <w:pPr>
              <w:jc w:val="center"/>
              <w:textAlignment w:val="top"/>
            </w:pPr>
            <w:r>
              <w:rPr>
                <w:rFonts w:ascii="Arial" w:eastAsia="宋体" w:hAnsi="Arial" w:cs="Arial"/>
                <w:b/>
                <w:bCs/>
                <w:color w:val="000000"/>
                <w:sz w:val="17"/>
                <w:szCs w:val="17"/>
              </w:rPr>
              <w:t>Brian J. Doerger</w:t>
            </w:r>
          </w:p>
        </w:tc>
      </w:tr>
      <w:tr w:rsidR="00A91885" w14:paraId="18602135" w14:textId="77777777">
        <w:tc>
          <w:tcPr>
            <w:tcW w:w="0" w:type="auto"/>
            <w:gridSpan w:val="3"/>
            <w:shd w:val="clear" w:color="auto" w:fill="auto"/>
            <w:tcMar>
              <w:top w:w="0" w:type="dxa"/>
              <w:left w:w="20" w:type="dxa"/>
              <w:bottom w:w="0" w:type="dxa"/>
              <w:right w:w="20" w:type="dxa"/>
            </w:tcMar>
            <w:vAlign w:val="bottom"/>
          </w:tcPr>
          <w:p w14:paraId="18602131" w14:textId="77777777" w:rsidR="00A91885" w:rsidRDefault="00A91885">
            <w:pPr>
              <w:rPr>
                <w:rFonts w:ascii="宋体"/>
              </w:rPr>
            </w:pPr>
          </w:p>
        </w:tc>
        <w:tc>
          <w:tcPr>
            <w:tcW w:w="0" w:type="auto"/>
            <w:gridSpan w:val="3"/>
            <w:shd w:val="clear" w:color="auto" w:fill="auto"/>
            <w:tcMar>
              <w:top w:w="40" w:type="dxa"/>
              <w:left w:w="20" w:type="dxa"/>
              <w:bottom w:w="40" w:type="dxa"/>
              <w:right w:w="20" w:type="dxa"/>
            </w:tcMar>
          </w:tcPr>
          <w:p w14:paraId="18602132" w14:textId="77777777" w:rsidR="00A91885" w:rsidRDefault="009C4196">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18602133" w14:textId="77777777" w:rsidR="00A91885" w:rsidRDefault="009C4196">
            <w:pPr>
              <w:textAlignment w:val="top"/>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tcPr>
          <w:p w14:paraId="18602134" w14:textId="77777777" w:rsidR="00A91885" w:rsidRDefault="009C4196">
            <w:pPr>
              <w:jc w:val="center"/>
              <w:textAlignment w:val="top"/>
            </w:pPr>
            <w:r>
              <w:rPr>
                <w:rFonts w:ascii="Arial" w:eastAsia="宋体" w:hAnsi="Arial" w:cs="Arial"/>
                <w:b/>
                <w:bCs/>
                <w:color w:val="000000"/>
                <w:sz w:val="17"/>
                <w:szCs w:val="17"/>
              </w:rPr>
              <w:t xml:space="preserve">Vice </w:t>
            </w:r>
            <w:r>
              <w:rPr>
                <w:rFonts w:ascii="Arial" w:eastAsia="宋体" w:hAnsi="Arial" w:cs="Arial"/>
                <w:b/>
                <w:bCs/>
                <w:color w:val="000000"/>
                <w:sz w:val="17"/>
                <w:szCs w:val="17"/>
              </w:rPr>
              <w:t>President, Chief Accounting Officer</w:t>
            </w:r>
          </w:p>
        </w:tc>
      </w:tr>
      <w:tr w:rsidR="00A91885" w14:paraId="1860213A" w14:textId="77777777">
        <w:tc>
          <w:tcPr>
            <w:tcW w:w="0" w:type="auto"/>
            <w:gridSpan w:val="3"/>
            <w:shd w:val="clear" w:color="auto" w:fill="auto"/>
            <w:tcMar>
              <w:top w:w="40" w:type="dxa"/>
              <w:left w:w="20" w:type="dxa"/>
              <w:bottom w:w="40" w:type="dxa"/>
              <w:right w:w="20" w:type="dxa"/>
            </w:tcMar>
            <w:vAlign w:val="bottom"/>
          </w:tcPr>
          <w:p w14:paraId="18602136" w14:textId="77777777" w:rsidR="00A91885" w:rsidRDefault="009C4196">
            <w:pPr>
              <w:textAlignment w:val="bottom"/>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18602137" w14:textId="77777777" w:rsidR="00A91885" w:rsidRDefault="009C4196">
            <w:pPr>
              <w:textAlignment w:val="top"/>
            </w:pPr>
            <w:r>
              <w:rPr>
                <w:rFonts w:ascii="Arial" w:eastAsia="宋体" w:hAnsi="Arial" w:cs="Arial"/>
                <w:color w:val="000000"/>
                <w:sz w:val="20"/>
                <w:szCs w:val="20"/>
              </w:rPr>
              <w:t>August 4, 2022</w:t>
            </w:r>
          </w:p>
        </w:tc>
        <w:tc>
          <w:tcPr>
            <w:tcW w:w="0" w:type="auto"/>
            <w:gridSpan w:val="3"/>
            <w:shd w:val="clear" w:color="auto" w:fill="auto"/>
            <w:tcMar>
              <w:top w:w="40" w:type="dxa"/>
              <w:left w:w="20" w:type="dxa"/>
              <w:bottom w:w="40" w:type="dxa"/>
              <w:right w:w="20" w:type="dxa"/>
            </w:tcMar>
          </w:tcPr>
          <w:p w14:paraId="18602138" w14:textId="77777777" w:rsidR="00A91885" w:rsidRDefault="009C4196">
            <w:pPr>
              <w:textAlignment w:val="top"/>
            </w:pPr>
            <w:r>
              <w:rPr>
                <w:rFonts w:ascii="Arial" w:eastAsia="宋体" w:hAnsi="Arial" w:cs="Arial"/>
                <w:color w:val="000000"/>
                <w:sz w:val="8"/>
                <w:szCs w:val="8"/>
              </w:rPr>
              <w:t> </w:t>
            </w:r>
          </w:p>
        </w:tc>
        <w:tc>
          <w:tcPr>
            <w:tcW w:w="0" w:type="auto"/>
            <w:gridSpan w:val="3"/>
            <w:shd w:val="clear" w:color="auto" w:fill="auto"/>
            <w:tcMar>
              <w:top w:w="40" w:type="dxa"/>
              <w:left w:w="20" w:type="dxa"/>
              <w:bottom w:w="40" w:type="dxa"/>
              <w:right w:w="20" w:type="dxa"/>
            </w:tcMar>
          </w:tcPr>
          <w:p w14:paraId="18602139" w14:textId="77777777" w:rsidR="00A91885" w:rsidRDefault="009C4196">
            <w:pPr>
              <w:textAlignment w:val="top"/>
            </w:pPr>
            <w:r>
              <w:rPr>
                <w:rFonts w:ascii="Arial" w:eastAsia="宋体" w:hAnsi="Arial" w:cs="Arial"/>
                <w:color w:val="000000"/>
                <w:sz w:val="8"/>
                <w:szCs w:val="8"/>
              </w:rPr>
              <w:t> </w:t>
            </w:r>
          </w:p>
        </w:tc>
      </w:tr>
    </w:tbl>
    <w:p w14:paraId="1860213B" w14:textId="77777777" w:rsidR="00A91885" w:rsidRDefault="00A91885"/>
    <w:p w14:paraId="1860213C" w14:textId="77777777" w:rsidR="00A91885" w:rsidRDefault="00A91885"/>
    <w:p w14:paraId="1860213D" w14:textId="77777777" w:rsidR="00A91885" w:rsidRDefault="00A91885">
      <w:pPr>
        <w:jc w:val="center"/>
      </w:pPr>
    </w:p>
    <w:p w14:paraId="1860213E" w14:textId="77777777" w:rsidR="00A91885" w:rsidRDefault="009C4196">
      <w:pPr>
        <w:jc w:val="center"/>
      </w:pPr>
      <w:r>
        <w:rPr>
          <w:rFonts w:ascii="Arial" w:eastAsia="宋体" w:hAnsi="Arial" w:cs="Arial"/>
          <w:color w:val="000000"/>
          <w:sz w:val="20"/>
          <w:szCs w:val="20"/>
        </w:rPr>
        <w:t>68</w:t>
      </w:r>
    </w:p>
    <w:p w14:paraId="1860213F" w14:textId="77777777" w:rsidR="00A91885" w:rsidRDefault="009C419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86021C7" wp14:editId="186021C8">
                <wp:extent cx="635" cy="0"/>
                <wp:effectExtent l="0" t="0" r="0" b="0"/>
                <wp:docPr id="14" name="矩形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7mTWQ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7mTWQ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1885" w14:paraId="18602141" w14:textId="77777777">
        <w:trPr>
          <w:tblCellSpacing w:w="15" w:type="dxa"/>
        </w:trPr>
        <w:tc>
          <w:tcPr>
            <w:tcW w:w="0" w:type="auto"/>
            <w:shd w:val="clear" w:color="auto" w:fill="auto"/>
            <w:vAlign w:val="center"/>
          </w:tcPr>
          <w:p w14:paraId="18602140" w14:textId="77777777" w:rsidR="00A91885" w:rsidRDefault="00A91885">
            <w:pPr>
              <w:rPr>
                <w:rFonts w:ascii="宋体"/>
              </w:rPr>
            </w:pPr>
          </w:p>
        </w:tc>
      </w:tr>
    </w:tbl>
    <w:p w14:paraId="18602142" w14:textId="77777777" w:rsidR="00A91885" w:rsidRDefault="00A918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1885" w14:paraId="18602144" w14:textId="77777777">
        <w:trPr>
          <w:tblCellSpacing w:w="15" w:type="dxa"/>
        </w:trPr>
        <w:tc>
          <w:tcPr>
            <w:tcW w:w="0" w:type="auto"/>
            <w:shd w:val="clear" w:color="auto" w:fill="auto"/>
            <w:vAlign w:val="center"/>
          </w:tcPr>
          <w:p w14:paraId="18602143" w14:textId="77777777" w:rsidR="00A91885" w:rsidRDefault="00A91885">
            <w:pPr>
              <w:rPr>
                <w:rFonts w:ascii="宋体"/>
              </w:rPr>
            </w:pPr>
          </w:p>
        </w:tc>
      </w:tr>
    </w:tbl>
    <w:p w14:paraId="18602145" w14:textId="77777777" w:rsidR="00A91885" w:rsidRDefault="00A918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1885" w14:paraId="18602147" w14:textId="77777777">
        <w:trPr>
          <w:tblCellSpacing w:w="15" w:type="dxa"/>
        </w:trPr>
        <w:tc>
          <w:tcPr>
            <w:tcW w:w="0" w:type="auto"/>
            <w:shd w:val="clear" w:color="auto" w:fill="auto"/>
            <w:vAlign w:val="center"/>
          </w:tcPr>
          <w:p w14:paraId="18602146" w14:textId="77777777" w:rsidR="00A91885" w:rsidRDefault="00A91885">
            <w:pPr>
              <w:rPr>
                <w:rFonts w:ascii="宋体"/>
              </w:rPr>
            </w:pPr>
          </w:p>
        </w:tc>
      </w:tr>
    </w:tbl>
    <w:p w14:paraId="18602148" w14:textId="77777777" w:rsidR="00A91885" w:rsidRDefault="00A918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1885" w14:paraId="1860214A" w14:textId="77777777">
        <w:trPr>
          <w:tblCellSpacing w:w="15" w:type="dxa"/>
        </w:trPr>
        <w:tc>
          <w:tcPr>
            <w:tcW w:w="0" w:type="auto"/>
            <w:shd w:val="clear" w:color="auto" w:fill="auto"/>
            <w:vAlign w:val="center"/>
          </w:tcPr>
          <w:p w14:paraId="18602149" w14:textId="77777777" w:rsidR="00A91885" w:rsidRDefault="00A91885">
            <w:pPr>
              <w:rPr>
                <w:rFonts w:ascii="宋体"/>
              </w:rPr>
            </w:pPr>
          </w:p>
        </w:tc>
      </w:tr>
    </w:tbl>
    <w:p w14:paraId="1860214B" w14:textId="77777777" w:rsidR="00A91885" w:rsidRDefault="009C4196">
      <w:r>
        <w:rPr>
          <w:rFonts w:ascii="宋体" w:eastAsia="宋体" w:hAnsi="宋体" w:cs="宋体"/>
        </w:rPr>
        <w:t xml:space="preserve">Previous Next </w:t>
      </w:r>
    </w:p>
    <w:p w14:paraId="1860214C" w14:textId="77777777" w:rsidR="00A91885" w:rsidRDefault="009C4196">
      <w:pPr>
        <w:pStyle w:val="a3"/>
      </w:pPr>
      <w:r>
        <w:t>Settings</w:t>
      </w:r>
    </w:p>
    <w:p w14:paraId="1860214D" w14:textId="77777777" w:rsidR="00A91885" w:rsidRDefault="009C4196">
      <w:pPr>
        <w:pStyle w:val="Style4"/>
      </w:pPr>
      <w:r>
        <w:t>窗体顶端</w:t>
      </w:r>
    </w:p>
    <w:p w14:paraId="1860214E" w14:textId="77777777" w:rsidR="00A91885" w:rsidRDefault="009C4196">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86021C9" wp14:editId="186021CA">
                <wp:extent cx="635" cy="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By7Q/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BJLEgaWJ//7249fP74wcpM4QsKagh3AfMz8Md158Reb8TQ+uU+8wkMaUnWOrJ8H5gFPavo02&#10;pxNhti/qH07qq31igpxXry85E0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UHLtD/wEAABo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1860214F" w14:textId="77777777" w:rsidR="00A91885" w:rsidRDefault="009C4196">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86021CB" wp14:editId="186021CC">
                <wp:extent cx="635" cy="0"/>
                <wp:effectExtent l="0" t="0" r="0" b="0"/>
                <wp:docPr id="11" name="矩形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H/dV3g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18602150" w14:textId="77777777" w:rsidR="00A91885" w:rsidRDefault="009C4196">
      <w:r>
        <w:pict w14:anchorId="186021CD">
          <v:rect id="_x0000_i1092" style="width:415.3pt;height:1.5pt" o:hralign="center" o:hrstd="t" o:hr="t" fillcolor="#a0a0a0" stroked="f"/>
        </w:pict>
      </w:r>
    </w:p>
    <w:p w14:paraId="18602151" w14:textId="77777777" w:rsidR="00A91885" w:rsidRDefault="009C4196">
      <w:r>
        <w:rPr>
          <w:rFonts w:ascii="宋体" w:eastAsia="宋体" w:hAnsi="宋体" w:cs="宋体"/>
        </w:rPr>
        <w:t xml:space="preserve">Tagged Data </w:t>
      </w:r>
    </w:p>
    <w:p w14:paraId="18602152" w14:textId="77777777" w:rsidR="00A91885" w:rsidRDefault="009C4196">
      <w:r>
        <w:rPr>
          <w:rFonts w:ascii="monospace" w:eastAsia="monospace" w:hAnsi="monospace" w:cs="monospace"/>
          <w:noProof/>
        </w:rPr>
        <mc:AlternateContent>
          <mc:Choice Requires="wps">
            <w:drawing>
              <wp:inline distT="0" distB="0" distL="114300" distR="114300" wp14:anchorId="186021CE" wp14:editId="186021CF">
                <wp:extent cx="635" cy="0"/>
                <wp:effectExtent l="0" t="0" r="0" b="0"/>
                <wp:docPr id="12" name="矩形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A80Xo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A80XowACAAAaBAAADgAAAAAAAAAB&#10;ACAAAAAzAQAAZHJzL2Uyb0RvYy54bWxQSwUGAAAAAAYABgBZAQAApQUAAAAA&#10;">
                <v:path/>
                <v:fill on="f" focussize="0,0"/>
                <v:stroke/>
                <v:imagedata o:title=""/>
                <o:lock v:ext="edit" aspectratio="t"/>
                <w10:wrap type="none"/>
                <w10:anchorlock/>
              </v:rect>
            </w:pict>
          </mc:Fallback>
        </mc:AlternateContent>
      </w:r>
    </w:p>
    <w:p w14:paraId="18602153" w14:textId="77777777" w:rsidR="00A91885" w:rsidRDefault="009C4196">
      <w:r>
        <w:rPr>
          <w:rFonts w:ascii="宋体" w:eastAsia="宋体" w:hAnsi="宋体" w:cs="宋体"/>
        </w:rPr>
        <w:t>Save</w:t>
      </w:r>
    </w:p>
    <w:p w14:paraId="18602154" w14:textId="77777777" w:rsidR="00A91885" w:rsidRDefault="009C4196">
      <w:r>
        <w:rPr>
          <w:rFonts w:ascii="宋体" w:eastAsia="宋体" w:hAnsi="宋体" w:cs="宋体"/>
        </w:rPr>
        <w:t>Reset</w:t>
      </w:r>
    </w:p>
    <w:p w14:paraId="18602155" w14:textId="77777777" w:rsidR="00A91885" w:rsidRDefault="009C4196">
      <w:r>
        <w:pict w14:anchorId="186021D0">
          <v:rect id="_x0000_i1093" style="width:415.3pt;height:1.5pt" o:hralign="center" o:hrstd="t" o:hr="t" fillcolor="#a0a0a0" stroked="f"/>
        </w:pict>
      </w:r>
    </w:p>
    <w:p w14:paraId="18602156" w14:textId="77777777" w:rsidR="00A91885" w:rsidRDefault="009C4196">
      <w:r>
        <w:rPr>
          <w:rFonts w:ascii="宋体" w:eastAsia="宋体" w:hAnsi="宋体" w:cs="宋体"/>
        </w:rPr>
        <w:t xml:space="preserve">Search Results </w:t>
      </w:r>
    </w:p>
    <w:p w14:paraId="18602157" w14:textId="77777777" w:rsidR="00A91885" w:rsidRDefault="009C4196">
      <w:r>
        <w:rPr>
          <w:rFonts w:ascii="monospace" w:eastAsia="monospace" w:hAnsi="monospace" w:cs="monospace"/>
          <w:noProof/>
        </w:rPr>
        <mc:AlternateContent>
          <mc:Choice Requires="wps">
            <w:drawing>
              <wp:inline distT="0" distB="0" distL="114300" distR="114300" wp14:anchorId="186021D1" wp14:editId="186021D2">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path/>
                <v:fill on="f" focussize="0,0"/>
                <v:stroke/>
                <v:imagedata o:title=""/>
                <o:lock v:ext="edit" aspectratio="t"/>
                <w10:wrap type="none"/>
                <w10:anchorlock/>
              </v:rect>
            </w:pict>
          </mc:Fallback>
        </mc:AlternateContent>
      </w:r>
    </w:p>
    <w:p w14:paraId="18602158" w14:textId="77777777" w:rsidR="00A91885" w:rsidRDefault="009C4196">
      <w:r>
        <w:rPr>
          <w:rFonts w:ascii="宋体" w:eastAsia="宋体" w:hAnsi="宋体" w:cs="宋体"/>
        </w:rPr>
        <w:t>Save</w:t>
      </w:r>
    </w:p>
    <w:p w14:paraId="18602159" w14:textId="77777777" w:rsidR="00A91885" w:rsidRDefault="009C4196">
      <w:r>
        <w:rPr>
          <w:rFonts w:ascii="宋体" w:eastAsia="宋体" w:hAnsi="宋体" w:cs="宋体"/>
        </w:rPr>
        <w:t>Reset</w:t>
      </w:r>
    </w:p>
    <w:p w14:paraId="1860215A" w14:textId="77777777" w:rsidR="00A91885" w:rsidRDefault="009C4196">
      <w:r>
        <w:pict w14:anchorId="186021D3">
          <v:rect id="_x0000_i1094" style="width:415.3pt;height:1.5pt" o:hralign="center" o:hrstd="t" o:hr="t" fillcolor="#a0a0a0" stroked="f"/>
        </w:pict>
      </w:r>
    </w:p>
    <w:p w14:paraId="1860215B" w14:textId="77777777" w:rsidR="00A91885" w:rsidRDefault="009C4196">
      <w:r>
        <w:rPr>
          <w:rFonts w:ascii="宋体" w:eastAsia="宋体" w:hAnsi="宋体" w:cs="宋体"/>
        </w:rPr>
        <w:t xml:space="preserve">Selected Fact </w:t>
      </w:r>
    </w:p>
    <w:p w14:paraId="1860215C" w14:textId="77777777" w:rsidR="00A91885" w:rsidRDefault="009C4196">
      <w:r>
        <w:rPr>
          <w:rFonts w:ascii="monospace" w:eastAsia="monospace" w:hAnsi="monospace" w:cs="monospace"/>
          <w:noProof/>
        </w:rPr>
        <mc:AlternateContent>
          <mc:Choice Requires="wps">
            <w:drawing>
              <wp:inline distT="0" distB="0" distL="114300" distR="114300" wp14:anchorId="186021D4" wp14:editId="186021D5">
                <wp:extent cx="635" cy="0"/>
                <wp:effectExtent l="0" t="0" r="0" b="0"/>
                <wp:docPr id="13" name="矩形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Cb5Pg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Cb5PgACAAAaBAAADgAAAAAAAAAB&#10;ACAAAAAzAQAAZHJzL2Uyb0RvYy54bWxQSwUGAAAAAAYABgBZAQAApQUAAAAA&#10;">
                <v:path/>
                <v:fill on="f" focussize="0,0"/>
                <v:stroke/>
                <v:imagedata o:title=""/>
                <o:lock v:ext="edit" aspectratio="t"/>
                <w10:wrap type="none"/>
                <w10:anchorlock/>
              </v:rect>
            </w:pict>
          </mc:Fallback>
        </mc:AlternateContent>
      </w:r>
    </w:p>
    <w:p w14:paraId="1860215D" w14:textId="77777777" w:rsidR="00A91885" w:rsidRDefault="009C4196">
      <w:r>
        <w:rPr>
          <w:rFonts w:ascii="宋体" w:eastAsia="宋体" w:hAnsi="宋体" w:cs="宋体"/>
        </w:rPr>
        <w:t>Save</w:t>
      </w:r>
    </w:p>
    <w:p w14:paraId="1860215E" w14:textId="77777777" w:rsidR="00A91885" w:rsidRDefault="009C4196">
      <w:r>
        <w:rPr>
          <w:rFonts w:ascii="宋体" w:eastAsia="宋体" w:hAnsi="宋体" w:cs="宋体"/>
        </w:rPr>
        <w:t>Reset</w:t>
      </w:r>
    </w:p>
    <w:p w14:paraId="1860215F" w14:textId="77777777" w:rsidR="00A91885" w:rsidRDefault="009C4196">
      <w:r>
        <w:pict w14:anchorId="186021D6">
          <v:rect id="_x0000_i1095" style="width:415.3pt;height:1.5pt" o:hralign="center" o:hrstd="t" o:hr="t" fillcolor="#a0a0a0" stroked="f"/>
        </w:pict>
      </w:r>
    </w:p>
    <w:p w14:paraId="18602160" w14:textId="77777777" w:rsidR="00A91885" w:rsidRDefault="009C4196">
      <w:r>
        <w:rPr>
          <w:rFonts w:ascii="宋体" w:eastAsia="宋体" w:hAnsi="宋体" w:cs="宋体"/>
        </w:rPr>
        <w:t xml:space="preserve">Tag Shading (hover) </w:t>
      </w:r>
    </w:p>
    <w:p w14:paraId="18602161" w14:textId="77777777" w:rsidR="00A91885" w:rsidRDefault="009C4196">
      <w:r>
        <w:rPr>
          <w:rFonts w:ascii="monospace" w:eastAsia="monospace" w:hAnsi="monospace" w:cs="monospace"/>
          <w:noProof/>
        </w:rPr>
        <mc:AlternateContent>
          <mc:Choice Requires="wps">
            <w:drawing>
              <wp:inline distT="0" distB="0" distL="114300" distR="114300" wp14:anchorId="186021D7" wp14:editId="186021D8">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path/>
                <v:fill on="f" focussize="0,0"/>
                <v:stroke/>
                <v:imagedata o:title=""/>
                <o:lock v:ext="edit" aspectratio="t"/>
                <w10:wrap type="none"/>
                <w10:anchorlock/>
              </v:rect>
            </w:pict>
          </mc:Fallback>
        </mc:AlternateContent>
      </w:r>
    </w:p>
    <w:p w14:paraId="18602162" w14:textId="77777777" w:rsidR="00A91885" w:rsidRDefault="009C4196">
      <w:r>
        <w:rPr>
          <w:rFonts w:ascii="宋体" w:eastAsia="宋体" w:hAnsi="宋体" w:cs="宋体"/>
        </w:rPr>
        <w:t>Save</w:t>
      </w:r>
    </w:p>
    <w:p w14:paraId="18602163" w14:textId="77777777" w:rsidR="00A91885" w:rsidRDefault="009C4196">
      <w:r>
        <w:rPr>
          <w:rFonts w:ascii="宋体" w:eastAsia="宋体" w:hAnsi="宋体" w:cs="宋体"/>
        </w:rPr>
        <w:t>Reset</w:t>
      </w:r>
    </w:p>
    <w:p w14:paraId="18602164" w14:textId="77777777" w:rsidR="00A91885" w:rsidRDefault="009C4196">
      <w:pPr>
        <w:pStyle w:val="Style5"/>
      </w:pPr>
      <w:r>
        <w:t>窗体底端</w:t>
      </w:r>
    </w:p>
    <w:p w14:paraId="18602165" w14:textId="77777777" w:rsidR="00A91885" w:rsidRDefault="009C419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86021D9" wp14:editId="186021DA">
                <wp:extent cx="635" cy="0"/>
                <wp:effectExtent l="0" t="0" r="0" b="0"/>
                <wp:docPr id="15" name="矩形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8FJ9x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EvahEvOHFia+O9vP379/M7IQeoMAWsKegj3MfPDcOfFV2TO3/TgOvUOA2lM2Tm2ehKcDzil7dto&#10;czoRZvui/uGkvtonJsh59Zo6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wUn3E/wEAABo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1885" w14:paraId="18602167" w14:textId="77777777">
        <w:trPr>
          <w:tblCellSpacing w:w="15" w:type="dxa"/>
        </w:trPr>
        <w:tc>
          <w:tcPr>
            <w:tcW w:w="0" w:type="auto"/>
            <w:shd w:val="clear" w:color="auto" w:fill="auto"/>
            <w:vAlign w:val="center"/>
          </w:tcPr>
          <w:p w14:paraId="18602166" w14:textId="77777777" w:rsidR="00A91885" w:rsidRDefault="00A91885">
            <w:pPr>
              <w:rPr>
                <w:rFonts w:ascii="宋体"/>
              </w:rPr>
            </w:pPr>
          </w:p>
        </w:tc>
      </w:tr>
    </w:tbl>
    <w:p w14:paraId="18602168" w14:textId="77777777" w:rsidR="00A91885" w:rsidRDefault="00A918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1885" w14:paraId="1860216A" w14:textId="77777777">
        <w:trPr>
          <w:tblCellSpacing w:w="15" w:type="dxa"/>
        </w:trPr>
        <w:tc>
          <w:tcPr>
            <w:tcW w:w="0" w:type="auto"/>
            <w:shd w:val="clear" w:color="auto" w:fill="auto"/>
            <w:vAlign w:val="center"/>
          </w:tcPr>
          <w:p w14:paraId="18602169" w14:textId="77777777" w:rsidR="00A91885" w:rsidRDefault="00A91885">
            <w:pPr>
              <w:rPr>
                <w:rFonts w:ascii="宋体"/>
              </w:rPr>
            </w:pPr>
          </w:p>
        </w:tc>
      </w:tr>
    </w:tbl>
    <w:p w14:paraId="1860216B" w14:textId="77777777" w:rsidR="00A91885" w:rsidRDefault="00A918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1885" w14:paraId="1860216D" w14:textId="77777777">
        <w:trPr>
          <w:tblCellSpacing w:w="15" w:type="dxa"/>
        </w:trPr>
        <w:tc>
          <w:tcPr>
            <w:tcW w:w="0" w:type="auto"/>
            <w:shd w:val="clear" w:color="auto" w:fill="auto"/>
            <w:vAlign w:val="center"/>
          </w:tcPr>
          <w:p w14:paraId="1860216C" w14:textId="77777777" w:rsidR="00A91885" w:rsidRDefault="00A91885">
            <w:pPr>
              <w:rPr>
                <w:rFonts w:ascii="宋体"/>
              </w:rPr>
            </w:pPr>
          </w:p>
        </w:tc>
      </w:tr>
    </w:tbl>
    <w:p w14:paraId="1860216E" w14:textId="77777777" w:rsidR="00A91885" w:rsidRDefault="00A918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1885" w14:paraId="18602170" w14:textId="77777777">
        <w:trPr>
          <w:tblCellSpacing w:w="15" w:type="dxa"/>
        </w:trPr>
        <w:tc>
          <w:tcPr>
            <w:tcW w:w="0" w:type="auto"/>
            <w:shd w:val="clear" w:color="auto" w:fill="auto"/>
            <w:vAlign w:val="center"/>
          </w:tcPr>
          <w:p w14:paraId="1860216F" w14:textId="77777777" w:rsidR="00A91885" w:rsidRDefault="00A91885">
            <w:pPr>
              <w:rPr>
                <w:rFonts w:ascii="宋体"/>
              </w:rPr>
            </w:pPr>
          </w:p>
        </w:tc>
      </w:tr>
    </w:tbl>
    <w:p w14:paraId="18602171" w14:textId="77777777" w:rsidR="00A91885" w:rsidRDefault="009C4196">
      <w:r>
        <w:rPr>
          <w:rFonts w:ascii="宋体" w:eastAsia="宋体" w:hAnsi="宋体" w:cs="宋体"/>
        </w:rPr>
        <w:t xml:space="preserve">Previous Next </w:t>
      </w:r>
    </w:p>
    <w:p w14:paraId="18602172" w14:textId="77777777" w:rsidR="00A91885" w:rsidRDefault="009C4196">
      <w:pPr>
        <w:pStyle w:val="a3"/>
      </w:pPr>
      <w:r>
        <w:t xml:space="preserve">Nested Facts / </w:t>
      </w:r>
    </w:p>
    <w:p w14:paraId="18602173" w14:textId="77777777" w:rsidR="00A91885" w:rsidRDefault="009C4196">
      <w:r>
        <w:rPr>
          <w:rFonts w:ascii="宋体" w:eastAsia="宋体" w:hAnsi="宋体" w:cs="宋体"/>
        </w:rPr>
        <w:t xml:space="preserve">Previous Next </w:t>
      </w:r>
    </w:p>
    <w:p w14:paraId="18602174" w14:textId="77777777" w:rsidR="00A91885" w:rsidRDefault="009C419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86021DB" wp14:editId="186021DC">
                <wp:extent cx="635" cy="0"/>
                <wp:effectExtent l="0" t="0" r="0" b="0"/>
                <wp:docPr id="16" name="矩形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7Gg/uQ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7Gg/uQ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1885" w14:paraId="18602176" w14:textId="77777777">
        <w:trPr>
          <w:tblCellSpacing w:w="15" w:type="dxa"/>
        </w:trPr>
        <w:tc>
          <w:tcPr>
            <w:tcW w:w="0" w:type="auto"/>
            <w:shd w:val="clear" w:color="auto" w:fill="auto"/>
            <w:vAlign w:val="center"/>
          </w:tcPr>
          <w:p w14:paraId="18602175" w14:textId="77777777" w:rsidR="00A91885" w:rsidRDefault="00A91885">
            <w:pPr>
              <w:rPr>
                <w:rFonts w:ascii="宋体"/>
              </w:rPr>
            </w:pPr>
          </w:p>
        </w:tc>
      </w:tr>
    </w:tbl>
    <w:p w14:paraId="18602177" w14:textId="77777777" w:rsidR="00A91885" w:rsidRDefault="00A918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1885" w14:paraId="18602179" w14:textId="77777777">
        <w:trPr>
          <w:tblCellSpacing w:w="15" w:type="dxa"/>
        </w:trPr>
        <w:tc>
          <w:tcPr>
            <w:tcW w:w="0" w:type="auto"/>
            <w:shd w:val="clear" w:color="auto" w:fill="auto"/>
            <w:vAlign w:val="center"/>
          </w:tcPr>
          <w:p w14:paraId="18602178" w14:textId="77777777" w:rsidR="00A91885" w:rsidRDefault="00A91885">
            <w:pPr>
              <w:rPr>
                <w:rFonts w:ascii="宋体"/>
              </w:rPr>
            </w:pPr>
          </w:p>
        </w:tc>
      </w:tr>
    </w:tbl>
    <w:p w14:paraId="1860217A" w14:textId="77777777" w:rsidR="00A91885" w:rsidRDefault="00A918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1885" w14:paraId="1860217C" w14:textId="77777777">
        <w:trPr>
          <w:tblCellSpacing w:w="15" w:type="dxa"/>
        </w:trPr>
        <w:tc>
          <w:tcPr>
            <w:tcW w:w="0" w:type="auto"/>
            <w:shd w:val="clear" w:color="auto" w:fill="auto"/>
            <w:vAlign w:val="center"/>
          </w:tcPr>
          <w:p w14:paraId="1860217B" w14:textId="77777777" w:rsidR="00A91885" w:rsidRDefault="00A91885">
            <w:pPr>
              <w:rPr>
                <w:rFonts w:ascii="宋体"/>
              </w:rPr>
            </w:pPr>
          </w:p>
        </w:tc>
      </w:tr>
    </w:tbl>
    <w:p w14:paraId="1860217D" w14:textId="77777777" w:rsidR="00A91885" w:rsidRDefault="00A918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91885" w14:paraId="1860217F" w14:textId="77777777">
        <w:trPr>
          <w:tblCellSpacing w:w="15" w:type="dxa"/>
        </w:trPr>
        <w:tc>
          <w:tcPr>
            <w:tcW w:w="0" w:type="auto"/>
            <w:shd w:val="clear" w:color="auto" w:fill="auto"/>
            <w:vAlign w:val="center"/>
          </w:tcPr>
          <w:p w14:paraId="1860217E" w14:textId="77777777" w:rsidR="00A91885" w:rsidRDefault="00A91885">
            <w:pPr>
              <w:rPr>
                <w:rFonts w:ascii="宋体"/>
              </w:rPr>
            </w:pPr>
          </w:p>
        </w:tc>
      </w:tr>
    </w:tbl>
    <w:p w14:paraId="18602180" w14:textId="77777777" w:rsidR="00A91885" w:rsidRDefault="009C4196">
      <w:r>
        <w:rPr>
          <w:rFonts w:ascii="宋体" w:eastAsia="宋体" w:hAnsi="宋体" w:cs="宋体"/>
        </w:rPr>
        <w:t xml:space="preserve">Previous Next </w:t>
      </w:r>
    </w:p>
    <w:p w14:paraId="18602181" w14:textId="77777777" w:rsidR="00A91885" w:rsidRDefault="00A91885"/>
    <w:sectPr w:rsidR="00A91885">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CD4D5" w14:textId="77777777" w:rsidR="009C4196" w:rsidRDefault="009C4196" w:rsidP="009C4196">
      <w:r>
        <w:separator/>
      </w:r>
    </w:p>
  </w:endnote>
  <w:endnote w:type="continuationSeparator" w:id="0">
    <w:p w14:paraId="4D826E7C" w14:textId="77777777" w:rsidR="009C4196" w:rsidRDefault="009C4196" w:rsidP="009C4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01A40" w14:textId="77777777" w:rsidR="009C4196" w:rsidRDefault="009C4196" w:rsidP="009C4196">
      <w:r>
        <w:separator/>
      </w:r>
    </w:p>
  </w:footnote>
  <w:footnote w:type="continuationSeparator" w:id="0">
    <w:p w14:paraId="5DF139B8" w14:textId="77777777" w:rsidR="009C4196" w:rsidRDefault="009C4196" w:rsidP="009C41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7F8505"/>
    <w:rsid w:val="009C4196"/>
    <w:rsid w:val="00A91885"/>
    <w:rsid w:val="6F7F8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FF0E9"/>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9C419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C4196"/>
    <w:rPr>
      <w:rFonts w:asciiTheme="minorEastAsia" w:hAnsiTheme="minorEastAsia" w:cs="Times New Roman"/>
      <w:sz w:val="18"/>
      <w:szCs w:val="18"/>
    </w:rPr>
  </w:style>
  <w:style w:type="paragraph" w:styleId="a8">
    <w:name w:val="footer"/>
    <w:basedOn w:val="a"/>
    <w:link w:val="a9"/>
    <w:rsid w:val="009C4196"/>
    <w:pPr>
      <w:tabs>
        <w:tab w:val="center" w:pos="4153"/>
        <w:tab w:val="right" w:pos="8306"/>
      </w:tabs>
      <w:snapToGrid w:val="0"/>
    </w:pPr>
    <w:rPr>
      <w:sz w:val="18"/>
      <w:szCs w:val="18"/>
    </w:rPr>
  </w:style>
  <w:style w:type="character" w:customStyle="1" w:styleId="a9">
    <w:name w:val="页脚 字符"/>
    <w:basedOn w:val="a0"/>
    <w:link w:val="a8"/>
    <w:rsid w:val="009C4196"/>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065088/000106508822000022/ebay-20220630.htm" TargetMode="External"/><Relationship Id="rId21" Type="http://schemas.openxmlformats.org/officeDocument/2006/relationships/hyperlink" Target="https://www.sec.gov/ix?doc=/Archives/edgar/data/0001065088/000106508822000022/ebay-20220630.htm" TargetMode="External"/><Relationship Id="rId42" Type="http://schemas.openxmlformats.org/officeDocument/2006/relationships/hyperlink" Target="https://www.sec.gov/ix?doc=/Archives/edgar/data/0001065088/000106508822000022/ebay-20220630.htm" TargetMode="External"/><Relationship Id="rId63" Type="http://schemas.openxmlformats.org/officeDocument/2006/relationships/hyperlink" Target="https://www.sec.gov/ix?doc=/Archives/edgar/data/0001065088/000106508822000022/ebay-20220630.htm" TargetMode="External"/><Relationship Id="rId84" Type="http://schemas.openxmlformats.org/officeDocument/2006/relationships/hyperlink" Target="https://www.sec.gov/ix?doc=/Archives/edgar/data/0001065088/000106508822000022/ebay-20220630.htm" TargetMode="External"/><Relationship Id="rId138" Type="http://schemas.openxmlformats.org/officeDocument/2006/relationships/hyperlink" Target="https://www.sec.gov/ix?doc=/Archives/edgar/data/0001065088/000106508822000022/ebay-20220630.htm" TargetMode="External"/><Relationship Id="rId107" Type="http://schemas.openxmlformats.org/officeDocument/2006/relationships/hyperlink" Target="https://www.sec.gov/ix?doc=/Archives/edgar/data/0001065088/000106508822000022/ebay-20220630.htm" TargetMode="External"/><Relationship Id="rId11" Type="http://schemas.openxmlformats.org/officeDocument/2006/relationships/hyperlink" Target="https://www.sec.gov/ix?doc=/Archives/edgar/data/0001065088/000106508822000022/ebay-20220630.htm" TargetMode="External"/><Relationship Id="rId32" Type="http://schemas.openxmlformats.org/officeDocument/2006/relationships/hyperlink" Target="https://www.sec.gov/ix?doc=/Archives/edgar/data/0001065088/000106508822000022/ebay-20220630.htm" TargetMode="External"/><Relationship Id="rId53" Type="http://schemas.openxmlformats.org/officeDocument/2006/relationships/hyperlink" Target="https://www.sec.gov/ix?doc=/Archives/edgar/data/0001065088/000106508822000022/ebay-20220630.htm" TargetMode="External"/><Relationship Id="rId74" Type="http://schemas.openxmlformats.org/officeDocument/2006/relationships/hyperlink" Target="https://www.sec.gov/ix?doc=/Archives/edgar/data/0001065088/000106508822000022/ebay-20220630.htm" TargetMode="External"/><Relationship Id="rId128" Type="http://schemas.openxmlformats.org/officeDocument/2006/relationships/hyperlink" Target="https://www.sec.gov/ix?doc=/Archives/edgar/data/0001065088/000106508822000022/ebay-20220630.htm" TargetMode="External"/><Relationship Id="rId149" Type="http://schemas.openxmlformats.org/officeDocument/2006/relationships/hyperlink" Target="https://www.sec.gov/ix?doc=/Archives/edgar/data/0001065088/000106508822000022/ebay-20220630.htm" TargetMode="External"/><Relationship Id="rId5" Type="http://schemas.openxmlformats.org/officeDocument/2006/relationships/endnotes" Target="endnotes.xml"/><Relationship Id="rId95" Type="http://schemas.openxmlformats.org/officeDocument/2006/relationships/hyperlink" Target="https://www.sec.gov/ix?doc=/Archives/edgar/data/0001065088/000106508822000022/ebay-20220630.htm" TargetMode="External"/><Relationship Id="rId22" Type="http://schemas.openxmlformats.org/officeDocument/2006/relationships/hyperlink" Target="https://www.sec.gov/ix?doc=/Archives/edgar/data/0001065088/000106508822000022/ebay-20220630.htm" TargetMode="External"/><Relationship Id="rId43" Type="http://schemas.openxmlformats.org/officeDocument/2006/relationships/hyperlink" Target="https://www.sec.gov/ix?doc=/Archives/edgar/data/0001065088/000106508822000022/ebay-20220630.htm" TargetMode="External"/><Relationship Id="rId64" Type="http://schemas.openxmlformats.org/officeDocument/2006/relationships/hyperlink" Target="https://www.sec.gov/ix?doc=/Archives/edgar/data/0001065088/000106508822000022/ebay-20220630.htm" TargetMode="External"/><Relationship Id="rId118" Type="http://schemas.openxmlformats.org/officeDocument/2006/relationships/hyperlink" Target="https://www.sec.gov/ix?doc=/Archives/edgar/data/0001065088/000106508822000022/ebay-20220630.htm" TargetMode="External"/><Relationship Id="rId139" Type="http://schemas.openxmlformats.org/officeDocument/2006/relationships/hyperlink" Target="https://www.sec.gov/ix?doc=/Archives/edgar/data/0001065088/000106508822000022/ebay-20220630.htm" TargetMode="External"/><Relationship Id="rId80" Type="http://schemas.openxmlformats.org/officeDocument/2006/relationships/hyperlink" Target="https://www.sec.gov/ix?doc=/Archives/edgar/data/0001065088/000106508822000022/ebay-20220630.htm" TargetMode="External"/><Relationship Id="rId85" Type="http://schemas.openxmlformats.org/officeDocument/2006/relationships/hyperlink" Target="https://www.sec.gov/ix?doc=/Archives/edgar/data/0001065088/000106508822000022/ebay-20220630.htm" TargetMode="External"/><Relationship Id="rId150" Type="http://schemas.openxmlformats.org/officeDocument/2006/relationships/hyperlink" Target="https://www.sec.gov/ix?doc=/Archives/edgar/data/0001065088/000106508822000022/ebay-20220630.htm" TargetMode="External"/><Relationship Id="rId155" Type="http://schemas.openxmlformats.org/officeDocument/2006/relationships/hyperlink" Target="https://www.sec.gov/ix?doc=/Archives/edgar/data/0001065088/000106508822000022/ebay-20220630.htm" TargetMode="External"/><Relationship Id="rId12" Type="http://schemas.openxmlformats.org/officeDocument/2006/relationships/hyperlink" Target="https://www.sec.gov/ix?doc=/Archives/edgar/data/0001065088/000106508822000022/ebay-20220630.htm" TargetMode="External"/><Relationship Id="rId17" Type="http://schemas.openxmlformats.org/officeDocument/2006/relationships/hyperlink" Target="https://www.sec.gov/ix?doc=/Archives/edgar/data/0001065088/000106508822000022/ebay-20220630.htm" TargetMode="External"/><Relationship Id="rId33" Type="http://schemas.openxmlformats.org/officeDocument/2006/relationships/hyperlink" Target="https://www.sec.gov/ix?doc=/Archives/edgar/data/0001065088/000106508822000022/ebay-20220630.htm" TargetMode="External"/><Relationship Id="rId38" Type="http://schemas.openxmlformats.org/officeDocument/2006/relationships/hyperlink" Target="https://www.sec.gov/ix?doc=/Archives/edgar/data/0001065088/000106508822000022/ebay-20220630.htm" TargetMode="External"/><Relationship Id="rId59" Type="http://schemas.openxmlformats.org/officeDocument/2006/relationships/hyperlink" Target="https://www.sec.gov/ix?doc=/Archives/edgar/data/0001065088/000106508822000022/ebay-20220630.htm" TargetMode="External"/><Relationship Id="rId103" Type="http://schemas.openxmlformats.org/officeDocument/2006/relationships/hyperlink" Target="https://www.sec.gov/ix?doc=/Archives/edgar/data/0001065088/000106508822000022/ebay-20220630.htm" TargetMode="External"/><Relationship Id="rId108" Type="http://schemas.openxmlformats.org/officeDocument/2006/relationships/hyperlink" Target="https://www.sec.gov/ix?doc=/Archives/edgar/data/0001065088/000106508822000022/ebay-20220630.htm" TargetMode="External"/><Relationship Id="rId124" Type="http://schemas.openxmlformats.org/officeDocument/2006/relationships/hyperlink" Target="https://www.sec.gov/ix?doc=/Archives/edgar/data/0001065088/000106508822000022/ebay-20220630.htm" TargetMode="External"/><Relationship Id="rId129" Type="http://schemas.openxmlformats.org/officeDocument/2006/relationships/hyperlink" Target="https://www.sec.gov/ix?doc=/Archives/edgar/data/0001065088/000106508822000022/ebay-20220630.htm" TargetMode="External"/><Relationship Id="rId54" Type="http://schemas.openxmlformats.org/officeDocument/2006/relationships/hyperlink" Target="https://www.sec.gov/ix?doc=/Archives/edgar/data/0001065088/000106508822000022/ebay-20220630.htm" TargetMode="External"/><Relationship Id="rId70" Type="http://schemas.openxmlformats.org/officeDocument/2006/relationships/hyperlink" Target="https://www.sec.gov/ix?doc=/Archives/edgar/data/0001065088/000106508822000022/ebay-20220630.htm" TargetMode="External"/><Relationship Id="rId75" Type="http://schemas.openxmlformats.org/officeDocument/2006/relationships/hyperlink" Target="https://www.sec.gov/ix?doc=/Archives/edgar/data/0001065088/000106508822000022/ebay-20220630.htm" TargetMode="External"/><Relationship Id="rId91" Type="http://schemas.openxmlformats.org/officeDocument/2006/relationships/hyperlink" Target="https://www.sec.gov/ix?doc=/Archives/edgar/data/0001065088/000106508822000022/ebay-20220630.htm" TargetMode="External"/><Relationship Id="rId96" Type="http://schemas.openxmlformats.org/officeDocument/2006/relationships/hyperlink" Target="https://www.sec.gov/ix?doc=/Archives/edgar/data/0001065088/000106508822000022/ebay-20220630.htm" TargetMode="External"/><Relationship Id="rId140" Type="http://schemas.openxmlformats.org/officeDocument/2006/relationships/hyperlink" Target="https://www.sec.gov/ix?doc=/Archives/edgar/data/0001065088/000106508822000022/ebay-20220630.htm" TargetMode="External"/><Relationship Id="rId145" Type="http://schemas.openxmlformats.org/officeDocument/2006/relationships/hyperlink" Target="https://www.sec.gov/ix?doc=/Archives/edgar/data/0001065088/000106508822000022/ebay-20220630.htm" TargetMode="External"/><Relationship Id="rId1" Type="http://schemas.openxmlformats.org/officeDocument/2006/relationships/styles" Target="styles.xml"/><Relationship Id="rId23" Type="http://schemas.openxmlformats.org/officeDocument/2006/relationships/hyperlink" Target="https://www.sec.gov/ix?doc=/Archives/edgar/data/0001065088/000106508822000022/ebay-20220630.htm" TargetMode="External"/><Relationship Id="rId28" Type="http://schemas.openxmlformats.org/officeDocument/2006/relationships/hyperlink" Target="https://www.sec.gov/ix?doc=/Archives/edgar/data/0001065088/000106508822000022/ebay-20220630.htm" TargetMode="External"/><Relationship Id="rId49" Type="http://schemas.openxmlformats.org/officeDocument/2006/relationships/hyperlink" Target="https://www.sec.gov/ix?doc=/Archives/edgar/data/0001065088/000106508822000022/ebay-20220630.htm" TargetMode="External"/><Relationship Id="rId114" Type="http://schemas.openxmlformats.org/officeDocument/2006/relationships/hyperlink" Target="https://www.sec.gov/ix?doc=/Archives/edgar/data/0001065088/000106508822000022/ebay-20220630.htm" TargetMode="External"/><Relationship Id="rId119" Type="http://schemas.openxmlformats.org/officeDocument/2006/relationships/hyperlink" Target="https://www.sec.gov/ix?doc=/Archives/edgar/data/0001065088/000106508822000022/ebay-20220630.htm" TargetMode="External"/><Relationship Id="rId44" Type="http://schemas.openxmlformats.org/officeDocument/2006/relationships/hyperlink" Target="https://www.sec.gov/ix?doc=/Archives/edgar/data/0001065088/000106508822000022/ebay-20220630.htm" TargetMode="External"/><Relationship Id="rId60" Type="http://schemas.openxmlformats.org/officeDocument/2006/relationships/hyperlink" Target="https://www.sec.gov/ix?doc=/Archives/edgar/data/0001065088/000106508822000022/ebay-20220630.htm" TargetMode="External"/><Relationship Id="rId65" Type="http://schemas.openxmlformats.org/officeDocument/2006/relationships/hyperlink" Target="https://www.sec.gov/ix?doc=/Archives/edgar/data/0001065088/000106508822000022/ebay-20220630.htm" TargetMode="External"/><Relationship Id="rId81" Type="http://schemas.openxmlformats.org/officeDocument/2006/relationships/hyperlink" Target="https://www.sec.gov/ix?doc=/Archives/edgar/data/0001065088/000106508822000022/ebay-20220630.htm" TargetMode="External"/><Relationship Id="rId86" Type="http://schemas.openxmlformats.org/officeDocument/2006/relationships/hyperlink" Target="https://www.sec.gov/ix?doc=/Archives/edgar/data/0001065088/000106508822000022/ebay-20220630.htm" TargetMode="External"/><Relationship Id="rId130" Type="http://schemas.openxmlformats.org/officeDocument/2006/relationships/hyperlink" Target="https://www.sec.gov/ix?doc=/Archives/edgar/data/0001065088/000106508822000022/ebay-20220630.htm" TargetMode="External"/><Relationship Id="rId135" Type="http://schemas.openxmlformats.org/officeDocument/2006/relationships/hyperlink" Target="https://www.sec.gov/ix?doc=/Archives/edgar/data/0001065088/000106508822000022/ebay-20220630.htm" TargetMode="External"/><Relationship Id="rId151" Type="http://schemas.openxmlformats.org/officeDocument/2006/relationships/hyperlink" Target="https://www.sec.gov/Archives/edgar/data/0001065088/000106508822000022/ebay063022ex3101.htm" TargetMode="External"/><Relationship Id="rId156" Type="http://schemas.openxmlformats.org/officeDocument/2006/relationships/fontTable" Target="fontTable.xml"/><Relationship Id="rId13" Type="http://schemas.openxmlformats.org/officeDocument/2006/relationships/hyperlink" Target="https://www.sec.gov/ix?doc=/Archives/edgar/data/0001065088/000106508822000022/ebay-20220630.htm" TargetMode="External"/><Relationship Id="rId18" Type="http://schemas.openxmlformats.org/officeDocument/2006/relationships/hyperlink" Target="https://www.sec.gov/ix?doc=/Archives/edgar/data/0001065088/000106508822000022/ebay-20220630.htm" TargetMode="External"/><Relationship Id="rId39" Type="http://schemas.openxmlformats.org/officeDocument/2006/relationships/hyperlink" Target="https://www.sec.gov/ix?doc=/Archives/edgar/data/0001065088/000106508822000022/ebay-20220630.htm" TargetMode="External"/><Relationship Id="rId109" Type="http://schemas.openxmlformats.org/officeDocument/2006/relationships/hyperlink" Target="https://www.sec.gov/ix?doc=/Archives/edgar/data/0001065088/000106508822000022/ebay-20220630.htm" TargetMode="External"/><Relationship Id="rId34" Type="http://schemas.openxmlformats.org/officeDocument/2006/relationships/hyperlink" Target="https://www.sec.gov/ix?doc=/Archives/edgar/data/0001065088/000106508822000022/ebay-20220630.htm" TargetMode="External"/><Relationship Id="rId50" Type="http://schemas.openxmlformats.org/officeDocument/2006/relationships/hyperlink" Target="https://www.sec.gov/ix?doc=/Archives/edgar/data/0001065088/000106508822000022/ebay-20220630.htm" TargetMode="External"/><Relationship Id="rId55" Type="http://schemas.openxmlformats.org/officeDocument/2006/relationships/hyperlink" Target="https://www.sec.gov/ix?doc=/Archives/edgar/data/0001065088/000106508822000022/ebay-20220630.htm" TargetMode="External"/><Relationship Id="rId76" Type="http://schemas.openxmlformats.org/officeDocument/2006/relationships/hyperlink" Target="https://www.sec.gov/ix?doc=/Archives/edgar/data/0001065088/000106508822000022/ebay-20220630.htm" TargetMode="External"/><Relationship Id="rId97" Type="http://schemas.openxmlformats.org/officeDocument/2006/relationships/hyperlink" Target="https://www.sec.gov/ix?doc=/Archives/edgar/data/0001065088/000106508822000022/ebay-20220630.htm" TargetMode="External"/><Relationship Id="rId104" Type="http://schemas.openxmlformats.org/officeDocument/2006/relationships/hyperlink" Target="https://www.sec.gov/ix?doc=/Archives/edgar/data/0001065088/000106508822000022/ebay-20220630.htm" TargetMode="External"/><Relationship Id="rId120" Type="http://schemas.openxmlformats.org/officeDocument/2006/relationships/hyperlink" Target="https://www.sec.gov/ix?doc=/Archives/edgar/data/0001065088/000106508822000022/ebay-20220630.htm" TargetMode="External"/><Relationship Id="rId125" Type="http://schemas.openxmlformats.org/officeDocument/2006/relationships/hyperlink" Target="https://www.sec.gov/ix?doc=/Archives/edgar/data/0001065088/000106508822000022/ebay-20220630.htm" TargetMode="External"/><Relationship Id="rId141" Type="http://schemas.openxmlformats.org/officeDocument/2006/relationships/hyperlink" Target="https://www.sec.gov/ix?doc=/Archives/edgar/data/0001065088/000106508822000022/ebay-20220630.htm" TargetMode="External"/><Relationship Id="rId146" Type="http://schemas.openxmlformats.org/officeDocument/2006/relationships/hyperlink" Target="https://www.sec.gov/ix?doc=/Archives/edgar/data/0001065088/000106508822000022/ebay-20220630.htm" TargetMode="External"/><Relationship Id="rId7" Type="http://schemas.openxmlformats.org/officeDocument/2006/relationships/hyperlink" Target="https://www.sec.gov/ix?doc=/Archives/edgar/data/0001065088/000106508822000022/ebay-20220630.htm" TargetMode="External"/><Relationship Id="rId71" Type="http://schemas.openxmlformats.org/officeDocument/2006/relationships/hyperlink" Target="https://www.sec.gov/ix?doc=/Archives/edgar/data/0001065088/000106508822000022/ebay-20220630.htm" TargetMode="External"/><Relationship Id="rId92" Type="http://schemas.openxmlformats.org/officeDocument/2006/relationships/hyperlink" Target="https://www.sec.gov/ix?doc=/Archives/edgar/data/0001065088/000106508822000022/ebay-20220630.htm" TargetMode="External"/><Relationship Id="rId2" Type="http://schemas.openxmlformats.org/officeDocument/2006/relationships/settings" Target="settings.xml"/><Relationship Id="rId29" Type="http://schemas.openxmlformats.org/officeDocument/2006/relationships/hyperlink" Target="https://www.sec.gov/ix?doc=/Archives/edgar/data/0001065088/000106508822000022/ebay-20220630.htm" TargetMode="External"/><Relationship Id="rId24" Type="http://schemas.openxmlformats.org/officeDocument/2006/relationships/hyperlink" Target="https://www.sec.gov/ix?doc=/Archives/edgar/data/0001065088/000106508822000022/ebay-20220630.htm" TargetMode="External"/><Relationship Id="rId40" Type="http://schemas.openxmlformats.org/officeDocument/2006/relationships/hyperlink" Target="https://www.sec.gov/ix?doc=/Archives/edgar/data/0001065088/000106508822000022/ebay-20220630.htm" TargetMode="External"/><Relationship Id="rId45" Type="http://schemas.openxmlformats.org/officeDocument/2006/relationships/hyperlink" Target="https://www.sec.gov/ix?doc=/Archives/edgar/data/0001065088/000106508822000022/ebay-20220630.htm" TargetMode="External"/><Relationship Id="rId66" Type="http://schemas.openxmlformats.org/officeDocument/2006/relationships/hyperlink" Target="https://www.sec.gov/ix?doc=/Archives/edgar/data/0001065088/000106508822000022/ebay-20220630.htm" TargetMode="External"/><Relationship Id="rId87" Type="http://schemas.openxmlformats.org/officeDocument/2006/relationships/hyperlink" Target="https://www.sec.gov/ix?doc=/Archives/edgar/data/0001065088/000106508822000022/ebay-20220630.htm" TargetMode="External"/><Relationship Id="rId110" Type="http://schemas.openxmlformats.org/officeDocument/2006/relationships/hyperlink" Target="https://www.sec.gov/ix?doc=/Archives/edgar/data/0001065088/000106508822000022/ebay-20220630.htm" TargetMode="External"/><Relationship Id="rId115" Type="http://schemas.openxmlformats.org/officeDocument/2006/relationships/hyperlink" Target="https://www.sec.gov/ix?doc=/Archives/edgar/data/0001065088/000106508822000022/ebay-20220630.htm" TargetMode="External"/><Relationship Id="rId131" Type="http://schemas.openxmlformats.org/officeDocument/2006/relationships/hyperlink" Target="https://www.sec.gov/ix?doc=/Archives/edgar/data/0001065088/000106508822000022/ebay-20220630.htm" TargetMode="External"/><Relationship Id="rId136" Type="http://schemas.openxmlformats.org/officeDocument/2006/relationships/hyperlink" Target="https://www.sec.gov/ix?doc=/Archives/edgar/data/0001065088/000106508822000022/ebay-20220630.htm" TargetMode="External"/><Relationship Id="rId157" Type="http://schemas.openxmlformats.org/officeDocument/2006/relationships/theme" Target="theme/theme1.xml"/><Relationship Id="rId61" Type="http://schemas.openxmlformats.org/officeDocument/2006/relationships/hyperlink" Target="https://www.sec.gov/ix?doc=/Archives/edgar/data/0001065088/000106508822000022/ebay-20220630.htm" TargetMode="External"/><Relationship Id="rId82" Type="http://schemas.openxmlformats.org/officeDocument/2006/relationships/hyperlink" Target="https://www.sec.gov/ix?doc=/Archives/edgar/data/0001065088/000106508822000022/ebay-20220630.htm" TargetMode="External"/><Relationship Id="rId152" Type="http://schemas.openxmlformats.org/officeDocument/2006/relationships/hyperlink" Target="https://www.sec.gov/Archives/edgar/data/0001065088/000106508822000022/ebay063022ex3102.htm" TargetMode="External"/><Relationship Id="rId19" Type="http://schemas.openxmlformats.org/officeDocument/2006/relationships/hyperlink" Target="https://www.sec.gov/ix?doc=/Archives/edgar/data/0001065088/000106508822000022/ebay-20220630.htm" TargetMode="External"/><Relationship Id="rId14" Type="http://schemas.openxmlformats.org/officeDocument/2006/relationships/hyperlink" Target="https://www.sec.gov/ix?doc=/Archives/edgar/data/0001065088/000106508822000022/ebay-20220630.htm" TargetMode="External"/><Relationship Id="rId30" Type="http://schemas.openxmlformats.org/officeDocument/2006/relationships/hyperlink" Target="https://www.sec.gov/ix?doc=/Archives/edgar/data/0001065088/000106508822000022/ebay-20220630.htm" TargetMode="External"/><Relationship Id="rId35" Type="http://schemas.openxmlformats.org/officeDocument/2006/relationships/hyperlink" Target="https://www.sec.gov/ix?doc=/Archives/edgar/data/0001065088/000106508822000022/ebay-20220630.htm" TargetMode="External"/><Relationship Id="rId56" Type="http://schemas.openxmlformats.org/officeDocument/2006/relationships/hyperlink" Target="https://www.sec.gov/ix?doc=/Archives/edgar/data/0001065088/000106508822000022/ebay-20220630.htm" TargetMode="External"/><Relationship Id="rId77" Type="http://schemas.openxmlformats.org/officeDocument/2006/relationships/hyperlink" Target="https://www.sec.gov/ix?doc=/Archives/edgar/data/0001065088/000106508822000022/ebay-20220630.htm" TargetMode="External"/><Relationship Id="rId100" Type="http://schemas.openxmlformats.org/officeDocument/2006/relationships/hyperlink" Target="https://www.sec.gov/ix?doc=/Archives/edgar/data/0001065088/000106508822000022/ebay-20220630.htm" TargetMode="External"/><Relationship Id="rId105" Type="http://schemas.openxmlformats.org/officeDocument/2006/relationships/hyperlink" Target="https://www.sec.gov/ix?doc=/Archives/edgar/data/0001065088/000106508822000022/ebay-20220630.htm" TargetMode="External"/><Relationship Id="rId126" Type="http://schemas.openxmlformats.org/officeDocument/2006/relationships/hyperlink" Target="https://www.sec.gov/ix?doc=/Archives/edgar/data/0001065088/000106508822000022/ebay-20220630.htm" TargetMode="External"/><Relationship Id="rId147" Type="http://schemas.openxmlformats.org/officeDocument/2006/relationships/hyperlink" Target="https://www.sec.gov/ix?doc=/Archives/edgar/data/0001065088/000106508822000022/ebay-20220630.htm" TargetMode="External"/><Relationship Id="rId8" Type="http://schemas.openxmlformats.org/officeDocument/2006/relationships/hyperlink" Target="https://www.sec.gov/ix?doc=/Archives/edgar/data/0001065088/000106508822000022/ebay-20220630.htm" TargetMode="External"/><Relationship Id="rId51" Type="http://schemas.openxmlformats.org/officeDocument/2006/relationships/hyperlink" Target="https://www.sec.gov/ix?doc=/Archives/edgar/data/0001065088/000106508822000022/ebay-20220630.htm" TargetMode="External"/><Relationship Id="rId72" Type="http://schemas.openxmlformats.org/officeDocument/2006/relationships/hyperlink" Target="https://www.sec.gov/ix?doc=/Archives/edgar/data/0001065088/000106508822000022/ebay-20220630.htm" TargetMode="External"/><Relationship Id="rId93" Type="http://schemas.openxmlformats.org/officeDocument/2006/relationships/hyperlink" Target="https://www.sec.gov/ix?doc=/Archives/edgar/data/0001065088/000106508822000022/ebay-20220630.htm" TargetMode="External"/><Relationship Id="rId98" Type="http://schemas.openxmlformats.org/officeDocument/2006/relationships/hyperlink" Target="https://www.sec.gov/ix?doc=/Archives/edgar/data/0001065088/000106508822000022/ebay-20220630.htm" TargetMode="External"/><Relationship Id="rId121" Type="http://schemas.openxmlformats.org/officeDocument/2006/relationships/hyperlink" Target="https://www.sec.gov/ix?doc=/Archives/edgar/data/0001065088/000106508822000022/ebay-20220630.htm" TargetMode="External"/><Relationship Id="rId142" Type="http://schemas.openxmlformats.org/officeDocument/2006/relationships/hyperlink" Target="https://www.sec.gov/ix?doc=/Archives/edgar/data/0001065088/000106508822000022/ebay-20220630.htm" TargetMode="External"/><Relationship Id="rId3" Type="http://schemas.openxmlformats.org/officeDocument/2006/relationships/webSettings" Target="webSettings.xml"/><Relationship Id="rId25" Type="http://schemas.openxmlformats.org/officeDocument/2006/relationships/hyperlink" Target="https://www.sec.gov/ix?doc=/Archives/edgar/data/0001065088/000106508822000022/ebay-20220630.htm" TargetMode="External"/><Relationship Id="rId46" Type="http://schemas.openxmlformats.org/officeDocument/2006/relationships/hyperlink" Target="https://www.sec.gov/ix?doc=/Archives/edgar/data/0001065088/000106508822000022/ebay-20220630.htm" TargetMode="External"/><Relationship Id="rId67" Type="http://schemas.openxmlformats.org/officeDocument/2006/relationships/hyperlink" Target="https://www.sec.gov/ix?doc=/Archives/edgar/data/0001065088/000106508822000022/ebay-20220630.htm" TargetMode="External"/><Relationship Id="rId116" Type="http://schemas.openxmlformats.org/officeDocument/2006/relationships/hyperlink" Target="https://www.sec.gov/ix?doc=/Archives/edgar/data/0001065088/000106508822000022/ebay-20220630.htm" TargetMode="External"/><Relationship Id="rId137" Type="http://schemas.openxmlformats.org/officeDocument/2006/relationships/hyperlink" Target="https://www.sec.gov/ix?doc=/Archives/edgar/data/0001065088/000106508822000022/ebay-20220630.htm" TargetMode="External"/><Relationship Id="rId20" Type="http://schemas.openxmlformats.org/officeDocument/2006/relationships/hyperlink" Target="https://www.sec.gov/ix?doc=/Archives/edgar/data/0001065088/000106508822000022/ebay-20220630.htm" TargetMode="External"/><Relationship Id="rId41" Type="http://schemas.openxmlformats.org/officeDocument/2006/relationships/hyperlink" Target="https://www.sec.gov/ix?doc=/Archives/edgar/data/0001065088/000106508822000022/ebay-20220630.htm" TargetMode="External"/><Relationship Id="rId62" Type="http://schemas.openxmlformats.org/officeDocument/2006/relationships/hyperlink" Target="https://www.sec.gov/ix?doc=/Archives/edgar/data/0001065088/000106508822000022/ebay-20220630.htm" TargetMode="External"/><Relationship Id="rId83" Type="http://schemas.openxmlformats.org/officeDocument/2006/relationships/hyperlink" Target="https://www.sec.gov/ix?doc=/Archives/edgar/data/0001065088/000106508822000022/ebay-20220630.htm" TargetMode="External"/><Relationship Id="rId88" Type="http://schemas.openxmlformats.org/officeDocument/2006/relationships/hyperlink" Target="https://www.sec.gov/ix?doc=/Archives/edgar/data/0001065088/000106508822000022/ebay-20220630.htm" TargetMode="External"/><Relationship Id="rId111" Type="http://schemas.openxmlformats.org/officeDocument/2006/relationships/hyperlink" Target="https://www.sec.gov/ix?doc=/Archives/edgar/data/0001065088/000106508822000022/ebay-20220630.htm" TargetMode="External"/><Relationship Id="rId132" Type="http://schemas.openxmlformats.org/officeDocument/2006/relationships/hyperlink" Target="https://www.sec.gov/ix?doc=/Archives/edgar/data/0001065088/000106508822000022/ebay-20220630.htm" TargetMode="External"/><Relationship Id="rId153" Type="http://schemas.openxmlformats.org/officeDocument/2006/relationships/hyperlink" Target="https://www.sec.gov/Archives/edgar/data/0001065088/000106508822000022/ebay063022ex3201.htm" TargetMode="External"/><Relationship Id="rId15" Type="http://schemas.openxmlformats.org/officeDocument/2006/relationships/hyperlink" Target="https://www.sec.gov/ix?doc=/Archives/edgar/data/0001065088/000106508822000022/ebay-20220630.htm" TargetMode="External"/><Relationship Id="rId36" Type="http://schemas.openxmlformats.org/officeDocument/2006/relationships/hyperlink" Target="https://www.sec.gov/ix?doc=/Archives/edgar/data/0001065088/000106508822000022/ebay-20220630.htm" TargetMode="External"/><Relationship Id="rId57" Type="http://schemas.openxmlformats.org/officeDocument/2006/relationships/hyperlink" Target="https://www.sec.gov/ix?doc=/Archives/edgar/data/0001065088/000106508822000022/ebay-20220630.htm" TargetMode="External"/><Relationship Id="rId106" Type="http://schemas.openxmlformats.org/officeDocument/2006/relationships/hyperlink" Target="https://www.sec.gov/ix?doc=/Archives/edgar/data/0001065088/000106508822000022/ebay-20220630.htm" TargetMode="External"/><Relationship Id="rId127" Type="http://schemas.openxmlformats.org/officeDocument/2006/relationships/hyperlink" Target="https://www.sec.gov/ix?doc=/Archives/edgar/data/0001065088/000106508822000022/ebay-20220630.htm" TargetMode="External"/><Relationship Id="rId10" Type="http://schemas.openxmlformats.org/officeDocument/2006/relationships/hyperlink" Target="https://www.sec.gov/ix?doc=/Archives/edgar/data/0001065088/000106508822000022/ebay-20220630.htm" TargetMode="External"/><Relationship Id="rId31" Type="http://schemas.openxmlformats.org/officeDocument/2006/relationships/hyperlink" Target="https://www.sec.gov/ix?doc=/Archives/edgar/data/0001065088/000106508822000022/ebay-20220630.htm" TargetMode="External"/><Relationship Id="rId52" Type="http://schemas.openxmlformats.org/officeDocument/2006/relationships/hyperlink" Target="https://www.sec.gov/ix?doc=/Archives/edgar/data/0001065088/000106508822000022/ebay-20220630.htm" TargetMode="External"/><Relationship Id="rId73" Type="http://schemas.openxmlformats.org/officeDocument/2006/relationships/hyperlink" Target="https://www.sec.gov/ix?doc=/Archives/edgar/data/0001065088/000106508822000022/ebay-20220630.htm" TargetMode="External"/><Relationship Id="rId78" Type="http://schemas.openxmlformats.org/officeDocument/2006/relationships/hyperlink" Target="https://www.sec.gov/ix?doc=/Archives/edgar/data/0001065088/000106508822000022/ebay-20220630.htm" TargetMode="External"/><Relationship Id="rId94" Type="http://schemas.openxmlformats.org/officeDocument/2006/relationships/hyperlink" Target="https://www.sec.gov/ix?doc=/Archives/edgar/data/0001065088/000106508822000022/ebay-20220630.htm" TargetMode="External"/><Relationship Id="rId99" Type="http://schemas.openxmlformats.org/officeDocument/2006/relationships/hyperlink" Target="https://www.sec.gov/ix?doc=/Archives/edgar/data/0001065088/000106508822000022/ebay-20220630.htm" TargetMode="External"/><Relationship Id="rId101" Type="http://schemas.openxmlformats.org/officeDocument/2006/relationships/hyperlink" Target="https://www.sec.gov/ix?doc=/Archives/edgar/data/0001065088/000106508822000022/ebay-20220630.htm" TargetMode="External"/><Relationship Id="rId122" Type="http://schemas.openxmlformats.org/officeDocument/2006/relationships/hyperlink" Target="https://www.sec.gov/ix?doc=/Archives/edgar/data/0001065088/000106508822000022/ebay-20220630.htm" TargetMode="External"/><Relationship Id="rId143" Type="http://schemas.openxmlformats.org/officeDocument/2006/relationships/hyperlink" Target="https://www.sec.gov/ix?doc=/Archives/edgar/data/0001065088/000106508822000022/ebay-20220630.htm" TargetMode="External"/><Relationship Id="rId148" Type="http://schemas.openxmlformats.org/officeDocument/2006/relationships/hyperlink" Target="https://www.sec.gov/ix?doc=/Archives/edgar/data/0001065088/000106508822000022/ebay-20220630.htm" TargetMode="External"/><Relationship Id="rId4" Type="http://schemas.openxmlformats.org/officeDocument/2006/relationships/footnotes" Target="footnotes.xml"/><Relationship Id="rId9" Type="http://schemas.openxmlformats.org/officeDocument/2006/relationships/hyperlink" Target="https://www.sec.gov/ix?doc=/Archives/edgar/data/0001065088/000106508822000022/ebay-20220630.htm" TargetMode="External"/><Relationship Id="rId26" Type="http://schemas.openxmlformats.org/officeDocument/2006/relationships/hyperlink" Target="https://www.sec.gov/ix?doc=/Archives/edgar/data/0001065088/000106508822000022/ebay-20220630.htm" TargetMode="External"/><Relationship Id="rId47" Type="http://schemas.openxmlformats.org/officeDocument/2006/relationships/hyperlink" Target="https://www.sec.gov/ix?doc=/Archives/edgar/data/0001065088/000106508822000022/ebay-20220630.htm" TargetMode="External"/><Relationship Id="rId68" Type="http://schemas.openxmlformats.org/officeDocument/2006/relationships/hyperlink" Target="https://www.sec.gov/ix?doc=/Archives/edgar/data/0001065088/000106508822000022/ebay-20220630.htm" TargetMode="External"/><Relationship Id="rId89" Type="http://schemas.openxmlformats.org/officeDocument/2006/relationships/hyperlink" Target="https://www.sec.gov/ix?doc=/Archives/edgar/data/0001065088/000106508822000022/ebay-20220630.htm" TargetMode="External"/><Relationship Id="rId112" Type="http://schemas.openxmlformats.org/officeDocument/2006/relationships/hyperlink" Target="https://www.sec.gov/ix?doc=/Archives/edgar/data/0001065088/000106508822000022/ebay-20220630.htm" TargetMode="External"/><Relationship Id="rId133" Type="http://schemas.openxmlformats.org/officeDocument/2006/relationships/hyperlink" Target="https://www.sec.gov/ix?doc=/Archives/edgar/data/0001065088/000106508822000022/ebay-20220630.htm" TargetMode="External"/><Relationship Id="rId154" Type="http://schemas.openxmlformats.org/officeDocument/2006/relationships/hyperlink" Target="https://www.sec.gov/Archives/edgar/data/0001065088/000106508822000022/ebay063022ex3202.htm" TargetMode="External"/><Relationship Id="rId16" Type="http://schemas.openxmlformats.org/officeDocument/2006/relationships/hyperlink" Target="https://www.sec.gov/ix?doc=/Archives/edgar/data/0001065088/000106508822000022/ebay-20220630.htm" TargetMode="External"/><Relationship Id="rId37" Type="http://schemas.openxmlformats.org/officeDocument/2006/relationships/hyperlink" Target="https://www.sec.gov/ix?doc=/Archives/edgar/data/0001065088/000106508822000022/ebay-20220630.htm" TargetMode="External"/><Relationship Id="rId58" Type="http://schemas.openxmlformats.org/officeDocument/2006/relationships/hyperlink" Target="https://www.sec.gov/ix?doc=/Archives/edgar/data/0001065088/000106508822000022/ebay-20220630.htm" TargetMode="External"/><Relationship Id="rId79" Type="http://schemas.openxmlformats.org/officeDocument/2006/relationships/hyperlink" Target="https://www.sec.gov/ix?doc=/Archives/edgar/data/0001065088/000106508822000022/ebay-20220630.htm" TargetMode="External"/><Relationship Id="rId102" Type="http://schemas.openxmlformats.org/officeDocument/2006/relationships/hyperlink" Target="https://www.sec.gov/ix?doc=/Archives/edgar/data/0001065088/000106508822000022/ebay-20220630.htm" TargetMode="External"/><Relationship Id="rId123" Type="http://schemas.openxmlformats.org/officeDocument/2006/relationships/hyperlink" Target="https://www.sec.gov/ix?doc=/Archives/edgar/data/0001065088/000106508822000022/ebay-20220630.htm" TargetMode="External"/><Relationship Id="rId144" Type="http://schemas.openxmlformats.org/officeDocument/2006/relationships/hyperlink" Target="https://www.sec.gov/ix?doc=/Archives/edgar/data/0001065088/000106508822000022/ebay-20220630.htm" TargetMode="External"/><Relationship Id="rId90" Type="http://schemas.openxmlformats.org/officeDocument/2006/relationships/hyperlink" Target="https://www.sec.gov/ix?doc=/Archives/edgar/data/0001065088/000106508822000022/ebay-20220630.htm" TargetMode="External"/><Relationship Id="rId27" Type="http://schemas.openxmlformats.org/officeDocument/2006/relationships/hyperlink" Target="https://www.sec.gov/ix?doc=/Archives/edgar/data/0001065088/000106508822000022/ebay-20220630.htm" TargetMode="External"/><Relationship Id="rId48" Type="http://schemas.openxmlformats.org/officeDocument/2006/relationships/hyperlink" Target="https://www.sec.gov/ix?doc=/Archives/edgar/data/0001065088/000106508822000022/ebay-20220630.htm" TargetMode="External"/><Relationship Id="rId69" Type="http://schemas.openxmlformats.org/officeDocument/2006/relationships/hyperlink" Target="https://www.sec.gov/ix?doc=/Archives/edgar/data/0001065088/000106508822000022/ebay-20220630.htm" TargetMode="External"/><Relationship Id="rId113" Type="http://schemas.openxmlformats.org/officeDocument/2006/relationships/hyperlink" Target="https://www.sec.gov/ix?doc=/Archives/edgar/data/0001065088/000106508822000022/ebay-20220630.htm" TargetMode="External"/><Relationship Id="rId134" Type="http://schemas.openxmlformats.org/officeDocument/2006/relationships/hyperlink" Target="https://www.sec.gov/ix?doc=/Archives/edgar/data/0001065088/000106508822000022/ebay-202206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30854</Words>
  <Characters>175871</Characters>
  <Application>Microsoft Office Word</Application>
  <DocSecurity>0</DocSecurity>
  <Lines>1465</Lines>
  <Paragraphs>412</Paragraphs>
  <ScaleCrop>false</ScaleCrop>
  <Company/>
  <LinksUpToDate>false</LinksUpToDate>
  <CharactersWithSpaces>206313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2023-02-11T19:19:00Z</dcterms:created>
  <dcterms:modified xsi:type="dcterms:W3CDTF">2023-02-13T13:07:00Z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78F56DF237AA27A0B979E763B4751AFB</vt:lpwstr>
  </property>
</Properties>
</file>