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617AE">
      <w:pPr>
        <w:divId w:val="1970236479"/>
        <w:rPr>
          <w:rFonts w:eastAsia="Times New Roman"/>
          <w:vanish/>
          <w:sz w:val="20"/>
          <w:szCs w:val="20"/>
        </w:rPr>
      </w:pPr>
      <w:r>
        <w:rPr>
          <w:rFonts w:eastAsia="Times New Roman"/>
          <w:vanish/>
          <w:sz w:val="20"/>
          <w:szCs w:val="20"/>
        </w:rPr>
        <w:t xml:space="preserve">false--12-31Q1202000008957280.098600000000.7380.81202500000020250000006000000006000000000.04530.06090.09900.0290.0365P2YP10YP30Y000.2750.253050.246130.25458P1Y77470000007747000000 0000895728 2020-01-01 2020-03-31 0000895728 2020-04-30 0000895728 </w:t>
      </w:r>
      <w:r>
        <w:rPr>
          <w:rFonts w:eastAsia="Times New Roman"/>
          <w:vanish/>
          <w:sz w:val="20"/>
          <w:szCs w:val="20"/>
        </w:rPr>
        <w:t>enb:A6.375FixedtoFloatingRateSubordinatedNotesSeries2018BDue2078Member 2020-01-01 2020-03-31 0000895728 us-gaap:CommonStockMember 2020-01-01 2020-03-31 0000895728 2019-01-01 2019-03-31 0000895728 enb:CommoditySalesRevenueMember 2020-01-01 2020-03-31 000089</w:t>
      </w:r>
      <w:r>
        <w:rPr>
          <w:rFonts w:eastAsia="Times New Roman"/>
          <w:vanish/>
          <w:sz w:val="20"/>
          <w:szCs w:val="20"/>
        </w:rPr>
        <w:t>5728 enb:CommoditySalesRevenueMember 2019-01-01 2019-03-31 0000895728 enb:TransportationAndOtherServicesRevenuesMember 2020-01-01 2020-03-31 0000895728 enb:TransportationAndOtherServicesRevenuesMember 2019-01-01 2019-03-31 0000895728 enb:GasDistributionRev</w:t>
      </w:r>
      <w:r>
        <w:rPr>
          <w:rFonts w:eastAsia="Times New Roman"/>
          <w:vanish/>
          <w:sz w:val="20"/>
          <w:szCs w:val="20"/>
        </w:rPr>
        <w:t>enueMember 2019-01-01 2019-03-31 0000895728 enb:GasDistributionRevenueMember 2020-01-01 2020-03-31 0000895728 us-gaap:NoncontrollingInterestMember 2019-01-01 2019-03-31 0000895728 us-gaap:PreferredStockMember 2018-12-31 0000895728 us-gaap:TreasuryStockMemb</w:t>
      </w:r>
      <w:r>
        <w:rPr>
          <w:rFonts w:eastAsia="Times New Roman"/>
          <w:vanish/>
          <w:sz w:val="20"/>
          <w:szCs w:val="20"/>
        </w:rPr>
        <w:t>er 2020-01-01 2020-03-31 0000895728 us-gaap:NoncontrollingInterestMember 2020-01-01 2020-03-31 0000895728 us-gaap:RetainedEarningsMember 2020-01-01 2020-03-31 0000895728 us-gaap:RetainedEarningsMember 2019-01-01 2019-03-31 0000895728 us-gaap:AccumulatedOth</w:t>
      </w:r>
      <w:r>
        <w:rPr>
          <w:rFonts w:eastAsia="Times New Roman"/>
          <w:vanish/>
          <w:sz w:val="20"/>
          <w:szCs w:val="20"/>
        </w:rPr>
        <w:t>erComprehensiveIncomeMember 2018-12-31 0000895728 us-gaap:AccumulatedOtherComprehensiveIncomeMember 2019-03-31 0000895728 us-gaap:NoncontrollingInterestMember 2020-03-31 0000895728 us-gaap:AdditionalPaidInCapitalMember 2020-03-31 0000895728 us-gaap:Retaine</w:t>
      </w:r>
      <w:r>
        <w:rPr>
          <w:rFonts w:eastAsia="Times New Roman"/>
          <w:vanish/>
          <w:sz w:val="20"/>
          <w:szCs w:val="20"/>
        </w:rPr>
        <w:t>dEarningsMember 2019-03-31 0000895728 us-gaap:AccumulatedOtherComprehensiveIncomeMember 2020-01-01 2020-03-31 0000895728 us-gaap:RetainedEarningsMember 2020-01-01 0000895728 us-gaap:NoncontrollingInterestMember 2019-03-31 0000895728 us-gaap:RetainedEarning</w:t>
      </w:r>
      <w:r>
        <w:rPr>
          <w:rFonts w:eastAsia="Times New Roman"/>
          <w:vanish/>
          <w:sz w:val="20"/>
          <w:szCs w:val="20"/>
        </w:rPr>
        <w:t>sMember 2020-03-31 0000895728 2020-03-31 0000895728 us-gaap:AdditionalPaidInCapitalMember 2019-01-01 2019-03-31 0000895728 us-gaap:AdditionalPaidInCapitalMember 2019-12-31 0000895728 us-gaap:CommonStockMember 2020-01-01 2020-03-31 0000895728 us-gaap:Accumu</w:t>
      </w:r>
      <w:r>
        <w:rPr>
          <w:rFonts w:eastAsia="Times New Roman"/>
          <w:vanish/>
          <w:sz w:val="20"/>
          <w:szCs w:val="20"/>
        </w:rPr>
        <w:t>latedOtherComprehensiveIncomeMember 2019-01-01 2019-03-31 0000895728 us-gaap:AccumulatedOtherComprehensiveIncomeMember 2020-03-31 0000895728 us-gaap:CommonStockMember 2020-03-31 0000895728 us-gaap:AccumulatedOtherComprehensiveIncomeMember 2019-12-31 000089</w:t>
      </w:r>
      <w:r>
        <w:rPr>
          <w:rFonts w:eastAsia="Times New Roman"/>
          <w:vanish/>
          <w:sz w:val="20"/>
          <w:szCs w:val="20"/>
        </w:rPr>
        <w:t>5728 us-gaap:AdditionalPaidInCapitalMember 2019-03-31 0000895728 us-gaap:AdditionalPaidInCapitalMember 2020-01-01 2020-03-31 0000895728 us-gaap:TreasuryStockMember 2019-12-31 0000895728 us-gaap:TreasuryStockMember 2019-01-01 2019-03-31 0000895728 us-gaap:C</w:t>
      </w:r>
      <w:r>
        <w:rPr>
          <w:rFonts w:eastAsia="Times New Roman"/>
          <w:vanish/>
          <w:sz w:val="20"/>
          <w:szCs w:val="20"/>
        </w:rPr>
        <w:t>ommonStockMember 2019-01-01 2019-03-31 0000895728 us-gaap:CommonStockMember 2018-12-31 0000895728 us-gaap:CommonStockMember 2019-12-31 0000895728 us-gaap:PreferredStockMember 2019-12-31 0000895728 us-gaap:CommonStockMember 2019-03-31 0000895728 us-gaap:Par</w:t>
      </w:r>
      <w:r>
        <w:rPr>
          <w:rFonts w:eastAsia="Times New Roman"/>
          <w:vanish/>
          <w:sz w:val="20"/>
          <w:szCs w:val="20"/>
        </w:rPr>
        <w:t>entMember 2019-03-31 0000895728 us-gaap:TreasuryStockMember 2019-03-31 0000895728 us-gaap:RetainedEarningsMember 2019-12-31 0000895728 us-gaap:TreasuryStockMember 2020-03-31 0000895728 us-gaap:AdditionalPaidInCapitalMember 2018-12-31 0000895728 us-gaap:Ret</w:t>
      </w:r>
      <w:r>
        <w:rPr>
          <w:rFonts w:eastAsia="Times New Roman"/>
          <w:vanish/>
          <w:sz w:val="20"/>
          <w:szCs w:val="20"/>
        </w:rPr>
        <w:t>ainedEarningsMember 2018-12-31 0000895728 us-gaap:TreasuryStockMember 2018-12-31 0000895728 2019-03-31 0000895728 us-gaap:NoncontrollingInterestMember 2018-12-31 0000895728 us-gaap:ParentMember 2020-03-31 0000895728 us-gaap:NoncontrollingInterestMember 201</w:t>
      </w:r>
      <w:r>
        <w:rPr>
          <w:rFonts w:eastAsia="Times New Roman"/>
          <w:vanish/>
          <w:sz w:val="20"/>
          <w:szCs w:val="20"/>
        </w:rPr>
        <w:t>9-12-31 0000895728 us-gaap:PreferredStockMember 2020-03-31 0000895728 us-gaap:PreferredStockMember 2019-03-31 0000895728 2019-12-31 0000895728 2018-12-31 0000895728 us-gaap:AccountingStandardsUpdate201613Member us-gaap:RetainedEarningsMember 2020-01-01 000</w:t>
      </w:r>
      <w:r>
        <w:rPr>
          <w:rFonts w:eastAsia="Times New Roman"/>
          <w:vanish/>
          <w:sz w:val="20"/>
          <w:szCs w:val="20"/>
        </w:rPr>
        <w:t>0895728 us-gaap:TransferredOverTimeMember 2020-01-01 2020-03-31 0000895728 enb:GasTransmissionandMidstreamSegmentMember us-gaap:TransferredAtPointInTimeMember 2020-01-01 2020-03-31 0000895728 enb:LiquidsPipelinesSegmentMember us-gaap:TransferredAtPointInTi</w:t>
      </w:r>
      <w:r>
        <w:rPr>
          <w:rFonts w:eastAsia="Times New Roman"/>
          <w:vanish/>
          <w:sz w:val="20"/>
          <w:szCs w:val="20"/>
        </w:rPr>
        <w:t>meMember 2020-01-01 2020-03-31 0000895728 enb:RenewablePowerGenerationSegmentMember us-gaap:TransferredOverTimeMember 2020-01-01 2020-03-31 0000895728 enb:RenewablePowerGenerationSegmentMember 2020-01-01 2020-03-31 0000895728 enb:GasTransmissionandMidstrea</w:t>
      </w:r>
      <w:r>
        <w:rPr>
          <w:rFonts w:eastAsia="Times New Roman"/>
          <w:vanish/>
          <w:sz w:val="20"/>
          <w:szCs w:val="20"/>
        </w:rPr>
        <w:t>mSegmentMember 2020-01-01 2020-03-31 0000895728 enb:EnergyServicesSegmentMember us-gaap:TransferredOverTimeMember 2020-01-01 2020-03-31 0000895728 enb:RenewablePowerGenerationSegmentMember us-gaap:TransferredAtPointInTimeMember 2020-01-01 2020-03-31 000089</w:t>
      </w:r>
      <w:r>
        <w:rPr>
          <w:rFonts w:eastAsia="Times New Roman"/>
          <w:vanish/>
          <w:sz w:val="20"/>
          <w:szCs w:val="20"/>
        </w:rPr>
        <w:t>5728 us-gaap:TransferredAtPointInTimeMember 2020-01-01 2020-03-31 0000895728 enb:LiquidsPipelinesSegmentMember us-gaap:TransferredOverTimeMember 2020-01-01 2020-03-31 0000895728 enb:GasDistributionandStorageSegmentMember 2020-01-01 2020-03-31 0000895728 en</w:t>
      </w:r>
      <w:r>
        <w:rPr>
          <w:rFonts w:eastAsia="Times New Roman"/>
          <w:vanish/>
          <w:sz w:val="20"/>
          <w:szCs w:val="20"/>
        </w:rPr>
        <w:t>b:GasTransmissionandMidstreamSegmentMember us-gaap:TransferredOverTimeMember 2020-01-01 2020-03-31 0000895728 enb:GasDistributionandStorageSegmentMember us-gaap:TransferredAtPointInTimeMember 2020-01-01 2020-03-31 0000895728 enb:LiquidsPipelinesSegmentMemb</w:t>
      </w:r>
      <w:r>
        <w:rPr>
          <w:rFonts w:eastAsia="Times New Roman"/>
          <w:vanish/>
          <w:sz w:val="20"/>
          <w:szCs w:val="20"/>
        </w:rPr>
        <w:t>er 2020-01-01 2020-03-31 0000895728 enb:EnergyServicesSegmentMember 2020-01-01 2020-03-31 0000895728 enb:EnergyServicesSegmentMember us-gaap:TransferredAtPointInTimeMember 2020-01-01 2020-03-31 0000895728 enb:GasDistributionandStorageSegmentMember us-gaap:</w:t>
      </w:r>
      <w:r>
        <w:rPr>
          <w:rFonts w:eastAsia="Times New Roman"/>
          <w:vanish/>
          <w:sz w:val="20"/>
          <w:szCs w:val="20"/>
        </w:rPr>
        <w:t>TransferredOverTimeMember 2020-01-01 2020-03-31 0000895728 2021-01-01 2020-03-31 0000895728 2020-04-01 2020-03-31 0000895728 us-gaap:TransferredOverTimeMember 2019-01-01 2019-03-31 0000895728 enb:GasTransmissionandMidstreamSegmentMember 2019-01-01 2019-03-</w:t>
      </w:r>
      <w:r>
        <w:rPr>
          <w:rFonts w:eastAsia="Times New Roman"/>
          <w:vanish/>
          <w:sz w:val="20"/>
          <w:szCs w:val="20"/>
        </w:rPr>
        <w:t>31 0000895728 enb:EnergyServicesSegmentMember us-gaap:TransferredOverTimeMember 2019-01-01 2019-03-31 0000895728 enb:RenewablePowerGenerationSegmentMember us-gaap:TransferredAtPointInTimeMember 2019-01-01 2019-03-31 0000895728 enb:LiquidsPipelinesSegmentMe</w:t>
      </w:r>
      <w:r>
        <w:rPr>
          <w:rFonts w:eastAsia="Times New Roman"/>
          <w:vanish/>
          <w:sz w:val="20"/>
          <w:szCs w:val="20"/>
        </w:rPr>
        <w:t>mber us-gaap:TransferredOverTimeMember 2019-01-01 2019-03-31 0000895728 enb:GasDistributionandStorageSegmentMember us-gaap:TransferredAtPointInTimeMember 2019-01-01 2019-03-31 0000895728 enb:LiquidsPipelinesSegmentMember us-gaap:TransferredAtPointInTimeMem</w:t>
      </w:r>
      <w:r>
        <w:rPr>
          <w:rFonts w:eastAsia="Times New Roman"/>
          <w:vanish/>
          <w:sz w:val="20"/>
          <w:szCs w:val="20"/>
        </w:rPr>
        <w:t>ber 2019-01-01 2019-03-31 0000895728 enb:RenewablePowerGenerationSegmentMember 2019-01-01 2019-03-31 0000895728 enb:GasTransmissionandMidstreamSegmentMember us-gaap:TransferredAtPointInTimeMember 2019-01-01 2019-03-31 0000895728 enb:GasDistributionandStora</w:t>
      </w:r>
      <w:r>
        <w:rPr>
          <w:rFonts w:eastAsia="Times New Roman"/>
          <w:vanish/>
          <w:sz w:val="20"/>
          <w:szCs w:val="20"/>
        </w:rPr>
        <w:t>geSegmentMember 2019-01-01 2019-03-31 0000895728 enb:GasDistributionandStorageSegmentMember us-gaap:TransferredOverTimeMember 2019-01-01 2019-03-31 0000895728 enb:RenewablePowerGenerationSegmentMember us-gaap:TransferredOverTimeMember 2019-01-01 2019-03-31</w:t>
      </w:r>
      <w:r>
        <w:rPr>
          <w:rFonts w:eastAsia="Times New Roman"/>
          <w:vanish/>
          <w:sz w:val="20"/>
          <w:szCs w:val="20"/>
        </w:rPr>
        <w:t xml:space="preserve"> 0000895728 enb:GasTransmissionandMidstreamSegmentMember us-gaap:TransferredOverTimeMember 2019-01-01 2019-03-31 0000895728 enb:EnergyServicesSegmentMember 2019-01-01 2019-03-31 0000895728 enb:LiquidsPipelinesSegmentMember 2019-01-01 2019-03-31 0000895728 </w:t>
      </w:r>
      <w:r>
        <w:rPr>
          <w:rFonts w:eastAsia="Times New Roman"/>
          <w:vanish/>
          <w:sz w:val="20"/>
          <w:szCs w:val="20"/>
        </w:rPr>
        <w:t>enb:EnergyServicesSegmentMember us-gaap:TransferredAtPointInTimeMember 2019-01-01 2019-03-31 0000895728 us-gaap:TransferredAtPointInTimeMember 2019-01-01 2019-03-31 0000895728 us-gaap:OperatingSegmentsMember enb:TransportationRevenueMember enb:EnergyServic</w:t>
      </w:r>
      <w:r>
        <w:rPr>
          <w:rFonts w:eastAsia="Times New Roman"/>
          <w:vanish/>
          <w:sz w:val="20"/>
          <w:szCs w:val="20"/>
        </w:rPr>
        <w:t>esSegmentMember 2020-01-01 2020-03-31 0000895728 us-gaap:OperatingSegmentsMember enb:CommoditySalesRevenueMember enb:RenewablePowerGenerationSegmentMember 2020-01-01 2020-03-31 0000895728 enb:EliminationsAndReconcilingItemsMember enb:StorageandOtherRevenue</w:t>
      </w:r>
      <w:r>
        <w:rPr>
          <w:rFonts w:eastAsia="Times New Roman"/>
          <w:vanish/>
          <w:sz w:val="20"/>
          <w:szCs w:val="20"/>
        </w:rPr>
        <w:t xml:space="preserve">Member 2020-01-01 2020-03-31 0000895728 us-gaap:OperatingSegmentsMember enb:GasGatheringandProcessingRevenueMember enb:GasDistributionandStorageSegmentMember 2020-01-01 2020-03-31 0000895728 us-gaap:OperatingSegmentsMember enb:GasDistributionRevenueMember </w:t>
      </w:r>
      <w:r>
        <w:rPr>
          <w:rFonts w:eastAsia="Times New Roman"/>
          <w:vanish/>
          <w:sz w:val="20"/>
          <w:szCs w:val="20"/>
        </w:rPr>
        <w:t>enb:GasDistributionandStorageSegmentMember 2020-01-01 2020-03-31 0000895728 enb:ElectricityandTransmissionRevenueMember 2020-01-01 2020-03-31 0000895728 enb:StorageandOtherRevenueMember 2020-01-01 2020-03-31 0000895728 enb:EliminationsAndReconcilingItemsMe</w:t>
      </w:r>
      <w:r>
        <w:rPr>
          <w:rFonts w:eastAsia="Times New Roman"/>
          <w:vanish/>
          <w:sz w:val="20"/>
          <w:szCs w:val="20"/>
        </w:rPr>
        <w:t>mber enb:CommoditySalesRevenueMember 2020-01-01 2020-03-31 0000895728 enb:OtherRevenueMember 2020-01-01 2020-03-31 0000895728 us-gaap:IntersegmentEliminationMember enb:RenewablePowerGenerationSegmentMember 2020-01-01 2020-03-31 0000895728 us-gaap:Intersegm</w:t>
      </w:r>
      <w:r>
        <w:rPr>
          <w:rFonts w:eastAsia="Times New Roman"/>
          <w:vanish/>
          <w:sz w:val="20"/>
          <w:szCs w:val="20"/>
        </w:rPr>
        <w:t>entEliminationMember enb:GasDistributionandStorageSegmentMember 2020-01-01 2020-03-31 0000895728 us-gaap:OperatingSegmentsMember enb:CommoditySalesRevenueMember enb:GasTransmissionandMidstreamSegmentMember 2020-01-01 2020-03-31 0000895728 us-gaap:Operating</w:t>
      </w:r>
      <w:r>
        <w:rPr>
          <w:rFonts w:eastAsia="Times New Roman"/>
          <w:vanish/>
          <w:sz w:val="20"/>
          <w:szCs w:val="20"/>
        </w:rPr>
        <w:t>SegmentsMember enb:ElectricityandTransmissionRevenueMember enb:LiquidsPipelinesSegmentMember 2020-01-01 2020-03-31 0000895728 us-gaap:OperatingSegmentsMember enb:OtherRevenueMember enb:GasTransmissionandMidstreamSegmentMember 2020-01-01 2020-03-31 00008957</w:t>
      </w:r>
      <w:r>
        <w:rPr>
          <w:rFonts w:eastAsia="Times New Roman"/>
          <w:vanish/>
          <w:sz w:val="20"/>
          <w:szCs w:val="20"/>
        </w:rPr>
        <w:t>28 us-gaap:OperatingSegmentsMember enb:TransportationRevenueMember enb:GasDistributionandStorageSegmentMember 2020-01-01 2020-03-31 0000895728 us-gaap:OperatingSegmentsMember enb:LiquidsPipelinesSegmentMember 2020-01-01 2020-03-31 0000895728 us-gaap:Operat</w:t>
      </w:r>
      <w:r>
        <w:rPr>
          <w:rFonts w:eastAsia="Times New Roman"/>
          <w:vanish/>
          <w:sz w:val="20"/>
          <w:szCs w:val="20"/>
        </w:rPr>
        <w:t>ingSegmentsMember enb:GasGatheringandProcessingRevenueMember enb:GasTransmissionandMidstreamSegmentMember 2020-01-01 2020-03-31 0000895728 enb:EliminationsAndReconcilingItemsMember 2020-01-01 2020-03-31 0000895728 us-gaap:OperatingSegmentsMember enb:Electr</w:t>
      </w:r>
      <w:r>
        <w:rPr>
          <w:rFonts w:eastAsia="Times New Roman"/>
          <w:vanish/>
          <w:sz w:val="20"/>
          <w:szCs w:val="20"/>
        </w:rPr>
        <w:t>icityandTransmissionRevenueMember enb:RenewablePowerGenerationSegmentMember 2020-01-01 2020-03-31 0000895728 enb:GasGatheringandProcessingRevenueMember 2020-01-01 2020-03-31 0000895728 us-gaap:OperatingSegmentsMember enb:GasGatheringandProcessingRevenueMem</w:t>
      </w:r>
      <w:r>
        <w:rPr>
          <w:rFonts w:eastAsia="Times New Roman"/>
          <w:vanish/>
          <w:sz w:val="20"/>
          <w:szCs w:val="20"/>
        </w:rPr>
        <w:t>ber enb:LiquidsPipelinesSegmentMember 2020-01-01 2020-03-31 0000895728 us-gaap:OperatingSegmentsMember enb:StorageandOtherRevenueMember enb:GasDistributionandStorageSegmentMember 2020-01-01 2020-03-31 0000895728 us-gaap:IntersegmentEliminationMember 2020-0</w:t>
      </w:r>
      <w:r>
        <w:rPr>
          <w:rFonts w:eastAsia="Times New Roman"/>
          <w:vanish/>
          <w:sz w:val="20"/>
          <w:szCs w:val="20"/>
        </w:rPr>
        <w:t>1-01 2020-03-31 0000895728 us-gaap:OperatingSegmentsMember enb:RenewablePowerGenerationSegmentMember 2020-01-01 2020-03-31 0000895728 us-gaap:OperatingSegmentsMember enb:TransportationRevenueMember enb:GasTransmissionandMidstreamSegmentMember 2020-01-01 20</w:t>
      </w:r>
      <w:r>
        <w:rPr>
          <w:rFonts w:eastAsia="Times New Roman"/>
          <w:vanish/>
          <w:sz w:val="20"/>
          <w:szCs w:val="20"/>
        </w:rPr>
        <w:t>20-03-31 0000895728 us-gaap:OperatingSegmentsMember enb:GasGatheringandProcessingRevenueMember enb:EnergyServicesSegmentMember 2020-01-01 2020-03-31 0000895728 us-gaap:OperatingSegmentsMember enb:GasDistributionandStorageSegmentMember 2020-01-01 2020-03-31</w:t>
      </w:r>
      <w:r>
        <w:rPr>
          <w:rFonts w:eastAsia="Times New Roman"/>
          <w:vanish/>
          <w:sz w:val="20"/>
          <w:szCs w:val="20"/>
        </w:rPr>
        <w:t xml:space="preserve"> 0000895728 enb:EliminationsAndReconcilingItemsMember enb:ElectricityandTransmissionRevenueMember 2020-01-01 2020-03-31 0000895728 enb:EliminationsAndReconcilingItemsMember enb:GasGatheringandProcessingRevenueMember 2020-01-01 2020-03-31 0000895728 us-gaap</w:t>
      </w:r>
      <w:r>
        <w:rPr>
          <w:rFonts w:eastAsia="Times New Roman"/>
          <w:vanish/>
          <w:sz w:val="20"/>
          <w:szCs w:val="20"/>
        </w:rPr>
        <w:t>:OperatingSegmentsMember enb:EnergyServicesSegmentMember 2020-01-01 2020-03-31 0000895728 enb:EliminationsAndReconcilingItemsMember enb:GasDistributionRevenueMember 2020-01-01 2020-03-31 0000895728 us-gaap:OperatingSegmentsMember enb:GasDistributionRevenue</w:t>
      </w:r>
      <w:r>
        <w:rPr>
          <w:rFonts w:eastAsia="Times New Roman"/>
          <w:vanish/>
          <w:sz w:val="20"/>
          <w:szCs w:val="20"/>
        </w:rPr>
        <w:t>Member enb:GasTransmissionandMidstreamSegmentMember 2020-01-01 2020-03-31 0000895728 us-gaap:IntersegmentEliminationMember enb:LiquidsPipelinesSegmentMember 2020-01-01 2020-03-31 0000895728 us-gaap:OperatingSegmentsMember enb:GasDistributionRevenueMember e</w:t>
      </w:r>
      <w:r>
        <w:rPr>
          <w:rFonts w:eastAsia="Times New Roman"/>
          <w:vanish/>
          <w:sz w:val="20"/>
          <w:szCs w:val="20"/>
        </w:rPr>
        <w:t>nb:RenewablePowerGenerationSegmentMember 2020-01-01 2020-03-31 0000895728 us-gaap:OperatingSegmentsMember enb:OtherRevenueMember enb:EnergyServicesSegmentMember 2020-01-01 2020-03-31 0000895728 us-gaap:OperatingSegmentsMember enb:GasGatheringandProcessingR</w:t>
      </w:r>
      <w:r>
        <w:rPr>
          <w:rFonts w:eastAsia="Times New Roman"/>
          <w:vanish/>
          <w:sz w:val="20"/>
          <w:szCs w:val="20"/>
        </w:rPr>
        <w:t>evenueMember enb:RenewablePowerGenerationSegmentMember 2020-01-01 2020-03-31 0000895728 us-gaap:OperatingSegmentsMember enb:GasTransmissionandMidstreamSegmentMember 2020-01-01 2020-03-31 0000895728 us-gaap:IntersegmentEliminationMember enb:GasTransmissiona</w:t>
      </w:r>
      <w:r>
        <w:rPr>
          <w:rFonts w:eastAsia="Times New Roman"/>
          <w:vanish/>
          <w:sz w:val="20"/>
          <w:szCs w:val="20"/>
        </w:rPr>
        <w:t>ndMidstreamSegmentMember 2020-01-01 2020-03-31 0000895728 us-gaap:OperatingSegmentsMember enb:CommoditySalesRevenueMember enb:GasDistributionandStorageSegmentMember 2020-01-01 2020-03-31 0000895728 us-gaap:OperatingSegmentsMember enb:GasDistributionRevenue</w:t>
      </w:r>
      <w:r>
        <w:rPr>
          <w:rFonts w:eastAsia="Times New Roman"/>
          <w:vanish/>
          <w:sz w:val="20"/>
          <w:szCs w:val="20"/>
        </w:rPr>
        <w:t>Member enb:LiquidsPipelinesSegmentMember 2020-01-01 2020-03-31 0000895728 us-gaap:OperatingSegmentsMember enb:StorageandOtherRevenueMember enb:LiquidsPipelinesSegmentMember 2020-01-01 2020-03-31 0000895728 us-gaap:OperatingSegmentsMember enb:StorageandOthe</w:t>
      </w:r>
      <w:r>
        <w:rPr>
          <w:rFonts w:eastAsia="Times New Roman"/>
          <w:vanish/>
          <w:sz w:val="20"/>
          <w:szCs w:val="20"/>
        </w:rPr>
        <w:t>rRevenueMember enb:RenewablePowerGenerationSegmentMember 2020-01-01 2020-03-31 0000895728 us-gaap:OperatingSegmentsMember enb:CommoditySalesRevenueMember enb:EnergyServicesSegmentMember 2020-01-01 2020-03-31 0000895728 enb:TransportationRevenueMember 2020-</w:t>
      </w:r>
      <w:r>
        <w:rPr>
          <w:rFonts w:eastAsia="Times New Roman"/>
          <w:vanish/>
          <w:sz w:val="20"/>
          <w:szCs w:val="20"/>
        </w:rPr>
        <w:t>01-01 2020-03-31 0000895728 us-gaap:OperatingSegmentsMember enb:GasDistributionRevenueMember enb:EnergyServicesSegmentMember 2020-01-01 2020-03-31 0000895728 us-gaap:OperatingSegmentsMember enb:TransportationRevenueMember enb:RenewablePowerGenerationSegmen</w:t>
      </w:r>
      <w:r>
        <w:rPr>
          <w:rFonts w:eastAsia="Times New Roman"/>
          <w:vanish/>
          <w:sz w:val="20"/>
          <w:szCs w:val="20"/>
        </w:rPr>
        <w:t>tMember 2020-01-01 2020-03-31 0000895728 us-gaap:OperatingSegmentsMember enb:StorageandOtherRevenueMember enb:EnergyServicesSegmentMember 2020-01-01 2020-03-31 0000895728 enb:EliminationsAndReconcilingItemsMember enb:OtherRevenueMember 2020-01-01 2020-03-3</w:t>
      </w:r>
      <w:r>
        <w:rPr>
          <w:rFonts w:eastAsia="Times New Roman"/>
          <w:vanish/>
          <w:sz w:val="20"/>
          <w:szCs w:val="20"/>
        </w:rPr>
        <w:t>1 0000895728 us-gaap:OperatingSegmentsMember enb:OtherRevenueMember enb:GasDistributionandStorageSegmentMember 2020-01-01 2020-03-31 0000895728 us-gaap:OperatingSegmentsMember enb:ElectricityandTransmissionRevenueMember enb:EnergyServicesSegmentMember 2020</w:t>
      </w:r>
      <w:r>
        <w:rPr>
          <w:rFonts w:eastAsia="Times New Roman"/>
          <w:vanish/>
          <w:sz w:val="20"/>
          <w:szCs w:val="20"/>
        </w:rPr>
        <w:t>-01-01 2020-03-31 0000895728 us-gaap:OperatingSegmentsMember enb:ElectricityandTransmissionRevenueMember enb:GasTransmissionandMidstreamSegmentMember 2020-01-01 2020-03-31 0000895728 us-gaap:OperatingSegmentsMember enb:OtherRevenueMember enb:LiquidsPipelin</w:t>
      </w:r>
      <w:r>
        <w:rPr>
          <w:rFonts w:eastAsia="Times New Roman"/>
          <w:vanish/>
          <w:sz w:val="20"/>
          <w:szCs w:val="20"/>
        </w:rPr>
        <w:t>esSegmentMember 2020-01-01 2020-03-31 0000895728 us-gaap:OperatingSegmentsMember enb:ElectricityandTransmissionRevenueMember enb:GasDistributionandStorageSegmentMember 2020-01-01 2020-03-31 0000895728 enb:EliminationsAndReconcilingItemsMember enb:Transport</w:t>
      </w:r>
      <w:r>
        <w:rPr>
          <w:rFonts w:eastAsia="Times New Roman"/>
          <w:vanish/>
          <w:sz w:val="20"/>
          <w:szCs w:val="20"/>
        </w:rPr>
        <w:t>ationRevenueMember 2020-01-01 2020-03-31 0000895728 us-gaap:OperatingSegmentsMember enb:TransportationRevenueMember enb:LiquidsPipelinesSegmentMember 2020-01-01 2020-03-31 0000895728 us-gaap:OperatingSegmentsMember enb:StorageandOtherRevenueMember enb:GasT</w:t>
      </w:r>
      <w:r>
        <w:rPr>
          <w:rFonts w:eastAsia="Times New Roman"/>
          <w:vanish/>
          <w:sz w:val="20"/>
          <w:szCs w:val="20"/>
        </w:rPr>
        <w:t>ransmissionandMidstreamSegmentMember 2020-01-01 2020-03-31 0000895728 us-gaap:IntersegmentEliminationMember enb:EnergyServicesSegmentMember 2020-01-01 2020-03-31 0000895728 us-gaap:OperatingSegmentsMember enb:OtherRevenueMember enb:RenewablePowerGeneration</w:t>
      </w:r>
      <w:r>
        <w:rPr>
          <w:rFonts w:eastAsia="Times New Roman"/>
          <w:vanish/>
          <w:sz w:val="20"/>
          <w:szCs w:val="20"/>
        </w:rPr>
        <w:t>SegmentMember 2020-01-01 2020-03-31 0000895728 us-gaap:OperatingSegmentsMember enb:CommoditySalesRevenueMember enb:LiquidsPipelinesSegmentMember 2020-01-01 2020-03-31 0000895728 us-gaap:OperatingSegmentsMember enb:GasGatheringandProcessingRevenueMember enb</w:t>
      </w:r>
      <w:r>
        <w:rPr>
          <w:rFonts w:eastAsia="Times New Roman"/>
          <w:vanish/>
          <w:sz w:val="20"/>
          <w:szCs w:val="20"/>
        </w:rPr>
        <w:t>:GasTransmissionandMidstreamSegmentMember 2019-01-01 2019-03-31 0000895728 enb:EliminationsAndReconcilingItemsMember 2019-01-01 2019-03-31 0000895728 us-gaap:OperatingSegmentsMember enb:TransportationRevenueMember enb:LiquidsPipelinesSegmentMember 2019-01-</w:t>
      </w:r>
      <w:r>
        <w:rPr>
          <w:rFonts w:eastAsia="Times New Roman"/>
          <w:vanish/>
          <w:sz w:val="20"/>
          <w:szCs w:val="20"/>
        </w:rPr>
        <w:t>01 2019-03-31 0000895728 us-gaap:IntersegmentEliminationMember enb:RenewablePowerGenerationSegmentMember 2019-01-01 2019-03-31 0000895728 us-gaap:IntersegmentEliminationMember 2019-01-01 2019-03-31 0000895728 us-gaap:OperatingSegmentsMember enb:GasGatherin</w:t>
      </w:r>
      <w:r>
        <w:rPr>
          <w:rFonts w:eastAsia="Times New Roman"/>
          <w:vanish/>
          <w:sz w:val="20"/>
          <w:szCs w:val="20"/>
        </w:rPr>
        <w:t>gandProcessingRevenueMember enb:GasDistributionandStorageSegmentMember 2019-01-01 2019-03-31 0000895728 us-gaap:OperatingSegmentsMember enb:ElectricityandTransmissionRevenueMember enb:RenewablePowerGenerationSegmentMember 2019-01-01 2019-03-31 0000895728 u</w:t>
      </w:r>
      <w:r>
        <w:rPr>
          <w:rFonts w:eastAsia="Times New Roman"/>
          <w:vanish/>
          <w:sz w:val="20"/>
          <w:szCs w:val="20"/>
        </w:rPr>
        <w:t>s-gaap:OperatingSegmentsMember enb:GasTransmissionandMidstreamSegmentMember 2019-01-01 2019-03-31 0000895728 enb:EliminationsAndReconcilingItemsMember enb:StorageandOtherRevenueMember 2019-01-01 2019-03-31 0000895728 us-gaap:OperatingSegmentsMember enb:Gas</w:t>
      </w:r>
      <w:r>
        <w:rPr>
          <w:rFonts w:eastAsia="Times New Roman"/>
          <w:vanish/>
          <w:sz w:val="20"/>
          <w:szCs w:val="20"/>
        </w:rPr>
        <w:t>GatheringandProcessingRevenueMember enb:RenewablePowerGenerationSegmentMember 2019-01-01 2019-03-31 0000895728 us-gaap:OperatingSegmentsMember enb:LiquidsPipelinesSegmentMember 2019-01-01 2019-03-31 0000895728 enb:StorageandOtherRevenueMember 2019-01-01 20</w:t>
      </w:r>
      <w:r>
        <w:rPr>
          <w:rFonts w:eastAsia="Times New Roman"/>
          <w:vanish/>
          <w:sz w:val="20"/>
          <w:szCs w:val="20"/>
        </w:rPr>
        <w:t>19-03-31 0000895728 us-gaap:OperatingSegmentsMember enb:StorageandOtherRevenueMember enb:RenewablePowerGenerationSegmentMember 2019-01-01 2019-03-31 0000895728 us-gaap:OperatingSegmentsMember enb:StorageandOtherRevenueMember enb:EnergyServicesSegmentMember</w:t>
      </w:r>
      <w:r>
        <w:rPr>
          <w:rFonts w:eastAsia="Times New Roman"/>
          <w:vanish/>
          <w:sz w:val="20"/>
          <w:szCs w:val="20"/>
        </w:rPr>
        <w:t xml:space="preserve"> 2019-01-01 2019-03-31 0000895728 enb:OtherRevenueMember 2019-01-01 2019-03-31 0000895728 us-gaap:OperatingSegmentsMember enb:OtherRevenueMember enb:RenewablePowerGenerationSegmentMember 2019-01-01 2019-03-31 0000895728 us-gaap:IntersegmentEliminationMembe</w:t>
      </w:r>
      <w:r>
        <w:rPr>
          <w:rFonts w:eastAsia="Times New Roman"/>
          <w:vanish/>
          <w:sz w:val="20"/>
          <w:szCs w:val="20"/>
        </w:rPr>
        <w:t>r enb:GasTransmissionandMidstreamSegmentMember 2019-01-01 2019-03-31 0000895728 us-gaap:OperatingSegmentsMember enb:ElectricityandTransmissionRevenueMember enb:LiquidsPipelinesSegmentMember 2019-01-01 2019-03-31 0000895728 us-gaap:OperatingSegmentsMember e</w:t>
      </w:r>
      <w:r>
        <w:rPr>
          <w:rFonts w:eastAsia="Times New Roman"/>
          <w:vanish/>
          <w:sz w:val="20"/>
          <w:szCs w:val="20"/>
        </w:rPr>
        <w:t>nb:EnergyServicesSegmentMember 2019-01-01 2019-03-31 0000895728 enb:EliminationsAndReconcilingItemsMember enb:GasGatheringandProcessingRevenueMember 2019-01-01 2019-03-31 0000895728 us-gaap:OperatingSegmentsMember enb:OtherRevenueMember enb:EnergyServicesS</w:t>
      </w:r>
      <w:r>
        <w:rPr>
          <w:rFonts w:eastAsia="Times New Roman"/>
          <w:vanish/>
          <w:sz w:val="20"/>
          <w:szCs w:val="20"/>
        </w:rPr>
        <w:t>egmentMember 2019-01-01 2019-03-31 0000895728 enb:EliminationsAndReconcilingItemsMember enb:OtherRevenueMember 2019-01-01 2019-03-31 0000895728 us-gaap:OperatingSegmentsMember enb:ElectricityandTransmissionRevenueMember enb:EnergyServicesSegmentMember 2019</w:t>
      </w:r>
      <w:r>
        <w:rPr>
          <w:rFonts w:eastAsia="Times New Roman"/>
          <w:vanish/>
          <w:sz w:val="20"/>
          <w:szCs w:val="20"/>
        </w:rPr>
        <w:t>-01-01 2019-03-31 0000895728 us-gaap:OperatingSegmentsMember enb:GasGatheringandProcessingRevenueMember enb:EnergyServicesSegmentMember 2019-01-01 2019-03-31 0000895728 us-gaap:OperatingSegmentsMember enb:GasGatheringandProcessingRevenueMember enb:LiquidsP</w:t>
      </w:r>
      <w:r>
        <w:rPr>
          <w:rFonts w:eastAsia="Times New Roman"/>
          <w:vanish/>
          <w:sz w:val="20"/>
          <w:szCs w:val="20"/>
        </w:rPr>
        <w:t>ipelinesSegmentMember 2019-01-01 2019-03-31 0000895728 us-gaap:IntersegmentEliminationMember enb:GasDistributionandStorageSegmentMember 2019-01-01 2019-03-31 0000895728 us-gaap:OperatingSegmentsMember enb:ElectricityandTransmissionRevenueMember enb:GasDist</w:t>
      </w:r>
      <w:r>
        <w:rPr>
          <w:rFonts w:eastAsia="Times New Roman"/>
          <w:vanish/>
          <w:sz w:val="20"/>
          <w:szCs w:val="20"/>
        </w:rPr>
        <w:t>ributionandStorageSegmentMember 2019-01-01 2019-03-31 0000895728 us-gaap:IntersegmentEliminationMember enb:LiquidsPipelinesSegmentMember 2019-01-01 2019-03-31 0000895728 us-gaap:OperatingSegmentsMember enb:TransportationRevenueMember enb:GasTransmissionand</w:t>
      </w:r>
      <w:r>
        <w:rPr>
          <w:rFonts w:eastAsia="Times New Roman"/>
          <w:vanish/>
          <w:sz w:val="20"/>
          <w:szCs w:val="20"/>
        </w:rPr>
        <w:t>MidstreamSegmentMember 2019-01-01 2019-03-31 0000895728 us-gaap:OperatingSegmentsMember enb:GasDistributionandStorageSegmentMember 2019-01-01 2019-03-31 0000895728 enb:TransportationRevenueMember 2019-01-01 2019-03-31 0000895728 us-gaap:OperatingSegmentsMe</w:t>
      </w:r>
      <w:r>
        <w:rPr>
          <w:rFonts w:eastAsia="Times New Roman"/>
          <w:vanish/>
          <w:sz w:val="20"/>
          <w:szCs w:val="20"/>
        </w:rPr>
        <w:t>mber enb:CommoditySalesRevenueMember enb:EnergyServicesSegmentMember 2019-01-01 2019-03-31 0000895728 us-gaap:OperatingSegmentsMember enb:StorageandOtherRevenueMember enb:GasDistributionandStorageSegmentMember 2019-01-01 2019-03-31 0000895728 us-gaap:Opera</w:t>
      </w:r>
      <w:r>
        <w:rPr>
          <w:rFonts w:eastAsia="Times New Roman"/>
          <w:vanish/>
          <w:sz w:val="20"/>
          <w:szCs w:val="20"/>
        </w:rPr>
        <w:t>tingSegmentsMember enb:TransportationRevenueMember enb:EnergyServicesSegmentMember 2019-01-01 2019-03-31 0000895728 us-gaap:OperatingSegmentsMember enb:OtherRevenueMember enb:GasDistributionandStorageSegmentMember 2019-01-01 2019-03-31 0000895728 enb:Elimi</w:t>
      </w:r>
      <w:r>
        <w:rPr>
          <w:rFonts w:eastAsia="Times New Roman"/>
          <w:vanish/>
          <w:sz w:val="20"/>
          <w:szCs w:val="20"/>
        </w:rPr>
        <w:t>nationsAndReconcilingItemsMember enb:ElectricityandTransmissionRevenueMember 2019-01-01 2019-03-31 0000895728 us-gaap:OperatingSegmentsMember enb:OtherRevenueMember enb:GasTransmissionandMidstreamSegmentMember 2019-01-01 2019-03-31 0000895728 us-gaap:Opera</w:t>
      </w:r>
      <w:r>
        <w:rPr>
          <w:rFonts w:eastAsia="Times New Roman"/>
          <w:vanish/>
          <w:sz w:val="20"/>
          <w:szCs w:val="20"/>
        </w:rPr>
        <w:t>tingSegmentsMember enb:StorageandOtherRevenueMember enb:LiquidsPipelinesSegmentMember 2019-01-01 2019-03-31 0000895728 us-gaap:OperatingSegmentsMember enb:CommoditySalesRevenueMember enb:GasTransmissionandMidstreamSegmentMember 2019-01-01 2019-03-31 000089</w:t>
      </w:r>
      <w:r>
        <w:rPr>
          <w:rFonts w:eastAsia="Times New Roman"/>
          <w:vanish/>
          <w:sz w:val="20"/>
          <w:szCs w:val="20"/>
        </w:rPr>
        <w:t>5728 us-gaap:OperatingSegmentsMember enb:GasDistributionRevenueMember enb:RenewablePowerGenerationSegmentMember 2019-01-01 2019-03-31 0000895728 us-gaap:IntersegmentEliminationMember enb:EnergyServicesSegmentMember 2019-01-01 2019-03-31 0000895728 enb:Elec</w:t>
      </w:r>
      <w:r>
        <w:rPr>
          <w:rFonts w:eastAsia="Times New Roman"/>
          <w:vanish/>
          <w:sz w:val="20"/>
          <w:szCs w:val="20"/>
        </w:rPr>
        <w:t>tricityandTransmissionRevenueMember 2019-01-01 2019-03-31 0000895728 us-gaap:OperatingSegmentsMember enb:RenewablePowerGenerationSegmentMember 2019-01-01 2019-03-31 0000895728 enb:GasGatheringandProcessingRevenueMember 2019-01-01 2019-03-31 0000895728 us-g</w:t>
      </w:r>
      <w:r>
        <w:rPr>
          <w:rFonts w:eastAsia="Times New Roman"/>
          <w:vanish/>
          <w:sz w:val="20"/>
          <w:szCs w:val="20"/>
        </w:rPr>
        <w:t>aap:OperatingSegmentsMember enb:CommoditySalesRevenueMember enb:LiquidsPipelinesSegmentMember 2019-01-01 2019-03-31 0000895728 us-gaap:OperatingSegmentsMember enb:StorageandOtherRevenueMember enb:GasTransmissionandMidstreamSegmentMember 2019-01-01 2019-03-</w:t>
      </w:r>
      <w:r>
        <w:rPr>
          <w:rFonts w:eastAsia="Times New Roman"/>
          <w:vanish/>
          <w:sz w:val="20"/>
          <w:szCs w:val="20"/>
        </w:rPr>
        <w:t>31 0000895728 us-gaap:OperatingSegmentsMember enb:GasDistributionRevenueMember enb:GasTransmissionandMidstreamSegmentMember 2019-01-01 2019-03-31 0000895728 enb:EliminationsAndReconcilingItemsMember enb:GasDistributionRevenueMember 2019-01-01 2019-03-31 00</w:t>
      </w:r>
      <w:r>
        <w:rPr>
          <w:rFonts w:eastAsia="Times New Roman"/>
          <w:vanish/>
          <w:sz w:val="20"/>
          <w:szCs w:val="20"/>
        </w:rPr>
        <w:t>00895728 us-gaap:OperatingSegmentsMember enb:ElectricityandTransmissionRevenueMember enb:GasTransmissionandMidstreamSegmentMember 2019-01-01 2019-03-31 0000895728 us-gaap:OperatingSegmentsMember enb:GasDistributionRevenueMember enb:GasDistributionandStorag</w:t>
      </w:r>
      <w:r>
        <w:rPr>
          <w:rFonts w:eastAsia="Times New Roman"/>
          <w:vanish/>
          <w:sz w:val="20"/>
          <w:szCs w:val="20"/>
        </w:rPr>
        <w:t>eSegmentMember 2019-01-01 2019-03-31 0000895728 us-gaap:OperatingSegmentsMember enb:TransportationRevenueMember enb:GasDistributionandStorageSegmentMember 2019-01-01 2019-03-31 0000895728 us-gaap:OperatingSegmentsMember enb:OtherRevenueMember enb:LiquidsPi</w:t>
      </w:r>
      <w:r>
        <w:rPr>
          <w:rFonts w:eastAsia="Times New Roman"/>
          <w:vanish/>
          <w:sz w:val="20"/>
          <w:szCs w:val="20"/>
        </w:rPr>
        <w:t>pelinesSegmentMember 2019-01-01 2019-03-31 0000895728 enb:EliminationsAndReconcilingItemsMember enb:TransportationRevenueMember 2019-01-01 2019-03-31 0000895728 us-gaap:OperatingSegmentsMember enb:GasDistributionRevenueMember enb:LiquidsPipelinesSegmentMem</w:t>
      </w:r>
      <w:r>
        <w:rPr>
          <w:rFonts w:eastAsia="Times New Roman"/>
          <w:vanish/>
          <w:sz w:val="20"/>
          <w:szCs w:val="20"/>
        </w:rPr>
        <w:t>ber 2019-01-01 2019-03-31 0000895728 us-gaap:OperatingSegmentsMember enb:GasDistributionRevenueMember enb:EnergyServicesSegmentMember 2019-01-01 2019-03-31 0000895728 enb:EliminationsAndReconcilingItemsMember enb:CommoditySalesRevenueMember 2019-01-01 2019</w:t>
      </w:r>
      <w:r>
        <w:rPr>
          <w:rFonts w:eastAsia="Times New Roman"/>
          <w:vanish/>
          <w:sz w:val="20"/>
          <w:szCs w:val="20"/>
        </w:rPr>
        <w:t>-03-31 0000895728 us-gaap:OperatingSegmentsMember enb:TransportationRevenueMember enb:RenewablePowerGenerationSegmentMember 2019-01-01 2019-03-31 0000895728 us-gaap:OperatingSegmentsMember enb:CommoditySalesRevenueMember enb:GasDistributionandStorageSegmen</w:t>
      </w:r>
      <w:r>
        <w:rPr>
          <w:rFonts w:eastAsia="Times New Roman"/>
          <w:vanish/>
          <w:sz w:val="20"/>
          <w:szCs w:val="20"/>
        </w:rPr>
        <w:t>tMember 2019-01-01 2019-03-31 0000895728 us-gaap:OperatingSegmentsMember enb:CommoditySalesRevenueMember enb:RenewablePowerGenerationSegmentMember 2019-01-01 2019-03-31 0000895728 us-gaap:OperatingSegmentsMember enb:EnergyServicesConsolidateMember 2020-01-</w:t>
      </w:r>
      <w:r>
        <w:rPr>
          <w:rFonts w:eastAsia="Times New Roman"/>
          <w:vanish/>
          <w:sz w:val="20"/>
          <w:szCs w:val="20"/>
        </w:rPr>
        <w:t>01 2020-03-31 0000895728 us-gaap:OperatingSegmentsMember us-gaap:GasDistributionMember 2020-01-01 2020-03-31 0000895728 us-gaap:OperatingSegmentsMember enb:EnergyServicesConsolidateMember 2019-01-01 2019-03-31 0000895728 us-gaap:OperatingSegmentsMember us-</w:t>
      </w:r>
      <w:r>
        <w:rPr>
          <w:rFonts w:eastAsia="Times New Roman"/>
          <w:vanish/>
          <w:sz w:val="20"/>
          <w:szCs w:val="20"/>
        </w:rPr>
        <w:t>gaap:GasDistributionMember 2019-01-01 2019-03-31 0000895728 enb:Series11PreferredStockMember us-gaap:PreferredStockMember 2020-01-01 2020-03-31 0000895728 enb:Series5PreferredStockMember us-gaap:PreferredStockMember 2020-01-01 2020-03-31 0000895728 enb:Ser</w:t>
      </w:r>
      <w:r>
        <w:rPr>
          <w:rFonts w:eastAsia="Times New Roman"/>
          <w:vanish/>
          <w:sz w:val="20"/>
          <w:szCs w:val="20"/>
        </w:rPr>
        <w:t>iesJPreferredStockMember us-gaap:PreferredStockMember 2020-01-01 2020-03-31 0000895728 us-gaap:SeriesHPreferredStockMember us-gaap:PreferredStockMember 2020-01-01 2020-03-31 0000895728 enb:SeriesPPreferredStockMember us-gaap:PreferredStockMember 2020-01-01</w:t>
      </w:r>
      <w:r>
        <w:rPr>
          <w:rFonts w:eastAsia="Times New Roman"/>
          <w:vanish/>
          <w:sz w:val="20"/>
          <w:szCs w:val="20"/>
        </w:rPr>
        <w:t xml:space="preserve"> 2020-03-31 0000895728 us-gaap:SeriesFPreferredStockMember us-gaap:PreferredStockMember 2020-01-01 2020-03-31 0000895728 us-gaap:SeriesAPreferredStockMember us-gaap:PreferredStockMember 2020-01-01 2020-03-31 0000895728 enb:SeriesNPreferredStockMember us-ga</w:t>
      </w:r>
      <w:r>
        <w:rPr>
          <w:rFonts w:eastAsia="Times New Roman"/>
          <w:vanish/>
          <w:sz w:val="20"/>
          <w:szCs w:val="20"/>
        </w:rPr>
        <w:t>ap:PreferredStockMember 2020-01-01 2020-03-31 0000895728 enb:Series3PreferredStockMember us-gaap:PreferredStockMember 2020-01-01 2020-03-31 0000895728 us-gaap:SeriesCPreferredStockMember us-gaap:PreferredStockMember 2020-01-01 2020-03-31 0000895728 us-gaap</w:t>
      </w:r>
      <w:r>
        <w:rPr>
          <w:rFonts w:eastAsia="Times New Roman"/>
          <w:vanish/>
          <w:sz w:val="20"/>
          <w:szCs w:val="20"/>
        </w:rPr>
        <w:t>:SeriesDPreferredStockMember us-gaap:PreferredStockMember 2020-01-01 2020-03-31 0000895728 enb:Series7PreferredStockMember us-gaap:PreferredStockMember 2020-01-01 2020-03-31 0000895728 enb:Series1PreferredStockMember us-gaap:PreferredStockMember 2020-01-01</w:t>
      </w:r>
      <w:r>
        <w:rPr>
          <w:rFonts w:eastAsia="Times New Roman"/>
          <w:vanish/>
          <w:sz w:val="20"/>
          <w:szCs w:val="20"/>
        </w:rPr>
        <w:t xml:space="preserve"> 2020-03-31 0000895728 enb:Series9PreferredStockMember us-gaap:PreferredStockMember 2020-01-01 2020-03-31 0000895728 enb:SeriesRPreferredStockMember us-gaap:PreferredStockMember 2020-01-01 2020-03-31 0000895728 us-gaap:SeriesBPreferredStockMember us-gaap:P</w:t>
      </w:r>
      <w:r>
        <w:rPr>
          <w:rFonts w:eastAsia="Times New Roman"/>
          <w:vanish/>
          <w:sz w:val="20"/>
          <w:szCs w:val="20"/>
        </w:rPr>
        <w:t>referredStockMember 2020-01-01 2020-03-31 0000895728 enb:Series13PreferredStockMember us-gaap:PreferredStockMember 2020-01-01 2020-03-31 0000895728 enb:Series17PreferredStockMember us-gaap:PreferredStockMember 2020-01-01 2020-03-31 0000895728 enb:SeriesLPr</w:t>
      </w:r>
      <w:r>
        <w:rPr>
          <w:rFonts w:eastAsia="Times New Roman"/>
          <w:vanish/>
          <w:sz w:val="20"/>
          <w:szCs w:val="20"/>
        </w:rPr>
        <w:t>eferredStockMember us-gaap:PreferredStockMember 2020-01-01 2020-03-31 0000895728 enb:Series15PreferredStockMember us-gaap:PreferredStockMember 2020-01-01 2020-03-31 0000895728 enb:PreferenceSharesSeries19Member us-gaap:PreferredStockMember 2020-01-01 2020-</w:t>
      </w:r>
      <w:r>
        <w:rPr>
          <w:rFonts w:eastAsia="Times New Roman"/>
          <w:vanish/>
          <w:sz w:val="20"/>
          <w:szCs w:val="20"/>
        </w:rPr>
        <w:t>03-31 0000895728 us-gaap:EmployeeStockOptionMember 2019-01-01 2019-03-31 0000895728 us-gaap:EmployeeStockOptionMember 2020-01-01 2020-03-31 0000895728 2020-03-01 2020-03-01 0000895728 enb:Series11PreferredStockMember us-gaap:PreferredStockMember 2020-03-01</w:t>
      </w:r>
      <w:r>
        <w:rPr>
          <w:rFonts w:eastAsia="Times New Roman"/>
          <w:vanish/>
          <w:sz w:val="20"/>
          <w:szCs w:val="20"/>
        </w:rPr>
        <w:t xml:space="preserve"> 2020-03-01 0000895728 us-gaap:SeriesCPreferredStockMember us-gaap:PreferredStockMember 2020-03-01 2020-03-01 0000895728 2020-01-01 2020-02-29 0000895728 us-gaap:SeriesCPreferredStockMember us-gaap:PreferredStockMember 2020-01-01 2020-02-29 0000895728 enb:</w:t>
      </w:r>
      <w:r>
        <w:rPr>
          <w:rFonts w:eastAsia="Times New Roman"/>
          <w:vanish/>
          <w:sz w:val="20"/>
          <w:szCs w:val="20"/>
        </w:rPr>
        <w:t>Series11PreferredStockMember us-gaap:PreferredStockMember 2020-01-01 2020-02-29 0000895728 us-gaap:DisposalGroupHeldforsaleNotDiscontinuedOperationsMember enb:OzarkGasTransmissionandOzarkGasGatheringAssetsMember 2020-01-01 2020-03-31 0000895728 us-gaap:Dis</w:t>
      </w:r>
      <w:r>
        <w:rPr>
          <w:rFonts w:eastAsia="Times New Roman"/>
          <w:vanish/>
          <w:sz w:val="20"/>
          <w:szCs w:val="20"/>
        </w:rPr>
        <w:t>posalGroupHeldforsaleNotDiscontinuedOperationsMember 2020-03-31 0000895728 us-gaap:DisposalGroupHeldforsaleNotDiscontinuedOperationsMember 2019-12-31 0000895728 enb:FixedToFloatingSubordinatedTermNotesMember us-gaap:SubordinatedDebtMember 2019-12-31 000089</w:t>
      </w:r>
      <w:r>
        <w:rPr>
          <w:rFonts w:eastAsia="Times New Roman"/>
          <w:vanish/>
          <w:sz w:val="20"/>
          <w:szCs w:val="20"/>
        </w:rPr>
        <w:t>5728 enb:CommercialPaperAndCreditFacilityDrawsMember 2019-12-31 0000895728 enb:NonRevolvingBilateralCreditFacilityMember 2020-02-25 2020-02-25 0000895728 enb:UncommittedCreditFacilityMember 2019-12-31 0000895728 enb:CommercialPaperAndCreditFacilityDrawsMem</w:t>
      </w:r>
      <w:r>
        <w:rPr>
          <w:rFonts w:eastAsia="Times New Roman"/>
          <w:vanish/>
          <w:sz w:val="20"/>
          <w:szCs w:val="20"/>
        </w:rPr>
        <w:t>ber 2020-03-31 0000895728 enb:UncommittedCreditFacilityMember 2020-03-31 0000895728 enb:NonRevolvingBilateralCreditFacilityMember 2020-02-25 0000895728 us-gaap:RevolvingCreditFacilityMember 2020-03-31 2020-03-31 0000895728 enb:FixedToFloatingSubordinatedTe</w:t>
      </w:r>
      <w:r>
        <w:rPr>
          <w:rFonts w:eastAsia="Times New Roman"/>
          <w:vanish/>
          <w:sz w:val="20"/>
          <w:szCs w:val="20"/>
        </w:rPr>
        <w:t>rmNotesMember us-gaap:SubordinatedDebtMember 2020-03-31 0000895728 enb:NonrevolvingCreditFacilityMember 2020-02-24 0000895728 us-gaap:RevolvingCreditFacilityMember us-gaap:SubsequentEventMember 2020-04-09 0000895728 us-gaap:RevolvingCreditFacilityMember 20</w:t>
      </w:r>
      <w:r>
        <w:rPr>
          <w:rFonts w:eastAsia="Times New Roman"/>
          <w:vanish/>
          <w:sz w:val="20"/>
          <w:szCs w:val="20"/>
        </w:rPr>
        <w:t>20-03-31 0000895728 srt:ParentCompanyMember enb:A4.53MediumTermNotesMember 2020-03-01 2020-03-31 0000895728 enb:WestcoastEnergyIncMember enb:A9.90DebenturesMember 2020-01-01 2020-01-31 0000895728 srt:ParentCompanyMember enb:FloatingratenotesdueJanuary2020M</w:t>
      </w:r>
      <w:r>
        <w:rPr>
          <w:rFonts w:eastAsia="Times New Roman"/>
          <w:vanish/>
          <w:sz w:val="20"/>
          <w:szCs w:val="20"/>
        </w:rPr>
        <w:t xml:space="preserve">ember 2020-01-01 2020-01-31 0000895728 enb:SpectraEnergyPartnersLPMember enb:A6.09SeniorSecuredNotesMember 2020-01-01 2020-01-31 0000895728 enb:CommittedCreditFacilityMember 2020-03-31 0000895728 enb:EnbridgeGasInc.Member enb:CommittedCreditFacilityMember </w:t>
      </w:r>
      <w:r>
        <w:rPr>
          <w:rFonts w:eastAsia="Times New Roman"/>
          <w:vanish/>
          <w:sz w:val="20"/>
          <w:szCs w:val="20"/>
        </w:rPr>
        <w:t>2020-03-31 0000895728 enb:EnbridgePipelinesIncMember enb:CommittedCreditFacilityMember 2020-03-31 0000895728 srt:ParentCompanyMember enb:CommittedCreditFacilityMember 2020-03-31 0000895728 enb:EnbridgeUSIncMember enb:CommittedCreditFacilityMember 2020-03-3</w:t>
      </w:r>
      <w:r>
        <w:rPr>
          <w:rFonts w:eastAsia="Times New Roman"/>
          <w:vanish/>
          <w:sz w:val="20"/>
          <w:szCs w:val="20"/>
        </w:rPr>
        <w:t>1 0000895728 srt:ParentCompanyMember enb:FloatingRateNotesIssuedFebruary2020Member 2020-02-29 0000895728 enb:A30YearMediumTermNotesMember us-gaap:MediumTermNotesMember us-gaap:SubsequentEventMember 2020-04-01 0000895728 enb:NonrevolvingCreditFacilityMember</w:t>
      </w:r>
      <w:r>
        <w:rPr>
          <w:rFonts w:eastAsia="Times New Roman"/>
          <w:vanish/>
          <w:sz w:val="20"/>
          <w:szCs w:val="20"/>
        </w:rPr>
        <w:t xml:space="preserve"> 2020-02-24 2020-02-24 0000895728 enb:A10YearMediumTermNotesMember us-gaap:MediumTermNotesMember us-gaap:SubsequentEventMember 2020-04-01 0000895728 enb:A10YearMediumTermNotesMember us-gaap:MediumTermNotesMember us-gaap:SubsequentEventMember 2020-04-01 202</w:t>
      </w:r>
      <w:r>
        <w:rPr>
          <w:rFonts w:eastAsia="Times New Roman"/>
          <w:vanish/>
          <w:sz w:val="20"/>
          <w:szCs w:val="20"/>
        </w:rPr>
        <w:t xml:space="preserve">0-04-01 0000895728 enb:A30YearMediumTermNotesMember us-gaap:MediumTermNotesMember us-gaap:SubsequentEventMember 2020-04-01 2020-04-01 0000895728 srt:ParentCompanyMember enb:A4.53MediumTermNotesMember 2020-03-31 0000895728 enb:SpectraEnergyPartnersLPMember </w:t>
      </w:r>
      <w:r>
        <w:rPr>
          <w:rFonts w:eastAsia="Times New Roman"/>
          <w:vanish/>
          <w:sz w:val="20"/>
          <w:szCs w:val="20"/>
        </w:rPr>
        <w:t>enb:A6.09SeniorSecuredNotesMember 2020-01-31 0000895728 enb:WestcoastEnergyIncMember enb:A9.90DebenturesMember 2020-01-31 0000895728 enb:AccumulatedNetGainLossNetInvestmentHedgeIncludingNoncontollingInterestMemberMember 2020-01-01 2020-03-31 0000895728 us-</w:t>
      </w:r>
      <w:r>
        <w:rPr>
          <w:rFonts w:eastAsia="Times New Roman"/>
          <w:vanish/>
          <w:sz w:val="20"/>
          <w:szCs w:val="20"/>
        </w:rPr>
        <w:t>gaap:AociIncludingPortionAttributableToNoncontrollingInterestMember 2020-03-31 0000895728 us-gaap:AccumulatedDefinedBenefitPlansAdjustmentIncludingPortionAttributableToNoncontrollingInterestMember 2019-12-31 0000895728 us-gaap:AociIncludingPortionAttributa</w:t>
      </w:r>
      <w:r>
        <w:rPr>
          <w:rFonts w:eastAsia="Times New Roman"/>
          <w:vanish/>
          <w:sz w:val="20"/>
          <w:szCs w:val="20"/>
        </w:rPr>
        <w:t>bleToNoncontrollingInterestMember 2019-12-31 0000895728 us-gaap:AccumulatedNetInvestmentGainLossIncludingPortionAttributableToNoncontrollingInterestMember 2020-01-01 2020-03-31 0000895728 us-gaap:ForeignExchangeContractMember 2020-01-01 2020-03-31 00008957</w:t>
      </w:r>
      <w:r>
        <w:rPr>
          <w:rFonts w:eastAsia="Times New Roman"/>
          <w:vanish/>
          <w:sz w:val="20"/>
          <w:szCs w:val="20"/>
        </w:rPr>
        <w:t>28 us-gaap:AccumulatedGainLossCashFlowHedgeIncludingNoncontrollingInterestMember 2020-01-01 2020-03-31 0000895728 us-gaap:AccumulatedForeignCurrencyAdjustmentIncludingPortionAttributableToNoncontrollingInterestMember 2020-03-31 0000895728 us-gaap:Accumulat</w:t>
      </w:r>
      <w:r>
        <w:rPr>
          <w:rFonts w:eastAsia="Times New Roman"/>
          <w:vanish/>
          <w:sz w:val="20"/>
          <w:szCs w:val="20"/>
        </w:rPr>
        <w:t>edForeignCurrencyAdjustmentIncludingPortionAttributableToNoncontrollingInterestMember 2020-01-01 2020-03-31 0000895728 us-gaap:AccumulatedDefinedBenefitPlansAdjustmentIncludingPortionAttributableToNoncontrollingInterestMember 2020-01-01 2020-03-31 00008957</w:t>
      </w:r>
      <w:r>
        <w:rPr>
          <w:rFonts w:eastAsia="Times New Roman"/>
          <w:vanish/>
          <w:sz w:val="20"/>
          <w:szCs w:val="20"/>
        </w:rPr>
        <w:t>28 us-gaap:AccumulatedDefinedBenefitPlansAdjustmentIncludingPortionAttributableToNoncontrollingInterestMember 2020-03-31 0000895728 us-gaap:InterestRateContractMember 2020-01-01 2020-03-31 0000895728 us-gaap:AccumulatedOtherComprehensiveIncomeLossDerivativ</w:t>
      </w:r>
      <w:r>
        <w:rPr>
          <w:rFonts w:eastAsia="Times New Roman"/>
          <w:vanish/>
          <w:sz w:val="20"/>
          <w:szCs w:val="20"/>
        </w:rPr>
        <w:t>eQualifyingAsHedgeExcludedComponentIncludingPortionAttributableToNoncontrollingInterestMember 2020-01-01 2020-03-31 0000895728 us-gaap:AccumulatedNetInvestmentGainLossIncludingPortionAttributableToNoncontrollingInterestMember 2019-12-31 0000895728 us-gaap:</w:t>
      </w:r>
      <w:r>
        <w:rPr>
          <w:rFonts w:eastAsia="Times New Roman"/>
          <w:vanish/>
          <w:sz w:val="20"/>
          <w:szCs w:val="20"/>
        </w:rPr>
        <w:t>AccumulatedNetInvestmentGainLossIncludingPortionAttributableToNoncontrollingInterestMember 2020-03-31 0000895728 us-gaap:ForeignExchangeContractMember us-gaap:AccumulatedGainLossCashFlowHedgeIncludingNoncontrollingInterestMember 2020-01-01 2020-03-31 00008</w:t>
      </w:r>
      <w:r>
        <w:rPr>
          <w:rFonts w:eastAsia="Times New Roman"/>
          <w:vanish/>
          <w:sz w:val="20"/>
          <w:szCs w:val="20"/>
        </w:rPr>
        <w:t>95728 us-gaap:InterestRateContractMember us-gaap:AccumulatedGainLossCashFlowHedgeIncludingNoncontrollingInterestMember 2020-01-01 2020-03-31 0000895728 us-gaap:AccumulatedForeignCurrencyAdjustmentIncludingPortionAttributableToNoncontrollingInterestMember 2</w:t>
      </w:r>
      <w:r>
        <w:rPr>
          <w:rFonts w:eastAsia="Times New Roman"/>
          <w:vanish/>
          <w:sz w:val="20"/>
          <w:szCs w:val="20"/>
        </w:rPr>
        <w:t>019-12-31 0000895728 enb:AccumulatedNetGainLossNetInvestmentHedgeIncludingNoncontollingInterestMemberMember 2019-12-31 0000895728 us-gaap:AccumulatedGainLossCashFlowHedgeIncludingNoncontrollingInterestMember 2020-03-31 0000895728 us-gaap:AccumulatedOtherCo</w:t>
      </w:r>
      <w:r>
        <w:rPr>
          <w:rFonts w:eastAsia="Times New Roman"/>
          <w:vanish/>
          <w:sz w:val="20"/>
          <w:szCs w:val="20"/>
        </w:rPr>
        <w:t>mprehensiveIncomeLossDerivativeQualifyingAsHedgeExcludedComponentIncludingPortionAttributableToNoncontrollingInterestMember 2019-12-31 0000895728 enb:AccumulatedNetGainLossNetInvestmentHedgeIncludingNoncontollingInterestMemberMember 2020-03-31 0000895728 u</w:t>
      </w:r>
      <w:r>
        <w:rPr>
          <w:rFonts w:eastAsia="Times New Roman"/>
          <w:vanish/>
          <w:sz w:val="20"/>
          <w:szCs w:val="20"/>
        </w:rPr>
        <w:t>s-gaap:AccumulatedOtherComprehensiveIncomeLossDerivativeQualifyingAsHedgeExcludedComponentIncludingPortionAttributableToNoncontrollingInterestMember 2020-03-31 0000895728 us-gaap:AccumulatedGainLossCashFlowHedgeIncludingNoncontrollingInterestMember 2019-12</w:t>
      </w:r>
      <w:r>
        <w:rPr>
          <w:rFonts w:eastAsia="Times New Roman"/>
          <w:vanish/>
          <w:sz w:val="20"/>
          <w:szCs w:val="20"/>
        </w:rPr>
        <w:t>-31 0000895728 us-gaap:AccumulatedNetInvestmentGainLossIncludingPortionAttributableToNoncontrollingInterestMember 2019-01-01 2019-03-31 0000895728 us-gaap:OtherContractMember us-gaap:AccumulatedGainLossCashFlowHedgeIncludingNoncontrollingInterestMember 201</w:t>
      </w:r>
      <w:r>
        <w:rPr>
          <w:rFonts w:eastAsia="Times New Roman"/>
          <w:vanish/>
          <w:sz w:val="20"/>
          <w:szCs w:val="20"/>
        </w:rPr>
        <w:t>9-01-01 2019-03-31 0000895728 enb:AccumulatedNetGainLossNetInvestmentHedgeIncludingNoncontollingInterestMemberMember 2019-03-31 0000895728 enb:AccumulatedNetGainLossNetInvestmentHedgeIncludingNoncontollingInterestMemberMember 2019-01-01 2019-03-31 00008957</w:t>
      </w:r>
      <w:r>
        <w:rPr>
          <w:rFonts w:eastAsia="Times New Roman"/>
          <w:vanish/>
          <w:sz w:val="20"/>
          <w:szCs w:val="20"/>
        </w:rPr>
        <w:t>28 us-gaap:AccumulatedGainLossCashFlowHedgeIncludingNoncontrollingInterestMember 2019-01-01 2019-03-31 0000895728 us-gaap:AccumulatedDefinedBenefitPlansAdjustmentIncludingPortionAttributableToNoncontrollingInterestMember 2018-12-31 0000895728 us-gaap:Forei</w:t>
      </w:r>
      <w:r>
        <w:rPr>
          <w:rFonts w:eastAsia="Times New Roman"/>
          <w:vanish/>
          <w:sz w:val="20"/>
          <w:szCs w:val="20"/>
        </w:rPr>
        <w:t>gnExchangeContractMember us-gaap:AccumulatedGainLossCashFlowHedgeIncludingNoncontrollingInterestMember 2019-01-01 2019-03-31 0000895728 us-gaap:AccumulatedGainLossCashFlowHedgeIncludingNoncontrollingInterestMember 2019-03-31 0000895728 enb:AccumulatedNetGa</w:t>
      </w:r>
      <w:r>
        <w:rPr>
          <w:rFonts w:eastAsia="Times New Roman"/>
          <w:vanish/>
          <w:sz w:val="20"/>
          <w:szCs w:val="20"/>
        </w:rPr>
        <w:t>inLossNetInvestmentHedgeIncludingNoncontollingInterestMemberMember 2018-12-31 0000895728 us-gaap:AccumulatedForeignCurrencyAdjustmentIncludingPortionAttributableToNoncontrollingInterestMember 2019-01-01 2019-03-31 0000895728 us-gaap:OtherContractMember 201</w:t>
      </w:r>
      <w:r>
        <w:rPr>
          <w:rFonts w:eastAsia="Times New Roman"/>
          <w:vanish/>
          <w:sz w:val="20"/>
          <w:szCs w:val="20"/>
        </w:rPr>
        <w:t>9-01-01 2019-03-31 0000895728 us-gaap:AccumulatedDefinedBenefitPlansAdjustmentIncludingPortionAttributableToNoncontrollingInterestMember 2019-01-01 2019-03-31 0000895728 us-gaap:AccumulatedForeignCurrencyAdjustmentIncludingPortionAttributableToNoncontrolli</w:t>
      </w:r>
      <w:r>
        <w:rPr>
          <w:rFonts w:eastAsia="Times New Roman"/>
          <w:vanish/>
          <w:sz w:val="20"/>
          <w:szCs w:val="20"/>
        </w:rPr>
        <w:t>ngInterestMember 2019-03-31 0000895728 us-gaap:AociIncludingPortionAttributableToNoncontrollingInterestMember 2018-12-31 0000895728 us-gaap:AccumulatedNetInvestmentGainLossIncludingPortionAttributableToNoncontrollingInterestMember 2019-03-31 0000895728 us-</w:t>
      </w:r>
      <w:r>
        <w:rPr>
          <w:rFonts w:eastAsia="Times New Roman"/>
          <w:vanish/>
          <w:sz w:val="20"/>
          <w:szCs w:val="20"/>
        </w:rPr>
        <w:t>gaap:ForeignExchangeContractMember 2019-01-01 2019-03-31 0000895728 us-gaap:AccumulatedGainLossCashFlowHedgeIncludingNoncontrollingInterestMember 2018-12-31 0000895728 us-gaap:AccumulatedDefinedBenefitPlansAdjustmentIncludingPortionAttributableToNoncontrol</w:t>
      </w:r>
      <w:r>
        <w:rPr>
          <w:rFonts w:eastAsia="Times New Roman"/>
          <w:vanish/>
          <w:sz w:val="20"/>
          <w:szCs w:val="20"/>
        </w:rPr>
        <w:t>lingInterestMember 2019-03-31 0000895728 us-gaap:InterestRateContractMember us-gaap:AccumulatedGainLossCashFlowHedgeIncludingNoncontrollingInterestMember 2019-01-01 2019-03-31 0000895728 us-gaap:AociIncludingPortionAttributableToNoncontrollingInterestMembe</w:t>
      </w:r>
      <w:r>
        <w:rPr>
          <w:rFonts w:eastAsia="Times New Roman"/>
          <w:vanish/>
          <w:sz w:val="20"/>
          <w:szCs w:val="20"/>
        </w:rPr>
        <w:t>r 2019-03-31 0000895728 us-gaap:AccumulatedNetInvestmentGainLossIncludingPortionAttributableToNoncontrollingInterestMember 2018-12-31 0000895728 us-gaap:AccumulatedForeignCurrencyAdjustmentIncludingPortionAttributableToNoncontrollingInterestMember 2018-12-</w:t>
      </w:r>
      <w:r>
        <w:rPr>
          <w:rFonts w:eastAsia="Times New Roman"/>
          <w:vanish/>
          <w:sz w:val="20"/>
          <w:szCs w:val="20"/>
        </w:rPr>
        <w:t>31 0000895728 us-gaap:InterestRateContractMember 2019-01-01 2019-03-31 0000895728 enb:DCPMidstreamLLCMember 2020-01-01 2020-03-31 0000895728 enb:DCPMidstreamLLCMember 2020-03-31 0000895728 enb:DCPMidstreamLLCMember 2019-12-31 0000895728 us-gaap:DerivativeM</w:t>
      </w:r>
      <w:r>
        <w:rPr>
          <w:rFonts w:eastAsia="Times New Roman"/>
          <w:vanish/>
          <w:sz w:val="20"/>
          <w:szCs w:val="20"/>
        </w:rPr>
        <w:t xml:space="preserve">ember 2019-01-01 2019-12-31 0000895728 enb:OtherCounterpartiesMember us-gaap:DerivativeMember 2020-01-01 2020-03-31 0000895728 enb:AsianFinancialInstitutionsMember us-gaap:DerivativeMember 2019-01-01 2019-12-31 0000895728 enb:USFinancialInstitutionsMember </w:t>
      </w:r>
      <w:r>
        <w:rPr>
          <w:rFonts w:eastAsia="Times New Roman"/>
          <w:vanish/>
          <w:sz w:val="20"/>
          <w:szCs w:val="20"/>
        </w:rPr>
        <w:t>us-gaap:DerivativeMember 2020-01-01 2020-03-31 0000895728 enb:EuropeanFinancialInstitutionsMember us-gaap:DerivativeMember 2020-01-01 2020-03-31 0000895728 enb:CanadianFinancialInstitutionsMember us-gaap:DerivativeMember 2020-01-01 2020-03-31 0000895728 en</w:t>
      </w:r>
      <w:r>
        <w:rPr>
          <w:rFonts w:eastAsia="Times New Roman"/>
          <w:vanish/>
          <w:sz w:val="20"/>
          <w:szCs w:val="20"/>
        </w:rPr>
        <w:t>b:OtherCounterpartiesMember us-gaap:DerivativeMember 2019-01-01 2019-12-31 0000895728 enb:AsianFinancialInstitutionsMember us-gaap:DerivativeMember 2020-01-01 2020-03-31 0000895728 enb:EuropeanFinancialInstitutionsMember us-gaap:DerivativeMember 2019-01-01</w:t>
      </w:r>
      <w:r>
        <w:rPr>
          <w:rFonts w:eastAsia="Times New Roman"/>
          <w:vanish/>
          <w:sz w:val="20"/>
          <w:szCs w:val="20"/>
        </w:rPr>
        <w:t xml:space="preserve"> 2019-12-31 0000895728 enb:CanadianFinancialInstitutionsMember us-gaap:DerivativeMember 2019-01-01 2019-12-31 0000895728 us-gaap:DerivativeMember 2020-01-01 2020-03-31 0000895728 enb:USFinancialInstitutionsMember us-gaap:DerivativeMember 2019-01-01 2019-12</w:t>
      </w:r>
      <w:r>
        <w:rPr>
          <w:rFonts w:eastAsia="Times New Roman"/>
          <w:vanish/>
          <w:sz w:val="20"/>
          <w:szCs w:val="20"/>
        </w:rPr>
        <w:t>-31 0000895728 us-gaap:CommodityContractMember us-gaap:NondesignatedMember 2020-01-01 2020-03-31 0000895728 us-gaap:InterestRateContractMember us-gaap:NondesignatedMember 2019-01-01 2019-03-31 0000895728 us-gaap:OtherContractMember us-gaap:NondesignatedMem</w:t>
      </w:r>
      <w:r>
        <w:rPr>
          <w:rFonts w:eastAsia="Times New Roman"/>
          <w:vanish/>
          <w:sz w:val="20"/>
          <w:szCs w:val="20"/>
        </w:rPr>
        <w:t>ber 2020-01-01 2020-03-31 0000895728 us-gaap:InterestRateContractMember us-gaap:NondesignatedMember 2020-01-01 2020-03-31 0000895728 us-gaap:OtherContractMember us-gaap:NondesignatedMember 2019-01-01 2019-03-31 0000895728 us-gaap:NondesignatedMember 2019-0</w:t>
      </w:r>
      <w:r>
        <w:rPr>
          <w:rFonts w:eastAsia="Times New Roman"/>
          <w:vanish/>
          <w:sz w:val="20"/>
          <w:szCs w:val="20"/>
        </w:rPr>
        <w:t>1-01 2019-03-31 0000895728 us-gaap:ForeignExchangeContractMember us-gaap:NondesignatedMember 2020-01-01 2020-03-31 0000895728 us-gaap:CommodityContractMember us-gaap:NondesignatedMember 2019-01-01 2019-03-31 0000895728 us-gaap:NondesignatedMember 2020-01-0</w:t>
      </w:r>
      <w:r>
        <w:rPr>
          <w:rFonts w:eastAsia="Times New Roman"/>
          <w:vanish/>
          <w:sz w:val="20"/>
          <w:szCs w:val="20"/>
        </w:rPr>
        <w:t xml:space="preserve">1 2020-03-31 0000895728 us-gaap:ForeignExchangeContractMember us-gaap:NondesignatedMember 2019-01-01 2019-03-31 0000895728 currency:EUR enb:ForeignExchangeForwardSellContractMember 2020-03-31 0000895728 enb:InterestRateContractForShortTermBorrowingsMember </w:t>
      </w:r>
      <w:r>
        <w:rPr>
          <w:rFonts w:eastAsia="Times New Roman"/>
          <w:vanish/>
          <w:sz w:val="20"/>
          <w:szCs w:val="20"/>
        </w:rPr>
        <w:t>2020-03-31 0000895728 currency:USD enb:ForeignExchangeForwardPurchaseContractMember 2020-03-31 0000895728 currency:GBP enb:ForeignExchangeForwardSellContractMember 2020-03-31 0000895728 currency:USD enb:ForeignExchangeForwardSellContractMember 2020-03-31 0</w:t>
      </w:r>
      <w:r>
        <w:rPr>
          <w:rFonts w:eastAsia="Times New Roman"/>
          <w:vanish/>
          <w:sz w:val="20"/>
          <w:szCs w:val="20"/>
        </w:rPr>
        <w:t>000895728 currency:JPY enb:ForeignExchangeForwardPurchaseContractMember 2020-03-31 0000895728 us-gaap:EquityContractMember 2020-03-31 0000895728 enb:PowerMember us-gaap:CommodityContractMember us-gaap:ShortMember 2020-03-31 0000895728 enb:InterestRateContr</w:t>
      </w:r>
      <w:r>
        <w:rPr>
          <w:rFonts w:eastAsia="Times New Roman"/>
          <w:vanish/>
          <w:sz w:val="20"/>
          <w:szCs w:val="20"/>
        </w:rPr>
        <w:t>actForLongTermBorrowingsPayFixedRateMember 2020-03-31 0000895728 srt:CrudeOilMember us-gaap:CommodityContractMember 2020-03-31 0000895728 srt:NaturalGasReservesMember us-gaap:CommodityContractMember 2020-03-31 0000895728 enb:PowerMember us-gaap:CommodityCo</w:t>
      </w:r>
      <w:r>
        <w:rPr>
          <w:rFonts w:eastAsia="Times New Roman"/>
          <w:vanish/>
          <w:sz w:val="20"/>
          <w:szCs w:val="20"/>
        </w:rPr>
        <w:t>ntractMember us-gaap:LongMember 2020-03-31 0000895728 srt:CrudeOilMember srt:MinimumMember enb:PhysicalForwardCommodityContractMember us-gaap:FairValueInputsLevel3Member us-gaap:MarketApproachValuationTechniqueMember 2020-03-31 0000895728 us-gaap:FairValue</w:t>
      </w:r>
      <w:r>
        <w:rPr>
          <w:rFonts w:eastAsia="Times New Roman"/>
          <w:vanish/>
          <w:sz w:val="20"/>
          <w:szCs w:val="20"/>
        </w:rPr>
        <w:t>InputsLevel3Member us-gaap:FairValueMeasurementsRecurringMember 2020-03-31 0000895728 enb:PowerMember srt:MaximumMember enb:FinancialForwardCommodityContractMember us-gaap:FairValueInputsLevel3Member us-gaap:MarketApproachValuationTechniqueMember 2020-03-3</w:t>
      </w:r>
      <w:r>
        <w:rPr>
          <w:rFonts w:eastAsia="Times New Roman"/>
          <w:vanish/>
          <w:sz w:val="20"/>
          <w:szCs w:val="20"/>
        </w:rPr>
        <w:t>1 0000895728 enb:PowerMember srt:MinimumMember enb:FinancialForwardCommodityContractMember us-gaap:FairValueInputsLevel3Member us-gaap:MarketApproachValuationTechniqueMember 2020-03-31 0000895728 srt:NaturalGasReservesMember srt:WeightedAverageMember enb:F</w:t>
      </w:r>
      <w:r>
        <w:rPr>
          <w:rFonts w:eastAsia="Times New Roman"/>
          <w:vanish/>
          <w:sz w:val="20"/>
          <w:szCs w:val="20"/>
        </w:rPr>
        <w:t>inancialForwardCommodityContractMember us-gaap:FairValueInputsLevel3Member us-gaap:MarketApproachValuationTechniqueMember 2020-03-31 0000895728 srt:NaturalGasLiquidsReservesMember srt:WeightedAverageMember enb:PhysicalForwardCommodityContractMember us-gaap</w:t>
      </w:r>
      <w:r>
        <w:rPr>
          <w:rFonts w:eastAsia="Times New Roman"/>
          <w:vanish/>
          <w:sz w:val="20"/>
          <w:szCs w:val="20"/>
        </w:rPr>
        <w:t>:FairValueInputsLevel3Member us-gaap:MarketApproachValuationTechniqueMember 2020-03-31 0000895728 srt:NaturalGasReservesMember srt:WeightedAverageMember enb:PhysicalForwardCommodityContractMember us-gaap:FairValueInputsLevel3Member us-gaap:MarketApproachVa</w:t>
      </w:r>
      <w:r>
        <w:rPr>
          <w:rFonts w:eastAsia="Times New Roman"/>
          <w:vanish/>
          <w:sz w:val="20"/>
          <w:szCs w:val="20"/>
        </w:rPr>
        <w:t>luationTechniqueMember 2020-03-31 0000895728 srt:CrudeOilMember enb:FinancialForwardCommodityContractMember us-gaap:FairValueInputsLevel3Member us-gaap:FairValueMeasurementsRecurringMember us-gaap:MarketApproachValuationTechniqueMember 2020-03-31 000089572</w:t>
      </w:r>
      <w:r>
        <w:rPr>
          <w:rFonts w:eastAsia="Times New Roman"/>
          <w:vanish/>
          <w:sz w:val="20"/>
          <w:szCs w:val="20"/>
        </w:rPr>
        <w:t>8 srt:NaturalGasReservesMember srt:MaximumMember enb:PhysicalForwardCommodityContractMember us-gaap:FairValueInputsLevel3Member us-gaap:MarketApproachValuationTechniqueMember 2020-03-31 0000895728 srt:NaturalGasReservesMember enb:FinancialForwardCommodityC</w:t>
      </w:r>
      <w:r>
        <w:rPr>
          <w:rFonts w:eastAsia="Times New Roman"/>
          <w:vanish/>
          <w:sz w:val="20"/>
          <w:szCs w:val="20"/>
        </w:rPr>
        <w:t>ontractMember us-gaap:FairValueInputsLevel3Member us-gaap:FairValueMeasurementsRecurringMember us-gaap:MarketApproachValuationTechniqueMember 2020-03-31 0000895728 srt:NaturalGasReservesMember srt:MaximumMember enb:FinancialForwardCommodityContractMember u</w:t>
      </w:r>
      <w:r>
        <w:rPr>
          <w:rFonts w:eastAsia="Times New Roman"/>
          <w:vanish/>
          <w:sz w:val="20"/>
          <w:szCs w:val="20"/>
        </w:rPr>
        <w:t>s-gaap:FairValueInputsLevel3Member us-gaap:MarketApproachValuationTechniqueMember 2020-03-31 0000895728 srt:NaturalGasReservesMember enb:PhysicalForwardCommodityContractMember us-gaap:FairValueInputsLevel3Member us-gaap:FairValueMeasurementsRecurringMember</w:t>
      </w:r>
      <w:r>
        <w:rPr>
          <w:rFonts w:eastAsia="Times New Roman"/>
          <w:vanish/>
          <w:sz w:val="20"/>
          <w:szCs w:val="20"/>
        </w:rPr>
        <w:t xml:space="preserve"> us-gaap:MarketApproachValuationTechniqueMember 2020-03-31 0000895728 enb:PowerMember srt:WeightedAverageMember enb:FinancialForwardCommodityContractMember us-gaap:FairValueInputsLevel3Member us-gaap:MarketApproachValuationTechniqueMember 2020-03-31 000089</w:t>
      </w:r>
      <w:r>
        <w:rPr>
          <w:rFonts w:eastAsia="Times New Roman"/>
          <w:vanish/>
          <w:sz w:val="20"/>
          <w:szCs w:val="20"/>
        </w:rPr>
        <w:t>5728 srt:NaturalGasLiquidsReservesMember srt:MinimumMember enb:PhysicalForwardCommodityContractMember us-gaap:FairValueInputsLevel3Member us-gaap:MarketApproachValuationTechniqueMember 2020-03-31 0000895728 srt:NaturalGasLiquidsReservesMember srt:MaximumMe</w:t>
      </w:r>
      <w:r>
        <w:rPr>
          <w:rFonts w:eastAsia="Times New Roman"/>
          <w:vanish/>
          <w:sz w:val="20"/>
          <w:szCs w:val="20"/>
        </w:rPr>
        <w:t>mber enb:PhysicalForwardCommodityContractMember us-gaap:FairValueInputsLevel3Member us-gaap:MarketApproachValuationTechniqueMember 2020-03-31 0000895728 srt:CrudeOilMember srt:MaximumMember enb:FinancialForwardCommodityContractMember us-gaap:FairValueInput</w:t>
      </w:r>
      <w:r>
        <w:rPr>
          <w:rFonts w:eastAsia="Times New Roman"/>
          <w:vanish/>
          <w:sz w:val="20"/>
          <w:szCs w:val="20"/>
        </w:rPr>
        <w:t>sLevel3Member us-gaap:MarketApproachValuationTechniqueMember 2020-03-31 0000895728 srt:CrudeOilMember srt:WeightedAverageMember enb:PhysicalForwardCommodityContractMember us-gaap:FairValueInputsLevel3Member us-gaap:MarketApproachValuationTechniqueMember 20</w:t>
      </w:r>
      <w:r>
        <w:rPr>
          <w:rFonts w:eastAsia="Times New Roman"/>
          <w:vanish/>
          <w:sz w:val="20"/>
          <w:szCs w:val="20"/>
        </w:rPr>
        <w:t>20-03-31 0000895728 srt:CrudeOilMember srt:MaximumMember enb:PhysicalForwardCommodityContractMember us-gaap:FairValueInputsLevel3Member us-gaap:MarketApproachValuationTechniqueMember 2020-03-31 0000895728 srt:NaturalGasReservesMember srt:MinimumMember enb:</w:t>
      </w:r>
      <w:r>
        <w:rPr>
          <w:rFonts w:eastAsia="Times New Roman"/>
          <w:vanish/>
          <w:sz w:val="20"/>
          <w:szCs w:val="20"/>
        </w:rPr>
        <w:t>FinancialForwardCommodityContractMember us-gaap:FairValueInputsLevel3Member us-gaap:MarketApproachValuationTechniqueMember 2020-03-31 0000895728 enb:PowerMember enb:FinancialForwardCommodityContractMember us-gaap:FairValueInputsLevel3Member us-gaap:FairVal</w:t>
      </w:r>
      <w:r>
        <w:rPr>
          <w:rFonts w:eastAsia="Times New Roman"/>
          <w:vanish/>
          <w:sz w:val="20"/>
          <w:szCs w:val="20"/>
        </w:rPr>
        <w:t>ueMeasurementsRecurringMember us-gaap:MarketApproachValuationTechniqueMember 2020-03-31 0000895728 srt:NaturalGasReservesMember srt:MinimumMember enb:PhysicalForwardCommodityContractMember us-gaap:FairValueInputsLevel3Member us-gaap:MarketApproachValuation</w:t>
      </w:r>
      <w:r>
        <w:rPr>
          <w:rFonts w:eastAsia="Times New Roman"/>
          <w:vanish/>
          <w:sz w:val="20"/>
          <w:szCs w:val="20"/>
        </w:rPr>
        <w:t>TechniqueMember 2020-03-31 0000895728 srt:CrudeOilMember srt:MinimumMember enb:FinancialForwardCommodityContractMember us-gaap:FairValueInputsLevel3Member us-gaap:MarketApproachValuationTechniqueMember 2020-03-31 0000895728 srt:CrudeOilMember srt:WeightedA</w:t>
      </w:r>
      <w:r>
        <w:rPr>
          <w:rFonts w:eastAsia="Times New Roman"/>
          <w:vanish/>
          <w:sz w:val="20"/>
          <w:szCs w:val="20"/>
        </w:rPr>
        <w:t>verageMember enb:FinancialForwardCommodityContractMember us-gaap:FairValueInputsLevel3Member us-gaap:MarketApproachValuationTechniqueMember 2020-03-31 0000895728 srt:CrudeOilMember enb:PhysicalForwardCommodityContractMember us-gaap:FairValueInputsLevel3Mem</w:t>
      </w:r>
      <w:r>
        <w:rPr>
          <w:rFonts w:eastAsia="Times New Roman"/>
          <w:vanish/>
          <w:sz w:val="20"/>
          <w:szCs w:val="20"/>
        </w:rPr>
        <w:t>ber us-gaap:FairValueMeasurementsRecurringMember us-gaap:MarketApproachValuationTechniqueMember 2020-03-31 0000895728 srt:NaturalGasLiquidsReservesMember enb:PhysicalForwardCommodityContractMember us-gaap:FairValueInputsLevel3Member us-gaap:FairValueMeasur</w:t>
      </w:r>
      <w:r>
        <w:rPr>
          <w:rFonts w:eastAsia="Times New Roman"/>
          <w:vanish/>
          <w:sz w:val="20"/>
          <w:szCs w:val="20"/>
        </w:rPr>
        <w:t>ementsRecurringMember us-gaap:MarketApproachValuationTechniqueMember 2020-03-31 0000895728 us-gaap:FairValueInputsLevel1Member us-gaap:FairValueMeasurementsRecurringMember 2019-12-31 0000895728 us-gaap:ForeignExchangeContractMember us-gaap:FairValueInputsL</w:t>
      </w:r>
      <w:r>
        <w:rPr>
          <w:rFonts w:eastAsia="Times New Roman"/>
          <w:vanish/>
          <w:sz w:val="20"/>
          <w:szCs w:val="20"/>
        </w:rPr>
        <w:t>evel1Member us-gaap:FairValueMeasurementsRecurringMember 2019-12-31 0000895728 us-gaap:InterestRateContractMember us-gaap:FairValueInputsLevel2Member us-gaap:FairValueMeasurementsRecurringMember 2019-12-31 0000895728 us-gaap:CommodityContractMember us-gaap</w:t>
      </w:r>
      <w:r>
        <w:rPr>
          <w:rFonts w:eastAsia="Times New Roman"/>
          <w:vanish/>
          <w:sz w:val="20"/>
          <w:szCs w:val="20"/>
        </w:rPr>
        <w:t>:FairValueMeasurementsRecurringMember 2019-12-31 0000895728 us-gaap:CommodityContractMember us-gaap:FairValueInputsLevel2Member us-gaap:FairValueMeasurementsRecurringMember 2019-12-31 0000895728 us-gaap:CommodityContractMember us-gaap:FairValueInputsLevel3</w:t>
      </w:r>
      <w:r>
        <w:rPr>
          <w:rFonts w:eastAsia="Times New Roman"/>
          <w:vanish/>
          <w:sz w:val="20"/>
          <w:szCs w:val="20"/>
        </w:rPr>
        <w:t>Member us-gaap:FairValueMeasurementsRecurringMember 2019-12-31 0000895728 us-gaap:ForeignExchangeContractMember us-gaap:FairValueInputsLevel2Member us-gaap:FairValueMeasurementsRecurringMember 2019-12-31 0000895728 us-gaap:OtherContractMember us-gaap:FairV</w:t>
      </w:r>
      <w:r>
        <w:rPr>
          <w:rFonts w:eastAsia="Times New Roman"/>
          <w:vanish/>
          <w:sz w:val="20"/>
          <w:szCs w:val="20"/>
        </w:rPr>
        <w:t>alueMeasurementsRecurringMember 2019-12-31 0000895728 us-gaap:ForeignExchangeContractMember us-gaap:FairValueInputsLevel3Member us-gaap:FairValueMeasurementsRecurringMember 2019-12-31 0000895728 us-gaap:InterestRateContractMember us-gaap:FairValueInputsLev</w:t>
      </w:r>
      <w:r>
        <w:rPr>
          <w:rFonts w:eastAsia="Times New Roman"/>
          <w:vanish/>
          <w:sz w:val="20"/>
          <w:szCs w:val="20"/>
        </w:rPr>
        <w:t>el3Member us-gaap:FairValueMeasurementsRecurringMember 2019-12-31 0000895728 us-gaap:InterestRateContractMember us-gaap:FairValueInputsLevel1Member us-gaap:FairValueMeasurementsRecurringMember 2019-12-31 0000895728 us-gaap:OtherContractMember us-gaap:FairV</w:t>
      </w:r>
      <w:r>
        <w:rPr>
          <w:rFonts w:eastAsia="Times New Roman"/>
          <w:vanish/>
          <w:sz w:val="20"/>
          <w:szCs w:val="20"/>
        </w:rPr>
        <w:t>alueInputsLevel2Member us-gaap:FairValueMeasurementsRecurringMember 2019-12-31 0000895728 us-gaap:InterestRateContractMember us-gaap:FairValueMeasurementsRecurringMember 2019-12-31 0000895728 us-gaap:FairValueInputsLevel2Member us-gaap:FairValueMeasurement</w:t>
      </w:r>
      <w:r>
        <w:rPr>
          <w:rFonts w:eastAsia="Times New Roman"/>
          <w:vanish/>
          <w:sz w:val="20"/>
          <w:szCs w:val="20"/>
        </w:rPr>
        <w:t>sRecurringMember 2019-12-31 0000895728 us-gaap:OtherContractMember us-gaap:FairValueInputsLevel3Member us-gaap:FairValueMeasurementsRecurringMember 2019-12-31 0000895728 us-gaap:FairValueInputsLevel3Member us-gaap:FairValueMeasurementsRecurringMember 2019-</w:t>
      </w:r>
      <w:r>
        <w:rPr>
          <w:rFonts w:eastAsia="Times New Roman"/>
          <w:vanish/>
          <w:sz w:val="20"/>
          <w:szCs w:val="20"/>
        </w:rPr>
        <w:t>12-31 0000895728 us-gaap:CommodityContractMember us-gaap:FairValueInputsLevel1Member us-gaap:FairValueMeasurementsRecurringMember 2019-12-31 0000895728 us-gaap:ForeignExchangeContractMember us-gaap:FairValueMeasurementsRecurringMember 2019-12-31 0000895728</w:t>
      </w:r>
      <w:r>
        <w:rPr>
          <w:rFonts w:eastAsia="Times New Roman"/>
          <w:vanish/>
          <w:sz w:val="20"/>
          <w:szCs w:val="20"/>
        </w:rPr>
        <w:t xml:space="preserve"> us-gaap:OtherContractMember us-gaap:FairValueInputsLevel1Member us-gaap:FairValueMeasurementsRecurringMember 2019-12-31 0000895728 us-gaap:FairValueMeasurementsRecurringMember 2019-12-31 0000895728 enb:AccountsReceivableAndOtherMember us-gaap:OtherContrac</w:t>
      </w:r>
      <w:r>
        <w:rPr>
          <w:rFonts w:eastAsia="Times New Roman"/>
          <w:vanish/>
          <w:sz w:val="20"/>
          <w:szCs w:val="20"/>
        </w:rPr>
        <w:t>tMember 2019-12-31 0000895728 enb:AccountsReceivableAndOtherMember us-gaap:ForeignExchangeContractMember us-gaap:CashFlowHedgingMember us-gaap:DesignatedAsHedgingInstrumentMember 2019-12-31 0000895728 enb:AccountsPayableAndOtherMember us-gaap:InterestRateC</w:t>
      </w:r>
      <w:r>
        <w:rPr>
          <w:rFonts w:eastAsia="Times New Roman"/>
          <w:vanish/>
          <w:sz w:val="20"/>
          <w:szCs w:val="20"/>
        </w:rPr>
        <w:t>ontractMember us-gaap:NondesignatedMember 2019-12-31 0000895728 us-gaap:OtherLiabilitiesMember us-gaap:ForeignExchangeContractMember 2019-12-31 0000895728 us-gaap:OtherLiabilitiesMember us-gaap:InterestRateContractMember 2019-12-31 0000895728 enb:AccountsR</w:t>
      </w:r>
      <w:r>
        <w:rPr>
          <w:rFonts w:eastAsia="Times New Roman"/>
          <w:vanish/>
          <w:sz w:val="20"/>
          <w:szCs w:val="20"/>
        </w:rPr>
        <w:t>eceivableAndOtherMember 2019-12-31 0000895728 us-gaap:CommodityContractMember 2019-12-31 0000895728 enb:DeferredAmountsAndOtherMember us-gaap:CommodityContractMember us-gaap:CashFlowHedgingMember us-gaap:DesignatedAsHedgingInstrumentMember 2019-12-31 00008</w:t>
      </w:r>
      <w:r>
        <w:rPr>
          <w:rFonts w:eastAsia="Times New Roman"/>
          <w:vanish/>
          <w:sz w:val="20"/>
          <w:szCs w:val="20"/>
        </w:rPr>
        <w:t>95728 enb:AccountsPayableAndOtherMember us-gaap:NondesignatedMember 2019-12-31 0000895728 enb:AccountsPayableAndOtherMember us-gaap:CommodityContractMember 2019-12-31 0000895728 enb:DeferredAmountsAndOtherMember us-gaap:OtherContractMember 2019-12-31 00008</w:t>
      </w:r>
      <w:r>
        <w:rPr>
          <w:rFonts w:eastAsia="Times New Roman"/>
          <w:vanish/>
          <w:sz w:val="20"/>
          <w:szCs w:val="20"/>
        </w:rPr>
        <w:t>95728 enb:AccountsReceivableAndOtherMember us-gaap:ForeignExchangeContractMember us-gaap:NetInvestmentHedgingMember us-gaap:DesignatedAsHedgingInstrumentMember 2019-12-31 0000895728 us-gaap:InterestRateContractMember us-gaap:CashFlowHedgingMember us-gaap:D</w:t>
      </w:r>
      <w:r>
        <w:rPr>
          <w:rFonts w:eastAsia="Times New Roman"/>
          <w:vanish/>
          <w:sz w:val="20"/>
          <w:szCs w:val="20"/>
        </w:rPr>
        <w:t>esignatedAsHedgingInstrumentMember 2019-12-31 0000895728 us-gaap:InterestRateContractMember 2019-12-31 0000895728 us-gaap:NondesignatedMember 2019-12-31 0000895728 enb:AccountsReceivableAndOtherMember us-gaap:CommodityContractMember 2019-12-31 0000895728 e</w:t>
      </w:r>
      <w:r>
        <w:rPr>
          <w:rFonts w:eastAsia="Times New Roman"/>
          <w:vanish/>
          <w:sz w:val="20"/>
          <w:szCs w:val="20"/>
        </w:rPr>
        <w:t>nb:DeferredAmountsAndOtherMember us-gaap:OtherContractMember us-gaap:NondesignatedMember 2019-12-31 0000895728 us-gaap:OtherLiabilitiesMember 2019-12-31 0000895728 enb:AccountsPayableAndOtherMember us-gaap:CommodityContractMember us-gaap:NetInvestmentHedgi</w:t>
      </w:r>
      <w:r>
        <w:rPr>
          <w:rFonts w:eastAsia="Times New Roman"/>
          <w:vanish/>
          <w:sz w:val="20"/>
          <w:szCs w:val="20"/>
        </w:rPr>
        <w:t>ngMember us-gaap:DesignatedAsHedgingInstrumentMember 2019-12-31 0000895728 enb:AccountsReceivableAndOtherMember us-gaap:OtherContractMember us-gaap:CashFlowHedgingMember us-gaap:DesignatedAsHedgingInstrumentMember 2019-12-31 0000895728 enb:AccountsPayableA</w:t>
      </w:r>
      <w:r>
        <w:rPr>
          <w:rFonts w:eastAsia="Times New Roman"/>
          <w:vanish/>
          <w:sz w:val="20"/>
          <w:szCs w:val="20"/>
        </w:rPr>
        <w:t>ndOtherMember us-gaap:InterestRateContractMember 2019-12-31 0000895728 us-gaap:ForeignExchangeContractMember 2019-12-31 0000895728 enb:AccountsPayableAndOtherMember us-gaap:NetInvestmentHedgingMember us-gaap:DesignatedAsHedgingInstrumentMember 2019-12-31 0</w:t>
      </w:r>
      <w:r>
        <w:rPr>
          <w:rFonts w:eastAsia="Times New Roman"/>
          <w:vanish/>
          <w:sz w:val="20"/>
          <w:szCs w:val="20"/>
        </w:rPr>
        <w:t>000895728 enb:DeferredAmountsAndOtherMember us-gaap:CommodityContractMember us-gaap:NetInvestmentHedgingMember us-gaap:DesignatedAsHedgingInstrumentMember 2019-12-31 0000895728 enb:AccountsReceivableAndOtherMember us-gaap:ForeignExchangeContractMember 2019</w:t>
      </w:r>
      <w:r>
        <w:rPr>
          <w:rFonts w:eastAsia="Times New Roman"/>
          <w:vanish/>
          <w:sz w:val="20"/>
          <w:szCs w:val="20"/>
        </w:rPr>
        <w:t>-12-31 0000895728 enb:DeferredAmountsAndOtherMember us-gaap:NondesignatedMember 2019-12-31 0000895728 enb:AccountsPayableAndOtherMember us-gaap:ForeignExchangeContractMember 2019-12-31 0000895728 enb:DeferredAmountsAndOtherMember us-gaap:NetInvestmentHedgi</w:t>
      </w:r>
      <w:r>
        <w:rPr>
          <w:rFonts w:eastAsia="Times New Roman"/>
          <w:vanish/>
          <w:sz w:val="20"/>
          <w:szCs w:val="20"/>
        </w:rPr>
        <w:t>ngMember us-gaap:DesignatedAsHedgingInstrumentMember 2019-12-31 0000895728 us-gaap:OtherContractMember us-gaap:CashFlowHedgingMember us-gaap:DesignatedAsHedgingInstrumentMember 2019-12-31 0000895728 enb:AccountsPayableAndOtherMember us-gaap:ForeignExchange</w:t>
      </w:r>
      <w:r>
        <w:rPr>
          <w:rFonts w:eastAsia="Times New Roman"/>
          <w:vanish/>
          <w:sz w:val="20"/>
          <w:szCs w:val="20"/>
        </w:rPr>
        <w:t>ContractMember us-gaap:CashFlowHedgingMember us-gaap:DesignatedAsHedgingInstrumentMember 2019-12-31 0000895728 us-gaap:InterestRateContractMember us-gaap:NetInvestmentHedgingMember us-gaap:DesignatedAsHedgingInstrumentMember 2019-12-31 0000895728 enb:Accou</w:t>
      </w:r>
      <w:r>
        <w:rPr>
          <w:rFonts w:eastAsia="Times New Roman"/>
          <w:vanish/>
          <w:sz w:val="20"/>
          <w:szCs w:val="20"/>
        </w:rPr>
        <w:t>ntsPayableAndOtherMember us-gaap:CommodityContractMember us-gaap:CashFlowHedgingMember us-gaap:DesignatedAsHedgingInstrumentMember 2019-12-31 0000895728 enb:AccountsReceivableAndOtherMember us-gaap:NondesignatedMember 2019-12-31 0000895728 us-gaap:CashFlow</w:t>
      </w:r>
      <w:r>
        <w:rPr>
          <w:rFonts w:eastAsia="Times New Roman"/>
          <w:vanish/>
          <w:sz w:val="20"/>
          <w:szCs w:val="20"/>
        </w:rPr>
        <w:t>HedgingMember us-gaap:DesignatedAsHedgingInstrumentMember 2019-12-31 0000895728 enb:AccountsReceivableAndOtherMember us-gaap:CommodityContractMember us-gaap:NondesignatedMember 2019-12-31 0000895728 us-gaap:OtherLiabilitiesMember us-gaap:ForeignExchangeCon</w:t>
      </w:r>
      <w:r>
        <w:rPr>
          <w:rFonts w:eastAsia="Times New Roman"/>
          <w:vanish/>
          <w:sz w:val="20"/>
          <w:szCs w:val="20"/>
        </w:rPr>
        <w:t>tractMember us-gaap:NetInvestmentHedgingMember us-gaap:DesignatedAsHedgingInstrumentMember 2019-12-31 0000895728 us-gaap:OtherLiabilitiesMember us-gaap:CommodityContractMember us-gaap:NondesignatedMember 2019-12-31 0000895728 enb:AccountsPayableAndOtherMem</w:t>
      </w:r>
      <w:r>
        <w:rPr>
          <w:rFonts w:eastAsia="Times New Roman"/>
          <w:vanish/>
          <w:sz w:val="20"/>
          <w:szCs w:val="20"/>
        </w:rPr>
        <w:t>ber us-gaap:ForeignExchangeContractMember us-gaap:NondesignatedMember 2019-12-31 0000895728 us-gaap:OtherLiabilitiesMember us-gaap:InterestRateContractMember us-gaap:NondesignatedMember 2019-12-31 0000895728 enb:AccountsReceivableAndOtherMember us-gaap:For</w:t>
      </w:r>
      <w:r>
        <w:rPr>
          <w:rFonts w:eastAsia="Times New Roman"/>
          <w:vanish/>
          <w:sz w:val="20"/>
          <w:szCs w:val="20"/>
        </w:rPr>
        <w:t>eignExchangeContractMember us-gaap:NondesignatedMember 2019-12-31 0000895728 enb:AccountsPayableAndOtherMember 2019-12-31 0000895728 us-gaap:OtherLiabilitiesMember us-gaap:NetInvestmentHedgingMember us-gaap:DesignatedAsHedgingInstrumentMember 2019-12-31 00</w:t>
      </w:r>
      <w:r>
        <w:rPr>
          <w:rFonts w:eastAsia="Times New Roman"/>
          <w:vanish/>
          <w:sz w:val="20"/>
          <w:szCs w:val="20"/>
        </w:rPr>
        <w:t>00895728 enb:DeferredAmountsAndOtherMember us-gaap:OtherContractMember us-gaap:CashFlowHedgingMember us-gaap:DesignatedAsHedgingInstrumentMember 2019-12-31 0000895728 enb:DeferredAmountsAndOtherMember us-gaap:CommodityContractMember 2019-12-31 0000895728 u</w:t>
      </w:r>
      <w:r>
        <w:rPr>
          <w:rFonts w:eastAsia="Times New Roman"/>
          <w:vanish/>
          <w:sz w:val="20"/>
          <w:szCs w:val="20"/>
        </w:rPr>
        <w:t>s-gaap:ForeignExchangeContractMember us-gaap:CashFlowHedgingMember us-gaap:DesignatedAsHedgingInstrumentMember 2019-12-31 0000895728 enb:DeferredAmountsAndOtherMember 2019-12-31 0000895728 enb:DeferredAmountsAndOtherMember us-gaap:ForeignExchangeContractMe</w:t>
      </w:r>
      <w:r>
        <w:rPr>
          <w:rFonts w:eastAsia="Times New Roman"/>
          <w:vanish/>
          <w:sz w:val="20"/>
          <w:szCs w:val="20"/>
        </w:rPr>
        <w:t>mber us-gaap:NondesignatedMember 2019-12-31 0000895728 enb:AccountsReceivableAndOtherMember us-gaap:CommodityContractMember us-gaap:CashFlowHedgingMember us-gaap:DesignatedAsHedgingInstrumentMember 2019-12-31 0000895728 us-gaap:OtherLiabilitiesMember us-ga</w:t>
      </w:r>
      <w:r>
        <w:rPr>
          <w:rFonts w:eastAsia="Times New Roman"/>
          <w:vanish/>
          <w:sz w:val="20"/>
          <w:szCs w:val="20"/>
        </w:rPr>
        <w:t>ap:CashFlowHedgingMember us-gaap:DesignatedAsHedgingInstrumentMember 2019-12-31 0000895728 us-gaap:InterestRateContractMember us-gaap:NondesignatedMember 2019-12-31 0000895728 us-gaap:CommodityContractMember us-gaap:NondesignatedMember 2019-12-31 000089572</w:t>
      </w:r>
      <w:r>
        <w:rPr>
          <w:rFonts w:eastAsia="Times New Roman"/>
          <w:vanish/>
          <w:sz w:val="20"/>
          <w:szCs w:val="20"/>
        </w:rPr>
        <w:t>8 us-gaap:NetInvestmentHedgingMember us-gaap:DesignatedAsHedgingInstrumentMember 2019-12-31 0000895728 us-gaap:OtherLiabilitiesMember us-gaap:CommodityContractMember 2019-12-31 0000895728 us-gaap:OtherLiabilitiesMember us-gaap:ForeignExchangeContractMember</w:t>
      </w:r>
      <w:r>
        <w:rPr>
          <w:rFonts w:eastAsia="Times New Roman"/>
          <w:vanish/>
          <w:sz w:val="20"/>
          <w:szCs w:val="20"/>
        </w:rPr>
        <w:t xml:space="preserve"> us-gaap:CashFlowHedgingMember us-gaap:DesignatedAsHedgingInstrumentMember 2019-12-31 0000895728 us-gaap:OtherLiabilitiesMember us-gaap:ForeignExchangeContractMember us-gaap:NondesignatedMember 2019-12-31 0000895728 enb:AccountsReceivableAndOtherMember us-</w:t>
      </w:r>
      <w:r>
        <w:rPr>
          <w:rFonts w:eastAsia="Times New Roman"/>
          <w:vanish/>
          <w:sz w:val="20"/>
          <w:szCs w:val="20"/>
        </w:rPr>
        <w:t>gaap:OtherContractMember us-gaap:NetInvestmentHedgingMember us-gaap:DesignatedAsHedgingInstrumentMember 2019-12-31 0000895728 enb:DeferredAmountsAndOtherMember us-gaap:ForeignExchangeContractMember us-gaap:CashFlowHedgingMember us-gaap:DesignatedAsHedgingI</w:t>
      </w:r>
      <w:r>
        <w:rPr>
          <w:rFonts w:eastAsia="Times New Roman"/>
          <w:vanish/>
          <w:sz w:val="20"/>
          <w:szCs w:val="20"/>
        </w:rPr>
        <w:t>nstrumentMember 2019-12-31 0000895728 us-gaap:CommodityContractMember us-gaap:CashFlowHedgingMember us-gaap:DesignatedAsHedgingInstrumentMember 2019-12-31 0000895728 enb:DeferredAmountsAndOtherMember us-gaap:ForeignExchangeContractMember 2019-12-31 0000895</w:t>
      </w:r>
      <w:r>
        <w:rPr>
          <w:rFonts w:eastAsia="Times New Roman"/>
          <w:vanish/>
          <w:sz w:val="20"/>
          <w:szCs w:val="20"/>
        </w:rPr>
        <w:t>728 us-gaap:CommodityContractMember us-gaap:NetInvestmentHedgingMember us-gaap:DesignatedAsHedgingInstrumentMember 2019-12-31 0000895728 enb:AccountsReceivableAndOtherMember us-gaap:CommodityContractMember us-gaap:NetInvestmentHedgingMember us-gaap:Designa</w:t>
      </w:r>
      <w:r>
        <w:rPr>
          <w:rFonts w:eastAsia="Times New Roman"/>
          <w:vanish/>
          <w:sz w:val="20"/>
          <w:szCs w:val="20"/>
        </w:rPr>
        <w:t>tedAsHedgingInstrumentMember 2019-12-31 0000895728 enb:AccountsPayableAndOtherMember us-gaap:InterestRateContractMember us-gaap:NetInvestmentHedgingMember us-gaap:DesignatedAsHedgingInstrumentMember 2019-12-31 0000895728 enb:AccountsReceivableAndOtherMembe</w:t>
      </w:r>
      <w:r>
        <w:rPr>
          <w:rFonts w:eastAsia="Times New Roman"/>
          <w:vanish/>
          <w:sz w:val="20"/>
          <w:szCs w:val="20"/>
        </w:rPr>
        <w:t>r us-gaap:CashFlowHedgingMember us-gaap:DesignatedAsHedgingInstrumentMember 2019-12-31 0000895728 us-gaap:OtherLiabilitiesMember us-gaap:CommodityContractMember us-gaap:NetInvestmentHedgingMember us-gaap:DesignatedAsHedgingInstrumentMember 2019-12-31 00008</w:t>
      </w:r>
      <w:r>
        <w:rPr>
          <w:rFonts w:eastAsia="Times New Roman"/>
          <w:vanish/>
          <w:sz w:val="20"/>
          <w:szCs w:val="20"/>
        </w:rPr>
        <w:t>95728 us-gaap:OtherContractMember us-gaap:NetInvestmentHedgingMember us-gaap:DesignatedAsHedgingInstrumentMember 2019-12-31 0000895728 us-gaap:ForeignExchangeContractMember us-gaap:NetInvestmentHedgingMember us-gaap:DesignatedAsHedgingInstrumentMember 2019</w:t>
      </w:r>
      <w:r>
        <w:rPr>
          <w:rFonts w:eastAsia="Times New Roman"/>
          <w:vanish/>
          <w:sz w:val="20"/>
          <w:szCs w:val="20"/>
        </w:rPr>
        <w:t>-12-31 0000895728 us-gaap:OtherLiabilitiesMember us-gaap:CommodityContractMember us-gaap:CashFlowHedgingMember us-gaap:DesignatedAsHedgingInstrumentMember 2019-12-31 0000895728 enb:AccountsPayableAndOtherMember us-gaap:InterestRateContractMember us-gaap:Ca</w:t>
      </w:r>
      <w:r>
        <w:rPr>
          <w:rFonts w:eastAsia="Times New Roman"/>
          <w:vanish/>
          <w:sz w:val="20"/>
          <w:szCs w:val="20"/>
        </w:rPr>
        <w:t>shFlowHedgingMember us-gaap:DesignatedAsHedgingInstrumentMember 2019-12-31 0000895728 enb:AccountsReceivableAndOtherMember us-gaap:OtherContractMember us-gaap:NondesignatedMember 2019-12-31 0000895728 us-gaap:OtherContractMember us-gaap:NondesignatedMember</w:t>
      </w:r>
      <w:r>
        <w:rPr>
          <w:rFonts w:eastAsia="Times New Roman"/>
          <w:vanish/>
          <w:sz w:val="20"/>
          <w:szCs w:val="20"/>
        </w:rPr>
        <w:t xml:space="preserve"> 2019-12-31 0000895728 enb:DeferredAmountsAndOtherMember us-gaap:ForeignExchangeContractMember us-gaap:NetInvestmentHedgingMember us-gaap:DesignatedAsHedgingInstrumentMember 2019-12-31 0000895728 us-gaap:OtherLiabilitiesMember us-gaap:InterestRateContractM</w:t>
      </w:r>
      <w:r>
        <w:rPr>
          <w:rFonts w:eastAsia="Times New Roman"/>
          <w:vanish/>
          <w:sz w:val="20"/>
          <w:szCs w:val="20"/>
        </w:rPr>
        <w:t>ember us-gaap:NetInvestmentHedgingMember us-gaap:DesignatedAsHedgingInstrumentMember 2019-12-31 0000895728 enb:DeferredAmountsAndOtherMember us-gaap:CashFlowHedgingMember us-gaap:DesignatedAsHedgingInstrumentMember 2019-12-31 0000895728 us-gaap:OtherContra</w:t>
      </w:r>
      <w:r>
        <w:rPr>
          <w:rFonts w:eastAsia="Times New Roman"/>
          <w:vanish/>
          <w:sz w:val="20"/>
          <w:szCs w:val="20"/>
        </w:rPr>
        <w:t>ctMember 2019-12-31 0000895728 enb:AccountsPayableAndOtherMember us-gaap:CashFlowHedgingMember us-gaap:DesignatedAsHedgingInstrumentMember 2019-12-31 0000895728 us-gaap:OtherLiabilitiesMember us-gaap:NondesignatedMember 2019-12-31 0000895728 enb:AccountsRe</w:t>
      </w:r>
      <w:r>
        <w:rPr>
          <w:rFonts w:eastAsia="Times New Roman"/>
          <w:vanish/>
          <w:sz w:val="20"/>
          <w:szCs w:val="20"/>
        </w:rPr>
        <w:t>ceivableAndOtherMember us-gaap:NetInvestmentHedgingMember us-gaap:DesignatedAsHedgingInstrumentMember 2019-12-31 0000895728 enb:DeferredAmountsAndOtherMember us-gaap:OtherContractMember us-gaap:NetInvestmentHedgingMember us-gaap:DesignatedAsHedgingInstrume</w:t>
      </w:r>
      <w:r>
        <w:rPr>
          <w:rFonts w:eastAsia="Times New Roman"/>
          <w:vanish/>
          <w:sz w:val="20"/>
          <w:szCs w:val="20"/>
        </w:rPr>
        <w:t>ntMember 2019-12-31 0000895728 enb:DeferredAmountsAndOtherMember us-gaap:CommodityContractMember us-gaap:NondesignatedMember 2019-12-31 0000895728 enb:AccountsPayableAndOtherMember us-gaap:CommodityContractMember us-gaap:NondesignatedMember 2019-12-31 0000</w:t>
      </w:r>
      <w:r>
        <w:rPr>
          <w:rFonts w:eastAsia="Times New Roman"/>
          <w:vanish/>
          <w:sz w:val="20"/>
          <w:szCs w:val="20"/>
        </w:rPr>
        <w:t>895728 enb:AccountsPayableAndOtherMember us-gaap:ForeignExchangeContractMember us-gaap:NetInvestmentHedgingMember us-gaap:DesignatedAsHedgingInstrumentMember 2019-12-31 0000895728 us-gaap:OtherLiabilitiesMember us-gaap:InterestRateContractMember us-gaap:Ca</w:t>
      </w:r>
      <w:r>
        <w:rPr>
          <w:rFonts w:eastAsia="Times New Roman"/>
          <w:vanish/>
          <w:sz w:val="20"/>
          <w:szCs w:val="20"/>
        </w:rPr>
        <w:t>shFlowHedgingMember us-gaap:DesignatedAsHedgingInstrumentMember 2019-12-31 0000895728 us-gaap:ForeignExchangeContractMember us-gaap:NondesignatedMember 2019-12-31 0000895728 us-gaap:ForeignExchangeContractMember us-gaap:FairValueHedgingMember 2019-01-01 20</w:t>
      </w:r>
      <w:r>
        <w:rPr>
          <w:rFonts w:eastAsia="Times New Roman"/>
          <w:vanish/>
          <w:sz w:val="20"/>
          <w:szCs w:val="20"/>
        </w:rPr>
        <w:t>19-03-31 0000895728 us-gaap:CommodityContractMember us-gaap:CashFlowHedgingMember 2020-01-01 2020-03-31 0000895728 us-gaap:ForeignExchangeContractMember us-gaap:CashFlowHedgingMember 2020-01-01 2020-03-31 0000895728 us-gaap:ForeignExchangeContractMember us</w:t>
      </w:r>
      <w:r>
        <w:rPr>
          <w:rFonts w:eastAsia="Times New Roman"/>
          <w:vanish/>
          <w:sz w:val="20"/>
          <w:szCs w:val="20"/>
        </w:rPr>
        <w:t>-gaap:FairValueHedgingMember 2020-01-01 2020-03-31 0000895728 us-gaap:OtherContractMember us-gaap:CashFlowHedgingMember 2020-01-01 2020-03-31 0000895728 us-gaap:ForeignExchangeContractMember us-gaap:NetInvestmentHedgingMember 2020-01-01 2020-03-31 00008957</w:t>
      </w:r>
      <w:r>
        <w:rPr>
          <w:rFonts w:eastAsia="Times New Roman"/>
          <w:vanish/>
          <w:sz w:val="20"/>
          <w:szCs w:val="20"/>
        </w:rPr>
        <w:t>28 us-gaap:InterestRateContractMember us-gaap:CashFlowHedgingMember 2020-01-01 2020-03-31 0000895728 us-gaap:ForeignExchangeContractMember us-gaap:NetInvestmentHedgingMember 2019-01-01 2019-03-31 0000895728 us-gaap:OtherContractMember us-gaap:CashFlowHedgi</w:t>
      </w:r>
      <w:r>
        <w:rPr>
          <w:rFonts w:eastAsia="Times New Roman"/>
          <w:vanish/>
          <w:sz w:val="20"/>
          <w:szCs w:val="20"/>
        </w:rPr>
        <w:t>ngMember 2019-01-01 2019-03-31 0000895728 us-gaap:ForeignExchangeContractMember us-gaap:CashFlowHedgingMember 2019-01-01 2019-03-31 0000895728 us-gaap:InterestRateContractMember us-gaap:CashFlowHedgingMember 2019-01-01 2019-03-31 0000895728 us-gaap:OtherCo</w:t>
      </w:r>
      <w:r>
        <w:rPr>
          <w:rFonts w:eastAsia="Times New Roman"/>
          <w:vanish/>
          <w:sz w:val="20"/>
          <w:szCs w:val="20"/>
        </w:rPr>
        <w:t>ntractMember 2020-01-01 2020-03-31 0000895728 us-gaap:CommodityContractMember us-gaap:CashFlowHedgingMember 2019-01-01 2019-03-31 0000895728 us-gaap:FairValueHedgingMember 2019-01-01 2019-03-31 0000895728 us-gaap:FairValueHedgingMember 2020-01-01 2020-03-3</w:t>
      </w:r>
      <w:r>
        <w:rPr>
          <w:rFonts w:eastAsia="Times New Roman"/>
          <w:vanish/>
          <w:sz w:val="20"/>
          <w:szCs w:val="20"/>
        </w:rPr>
        <w:t>1 0000895728 us-gaap:OtherLiabilitiesMember us-gaap:CommodityContractMember us-gaap:FairValueHedgingMember us-gaap:DesignatedAsHedgingInstrumentMember 2020-03-31 0000895728 us-gaap:ForeignExchangeContractMember 2020-03-31 0000895728 enb:AccountsReceivableA</w:t>
      </w:r>
      <w:r>
        <w:rPr>
          <w:rFonts w:eastAsia="Times New Roman"/>
          <w:vanish/>
          <w:sz w:val="20"/>
          <w:szCs w:val="20"/>
        </w:rPr>
        <w:t>ndOtherMember us-gaap:ForeignExchangeContractMember us-gaap:CashFlowHedgingMember us-gaap:DesignatedAsHedgingInstrumentMember 2020-03-31 0000895728 enb:AccountsPayableAndOtherMember us-gaap:CommodityContractMember 2020-03-31 0000895728 us-gaap:OtherLiabili</w:t>
      </w:r>
      <w:r>
        <w:rPr>
          <w:rFonts w:eastAsia="Times New Roman"/>
          <w:vanish/>
          <w:sz w:val="20"/>
          <w:szCs w:val="20"/>
        </w:rPr>
        <w:t>tiesMember us-gaap:InterestRateContractMember us-gaap:NondesignatedMember 2020-03-31 0000895728 enb:AccountsReceivableAndOtherMember us-gaap:CommodityContractMember us-gaap:NetInvestmentHedgingMember us-gaap:DesignatedAsHedgingInstrumentMember 2020-03-31 0</w:t>
      </w:r>
      <w:r>
        <w:rPr>
          <w:rFonts w:eastAsia="Times New Roman"/>
          <w:vanish/>
          <w:sz w:val="20"/>
          <w:szCs w:val="20"/>
        </w:rPr>
        <w:t>000895728 us-gaap:OtherLiabilitiesMember us-gaap:FairValueHedgingMember us-gaap:DesignatedAsHedgingInstrumentMember 2020-03-31 0000895728 us-gaap:OtherLiabilitiesMember us-gaap:OtherContractMember us-gaap:CashFlowHedgingMember us-gaap:DesignatedAsHedgingIn</w:t>
      </w:r>
      <w:r>
        <w:rPr>
          <w:rFonts w:eastAsia="Times New Roman"/>
          <w:vanish/>
          <w:sz w:val="20"/>
          <w:szCs w:val="20"/>
        </w:rPr>
        <w:t>strumentMember 2020-03-31 0000895728 enb:AccountsPayableAndOtherMember us-gaap:CommodityContractMember us-gaap:CashFlowHedgingMember us-gaap:DesignatedAsHedgingInstrumentMember 2020-03-31 0000895728 enb:AccountsPayableAndOtherMember us-gaap:NetInvestmentHe</w:t>
      </w:r>
      <w:r>
        <w:rPr>
          <w:rFonts w:eastAsia="Times New Roman"/>
          <w:vanish/>
          <w:sz w:val="20"/>
          <w:szCs w:val="20"/>
        </w:rPr>
        <w:t>dgingMember us-gaap:DesignatedAsHedgingInstrumentMember 2020-03-31 0000895728 enb:AccountsPayableAndOtherMember us-gaap:InterestRateContractMember 2020-03-31 0000895728 us-gaap:ForeignExchangeContractMember us-gaap:NetInvestmentHedgingMember us-gaap:Design</w:t>
      </w:r>
      <w:r>
        <w:rPr>
          <w:rFonts w:eastAsia="Times New Roman"/>
          <w:vanish/>
          <w:sz w:val="20"/>
          <w:szCs w:val="20"/>
        </w:rPr>
        <w:t>atedAsHedgingInstrumentMember 2020-03-31 0000895728 enb:AccountsReceivableAndOtherMember 2020-03-31 0000895728 enb:AccountsReceivableAndOtherMember us-gaap:ForeignExchangeContractMember 2020-03-31 0000895728 enb:AccountsPayableAndOtherMember us-gaap:Foreig</w:t>
      </w:r>
      <w:r>
        <w:rPr>
          <w:rFonts w:eastAsia="Times New Roman"/>
          <w:vanish/>
          <w:sz w:val="20"/>
          <w:szCs w:val="20"/>
        </w:rPr>
        <w:t>nExchangeContractMember us-gaap:NondesignatedMember 2020-03-31 0000895728 us-gaap:OtherLiabilitiesMember us-gaap:ForeignExchangeContractMember 2020-03-31 0000895728 us-gaap:InterestRateContractMember us-gaap:NondesignatedMember 2020-03-31 0000895728 enb:De</w:t>
      </w:r>
      <w:r>
        <w:rPr>
          <w:rFonts w:eastAsia="Times New Roman"/>
          <w:vanish/>
          <w:sz w:val="20"/>
          <w:szCs w:val="20"/>
        </w:rPr>
        <w:t>ferredAmountsAndOtherMember us-gaap:FairValueHedgingMember us-gaap:DesignatedAsHedgingInstrumentMember 2020-03-31 0000895728 enb:AccountsReceivableAndOtherMember us-gaap:CashFlowHedgingMember us-gaap:DesignatedAsHedgingInstrumentMember 2020-03-31 000089572</w:t>
      </w:r>
      <w:r>
        <w:rPr>
          <w:rFonts w:eastAsia="Times New Roman"/>
          <w:vanish/>
          <w:sz w:val="20"/>
          <w:szCs w:val="20"/>
        </w:rPr>
        <w:t>8 us-gaap:OtherLiabilitiesMember us-gaap:NetInvestmentHedgingMember us-gaap:DesignatedAsHedgingInstrumentMember 2020-03-31 0000895728 enb:DeferredAmountsAndOtherMember us-gaap:NondesignatedMember 2020-03-31 0000895728 us-gaap:InterestRateContractMember us-</w:t>
      </w:r>
      <w:r>
        <w:rPr>
          <w:rFonts w:eastAsia="Times New Roman"/>
          <w:vanish/>
          <w:sz w:val="20"/>
          <w:szCs w:val="20"/>
        </w:rPr>
        <w:t>gaap:FairValueHedgingMember us-gaap:DesignatedAsHedgingInstrumentMember 2020-03-31 0000895728 us-gaap:OtherLiabilitiesMember us-gaap:CommodityContractMember us-gaap:NetInvestmentHedgingMember us-gaap:DesignatedAsHedgingInstrumentMember 2020-03-31 000089572</w:t>
      </w:r>
      <w:r>
        <w:rPr>
          <w:rFonts w:eastAsia="Times New Roman"/>
          <w:vanish/>
          <w:sz w:val="20"/>
          <w:szCs w:val="20"/>
        </w:rPr>
        <w:t>8 enb:AccountsPayableAndOtherMember us-gaap:InterestRateContractMember us-gaap:CashFlowHedgingMember us-gaap:DesignatedAsHedgingInstrumentMember 2020-03-31 0000895728 enb:AccountsPayableAndOtherMember us-gaap:OtherContractMember 2020-03-31 0000895728 enb:A</w:t>
      </w:r>
      <w:r>
        <w:rPr>
          <w:rFonts w:eastAsia="Times New Roman"/>
          <w:vanish/>
          <w:sz w:val="20"/>
          <w:szCs w:val="20"/>
        </w:rPr>
        <w:t>ccountsPayableAndOtherMember us-gaap:CashFlowHedgingMember us-gaap:DesignatedAsHedgingInstrumentMember 2020-03-31 0000895728 enb:AccountsPayableAndOtherMember us-gaap:InterestRateContractMember us-gaap:NetInvestmentHedgingMember us-gaap:DesignatedAsHedging</w:t>
      </w:r>
      <w:r>
        <w:rPr>
          <w:rFonts w:eastAsia="Times New Roman"/>
          <w:vanish/>
          <w:sz w:val="20"/>
          <w:szCs w:val="20"/>
        </w:rPr>
        <w:t>InstrumentMember 2020-03-31 0000895728 enb:AccountsReceivableAndOtherMember us-gaap:CommodityContractMember us-gaap:CashFlowHedgingMember us-gaap:DesignatedAsHedgingInstrumentMember 2020-03-31 0000895728 us-gaap:OtherLiabilitiesMember us-gaap:InterestRateC</w:t>
      </w:r>
      <w:r>
        <w:rPr>
          <w:rFonts w:eastAsia="Times New Roman"/>
          <w:vanish/>
          <w:sz w:val="20"/>
          <w:szCs w:val="20"/>
        </w:rPr>
        <w:t>ontractMember us-gaap:NetInvestmentHedgingMember us-gaap:DesignatedAsHedgingInstrumentMember 2020-03-31 0000895728 enb:DeferredAmountsAndOtherMember us-gaap:ForeignExchangeContractMember us-gaap:FairValueHedgingMember us-gaap:DesignatedAsHedgingInstrumentM</w:t>
      </w:r>
      <w:r>
        <w:rPr>
          <w:rFonts w:eastAsia="Times New Roman"/>
          <w:vanish/>
          <w:sz w:val="20"/>
          <w:szCs w:val="20"/>
        </w:rPr>
        <w:t>ember 2020-03-31 0000895728 us-gaap:InterestRateContractMember us-gaap:CashFlowHedgingMember us-gaap:DesignatedAsHedgingInstrumentMember 2020-03-31 0000895728 enb:AccountsPayableAndOtherMember 2020-03-31 0000895728 us-gaap:OtherContractMember us-gaap:NetIn</w:t>
      </w:r>
      <w:r>
        <w:rPr>
          <w:rFonts w:eastAsia="Times New Roman"/>
          <w:vanish/>
          <w:sz w:val="20"/>
          <w:szCs w:val="20"/>
        </w:rPr>
        <w:t>vestmentHedgingMember us-gaap:DesignatedAsHedgingInstrumentMember 2020-03-31 0000895728 us-gaap:OtherLiabilitiesMember us-gaap:CommodityContractMember us-gaap:CashFlowHedgingMember us-gaap:DesignatedAsHedgingInstrumentMember 2020-03-31 0000895728 enb:Defer</w:t>
      </w:r>
      <w:r>
        <w:rPr>
          <w:rFonts w:eastAsia="Times New Roman"/>
          <w:vanish/>
          <w:sz w:val="20"/>
          <w:szCs w:val="20"/>
        </w:rPr>
        <w:t>redAmountsAndOtherMember us-gaap:CommodityContractMember us-gaap:FairValueHedgingMember us-gaap:DesignatedAsHedgingInstrumentMember 2020-03-31 0000895728 us-gaap:ForeignExchangeContractMember us-gaap:CashFlowHedgingMember us-gaap:DesignatedAsHedgingInstrum</w:t>
      </w:r>
      <w:r>
        <w:rPr>
          <w:rFonts w:eastAsia="Times New Roman"/>
          <w:vanish/>
          <w:sz w:val="20"/>
          <w:szCs w:val="20"/>
        </w:rPr>
        <w:t>entMember 2020-03-31 0000895728 enb:DeferredAmountsAndOtherMember us-gaap:ForeignExchangeContractMember us-gaap:CashFlowHedgingMember us-gaap:DesignatedAsHedgingInstrumentMember 2020-03-31 0000895728 enb:DeferredAmountsAndOtherMember us-gaap:ForeignExchang</w:t>
      </w:r>
      <w:r>
        <w:rPr>
          <w:rFonts w:eastAsia="Times New Roman"/>
          <w:vanish/>
          <w:sz w:val="20"/>
          <w:szCs w:val="20"/>
        </w:rPr>
        <w:t>eContractMember 2020-03-31 0000895728 us-gaap:FairValueHedgingMember us-gaap:DesignatedAsHedgingInstrumentMember 2020-03-31 0000895728 us-gaap:OtherLiabilitiesMember 2020-03-31 0000895728 us-gaap:OtherLiabilitiesMember us-gaap:ForeignExchangeContractMember</w:t>
      </w:r>
      <w:r>
        <w:rPr>
          <w:rFonts w:eastAsia="Times New Roman"/>
          <w:vanish/>
          <w:sz w:val="20"/>
          <w:szCs w:val="20"/>
        </w:rPr>
        <w:t xml:space="preserve"> us-gaap:FairValueHedgingMember us-gaap:DesignatedAsHedgingInstrumentMember 2020-03-31 0000895728 us-gaap:OtherLiabilitiesMember us-gaap:InterestRateContractMember 2020-03-31 0000895728 us-gaap:OtherLiabilitiesMember us-gaap:NondesignatedMember 2020-03-31 </w:t>
      </w:r>
      <w:r>
        <w:rPr>
          <w:rFonts w:eastAsia="Times New Roman"/>
          <w:vanish/>
          <w:sz w:val="20"/>
          <w:szCs w:val="20"/>
        </w:rPr>
        <w:t>0000895728 enb:AccountsReceivableAndOtherMember us-gaap:ForeignExchangeContractMember us-gaap:FairValueHedgingMember us-gaap:DesignatedAsHedgingInstrumentMember 2020-03-31 0000895728 enb:AccountsPayableAndOtherMember us-gaap:OtherContractMember us-gaap:Fai</w:t>
      </w:r>
      <w:r>
        <w:rPr>
          <w:rFonts w:eastAsia="Times New Roman"/>
          <w:vanish/>
          <w:sz w:val="20"/>
          <w:szCs w:val="20"/>
        </w:rPr>
        <w:t>rValueHedgingMember us-gaap:DesignatedAsHedgingInstrumentMember 2020-03-31 0000895728 enb:DeferredAmountsAndOtherMember us-gaap:CommodityContractMember 2020-03-31 0000895728 enb:DeferredAmountsAndOtherMember 2020-03-31 0000895728 enb:AccountsReceivableAndO</w:t>
      </w:r>
      <w:r>
        <w:rPr>
          <w:rFonts w:eastAsia="Times New Roman"/>
          <w:vanish/>
          <w:sz w:val="20"/>
          <w:szCs w:val="20"/>
        </w:rPr>
        <w:t>therMember us-gaap:CommodityContractMember 2020-03-31 0000895728 enb:AccountsPayableAndOtherMember us-gaap:CommodityContractMember us-gaap:FairValueHedgingMember us-gaap:DesignatedAsHedgingInstrumentMember 2020-03-31 0000895728 us-gaap:CommodityContractMem</w:t>
      </w:r>
      <w:r>
        <w:rPr>
          <w:rFonts w:eastAsia="Times New Roman"/>
          <w:vanish/>
          <w:sz w:val="20"/>
          <w:szCs w:val="20"/>
        </w:rPr>
        <w:t>ber us-gaap:NondesignatedMember 2020-03-31 0000895728 enb:AccountsPayableAndOtherMember us-gaap:ForeignExchangeContractMember us-gaap:NetInvestmentHedgingMember us-gaap:DesignatedAsHedgingInstrumentMember 2020-03-31 0000895728 us-gaap:OtherContractMember u</w:t>
      </w:r>
      <w:r>
        <w:rPr>
          <w:rFonts w:eastAsia="Times New Roman"/>
          <w:vanish/>
          <w:sz w:val="20"/>
          <w:szCs w:val="20"/>
        </w:rPr>
        <w:t>s-gaap:NondesignatedMember 2020-03-31 0000895728 enb:DeferredAmountsAndOtherMember us-gaap:ForeignExchangeContractMember us-gaap:NetInvestmentHedgingMember us-gaap:DesignatedAsHedgingInstrumentMember 2020-03-31 0000895728 enb:AccountsReceivableAndOtherMemb</w:t>
      </w:r>
      <w:r>
        <w:rPr>
          <w:rFonts w:eastAsia="Times New Roman"/>
          <w:vanish/>
          <w:sz w:val="20"/>
          <w:szCs w:val="20"/>
        </w:rPr>
        <w:t xml:space="preserve">er us-gaap:CommodityContractMember us-gaap:FairValueHedgingMember us-gaap:DesignatedAsHedgingInstrumentMember 2020-03-31 0000895728 enb:DeferredAmountsAndOtherMember us-gaap:NetInvestmentHedgingMember us-gaap:DesignatedAsHedgingInstrumentMember 2020-03-31 </w:t>
      </w:r>
      <w:r>
        <w:rPr>
          <w:rFonts w:eastAsia="Times New Roman"/>
          <w:vanish/>
          <w:sz w:val="20"/>
          <w:szCs w:val="20"/>
        </w:rPr>
        <w:t>0000895728 enb:AccountsReceivableAndOtherMember us-gaap:ForeignExchangeContractMember us-gaap:NondesignatedMember 2020-03-31 0000895728 us-gaap:OtherLiabilitiesMember us-gaap:ForeignExchangeContractMember us-gaap:NondesignatedMember 2020-03-31 0000895728 u</w:t>
      </w:r>
      <w:r>
        <w:rPr>
          <w:rFonts w:eastAsia="Times New Roman"/>
          <w:vanish/>
          <w:sz w:val="20"/>
          <w:szCs w:val="20"/>
        </w:rPr>
        <w:t>s-gaap:CommodityContractMember us-gaap:FairValueHedgingMember us-gaap:DesignatedAsHedgingInstrumentMember 2020-03-31 0000895728 us-gaap:OtherLiabilitiesMember us-gaap:CommodityContractMember 2020-03-31 0000895728 us-gaap:OtherLiabilitiesMember us-gaap:Othe</w:t>
      </w:r>
      <w:r>
        <w:rPr>
          <w:rFonts w:eastAsia="Times New Roman"/>
          <w:vanish/>
          <w:sz w:val="20"/>
          <w:szCs w:val="20"/>
        </w:rPr>
        <w:t xml:space="preserve">rContractMember 2020-03-31 0000895728 us-gaap:CommodityContractMember us-gaap:CashFlowHedgingMember us-gaap:DesignatedAsHedgingInstrumentMember 2020-03-31 0000895728 us-gaap:OtherLiabilitiesMember us-gaap:OtherContractMember us-gaap:FairValueHedgingMember </w:t>
      </w:r>
      <w:r>
        <w:rPr>
          <w:rFonts w:eastAsia="Times New Roman"/>
          <w:vanish/>
          <w:sz w:val="20"/>
          <w:szCs w:val="20"/>
        </w:rPr>
        <w:t>us-gaap:DesignatedAsHedgingInstrumentMember 2020-03-31 0000895728 us-gaap:InterestRateContractMember 2020-03-31 0000895728 enb:DeferredAmountsAndOtherMember us-gaap:CommodityContractMember us-gaap:CashFlowHedgingMember us-gaap:DesignatedAsHedgingInstrument</w:t>
      </w:r>
      <w:r>
        <w:rPr>
          <w:rFonts w:eastAsia="Times New Roman"/>
          <w:vanish/>
          <w:sz w:val="20"/>
          <w:szCs w:val="20"/>
        </w:rPr>
        <w:t>Member 2020-03-31 0000895728 us-gaap:InterestRateContractMember us-gaap:NetInvestmentHedgingMember us-gaap:DesignatedAsHedgingInstrumentMember 2020-03-31 0000895728 us-gaap:OtherLiabilitiesMember us-gaap:OtherContractMember us-gaap:NetInvestmentHedgingMemb</w:t>
      </w:r>
      <w:r>
        <w:rPr>
          <w:rFonts w:eastAsia="Times New Roman"/>
          <w:vanish/>
          <w:sz w:val="20"/>
          <w:szCs w:val="20"/>
        </w:rPr>
        <w:t>er us-gaap:DesignatedAsHedgingInstrumentMember 2020-03-31 0000895728 enb:DeferredAmountsAndOtherMember us-gaap:CashFlowHedgingMember us-gaap:DesignatedAsHedgingInstrumentMember 2020-03-31 0000895728 enb:AccountsPayableAndOtherMember us-gaap:OtherContractMe</w:t>
      </w:r>
      <w:r>
        <w:rPr>
          <w:rFonts w:eastAsia="Times New Roman"/>
          <w:vanish/>
          <w:sz w:val="20"/>
          <w:szCs w:val="20"/>
        </w:rPr>
        <w:t>mber us-gaap:CashFlowHedgingMember us-gaap:DesignatedAsHedgingInstrumentMember 2020-03-31 0000895728 enb:AccountsPayableAndOtherMember us-gaap:CommodityContractMember us-gaap:NetInvestmentHedgingMember us-gaap:DesignatedAsHedgingInstrumentMember 2020-03-31</w:t>
      </w:r>
      <w:r>
        <w:rPr>
          <w:rFonts w:eastAsia="Times New Roman"/>
          <w:vanish/>
          <w:sz w:val="20"/>
          <w:szCs w:val="20"/>
        </w:rPr>
        <w:t xml:space="preserve"> 0000895728 us-gaap:NetInvestmentHedgingMember us-gaap:DesignatedAsHedgingInstrumentMember 2020-03-31 0000895728 us-gaap:CommodityContractMember us-gaap:NetInvestmentHedgingMember us-gaap:DesignatedAsHedgingInstrumentMember 2020-03-31 0000895728 enb:Accoun</w:t>
      </w:r>
      <w:r>
        <w:rPr>
          <w:rFonts w:eastAsia="Times New Roman"/>
          <w:vanish/>
          <w:sz w:val="20"/>
          <w:szCs w:val="20"/>
        </w:rPr>
        <w:t>tsReceivableAndOtherMember us-gaap:NondesignatedMember 2020-03-31 0000895728 us-gaap:CommodityContractMember 2020-03-31 0000895728 us-gaap:OtherLiabilitiesMember us-gaap:InterestRateContractMember us-gaap:CashFlowHedgingMember us-gaap:DesignatedAsHedgingIn</w:t>
      </w:r>
      <w:r>
        <w:rPr>
          <w:rFonts w:eastAsia="Times New Roman"/>
          <w:vanish/>
          <w:sz w:val="20"/>
          <w:szCs w:val="20"/>
        </w:rPr>
        <w:t>strumentMember 2020-03-31 0000895728 us-gaap:NondesignatedMember 2020-03-31 0000895728 enb:AccountsPayableAndOtherMember us-gaap:InterestRateContractMember us-gaap:FairValueHedgingMember us-gaap:DesignatedAsHedgingInstrumentMember 2020-03-31 0000895728 us-</w:t>
      </w:r>
      <w:r>
        <w:rPr>
          <w:rFonts w:eastAsia="Times New Roman"/>
          <w:vanish/>
          <w:sz w:val="20"/>
          <w:szCs w:val="20"/>
        </w:rPr>
        <w:t>gaap:OtherLiabilitiesMember us-gaap:OtherContractMember us-gaap:NondesignatedMember 2020-03-31 0000895728 enb:AccountsPayableAndOtherMember us-gaap:OtherContractMember us-gaap:NondesignatedMember 2020-03-31 0000895728 enb:DeferredAmountsAndOtherMember us-g</w:t>
      </w:r>
      <w:r>
        <w:rPr>
          <w:rFonts w:eastAsia="Times New Roman"/>
          <w:vanish/>
          <w:sz w:val="20"/>
          <w:szCs w:val="20"/>
        </w:rPr>
        <w:t>aap:CommodityContractMember us-gaap:NondesignatedMember 2020-03-31 0000895728 enb:AccountsPayableAndOtherMember us-gaap:CommodityContractMember us-gaap:NondesignatedMember 2020-03-31 0000895728 enb:DeferredAmountsAndOtherMember us-gaap:ForeignExchangeContr</w:t>
      </w:r>
      <w:r>
        <w:rPr>
          <w:rFonts w:eastAsia="Times New Roman"/>
          <w:vanish/>
          <w:sz w:val="20"/>
          <w:szCs w:val="20"/>
        </w:rPr>
        <w:t>actMember us-gaap:NondesignatedMember 2020-03-31 0000895728 us-gaap:CashFlowHedgingMember us-gaap:DesignatedAsHedgingInstrumentMember 2020-03-31 0000895728 us-gaap:OtherLiabilitiesMember us-gaap:ForeignExchangeContractMember us-gaap:CashFlowHedgingMember u</w:t>
      </w:r>
      <w:r>
        <w:rPr>
          <w:rFonts w:eastAsia="Times New Roman"/>
          <w:vanish/>
          <w:sz w:val="20"/>
          <w:szCs w:val="20"/>
        </w:rPr>
        <w:t>s-gaap:DesignatedAsHedgingInstrumentMember 2020-03-31 0000895728 us-gaap:ForeignExchangeContractMember us-gaap:NondesignatedMember 2020-03-31 0000895728 enb:AccountsReceivableAndOtherMember us-gaap:FairValueHedgingMember us-gaap:DesignatedAsHedgingInstrume</w:t>
      </w:r>
      <w:r>
        <w:rPr>
          <w:rFonts w:eastAsia="Times New Roman"/>
          <w:vanish/>
          <w:sz w:val="20"/>
          <w:szCs w:val="20"/>
        </w:rPr>
        <w:t>ntMember 2020-03-31 0000895728 enb:AccountsPayableAndOtherMember us-gaap:ForeignExchangeContractMember us-gaap:FairValueHedgingMember us-gaap:DesignatedAsHedgingInstrumentMember 2020-03-31 0000895728 enb:AccountsPayableAndOtherMember us-gaap:FairValueHedgi</w:t>
      </w:r>
      <w:r>
        <w:rPr>
          <w:rFonts w:eastAsia="Times New Roman"/>
          <w:vanish/>
          <w:sz w:val="20"/>
          <w:szCs w:val="20"/>
        </w:rPr>
        <w:t>ngMember us-gaap:DesignatedAsHedgingInstrumentMember 2020-03-31 0000895728 us-gaap:ForeignExchangeContractMember us-gaap:FairValueHedgingMember us-gaap:DesignatedAsHedgingInstrumentMember 2020-03-31 0000895728 enb:AccountsPayableAndOtherMember us-gaap:Othe</w:t>
      </w:r>
      <w:r>
        <w:rPr>
          <w:rFonts w:eastAsia="Times New Roman"/>
          <w:vanish/>
          <w:sz w:val="20"/>
          <w:szCs w:val="20"/>
        </w:rPr>
        <w:t>rContractMember us-gaap:NetInvestmentHedgingMember us-gaap:DesignatedAsHedgingInstrumentMember 2020-03-31 0000895728 enb:DeferredAmountsAndOtherMember us-gaap:CommodityContractMember us-gaap:NetInvestmentHedgingMember us-gaap:DesignatedAsHedgingInstrumentM</w:t>
      </w:r>
      <w:r>
        <w:rPr>
          <w:rFonts w:eastAsia="Times New Roman"/>
          <w:vanish/>
          <w:sz w:val="20"/>
          <w:szCs w:val="20"/>
        </w:rPr>
        <w:t>ember 2020-03-31 0000895728 enb:AccountsReceivableAndOtherMember us-gaap:CommodityContractMember us-gaap:NondesignatedMember 2020-03-31 0000895728 us-gaap:OtherContractMember 2020-03-31 0000895728 us-gaap:OtherLiabilitiesMember us-gaap:CashFlowHedgingMembe</w:t>
      </w:r>
      <w:r>
        <w:rPr>
          <w:rFonts w:eastAsia="Times New Roman"/>
          <w:vanish/>
          <w:sz w:val="20"/>
          <w:szCs w:val="20"/>
        </w:rPr>
        <w:t>r us-gaap:DesignatedAsHedgingInstrumentMember 2020-03-31 0000895728 us-gaap:OtherLiabilitiesMember us-gaap:CommodityContractMember us-gaap:NondesignatedMember 2020-03-31 0000895728 us-gaap:OtherLiabilitiesMember us-gaap:InterestRateContractMember us-gaap:F</w:t>
      </w:r>
      <w:r>
        <w:rPr>
          <w:rFonts w:eastAsia="Times New Roman"/>
          <w:vanish/>
          <w:sz w:val="20"/>
          <w:szCs w:val="20"/>
        </w:rPr>
        <w:t xml:space="preserve">airValueHedgingMember us-gaap:DesignatedAsHedgingInstrumentMember 2020-03-31 0000895728 enb:AccountsPayableAndOtherMember us-gaap:ForeignExchangeContractMember us-gaap:CashFlowHedgingMember us-gaap:DesignatedAsHedgingInstrumentMember 2020-03-31 0000895728 </w:t>
      </w:r>
      <w:r>
        <w:rPr>
          <w:rFonts w:eastAsia="Times New Roman"/>
          <w:vanish/>
          <w:sz w:val="20"/>
          <w:szCs w:val="20"/>
        </w:rPr>
        <w:t>us-gaap:OtherContractMember us-gaap:FairValueHedgingMember us-gaap:DesignatedAsHedgingInstrumentMember 2020-03-31 0000895728 enb:AccountsReceivableAndOtherMember us-gaap:ForeignExchangeContractMember us-gaap:NetInvestmentHedgingMember us-gaap:DesignatedAsH</w:t>
      </w:r>
      <w:r>
        <w:rPr>
          <w:rFonts w:eastAsia="Times New Roman"/>
          <w:vanish/>
          <w:sz w:val="20"/>
          <w:szCs w:val="20"/>
        </w:rPr>
        <w:t>edgingInstrumentMember 2020-03-31 0000895728 enb:AccountsPayableAndOtherMember us-gaap:ForeignExchangeContractMember 2020-03-31 0000895728 enb:AccountsPayableAndOtherMember us-gaap:NondesignatedMember 2020-03-31 0000895728 us-gaap:OtherContractMember us-ga</w:t>
      </w:r>
      <w:r>
        <w:rPr>
          <w:rFonts w:eastAsia="Times New Roman"/>
          <w:vanish/>
          <w:sz w:val="20"/>
          <w:szCs w:val="20"/>
        </w:rPr>
        <w:t>ap:CashFlowHedgingMember us-gaap:DesignatedAsHedgingInstrumentMember 2020-03-31 0000895728 enb:AccountsReceivableAndOtherMember us-gaap:NetInvestmentHedgingMember us-gaap:DesignatedAsHedgingInstrumentMember 2020-03-31 0000895728 us-gaap:OtherLiabilitiesMem</w:t>
      </w:r>
      <w:r>
        <w:rPr>
          <w:rFonts w:eastAsia="Times New Roman"/>
          <w:vanish/>
          <w:sz w:val="20"/>
          <w:szCs w:val="20"/>
        </w:rPr>
        <w:t>ber us-gaap:ForeignExchangeContractMember us-gaap:NetInvestmentHedgingMember us-gaap:DesignatedAsHedgingInstrumentMember 2020-03-31 0000895728 enb:AccountsPayableAndOtherMember us-gaap:InterestRateContractMember us-gaap:NondesignatedMember 2020-03-31 00008</w:t>
      </w:r>
      <w:r>
        <w:rPr>
          <w:rFonts w:eastAsia="Times New Roman"/>
          <w:vanish/>
          <w:sz w:val="20"/>
          <w:szCs w:val="20"/>
        </w:rPr>
        <w:t>95728 us-gaap:OtherContractMember us-gaap:FairValueMeasurementsRecurringMember 2020-03-31 0000895728 us-gaap:ForeignExchangeContractMember us-gaap:FairValueInputsLevel3Member us-gaap:FairValueMeasurementsRecurringMember 2020-03-31 0000895728 us-gaap:FairVa</w:t>
      </w:r>
      <w:r>
        <w:rPr>
          <w:rFonts w:eastAsia="Times New Roman"/>
          <w:vanish/>
          <w:sz w:val="20"/>
          <w:szCs w:val="20"/>
        </w:rPr>
        <w:t>lueInputsLevel2Member us-gaap:FairValueMeasurementsRecurringMember 2020-03-31 0000895728 us-gaap:ForeignExchangeContractMember us-gaap:FairValueInputsLevel1Member us-gaap:FairValueMeasurementsRecurringMember 2020-03-31 0000895728 us-gaap:CommodityContractM</w:t>
      </w:r>
      <w:r>
        <w:rPr>
          <w:rFonts w:eastAsia="Times New Roman"/>
          <w:vanish/>
          <w:sz w:val="20"/>
          <w:szCs w:val="20"/>
        </w:rPr>
        <w:t>ember us-gaap:FairValueMeasurementsRecurringMember 2020-03-31 0000895728 us-gaap:InterestRateContractMember us-gaap:FairValueMeasurementsRecurringMember 2020-03-31 0000895728 us-gaap:CommodityContractMember us-gaap:FairValueInputsLevel2Member us-gaap:FairV</w:t>
      </w:r>
      <w:r>
        <w:rPr>
          <w:rFonts w:eastAsia="Times New Roman"/>
          <w:vanish/>
          <w:sz w:val="20"/>
          <w:szCs w:val="20"/>
        </w:rPr>
        <w:t xml:space="preserve">alueMeasurementsRecurringMember 2020-03-31 0000895728 us-gaap:OtherContractMember us-gaap:FairValueInputsLevel3Member us-gaap:FairValueMeasurementsRecurringMember 2020-03-31 0000895728 us-gaap:InterestRateContractMember us-gaap:FairValueInputsLevel2Member </w:t>
      </w:r>
      <w:r>
        <w:rPr>
          <w:rFonts w:eastAsia="Times New Roman"/>
          <w:vanish/>
          <w:sz w:val="20"/>
          <w:szCs w:val="20"/>
        </w:rPr>
        <w:t>us-gaap:FairValueMeasurementsRecurringMember 2020-03-31 0000895728 us-gaap:CommodityContractMember us-gaap:FairValueInputsLevel3Member us-gaap:FairValueMeasurementsRecurringMember 2020-03-31 0000895728 us-gaap:FairValueMeasurementsRecurringMember 2020-03-3</w:t>
      </w:r>
      <w:r>
        <w:rPr>
          <w:rFonts w:eastAsia="Times New Roman"/>
          <w:vanish/>
          <w:sz w:val="20"/>
          <w:szCs w:val="20"/>
        </w:rPr>
        <w:t>1 0000895728 us-gaap:OtherContractMember us-gaap:FairValueInputsLevel1Member us-gaap:FairValueMeasurementsRecurringMember 2020-03-31 0000895728 us-gaap:OtherContractMember us-gaap:FairValueInputsLevel2Member us-gaap:FairValueMeasurementsRecurringMember 202</w:t>
      </w:r>
      <w:r>
        <w:rPr>
          <w:rFonts w:eastAsia="Times New Roman"/>
          <w:vanish/>
          <w:sz w:val="20"/>
          <w:szCs w:val="20"/>
        </w:rPr>
        <w:t>0-03-31 0000895728 us-gaap:FairValueInputsLevel1Member us-gaap:FairValueMeasurementsRecurringMember 2020-03-31 0000895728 us-gaap:ForeignExchangeContractMember us-gaap:FairValueInputsLevel2Member us-gaap:FairValueMeasurementsRecurringMember 2020-03-31 0000</w:t>
      </w:r>
      <w:r>
        <w:rPr>
          <w:rFonts w:eastAsia="Times New Roman"/>
          <w:vanish/>
          <w:sz w:val="20"/>
          <w:szCs w:val="20"/>
        </w:rPr>
        <w:t>895728 us-gaap:InterestRateContractMember us-gaap:FairValueInputsLevel1Member us-gaap:FairValueMeasurementsRecurringMember 2020-03-31 0000895728 us-gaap:CommodityContractMember us-gaap:FairValueInputsLevel1Member us-gaap:FairValueMeasurementsRecurringMembe</w:t>
      </w:r>
      <w:r>
        <w:rPr>
          <w:rFonts w:eastAsia="Times New Roman"/>
          <w:vanish/>
          <w:sz w:val="20"/>
          <w:szCs w:val="20"/>
        </w:rPr>
        <w:t xml:space="preserve">r 2020-03-31 0000895728 us-gaap:ForeignExchangeContractMember us-gaap:FairValueMeasurementsRecurringMember 2020-03-31 0000895728 us-gaap:InterestRateContractMember us-gaap:FairValueInputsLevel3Member us-gaap:FairValueMeasurementsRecurringMember 2020-03-31 </w:t>
      </w:r>
      <w:r>
        <w:rPr>
          <w:rFonts w:eastAsia="Times New Roman"/>
          <w:vanish/>
          <w:sz w:val="20"/>
          <w:szCs w:val="20"/>
        </w:rPr>
        <w:t>0000895728 enb:AccountsReceivableFromAffiliatesMember 2019-12-31 0000895728 us-gaap:CommodityContractMember us-gaap:NondesignatedMember enb:OperatingAndAdministrativeExpenseMember 2020-01-01 2020-03-31 0000895728 us-gaap:PreferredStockMember 2019-12-31 000</w:t>
      </w:r>
      <w:r>
        <w:rPr>
          <w:rFonts w:eastAsia="Times New Roman"/>
          <w:vanish/>
          <w:sz w:val="20"/>
          <w:szCs w:val="20"/>
        </w:rPr>
        <w:t>0895728 us-gaap:PreferredStockMember 2020-03-31 0000895728 enb:InterestRateContractForLongTermBorrowingsMember 2020-03-31 0000895728 us-gaap:CommodityContractMember us-gaap:NondesignatedMember enb:OperatingAndAdministrativeExpenseMember 2019-01-01 2019-03-</w:t>
      </w:r>
      <w:r>
        <w:rPr>
          <w:rFonts w:eastAsia="Times New Roman"/>
          <w:vanish/>
          <w:sz w:val="20"/>
          <w:szCs w:val="20"/>
        </w:rPr>
        <w:t>31 0000895728 us-gaap:EquityContractMember 2020-01-01 2020-03-31 0000895728 us-gaap:ForeignExchangeContractMember us-gaap:NondesignatedMember enb:OtherIncomeExpenseMember 2019-01-01 2019-03-31 0000895728 enb:AccountsReceivableFromAffiliatesMember 2020-03-3</w:t>
      </w:r>
      <w:r>
        <w:rPr>
          <w:rFonts w:eastAsia="Times New Roman"/>
          <w:vanish/>
          <w:sz w:val="20"/>
          <w:szCs w:val="20"/>
        </w:rPr>
        <w:t>1 0000895728 us-gaap:DerivativeMember 2020-03-31 0000895728 enb:AccountsPayabletoAffiliatesMember 2020-03-31 0000895728 us-gaap:NetInvestmentHedgingMember 2020-01-01 2020-03-31 0000895728 us-gaap:CommodityContractMember us-gaap:NondesignatedMember enb:Comm</w:t>
      </w:r>
      <w:r>
        <w:rPr>
          <w:rFonts w:eastAsia="Times New Roman"/>
          <w:vanish/>
          <w:sz w:val="20"/>
          <w:szCs w:val="20"/>
        </w:rPr>
        <w:t>oditySalesRevenueMember 2020-01-01 2020-03-31 0000895728 us-gaap:CommodityContractMember us-gaap:NondesignatedMember enb:CommodityCostsMember 2019-01-01 2019-03-31 0000895728 us-gaap:EstimateOfFairValueFairValueDisclosureMember 2019-12-31 0000895728 us-gaa</w:t>
      </w:r>
      <w:r>
        <w:rPr>
          <w:rFonts w:eastAsia="Times New Roman"/>
          <w:vanish/>
          <w:sz w:val="20"/>
          <w:szCs w:val="20"/>
        </w:rPr>
        <w:t>p:NetInvestmentHedgingMember 2019-01-01 2019-03-31 0000895728 us-gaap:CommodityContractMember us-gaap:NondesignatedMember enb:CommoditySalesRevenueMember 2019-01-01 2019-03-31 0000895728 us-gaap:ForeignExchangeContractMember us-gaap:NondesignatedMember enb</w:t>
      </w:r>
      <w:r>
        <w:rPr>
          <w:rFonts w:eastAsia="Times New Roman"/>
          <w:vanish/>
          <w:sz w:val="20"/>
          <w:szCs w:val="20"/>
        </w:rPr>
        <w:t>:TransportationAndOtherServicesRevenuesMember 2020-01-01 2020-03-31 0000895728 us-gaap:CommodityContractMember us-gaap:NondesignatedMember enb:TransportationAndOtherServicesRevenuesMember 2019-01-01 2019-03-31 0000895728 us-gaap:ForeignExchangeContractMemb</w:t>
      </w:r>
      <w:r>
        <w:rPr>
          <w:rFonts w:eastAsia="Times New Roman"/>
          <w:vanish/>
          <w:sz w:val="20"/>
          <w:szCs w:val="20"/>
        </w:rPr>
        <w:t>er us-gaap:NondesignatedMember enb:TransportationAndOtherServicesRevenuesMember 2019-01-01 2019-03-31 0000895728 enb:AccountsPayabletoAffiliatesMember 2019-12-31 0000895728 us-gaap:CommodityContractMember us-gaap:NondesignatedMember enb:TransportationAndOt</w:t>
      </w:r>
      <w:r>
        <w:rPr>
          <w:rFonts w:eastAsia="Times New Roman"/>
          <w:vanish/>
          <w:sz w:val="20"/>
          <w:szCs w:val="20"/>
        </w:rPr>
        <w:t>herServicesRevenuesMember 2020-01-01 2020-03-31 0000895728 us-gaap:CommodityContractMember us-gaap:NondesignatedMember enb:CommodityCostsMember 2020-01-01 2020-03-31 0000895728 us-gaap:ForeignExchangeContractMember us-gaap:NondesignatedMember enb:OtherInco</w:t>
      </w:r>
      <w:r>
        <w:rPr>
          <w:rFonts w:eastAsia="Times New Roman"/>
          <w:vanish/>
          <w:sz w:val="20"/>
          <w:szCs w:val="20"/>
        </w:rPr>
        <w:t>meExpenseMember 2020-01-01 2020-03-31 0000895728 us-gaap:PreferredStockMember 2020-01-01 2020-03-31 0000895728 us-gaap:EstimateOfFairValueFairValueDisclosureMember 2020-03-31 0000895728 us-gaap:CarryingReportedAmountFairValueDisclosureMember 2020-03-31 000</w:t>
      </w:r>
      <w:r>
        <w:rPr>
          <w:rFonts w:eastAsia="Times New Roman"/>
          <w:vanish/>
          <w:sz w:val="20"/>
          <w:szCs w:val="20"/>
        </w:rPr>
        <w:t>0895728 us-gaap:CarryingReportedAmountFairValueDisclosureMember 2019-12-31 0000895728 us-gaap:DerivativeMember 2019-12-31 0000895728 us-gaap:DisposalGroupDisposedOfBySaleNotDiscontinuedOperationsMember enb:OzarkGasTransmissionandOzarkGasGatheringAssetsMemb</w:t>
      </w:r>
      <w:r>
        <w:rPr>
          <w:rFonts w:eastAsia="Times New Roman"/>
          <w:vanish/>
          <w:sz w:val="20"/>
          <w:szCs w:val="20"/>
        </w:rPr>
        <w:t>er us-gaap:SubsequentEventMember 2020-04-01 2020-04-01 0000895728 us-gaap:DisposalGroupDisposedOfBySaleNotDiscontinuedOperationsMember enb:MontanaAlbertaTieLineMember us-gaap:SubsequentEventMember 2020-05-01 2020-05-01 enb:credit_facility iso4217:USD iso42</w:t>
      </w:r>
      <w:r>
        <w:rPr>
          <w:rFonts w:eastAsia="Times New Roman"/>
          <w:vanish/>
          <w:sz w:val="20"/>
          <w:szCs w:val="20"/>
        </w:rPr>
        <w:t>17:CAD xbrli:pure xbrli:shares iso4217:CAD xbrli:shares iso4217:USD xbrli:shares utreg:MWh utreg:Bcf iso4217:GBP enb:equity_type iso4217:CAD utreg:bbl iso4217:EUR iso4217:CAD utreg:MWh iso4217:CAD enb:MillionsofBTU-MMBTU iso4217:JPY iso4217:CAD enb:Gallon-</w:t>
      </w:r>
      <w:r>
        <w:rPr>
          <w:rFonts w:eastAsia="Times New Roman"/>
          <w:vanish/>
          <w:sz w:val="20"/>
          <w:szCs w:val="20"/>
        </w:rPr>
        <w:t xml:space="preserve">gal utreg:MMBbls </w:t>
      </w:r>
    </w:p>
    <w:p w:rsidR="00000000" w:rsidRDefault="00E617AE">
      <w:pPr>
        <w:divId w:val="1226187675"/>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956014560"/>
          <w:jc w:val="center"/>
        </w:trPr>
        <w:tc>
          <w:tcPr>
            <w:tcW w:w="0" w:type="auto"/>
            <w:vAlign w:val="center"/>
            <w:hideMark/>
          </w:tcPr>
          <w:p w:rsidR="00000000" w:rsidRDefault="00E617AE">
            <w:pPr>
              <w:rPr>
                <w:rFonts w:eastAsia="Times New Roman"/>
                <w:sz w:val="20"/>
                <w:szCs w:val="20"/>
              </w:rPr>
            </w:pPr>
          </w:p>
        </w:tc>
      </w:tr>
      <w:tr w:rsidR="00000000">
        <w:trPr>
          <w:divId w:val="1956014560"/>
          <w:jc w:val="center"/>
        </w:trPr>
        <w:tc>
          <w:tcPr>
            <w:tcW w:w="5000" w:type="pct"/>
            <w:vAlign w:val="center"/>
            <w:hideMark/>
          </w:tcPr>
          <w:p w:rsidR="00000000" w:rsidRDefault="00E617AE">
            <w:pPr>
              <w:rPr>
                <w:rFonts w:eastAsia="Times New Roman"/>
                <w:sz w:val="20"/>
                <w:szCs w:val="20"/>
              </w:rPr>
            </w:pPr>
          </w:p>
        </w:tc>
      </w:tr>
      <w:tr w:rsidR="00000000">
        <w:trPr>
          <w:divId w:val="1956014560"/>
          <w:jc w:val="center"/>
        </w:trPr>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1982032341"/>
              <w:rPr>
                <w:rFonts w:eastAsia="Times New Roman"/>
                <w:sz w:val="20"/>
                <w:szCs w:val="20"/>
              </w:rPr>
            </w:pPr>
            <w:r>
              <w:rPr>
                <w:rFonts w:ascii="inherit" w:eastAsia="Times New Roman" w:hAnsi="inherit"/>
                <w:sz w:val="20"/>
                <w:szCs w:val="20"/>
              </w:rPr>
              <w:t> </w:t>
            </w:r>
          </w:p>
        </w:tc>
      </w:tr>
    </w:tbl>
    <w:p w:rsidR="00000000" w:rsidRDefault="00E617AE">
      <w:pPr>
        <w:spacing w:line="288" w:lineRule="auto"/>
        <w:jc w:val="center"/>
        <w:divId w:val="118913864"/>
        <w:rPr>
          <w:rFonts w:eastAsia="Times New Roman"/>
          <w:sz w:val="20"/>
          <w:szCs w:val="20"/>
        </w:rPr>
      </w:pPr>
    </w:p>
    <w:p w:rsidR="00000000" w:rsidRDefault="00E617AE">
      <w:pPr>
        <w:spacing w:line="288" w:lineRule="auto"/>
        <w:jc w:val="center"/>
        <w:divId w:val="118913864"/>
        <w:rPr>
          <w:rFonts w:eastAsia="Times New Roman"/>
          <w:sz w:val="26"/>
          <w:szCs w:val="26"/>
        </w:rPr>
      </w:pPr>
      <w:r>
        <w:rPr>
          <w:rFonts w:ascii="Arial" w:eastAsia="Times New Roman" w:hAnsi="Arial" w:cs="Arial"/>
          <w:b/>
          <w:bCs/>
          <w:sz w:val="26"/>
          <w:szCs w:val="26"/>
        </w:rPr>
        <w:t>UNITED STATES</w:t>
      </w:r>
    </w:p>
    <w:p w:rsidR="00000000" w:rsidRDefault="00E617AE">
      <w:pPr>
        <w:spacing w:line="288" w:lineRule="auto"/>
        <w:jc w:val="center"/>
        <w:divId w:val="118913864"/>
        <w:rPr>
          <w:rFonts w:eastAsia="Times New Roman"/>
          <w:sz w:val="26"/>
          <w:szCs w:val="26"/>
        </w:rPr>
      </w:pPr>
      <w:r>
        <w:rPr>
          <w:rFonts w:ascii="Arial" w:eastAsia="Times New Roman" w:hAnsi="Arial" w:cs="Arial"/>
          <w:b/>
          <w:bCs/>
          <w:sz w:val="26"/>
          <w:szCs w:val="26"/>
        </w:rPr>
        <w:t>SECURITIES AND EXCHANGE COMMISSION</w:t>
      </w:r>
    </w:p>
    <w:p w:rsidR="00000000" w:rsidRDefault="00E617AE">
      <w:pPr>
        <w:spacing w:line="288" w:lineRule="auto"/>
        <w:jc w:val="center"/>
        <w:divId w:val="118913864"/>
        <w:rPr>
          <w:rFonts w:eastAsia="Times New Roman"/>
        </w:rPr>
      </w:pPr>
      <w:r>
        <w:rPr>
          <w:rFonts w:ascii="Arial" w:eastAsia="Times New Roman" w:hAnsi="Arial" w:cs="Arial"/>
          <w:b/>
          <w:bCs/>
        </w:rPr>
        <w:t>Washington, D.C. 20549</w:t>
      </w:r>
    </w:p>
    <w:tbl>
      <w:tblPr>
        <w:tblW w:w="1500" w:type="dxa"/>
        <w:jc w:val="center"/>
        <w:tblCellMar>
          <w:left w:w="0" w:type="dxa"/>
          <w:right w:w="0" w:type="dxa"/>
        </w:tblCellMar>
        <w:tblLook w:val="04A0" w:firstRow="1" w:lastRow="0" w:firstColumn="1" w:lastColumn="0" w:noHBand="0" w:noVBand="1"/>
      </w:tblPr>
      <w:tblGrid>
        <w:gridCol w:w="840"/>
        <w:gridCol w:w="660"/>
      </w:tblGrid>
      <w:tr w:rsidR="00000000">
        <w:trPr>
          <w:divId w:val="633104605"/>
          <w:jc w:val="center"/>
        </w:trPr>
        <w:tc>
          <w:tcPr>
            <w:tcW w:w="0" w:type="auto"/>
            <w:gridSpan w:val="2"/>
            <w:vAlign w:val="center"/>
            <w:hideMark/>
          </w:tcPr>
          <w:p w:rsidR="00000000" w:rsidRDefault="00E617AE">
            <w:pPr>
              <w:spacing w:line="288" w:lineRule="auto"/>
              <w:jc w:val="center"/>
              <w:rPr>
                <w:rFonts w:eastAsia="Times New Roman"/>
              </w:rPr>
            </w:pPr>
          </w:p>
        </w:tc>
      </w:tr>
      <w:tr w:rsidR="00000000">
        <w:trPr>
          <w:divId w:val="633104605"/>
          <w:jc w:val="center"/>
        </w:trPr>
        <w:tc>
          <w:tcPr>
            <w:tcW w:w="840" w:type="dxa"/>
            <w:vAlign w:val="center"/>
            <w:hideMark/>
          </w:tcPr>
          <w:p w:rsidR="00000000" w:rsidRDefault="00E617AE">
            <w:pPr>
              <w:rPr>
                <w:rFonts w:eastAsia="Times New Roman"/>
                <w:sz w:val="20"/>
                <w:szCs w:val="20"/>
              </w:rPr>
            </w:pPr>
          </w:p>
        </w:tc>
        <w:tc>
          <w:tcPr>
            <w:tcW w:w="660" w:type="dxa"/>
            <w:vAlign w:val="center"/>
            <w:hideMark/>
          </w:tcPr>
          <w:p w:rsidR="00000000" w:rsidRDefault="00E617AE">
            <w:pPr>
              <w:rPr>
                <w:rFonts w:eastAsia="Times New Roman"/>
                <w:sz w:val="20"/>
                <w:szCs w:val="20"/>
              </w:rPr>
            </w:pPr>
          </w:p>
        </w:tc>
      </w:tr>
      <w:tr w:rsidR="00000000">
        <w:trPr>
          <w:divId w:val="633104605"/>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jc w:val="right"/>
              <w:rPr>
                <w:rFonts w:eastAsia="Times New Roman"/>
              </w:rPr>
            </w:pPr>
            <w:r>
              <w:rPr>
                <w:rFonts w:ascii="Arial" w:eastAsia="Times New Roman" w:hAnsi="Arial" w:cs="Arial"/>
                <w:b/>
                <w:bCs/>
              </w:rPr>
              <w:t>FORM</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rPr>
            </w:pPr>
            <w:r>
              <w:rPr>
                <w:rFonts w:ascii="Arial" w:eastAsia="Times New Roman" w:hAnsi="Arial" w:cs="Arial"/>
                <w:b/>
                <w:bCs/>
              </w:rPr>
              <w:t>10-Q</w:t>
            </w:r>
          </w:p>
        </w:tc>
      </w:tr>
    </w:tbl>
    <w:tbl>
      <w:tblPr>
        <w:tblW w:w="10230" w:type="dxa"/>
        <w:jc w:val="center"/>
        <w:tblCellMar>
          <w:left w:w="0" w:type="dxa"/>
          <w:right w:w="0" w:type="dxa"/>
        </w:tblCellMar>
        <w:tblLook w:val="04A0" w:firstRow="1" w:lastRow="0" w:firstColumn="1" w:lastColumn="0" w:noHBand="0" w:noVBand="1"/>
      </w:tblPr>
      <w:tblGrid>
        <w:gridCol w:w="598"/>
        <w:gridCol w:w="133"/>
        <w:gridCol w:w="9499"/>
      </w:tblGrid>
      <w:tr w:rsidR="00000000">
        <w:trPr>
          <w:divId w:val="118913864"/>
          <w:jc w:val="center"/>
        </w:trPr>
        <w:tc>
          <w:tcPr>
            <w:tcW w:w="0" w:type="auto"/>
            <w:gridSpan w:val="3"/>
            <w:vAlign w:val="center"/>
            <w:hideMark/>
          </w:tcPr>
          <w:p w:rsidR="00000000" w:rsidRDefault="00E617AE">
            <w:pPr>
              <w:jc w:val="center"/>
              <w:rPr>
                <w:rFonts w:eastAsia="Times New Roman"/>
              </w:rPr>
            </w:pPr>
          </w:p>
        </w:tc>
      </w:tr>
      <w:tr w:rsidR="00000000">
        <w:trPr>
          <w:divId w:val="118913864"/>
          <w:jc w:val="center"/>
        </w:trPr>
        <w:tc>
          <w:tcPr>
            <w:tcW w:w="600" w:type="dxa"/>
            <w:vAlign w:val="center"/>
            <w:hideMark/>
          </w:tcPr>
          <w:p w:rsidR="00000000" w:rsidRDefault="00E617AE">
            <w:pPr>
              <w:rPr>
                <w:rFonts w:eastAsia="Times New Roman"/>
                <w:sz w:val="20"/>
                <w:szCs w:val="20"/>
              </w:rPr>
            </w:pPr>
          </w:p>
        </w:tc>
        <w:tc>
          <w:tcPr>
            <w:tcW w:w="75" w:type="dxa"/>
            <w:vAlign w:val="center"/>
            <w:hideMark/>
          </w:tcPr>
          <w:p w:rsidR="00000000" w:rsidRDefault="00E617AE">
            <w:pPr>
              <w:rPr>
                <w:rFonts w:eastAsia="Times New Roman"/>
                <w:sz w:val="20"/>
                <w:szCs w:val="20"/>
              </w:rPr>
            </w:pPr>
          </w:p>
        </w:tc>
        <w:tc>
          <w:tcPr>
            <w:tcW w:w="9555" w:type="dxa"/>
            <w:vAlign w:val="center"/>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hideMark/>
          </w:tcPr>
          <w:p w:rsidR="00000000" w:rsidRDefault="00E617AE">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E617AE">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E617AE">
            <w:pPr>
              <w:jc w:val="center"/>
              <w:rPr>
                <w:rFonts w:eastAsia="Times New Roman"/>
                <w:sz w:val="20"/>
                <w:szCs w:val="20"/>
              </w:rPr>
            </w:pPr>
            <w:r>
              <w:rPr>
                <w:rFonts w:ascii="Arial" w:eastAsia="Times New Roman" w:hAnsi="Arial" w:cs="Arial"/>
                <w:b/>
                <w:bCs/>
                <w:sz w:val="20"/>
                <w:szCs w:val="20"/>
              </w:rPr>
              <w:t>QUARTERLY REPORT PURSUANT TO SECTION 13 OR 15(d) OF THE</w:t>
            </w:r>
          </w:p>
          <w:p w:rsidR="00000000" w:rsidRDefault="00E617AE">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E617AE">
      <w:pPr>
        <w:spacing w:line="288" w:lineRule="auto"/>
        <w:jc w:val="center"/>
        <w:divId w:val="118913864"/>
        <w:rPr>
          <w:rFonts w:eastAsia="Times New Roman"/>
          <w:sz w:val="20"/>
          <w:szCs w:val="20"/>
        </w:rPr>
      </w:pPr>
      <w:r>
        <w:rPr>
          <w:rFonts w:ascii="Arial" w:eastAsia="Times New Roman" w:hAnsi="Arial" w:cs="Arial"/>
          <w:b/>
          <w:bCs/>
          <w:sz w:val="20"/>
          <w:szCs w:val="20"/>
        </w:rPr>
        <w:t>For the quarterly period ended March 31, 2020</w:t>
      </w:r>
      <w:r>
        <w:rPr>
          <w:rFonts w:ascii="Arial" w:eastAsia="Times New Roman" w:hAnsi="Arial" w:cs="Arial"/>
          <w:sz w:val="20"/>
          <w:szCs w:val="20"/>
        </w:rPr>
        <w:t xml:space="preserve"> </w:t>
      </w:r>
    </w:p>
    <w:p w:rsidR="00000000" w:rsidRDefault="00E617AE">
      <w:pPr>
        <w:spacing w:line="288" w:lineRule="auto"/>
        <w:jc w:val="center"/>
        <w:divId w:val="118913864"/>
        <w:rPr>
          <w:rFonts w:eastAsia="Times New Roman"/>
          <w:sz w:val="20"/>
          <w:szCs w:val="20"/>
        </w:rPr>
      </w:pPr>
      <w:r>
        <w:rPr>
          <w:rFonts w:ascii="Arial" w:eastAsia="Times New Roman" w:hAnsi="Arial" w:cs="Arial"/>
          <w:b/>
          <w:bCs/>
          <w:sz w:val="20"/>
          <w:szCs w:val="20"/>
        </w:rPr>
        <w:t>OR</w:t>
      </w:r>
    </w:p>
    <w:tbl>
      <w:tblPr>
        <w:tblW w:w="10245" w:type="dxa"/>
        <w:jc w:val="center"/>
        <w:tblCellMar>
          <w:left w:w="0" w:type="dxa"/>
          <w:right w:w="0" w:type="dxa"/>
        </w:tblCellMar>
        <w:tblLook w:val="04A0" w:firstRow="1" w:lastRow="0" w:firstColumn="1" w:lastColumn="0" w:noHBand="0" w:noVBand="1"/>
      </w:tblPr>
      <w:tblGrid>
        <w:gridCol w:w="569"/>
        <w:gridCol w:w="133"/>
        <w:gridCol w:w="9543"/>
      </w:tblGrid>
      <w:tr w:rsidR="00000000">
        <w:trPr>
          <w:divId w:val="608854732"/>
          <w:jc w:val="center"/>
        </w:trPr>
        <w:tc>
          <w:tcPr>
            <w:tcW w:w="0" w:type="auto"/>
            <w:gridSpan w:val="3"/>
            <w:vAlign w:val="center"/>
            <w:hideMark/>
          </w:tcPr>
          <w:p w:rsidR="00000000" w:rsidRDefault="00E617AE">
            <w:pPr>
              <w:spacing w:line="288" w:lineRule="auto"/>
              <w:jc w:val="center"/>
              <w:rPr>
                <w:rFonts w:eastAsia="Times New Roman"/>
                <w:sz w:val="20"/>
                <w:szCs w:val="20"/>
              </w:rPr>
            </w:pPr>
          </w:p>
        </w:tc>
      </w:tr>
      <w:tr w:rsidR="00000000">
        <w:trPr>
          <w:divId w:val="608854732"/>
          <w:jc w:val="center"/>
        </w:trPr>
        <w:tc>
          <w:tcPr>
            <w:tcW w:w="570" w:type="dxa"/>
            <w:vAlign w:val="center"/>
            <w:hideMark/>
          </w:tcPr>
          <w:p w:rsidR="00000000" w:rsidRDefault="00E617AE">
            <w:pPr>
              <w:rPr>
                <w:rFonts w:eastAsia="Times New Roman"/>
                <w:sz w:val="20"/>
                <w:szCs w:val="20"/>
              </w:rPr>
            </w:pPr>
          </w:p>
        </w:tc>
        <w:tc>
          <w:tcPr>
            <w:tcW w:w="75" w:type="dxa"/>
            <w:vAlign w:val="center"/>
            <w:hideMark/>
          </w:tcPr>
          <w:p w:rsidR="00000000" w:rsidRDefault="00E617AE">
            <w:pPr>
              <w:rPr>
                <w:rFonts w:eastAsia="Times New Roman"/>
                <w:sz w:val="20"/>
                <w:szCs w:val="20"/>
              </w:rPr>
            </w:pPr>
          </w:p>
        </w:tc>
        <w:tc>
          <w:tcPr>
            <w:tcW w:w="9570" w:type="dxa"/>
            <w:vAlign w:val="center"/>
            <w:hideMark/>
          </w:tcPr>
          <w:p w:rsidR="00000000" w:rsidRDefault="00E617AE">
            <w:pPr>
              <w:rPr>
                <w:rFonts w:eastAsia="Times New Roman"/>
                <w:sz w:val="20"/>
                <w:szCs w:val="20"/>
              </w:rPr>
            </w:pPr>
          </w:p>
        </w:tc>
      </w:tr>
      <w:tr w:rsidR="00000000">
        <w:trPr>
          <w:divId w:val="608854732"/>
          <w:jc w:val="center"/>
        </w:trPr>
        <w:tc>
          <w:tcPr>
            <w:tcW w:w="0" w:type="auto"/>
            <w:tcMar>
              <w:top w:w="30" w:type="dxa"/>
              <w:left w:w="30" w:type="dxa"/>
              <w:bottom w:w="30" w:type="dxa"/>
              <w:right w:w="30" w:type="dxa"/>
            </w:tcMar>
            <w:hideMark/>
          </w:tcPr>
          <w:p w:rsidR="00000000" w:rsidRDefault="00E617AE">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E617AE">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E617AE">
            <w:pPr>
              <w:jc w:val="center"/>
              <w:rPr>
                <w:rFonts w:eastAsia="Times New Roman"/>
                <w:sz w:val="20"/>
                <w:szCs w:val="20"/>
              </w:rPr>
            </w:pPr>
            <w:r>
              <w:rPr>
                <w:rFonts w:ascii="Arial" w:eastAsia="Times New Roman" w:hAnsi="Arial" w:cs="Arial"/>
                <w:b/>
                <w:bCs/>
                <w:sz w:val="20"/>
                <w:szCs w:val="20"/>
              </w:rPr>
              <w:t>TRANSITION REPORT PURSUANT TO SECTION 13 OR 15(d) OF THE</w:t>
            </w:r>
          </w:p>
          <w:p w:rsidR="00000000" w:rsidRDefault="00E617AE">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E617AE">
      <w:pPr>
        <w:spacing w:line="288" w:lineRule="auto"/>
        <w:jc w:val="center"/>
        <w:divId w:val="118913864"/>
        <w:rPr>
          <w:rFonts w:eastAsia="Times New Roman"/>
          <w:sz w:val="20"/>
          <w:szCs w:val="20"/>
        </w:rPr>
      </w:pPr>
      <w:r>
        <w:rPr>
          <w:rFonts w:ascii="Arial" w:eastAsia="Times New Roman" w:hAnsi="Arial" w:cs="Arial"/>
          <w:b/>
          <w:bCs/>
          <w:sz w:val="20"/>
          <w:szCs w:val="20"/>
        </w:rPr>
        <w:t>For the transition period from            to           </w:t>
      </w:r>
    </w:p>
    <w:p w:rsidR="00000000" w:rsidRDefault="00E617AE">
      <w:pPr>
        <w:spacing w:line="288" w:lineRule="auto"/>
        <w:jc w:val="center"/>
        <w:divId w:val="118913864"/>
        <w:rPr>
          <w:rFonts w:eastAsia="Times New Roman"/>
          <w:sz w:val="20"/>
          <w:szCs w:val="20"/>
        </w:rPr>
      </w:pPr>
      <w:r>
        <w:rPr>
          <w:rFonts w:ascii="Arial" w:eastAsia="Times New Roman" w:hAnsi="Arial" w:cs="Arial"/>
          <w:b/>
          <w:bCs/>
          <w:sz w:val="20"/>
          <w:szCs w:val="20"/>
        </w:rPr>
        <w:t xml:space="preserve">Commission file number </w:t>
      </w:r>
      <w:r>
        <w:rPr>
          <w:rFonts w:ascii="Arial" w:eastAsia="Times New Roman" w:hAnsi="Arial" w:cs="Arial"/>
          <w:sz w:val="20"/>
          <w:szCs w:val="20"/>
        </w:rPr>
        <w:t>1-10934</w:t>
      </w:r>
      <w:r>
        <w:rPr>
          <w:rFonts w:ascii="Arial" w:eastAsia="Times New Roman" w:hAnsi="Arial" w:cs="Arial"/>
          <w:b/>
          <w:bCs/>
          <w:sz w:val="20"/>
          <w:szCs w:val="20"/>
        </w:rPr>
        <w:t xml:space="preserve"> </w:t>
      </w:r>
    </w:p>
    <w:tbl>
      <w:tblPr>
        <w:tblW w:w="10260" w:type="dxa"/>
        <w:jc w:val="center"/>
        <w:tblCellMar>
          <w:left w:w="0" w:type="dxa"/>
          <w:right w:w="0" w:type="dxa"/>
        </w:tblCellMar>
        <w:tblLook w:val="04A0" w:firstRow="1" w:lastRow="0" w:firstColumn="1" w:lastColumn="0" w:noHBand="0" w:noVBand="1"/>
      </w:tblPr>
      <w:tblGrid>
        <w:gridCol w:w="3420"/>
        <w:gridCol w:w="3420"/>
        <w:gridCol w:w="3420"/>
      </w:tblGrid>
      <w:tr w:rsidR="00000000">
        <w:trPr>
          <w:divId w:val="15153559"/>
          <w:jc w:val="center"/>
        </w:trPr>
        <w:tc>
          <w:tcPr>
            <w:tcW w:w="0" w:type="auto"/>
            <w:gridSpan w:val="3"/>
            <w:vAlign w:val="center"/>
            <w:hideMark/>
          </w:tcPr>
          <w:p w:rsidR="00000000" w:rsidRDefault="00E617AE">
            <w:pPr>
              <w:spacing w:line="288" w:lineRule="auto"/>
              <w:jc w:val="center"/>
              <w:rPr>
                <w:rFonts w:eastAsia="Times New Roman"/>
                <w:sz w:val="20"/>
                <w:szCs w:val="20"/>
              </w:rPr>
            </w:pPr>
          </w:p>
        </w:tc>
      </w:tr>
      <w:tr w:rsidR="00000000">
        <w:trPr>
          <w:divId w:val="15153559"/>
          <w:jc w:val="center"/>
        </w:trPr>
        <w:tc>
          <w:tcPr>
            <w:tcW w:w="3420" w:type="dxa"/>
            <w:vAlign w:val="center"/>
            <w:hideMark/>
          </w:tcPr>
          <w:p w:rsidR="00000000" w:rsidRDefault="00E617AE">
            <w:pPr>
              <w:rPr>
                <w:rFonts w:eastAsia="Times New Roman"/>
                <w:sz w:val="20"/>
                <w:szCs w:val="20"/>
              </w:rPr>
            </w:pPr>
          </w:p>
        </w:tc>
        <w:tc>
          <w:tcPr>
            <w:tcW w:w="3420" w:type="dxa"/>
            <w:vAlign w:val="center"/>
            <w:hideMark/>
          </w:tcPr>
          <w:p w:rsidR="00000000" w:rsidRDefault="00E617AE">
            <w:pPr>
              <w:rPr>
                <w:rFonts w:eastAsia="Times New Roman"/>
                <w:sz w:val="20"/>
                <w:szCs w:val="20"/>
              </w:rPr>
            </w:pPr>
          </w:p>
        </w:tc>
        <w:tc>
          <w:tcPr>
            <w:tcW w:w="3420" w:type="dxa"/>
            <w:vAlign w:val="center"/>
            <w:hideMark/>
          </w:tcPr>
          <w:p w:rsidR="00000000" w:rsidRDefault="00E617AE">
            <w:pPr>
              <w:rPr>
                <w:rFonts w:eastAsia="Times New Roman"/>
                <w:sz w:val="20"/>
                <w:szCs w:val="20"/>
              </w:rPr>
            </w:pPr>
          </w:p>
        </w:tc>
      </w:tr>
      <w:tr w:rsidR="00000000">
        <w:trPr>
          <w:divId w:val="15153559"/>
          <w:jc w:val="center"/>
        </w:trPr>
        <w:tc>
          <w:tcPr>
            <w:tcW w:w="0" w:type="auto"/>
            <w:tcMar>
              <w:top w:w="30" w:type="dxa"/>
              <w:left w:w="30" w:type="dxa"/>
              <w:bottom w:w="30" w:type="dxa"/>
              <w:right w:w="30" w:type="dxa"/>
            </w:tcMar>
            <w:vAlign w:val="bottom"/>
            <w:hideMark/>
          </w:tcPr>
          <w:p w:rsidR="00000000" w:rsidRDefault="00E617AE">
            <w:pPr>
              <w:divId w:val="14708283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000000" w:rsidRDefault="00E617AE">
            <w:pPr>
              <w:divId w:val="572206746"/>
              <w:rPr>
                <w:rFonts w:eastAsia="Times New Roman"/>
                <w:sz w:val="20"/>
                <w:szCs w:val="20"/>
              </w:rPr>
            </w:pPr>
            <w:r>
              <w:rPr>
                <w:rFonts w:ascii="inherit" w:eastAsia="Times New Roman" w:hAnsi="inherit"/>
                <w:sz w:val="20"/>
                <w:szCs w:val="20"/>
              </w:rPr>
              <w:t> </w:t>
            </w:r>
          </w:p>
        </w:tc>
      </w:tr>
      <w:tr w:rsidR="00000000">
        <w:trPr>
          <w:divId w:val="15153559"/>
          <w:jc w:val="center"/>
        </w:trPr>
        <w:tc>
          <w:tcPr>
            <w:tcW w:w="0" w:type="auto"/>
            <w:gridSpan w:val="3"/>
            <w:tcMar>
              <w:top w:w="30" w:type="dxa"/>
              <w:left w:w="30" w:type="dxa"/>
              <w:bottom w:w="30" w:type="dxa"/>
              <w:right w:w="30" w:type="dxa"/>
            </w:tcMar>
            <w:vAlign w:val="bottom"/>
            <w:hideMark/>
          </w:tcPr>
          <w:p w:rsidR="00000000" w:rsidRDefault="00E617AE">
            <w:pPr>
              <w:jc w:val="center"/>
              <w:rPr>
                <w:rFonts w:eastAsia="Times New Roman"/>
              </w:rPr>
            </w:pPr>
            <w:r>
              <w:rPr>
                <w:rFonts w:ascii="Arial" w:eastAsia="Times New Roman" w:hAnsi="Arial" w:cs="Arial"/>
                <w:b/>
                <w:bCs/>
              </w:rPr>
              <w:t>ENBRIDGE INC</w:t>
            </w:r>
          </w:p>
        </w:tc>
      </w:tr>
      <w:tr w:rsidR="00000000">
        <w:trPr>
          <w:divId w:val="15153559"/>
          <w:jc w:val="center"/>
        </w:trPr>
        <w:tc>
          <w:tcPr>
            <w:tcW w:w="0" w:type="auto"/>
            <w:gridSpan w:val="3"/>
            <w:tcMar>
              <w:top w:w="30" w:type="dxa"/>
              <w:left w:w="30" w:type="dxa"/>
              <w:bottom w:w="30" w:type="dxa"/>
              <w:right w:w="30" w:type="dxa"/>
            </w:tcMar>
            <w:vAlign w:val="bottom"/>
            <w:hideMark/>
          </w:tcPr>
          <w:p w:rsidR="00000000" w:rsidRDefault="00E617AE">
            <w:pPr>
              <w:ind w:firstLine="60"/>
              <w:jc w:val="center"/>
              <w:rPr>
                <w:rFonts w:eastAsia="Times New Roman"/>
                <w:sz w:val="16"/>
                <w:szCs w:val="16"/>
              </w:rPr>
            </w:pPr>
            <w:r>
              <w:rPr>
                <w:rFonts w:ascii="Arial" w:eastAsia="Times New Roman" w:hAnsi="Arial" w:cs="Arial"/>
                <w:sz w:val="16"/>
                <w:szCs w:val="16"/>
              </w:rPr>
              <w:t>(Exact Name of Registrant</w:t>
            </w:r>
            <w:r>
              <w:rPr>
                <w:rFonts w:ascii="Arial" w:eastAsia="Times New Roman" w:hAnsi="Arial" w:cs="Arial"/>
                <w:sz w:val="16"/>
                <w:szCs w:val="16"/>
              </w:rPr>
              <w:t xml:space="preserve"> as Specified in Its Charter)</w:t>
            </w:r>
          </w:p>
        </w:tc>
      </w:tr>
    </w:tbl>
    <w:tbl>
      <w:tblPr>
        <w:tblW w:w="4990" w:type="pct"/>
        <w:tblCellMar>
          <w:left w:w="0" w:type="dxa"/>
          <w:right w:w="0" w:type="dxa"/>
        </w:tblCellMar>
        <w:tblLook w:val="04A0" w:firstRow="1" w:lastRow="0" w:firstColumn="1" w:lastColumn="0" w:noHBand="0" w:noVBand="1"/>
      </w:tblPr>
      <w:tblGrid>
        <w:gridCol w:w="3978"/>
        <w:gridCol w:w="332"/>
        <w:gridCol w:w="3979"/>
      </w:tblGrid>
      <w:tr w:rsidR="00000000">
        <w:trPr>
          <w:divId w:val="118913864"/>
        </w:trPr>
        <w:tc>
          <w:tcPr>
            <w:tcW w:w="0" w:type="auto"/>
            <w:gridSpan w:val="3"/>
            <w:vAlign w:val="center"/>
            <w:hideMark/>
          </w:tcPr>
          <w:p w:rsidR="00000000" w:rsidRDefault="00E617AE">
            <w:pPr>
              <w:jc w:val="center"/>
              <w:rPr>
                <w:rFonts w:eastAsia="Times New Roman"/>
              </w:rPr>
            </w:pPr>
          </w:p>
        </w:tc>
      </w:tr>
      <w:tr w:rsidR="00000000">
        <w:trPr>
          <w:divId w:val="118913864"/>
        </w:trPr>
        <w:tc>
          <w:tcPr>
            <w:tcW w:w="2400" w:type="pct"/>
            <w:vAlign w:val="center"/>
            <w:hideMark/>
          </w:tcPr>
          <w:p w:rsidR="00000000" w:rsidRDefault="00E617AE">
            <w:pPr>
              <w:rPr>
                <w:rFonts w:eastAsia="Times New Roman"/>
                <w:sz w:val="20"/>
                <w:szCs w:val="20"/>
              </w:rPr>
            </w:pPr>
          </w:p>
        </w:tc>
        <w:tc>
          <w:tcPr>
            <w:tcW w:w="200" w:type="pct"/>
            <w:vAlign w:val="center"/>
            <w:hideMark/>
          </w:tcPr>
          <w:p w:rsidR="00000000" w:rsidRDefault="00E617AE">
            <w:pPr>
              <w:rPr>
                <w:rFonts w:eastAsia="Times New Roman"/>
                <w:sz w:val="20"/>
                <w:szCs w:val="20"/>
              </w:rPr>
            </w:pPr>
          </w:p>
        </w:tc>
        <w:tc>
          <w:tcPr>
            <w:tcW w:w="2400" w:type="pct"/>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b/>
                <w:bCs/>
                <w:sz w:val="20"/>
                <w:szCs w:val="20"/>
              </w:rPr>
              <w:t>Canada</w:t>
            </w:r>
          </w:p>
        </w:tc>
        <w:tc>
          <w:tcPr>
            <w:tcW w:w="0" w:type="auto"/>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b/>
                <w:bCs/>
                <w:sz w:val="20"/>
                <w:szCs w:val="20"/>
              </w:rPr>
              <w:t>98-0377957</w:t>
            </w:r>
          </w:p>
        </w:tc>
      </w:tr>
      <w:tr w:rsidR="00000000">
        <w:trPr>
          <w:divId w:val="118913864"/>
        </w:trPr>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(State or Other Jurisdiction of</w:t>
            </w:r>
          </w:p>
          <w:p w:rsidR="00000000" w:rsidRDefault="00E617AE">
            <w:pPr>
              <w:jc w:val="center"/>
              <w:rPr>
                <w:rFonts w:eastAsia="Times New Roman"/>
                <w:sz w:val="20"/>
                <w:szCs w:val="20"/>
              </w:rPr>
            </w:pPr>
            <w:r>
              <w:rPr>
                <w:rFonts w:ascii="Arial" w:eastAsia="Times New Roman" w:hAnsi="Arial" w:cs="Arial"/>
                <w:sz w:val="20"/>
                <w:szCs w:val="20"/>
              </w:rPr>
              <w:t>Incorporation or Organization)</w:t>
            </w:r>
          </w:p>
        </w:tc>
        <w:tc>
          <w:tcPr>
            <w:tcW w:w="0" w:type="auto"/>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(I.R.S. Employer</w:t>
            </w:r>
          </w:p>
          <w:p w:rsidR="00000000" w:rsidRDefault="00E617AE">
            <w:pPr>
              <w:jc w:val="center"/>
              <w:rPr>
                <w:rFonts w:eastAsia="Times New Roman"/>
                <w:sz w:val="20"/>
                <w:szCs w:val="20"/>
              </w:rPr>
            </w:pPr>
            <w:r>
              <w:rPr>
                <w:rFonts w:ascii="Arial" w:eastAsia="Times New Roman" w:hAnsi="Arial" w:cs="Arial"/>
                <w:sz w:val="20"/>
                <w:szCs w:val="20"/>
              </w:rPr>
              <w:t>Identification No.)</w:t>
            </w:r>
          </w:p>
        </w:tc>
      </w:tr>
    </w:tbl>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200, 425 - 1st Street S.W.</w:t>
      </w:r>
      <w:r>
        <w:rPr>
          <w:rFonts w:ascii="Arial" w:eastAsia="Times New Roman" w:hAnsi="Arial" w:cs="Arial"/>
          <w:b/>
          <w:bCs/>
          <w:sz w:val="20"/>
          <w:szCs w:val="20"/>
        </w:rPr>
        <w:t xml:space="preserve"> </w:t>
      </w: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Calgary</w:t>
      </w:r>
      <w:r>
        <w:rPr>
          <w:rFonts w:ascii="Arial" w:eastAsia="Times New Roman" w:hAnsi="Arial" w:cs="Arial"/>
          <w:b/>
          <w:bCs/>
          <w:sz w:val="20"/>
          <w:szCs w:val="20"/>
        </w:rPr>
        <w:t xml:space="preserve">, </w:t>
      </w:r>
      <w:r>
        <w:rPr>
          <w:rFonts w:ascii="Arial" w:eastAsia="Times New Roman" w:hAnsi="Arial" w:cs="Arial"/>
          <w:sz w:val="20"/>
          <w:szCs w:val="20"/>
        </w:rPr>
        <w:t>Alberta</w:t>
      </w:r>
      <w:r>
        <w:rPr>
          <w:rFonts w:ascii="Arial" w:eastAsia="Times New Roman" w:hAnsi="Arial" w:cs="Arial"/>
          <w:b/>
          <w:bCs/>
          <w:sz w:val="20"/>
          <w:szCs w:val="20"/>
        </w:rPr>
        <w:t xml:space="preserve">, </w:t>
      </w:r>
      <w:r>
        <w:rPr>
          <w:rFonts w:ascii="Arial" w:eastAsia="Times New Roman" w:hAnsi="Arial" w:cs="Arial"/>
          <w:sz w:val="20"/>
          <w:szCs w:val="20"/>
        </w:rPr>
        <w:t>Canada</w:t>
      </w:r>
      <w:r>
        <w:rPr>
          <w:rFonts w:ascii="Arial" w:eastAsia="Times New Roman" w:hAnsi="Arial" w:cs="Arial"/>
          <w:b/>
          <w:bCs/>
          <w:sz w:val="20"/>
          <w:szCs w:val="20"/>
        </w:rPr>
        <w:t xml:space="preserve"> </w:t>
      </w:r>
      <w:r>
        <w:rPr>
          <w:rFonts w:ascii="Arial" w:eastAsia="Times New Roman" w:hAnsi="Arial" w:cs="Arial"/>
          <w:sz w:val="20"/>
          <w:szCs w:val="20"/>
        </w:rPr>
        <w:t>T2P 3L8</w:t>
      </w:r>
      <w:r>
        <w:rPr>
          <w:rFonts w:ascii="Arial" w:eastAsia="Times New Roman" w:hAnsi="Arial" w:cs="Arial"/>
          <w:b/>
          <w:bCs/>
          <w:sz w:val="20"/>
          <w:szCs w:val="20"/>
        </w:rPr>
        <w:t xml:space="preserve"> </w:t>
      </w:r>
    </w:p>
    <w:p w:rsidR="00000000" w:rsidRDefault="00E617AE">
      <w:pPr>
        <w:spacing w:line="288" w:lineRule="auto"/>
        <w:ind w:firstLine="60"/>
        <w:jc w:val="center"/>
        <w:divId w:val="118913864"/>
        <w:rPr>
          <w:rFonts w:eastAsia="Times New Roman"/>
          <w:sz w:val="16"/>
          <w:szCs w:val="16"/>
        </w:rPr>
      </w:pPr>
      <w:r>
        <w:rPr>
          <w:rFonts w:ascii="Arial" w:eastAsia="Times New Roman" w:hAnsi="Arial" w:cs="Arial"/>
          <w:sz w:val="16"/>
          <w:szCs w:val="16"/>
        </w:rPr>
        <w:t>(Address of Principal Executive Offices) (Zip Code)</w:t>
      </w:r>
    </w:p>
    <w:p w:rsidR="00000000" w:rsidRDefault="00E617AE">
      <w:pPr>
        <w:spacing w:line="288" w:lineRule="auto"/>
        <w:ind w:firstLine="60"/>
        <w:jc w:val="center"/>
        <w:divId w:val="118913864"/>
        <w:rPr>
          <w:rFonts w:eastAsia="Times New Roman"/>
          <w:sz w:val="20"/>
          <w:szCs w:val="20"/>
        </w:rPr>
      </w:pPr>
      <w:r>
        <w:rPr>
          <w:rFonts w:ascii="Arial" w:eastAsia="Times New Roman" w:hAnsi="Arial" w:cs="Arial"/>
          <w:b/>
          <w:bCs/>
          <w:sz w:val="20"/>
          <w:szCs w:val="20"/>
        </w:rPr>
        <w:t>(</w:t>
      </w:r>
      <w:r>
        <w:rPr>
          <w:rFonts w:ascii="Arial" w:eastAsia="Times New Roman" w:hAnsi="Arial" w:cs="Arial"/>
          <w:sz w:val="20"/>
          <w:szCs w:val="20"/>
        </w:rPr>
        <w:t>403</w:t>
      </w:r>
      <w:r>
        <w:rPr>
          <w:rFonts w:ascii="Arial" w:eastAsia="Times New Roman" w:hAnsi="Arial" w:cs="Arial"/>
          <w:b/>
          <w:bCs/>
          <w:sz w:val="20"/>
          <w:szCs w:val="20"/>
        </w:rPr>
        <w:t xml:space="preserve">) </w:t>
      </w:r>
      <w:r>
        <w:rPr>
          <w:rFonts w:ascii="Arial" w:eastAsia="Times New Roman" w:hAnsi="Arial" w:cs="Arial"/>
          <w:sz w:val="20"/>
          <w:szCs w:val="20"/>
        </w:rPr>
        <w:t>231-3900</w:t>
      </w:r>
      <w:r>
        <w:rPr>
          <w:rFonts w:ascii="Arial" w:eastAsia="Times New Roman" w:hAnsi="Arial" w:cs="Arial"/>
          <w:b/>
          <w:bCs/>
          <w:sz w:val="20"/>
          <w:szCs w:val="20"/>
        </w:rPr>
        <w:t xml:space="preserve"> </w:t>
      </w:r>
    </w:p>
    <w:p w:rsidR="00000000" w:rsidRDefault="00E617AE">
      <w:pPr>
        <w:spacing w:line="288" w:lineRule="auto"/>
        <w:ind w:firstLine="60"/>
        <w:jc w:val="center"/>
        <w:divId w:val="118913864"/>
        <w:rPr>
          <w:rFonts w:eastAsia="Times New Roman"/>
          <w:sz w:val="16"/>
          <w:szCs w:val="16"/>
        </w:rPr>
      </w:pPr>
      <w:r>
        <w:rPr>
          <w:rFonts w:ascii="Arial" w:eastAsia="Times New Roman" w:hAnsi="Arial" w:cs="Arial"/>
          <w:sz w:val="16"/>
          <w:szCs w:val="16"/>
        </w:rPr>
        <w:t>(Registrant’s Telephone Number, Including Area Code)</w:t>
      </w:r>
    </w:p>
    <w:p w:rsidR="00000000" w:rsidRDefault="00E617AE">
      <w:pPr>
        <w:spacing w:line="288" w:lineRule="auto"/>
        <w:jc w:val="center"/>
        <w:divId w:val="118913864"/>
        <w:rPr>
          <w:rFonts w:eastAsia="Times New Roman"/>
          <w:sz w:val="12"/>
          <w:szCs w:val="12"/>
        </w:rPr>
      </w:pPr>
      <w:r>
        <w:rPr>
          <w:rFonts w:ascii="Arial" w:eastAsia="Times New Roman" w:hAnsi="Arial" w:cs="Arial"/>
          <w:sz w:val="12"/>
          <w:szCs w:val="12"/>
        </w:rPr>
        <w:t>_______________________________</w:t>
      </w:r>
    </w:p>
    <w:p w:rsidR="00000000" w:rsidRDefault="00E617AE">
      <w:pPr>
        <w:spacing w:line="288" w:lineRule="auto"/>
        <w:ind w:firstLine="60"/>
        <w:jc w:val="center"/>
        <w:divId w:val="118913864"/>
        <w:rPr>
          <w:rFonts w:eastAsia="Times New Roman"/>
          <w:sz w:val="18"/>
          <w:szCs w:val="18"/>
        </w:rPr>
      </w:pPr>
      <w:r>
        <w:rPr>
          <w:rFonts w:ascii="Arial" w:eastAsia="Times New Roman" w:hAnsi="Arial" w:cs="Arial"/>
          <w:sz w:val="18"/>
          <w:szCs w:val="18"/>
        </w:rPr>
        <w:t>Securities registered pursuant to Section 12(b) of the Act:</w:t>
      </w:r>
    </w:p>
    <w:tbl>
      <w:tblPr>
        <w:tblW w:w="4970" w:type="pct"/>
        <w:jc w:val="center"/>
        <w:tblCellMar>
          <w:left w:w="0" w:type="dxa"/>
          <w:right w:w="0" w:type="dxa"/>
        </w:tblCellMar>
        <w:tblLook w:val="04A0" w:firstRow="1" w:lastRow="0" w:firstColumn="1" w:lastColumn="0" w:noHBand="0" w:noVBand="1"/>
      </w:tblPr>
      <w:tblGrid>
        <w:gridCol w:w="2458"/>
        <w:gridCol w:w="116"/>
        <w:gridCol w:w="1962"/>
        <w:gridCol w:w="105"/>
        <w:gridCol w:w="3615"/>
      </w:tblGrid>
      <w:tr w:rsidR="00000000">
        <w:trPr>
          <w:divId w:val="1065881568"/>
          <w:jc w:val="center"/>
        </w:trPr>
        <w:tc>
          <w:tcPr>
            <w:tcW w:w="0" w:type="auto"/>
            <w:gridSpan w:val="5"/>
            <w:vAlign w:val="center"/>
            <w:hideMark/>
          </w:tcPr>
          <w:p w:rsidR="00000000" w:rsidRDefault="00E617AE">
            <w:pPr>
              <w:spacing w:line="288" w:lineRule="auto"/>
              <w:ind w:firstLine="60"/>
              <w:jc w:val="center"/>
              <w:rPr>
                <w:rFonts w:eastAsia="Times New Roman"/>
                <w:sz w:val="18"/>
                <w:szCs w:val="18"/>
              </w:rPr>
            </w:pPr>
          </w:p>
        </w:tc>
      </w:tr>
      <w:tr w:rsidR="00000000">
        <w:trPr>
          <w:divId w:val="1065881568"/>
          <w:jc w:val="center"/>
        </w:trPr>
        <w:tc>
          <w:tcPr>
            <w:tcW w:w="1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12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2200" w:type="pct"/>
            <w:vAlign w:val="center"/>
            <w:hideMark/>
          </w:tcPr>
          <w:p w:rsidR="00000000" w:rsidRDefault="00E617AE">
            <w:pPr>
              <w:rPr>
                <w:rFonts w:eastAsia="Times New Roman"/>
                <w:sz w:val="20"/>
                <w:szCs w:val="20"/>
              </w:rPr>
            </w:pPr>
          </w:p>
        </w:tc>
      </w:tr>
      <w:tr w:rsidR="00000000">
        <w:trPr>
          <w:divId w:val="1065881568"/>
          <w:jc w:val="center"/>
        </w:trPr>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b/>
                <w:bCs/>
                <w:sz w:val="20"/>
                <w:szCs w:val="20"/>
                <w:u w:val="single"/>
              </w:rPr>
              <w:t>Title of each class</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b/>
                <w:bCs/>
                <w:sz w:val="20"/>
                <w:szCs w:val="20"/>
                <w:u w:val="single"/>
              </w:rPr>
              <w:t>Trading Symbol(s)</w:t>
            </w:r>
          </w:p>
        </w:tc>
        <w:tc>
          <w:tcPr>
            <w:tcW w:w="0" w:type="auto"/>
            <w:tcMar>
              <w:top w:w="30" w:type="dxa"/>
              <w:left w:w="30" w:type="dxa"/>
              <w:bottom w:w="30" w:type="dxa"/>
              <w:right w:w="30" w:type="dxa"/>
            </w:tcMar>
            <w:vAlign w:val="bottom"/>
            <w:hideMark/>
          </w:tcPr>
          <w:p w:rsidR="00000000" w:rsidRDefault="00E617AE">
            <w:pPr>
              <w:divId w:val="544098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b/>
                <w:bCs/>
                <w:sz w:val="20"/>
                <w:szCs w:val="20"/>
                <w:u w:val="single"/>
              </w:rPr>
              <w:t>Name of each exchange on which registered</w:t>
            </w:r>
          </w:p>
        </w:tc>
      </w:tr>
      <w:tr w:rsidR="00000000">
        <w:trPr>
          <w:divId w:val="1065881568"/>
          <w:jc w:val="center"/>
        </w:trPr>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ENB</w:t>
            </w:r>
          </w:p>
        </w:tc>
        <w:tc>
          <w:tcPr>
            <w:tcW w:w="0" w:type="auto"/>
            <w:tcMar>
              <w:top w:w="30" w:type="dxa"/>
              <w:left w:w="30" w:type="dxa"/>
              <w:bottom w:w="30" w:type="dxa"/>
              <w:right w:w="30" w:type="dxa"/>
            </w:tcMar>
            <w:vAlign w:val="bottom"/>
            <w:hideMark/>
          </w:tcPr>
          <w:p w:rsidR="00000000" w:rsidRDefault="00E617AE">
            <w:pPr>
              <w:divId w:val="65163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New York Stock Exchange</w:t>
            </w:r>
          </w:p>
        </w:tc>
      </w:tr>
      <w:tr w:rsidR="00000000">
        <w:trPr>
          <w:divId w:val="1065881568"/>
          <w:jc w:val="center"/>
        </w:trPr>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6.375% Fixed-to-Floating Rate Subordinated Notes Series 2018-B due 2078</w:t>
            </w:r>
          </w:p>
        </w:tc>
        <w:tc>
          <w:tcPr>
            <w:tcW w:w="0" w:type="auto"/>
            <w:tcMar>
              <w:top w:w="30" w:type="dxa"/>
              <w:left w:w="30" w:type="dxa"/>
              <w:bottom w:w="30" w:type="dxa"/>
              <w:right w:w="30" w:type="dxa"/>
            </w:tcMar>
            <w:vAlign w:val="bottom"/>
            <w:hideMark/>
          </w:tcPr>
          <w:p w:rsidR="00000000" w:rsidRDefault="00E617AE">
            <w:pPr>
              <w:divId w:val="1410342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E617AE">
            <w:pPr>
              <w:jc w:val="center"/>
              <w:rPr>
                <w:rFonts w:eastAsia="Times New Roman"/>
                <w:sz w:val="20"/>
                <w:szCs w:val="20"/>
              </w:rPr>
            </w:pPr>
            <w:r>
              <w:rPr>
                <w:rFonts w:ascii="Arial" w:eastAsia="Times New Roman" w:hAnsi="Arial" w:cs="Arial"/>
                <w:sz w:val="20"/>
                <w:szCs w:val="20"/>
              </w:rPr>
              <w:t>ENBA</w:t>
            </w:r>
          </w:p>
        </w:tc>
        <w:tc>
          <w:tcPr>
            <w:tcW w:w="0" w:type="auto"/>
            <w:tcMar>
              <w:top w:w="30" w:type="dxa"/>
              <w:left w:w="30" w:type="dxa"/>
              <w:bottom w:w="30" w:type="dxa"/>
              <w:right w:w="30" w:type="dxa"/>
            </w:tcMar>
            <w:vAlign w:val="bottom"/>
            <w:hideMark/>
          </w:tcPr>
          <w:p w:rsidR="00000000" w:rsidRDefault="00E617AE">
            <w:pPr>
              <w:divId w:val="1998724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E617AE">
            <w:pPr>
              <w:jc w:val="center"/>
              <w:rPr>
                <w:rFonts w:eastAsia="Times New Roman"/>
                <w:sz w:val="20"/>
                <w:szCs w:val="20"/>
              </w:rPr>
            </w:pPr>
            <w:r>
              <w:rPr>
                <w:rFonts w:ascii="Arial" w:eastAsia="Times New Roman" w:hAnsi="Arial" w:cs="Arial"/>
                <w:sz w:val="20"/>
                <w:szCs w:val="20"/>
              </w:rPr>
              <w:t>New York Stock Exchange</w:t>
            </w:r>
          </w:p>
        </w:tc>
      </w:tr>
    </w:tbl>
    <w:p w:rsidR="00000000" w:rsidRDefault="00E617AE">
      <w:pPr>
        <w:spacing w:line="288" w:lineRule="auto"/>
        <w:ind w:firstLine="60"/>
        <w:jc w:val="center"/>
        <w:divId w:val="118913864"/>
        <w:rPr>
          <w:rFonts w:eastAsia="Times New Roman"/>
          <w:sz w:val="18"/>
          <w:szCs w:val="18"/>
        </w:rPr>
      </w:pPr>
      <w:r>
        <w:rPr>
          <w:rFonts w:ascii="Arial" w:eastAsia="Times New Roman" w:hAnsi="Arial" w:cs="Arial"/>
          <w:sz w:val="18"/>
          <w:szCs w:val="18"/>
        </w:rPr>
        <w:t xml:space="preserve">Securities registered pursuant to Section 12(g) of the Act: </w:t>
      </w:r>
      <w:r>
        <w:rPr>
          <w:rFonts w:ascii="Arial" w:eastAsia="Times New Roman" w:hAnsi="Arial" w:cs="Arial"/>
          <w:b/>
          <w:bCs/>
          <w:sz w:val="18"/>
          <w:szCs w:val="18"/>
        </w:rPr>
        <w:t>None</w:t>
      </w:r>
    </w:p>
    <w:p w:rsidR="00000000" w:rsidRDefault="00E617AE">
      <w:pPr>
        <w:spacing w:line="288" w:lineRule="auto"/>
        <w:ind w:firstLine="60"/>
        <w:jc w:val="center"/>
        <w:divId w:val="118913864"/>
        <w:rPr>
          <w:rFonts w:eastAsia="Times New Roman"/>
          <w:sz w:val="12"/>
          <w:szCs w:val="12"/>
        </w:rPr>
      </w:pPr>
      <w:r>
        <w:rPr>
          <w:rFonts w:ascii="Arial" w:eastAsia="Times New Roman" w:hAnsi="Arial" w:cs="Arial"/>
          <w:sz w:val="12"/>
          <w:szCs w:val="12"/>
        </w:rPr>
        <w:t> </w:t>
      </w:r>
    </w:p>
    <w:p w:rsidR="00000000" w:rsidRDefault="00E617AE">
      <w:pPr>
        <w:spacing w:line="288" w:lineRule="auto"/>
        <w:jc w:val="both"/>
        <w:divId w:val="118913864"/>
        <w:rPr>
          <w:rFonts w:eastAsia="Times New Roman"/>
          <w:sz w:val="20"/>
          <w:szCs w:val="20"/>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w:t>
      </w:r>
      <w:r>
        <w:rPr>
          <w:rFonts w:ascii="Arial" w:eastAsia="Times New Roman" w:hAnsi="Arial" w:cs="Arial"/>
          <w:sz w:val="16"/>
          <w:szCs w:val="16"/>
        </w:rPr>
        <w:t>the preceding 12 months (or for such shorter period that the registrant was required to file such reports), and (2) has been subject to such filing requirements for the past 90 days.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E617AE">
      <w:pPr>
        <w:spacing w:line="288" w:lineRule="auto"/>
        <w:jc w:val="both"/>
        <w:divId w:val="118913864"/>
        <w:rPr>
          <w:rFonts w:eastAsia="Times New Roman"/>
          <w:sz w:val="20"/>
          <w:szCs w:val="20"/>
        </w:rPr>
      </w:pPr>
      <w:r>
        <w:rPr>
          <w:rFonts w:ascii="Arial" w:eastAsia="Times New Roman" w:hAnsi="Arial" w:cs="Arial"/>
          <w:sz w:val="16"/>
          <w:szCs w:val="16"/>
        </w:rPr>
        <w:t>Indicate by check mark whether the registrant has submitted el</w:t>
      </w:r>
      <w:r>
        <w:rPr>
          <w:rFonts w:ascii="Arial" w:eastAsia="Times New Roman" w:hAnsi="Arial" w:cs="Arial"/>
          <w:sz w:val="16"/>
          <w:szCs w:val="16"/>
        </w:rPr>
        <w:t>ectronically every Interactive Data File required to be submitted pursuant to Rule 405 of Regulation S-T (§232.405 of this chapter) during the preceding 12 months (or for such shorter period that the registrant was required to submit such files).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E617AE">
      <w:pPr>
        <w:spacing w:line="288" w:lineRule="auto"/>
        <w:jc w:val="both"/>
        <w:divId w:val="118913864"/>
        <w:rPr>
          <w:rFonts w:eastAsia="Times New Roman"/>
          <w:sz w:val="16"/>
          <w:szCs w:val="16"/>
        </w:rPr>
      </w:pPr>
      <w:r>
        <w:rPr>
          <w:rFonts w:ascii="Arial" w:eastAsia="Times New Roman" w:hAnsi="Arial" w:cs="Arial"/>
          <w:sz w:val="16"/>
          <w:szCs w:val="16"/>
        </w:rPr>
        <w:t xml:space="preserve">Indicate by check mark whether the registrant is a large accelerated filer, an accelerated filer, a non-accelerated filer, a smaller reporting company, or an emerging growth company. See the definitions of “large accelerated filer,” “accelerated filer,” </w:t>
      </w:r>
      <w:r>
        <w:rPr>
          <w:rFonts w:ascii="Arial" w:eastAsia="Times New Roman" w:hAnsi="Arial" w:cs="Arial"/>
          <w:sz w:val="16"/>
          <w:szCs w:val="16"/>
        </w:rPr>
        <w:t>“smaller reporting company,” and “emerging growth company” in Rule 12b-2 of the Exchange Act.</w:t>
      </w:r>
    </w:p>
    <w:tbl>
      <w:tblPr>
        <w:tblW w:w="10260" w:type="dxa"/>
        <w:tblCellMar>
          <w:left w:w="0" w:type="dxa"/>
          <w:right w:w="0" w:type="dxa"/>
        </w:tblCellMar>
        <w:tblLook w:val="04A0" w:firstRow="1" w:lastRow="0" w:firstColumn="1" w:lastColumn="0" w:noHBand="0" w:noVBand="1"/>
      </w:tblPr>
      <w:tblGrid>
        <w:gridCol w:w="2044"/>
        <w:gridCol w:w="330"/>
        <w:gridCol w:w="5543"/>
        <w:gridCol w:w="2043"/>
        <w:gridCol w:w="300"/>
      </w:tblGrid>
      <w:tr w:rsidR="00000000">
        <w:trPr>
          <w:divId w:val="1855146479"/>
        </w:trPr>
        <w:tc>
          <w:tcPr>
            <w:tcW w:w="0" w:type="auto"/>
            <w:gridSpan w:val="5"/>
            <w:vAlign w:val="center"/>
            <w:hideMark/>
          </w:tcPr>
          <w:p w:rsidR="00000000" w:rsidRDefault="00E617AE">
            <w:pPr>
              <w:spacing w:line="288" w:lineRule="auto"/>
              <w:jc w:val="both"/>
              <w:rPr>
                <w:rFonts w:eastAsia="Times New Roman"/>
                <w:sz w:val="16"/>
                <w:szCs w:val="16"/>
              </w:rPr>
            </w:pPr>
          </w:p>
        </w:tc>
      </w:tr>
      <w:tr w:rsidR="00000000">
        <w:trPr>
          <w:divId w:val="1855146479"/>
        </w:trPr>
        <w:tc>
          <w:tcPr>
            <w:tcW w:w="2040" w:type="dxa"/>
            <w:vAlign w:val="center"/>
            <w:hideMark/>
          </w:tcPr>
          <w:p w:rsidR="00000000" w:rsidRDefault="00E617AE">
            <w:pPr>
              <w:rPr>
                <w:rFonts w:eastAsia="Times New Roman"/>
                <w:sz w:val="20"/>
                <w:szCs w:val="20"/>
              </w:rPr>
            </w:pPr>
          </w:p>
        </w:tc>
        <w:tc>
          <w:tcPr>
            <w:tcW w:w="330" w:type="dxa"/>
            <w:vAlign w:val="center"/>
            <w:hideMark/>
          </w:tcPr>
          <w:p w:rsidR="00000000" w:rsidRDefault="00E617AE">
            <w:pPr>
              <w:rPr>
                <w:rFonts w:eastAsia="Times New Roman"/>
                <w:sz w:val="20"/>
                <w:szCs w:val="20"/>
              </w:rPr>
            </w:pPr>
          </w:p>
        </w:tc>
        <w:tc>
          <w:tcPr>
            <w:tcW w:w="5535" w:type="dxa"/>
            <w:vAlign w:val="center"/>
            <w:hideMark/>
          </w:tcPr>
          <w:p w:rsidR="00000000" w:rsidRDefault="00E617AE">
            <w:pPr>
              <w:rPr>
                <w:rFonts w:eastAsia="Times New Roman"/>
                <w:sz w:val="20"/>
                <w:szCs w:val="20"/>
              </w:rPr>
            </w:pPr>
          </w:p>
        </w:tc>
        <w:tc>
          <w:tcPr>
            <w:tcW w:w="2040" w:type="dxa"/>
            <w:vAlign w:val="center"/>
            <w:hideMark/>
          </w:tcPr>
          <w:p w:rsidR="00000000" w:rsidRDefault="00E617AE">
            <w:pPr>
              <w:rPr>
                <w:rFonts w:eastAsia="Times New Roman"/>
                <w:sz w:val="20"/>
                <w:szCs w:val="20"/>
              </w:rPr>
            </w:pPr>
          </w:p>
        </w:tc>
        <w:tc>
          <w:tcPr>
            <w:tcW w:w="300" w:type="dxa"/>
            <w:vAlign w:val="center"/>
            <w:hideMark/>
          </w:tcPr>
          <w:p w:rsidR="00000000" w:rsidRDefault="00E617AE">
            <w:pPr>
              <w:rPr>
                <w:rFonts w:eastAsia="Times New Roman"/>
                <w:sz w:val="20"/>
                <w:szCs w:val="20"/>
              </w:rPr>
            </w:pPr>
          </w:p>
        </w:tc>
      </w:tr>
      <w:tr w:rsidR="00000000">
        <w:trPr>
          <w:divId w:val="1855146479"/>
        </w:trPr>
        <w:tc>
          <w:tcPr>
            <w:tcW w:w="0" w:type="auto"/>
            <w:tcMar>
              <w:top w:w="30" w:type="dxa"/>
              <w:left w:w="30" w:type="dxa"/>
              <w:bottom w:w="30" w:type="dxa"/>
              <w:right w:w="30" w:type="dxa"/>
            </w:tcMar>
            <w:vAlign w:val="bottom"/>
            <w:hideMark/>
          </w:tcPr>
          <w:p w:rsidR="00000000" w:rsidRDefault="00E617AE">
            <w:pPr>
              <w:divId w:val="200824917"/>
              <w:rPr>
                <w:rFonts w:eastAsia="Times New Roman"/>
                <w:sz w:val="16"/>
                <w:szCs w:val="16"/>
              </w:rPr>
            </w:pPr>
            <w:r>
              <w:rPr>
                <w:rFonts w:ascii="Arial" w:eastAsia="Times New Roman" w:hAnsi="Arial" w:cs="Arial"/>
                <w:sz w:val="16"/>
                <w:szCs w:val="16"/>
              </w:rPr>
              <w:t>Large accelerated filer</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16"/>
                <w:szCs w:val="16"/>
              </w:rPr>
              <w:t>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855146479"/>
        </w:trPr>
        <w:tc>
          <w:tcPr>
            <w:tcW w:w="0" w:type="auto"/>
            <w:tcMar>
              <w:top w:w="30" w:type="dxa"/>
              <w:left w:w="30" w:type="dxa"/>
              <w:bottom w:w="30" w:type="dxa"/>
              <w:right w:w="30" w:type="dxa"/>
            </w:tcMar>
            <w:vAlign w:val="bottom"/>
            <w:hideMark/>
          </w:tcPr>
          <w:p w:rsidR="00000000" w:rsidRDefault="00E617AE">
            <w:pPr>
              <w:divId w:val="1509782898"/>
              <w:rPr>
                <w:rFonts w:eastAsia="Times New Roman"/>
                <w:sz w:val="20"/>
                <w:szCs w:val="20"/>
              </w:rPr>
            </w:pPr>
            <w:r>
              <w:rPr>
                <w:rFonts w:ascii="Arial" w:eastAsia="Times New Roman" w:hAnsi="Arial" w:cs="Arial"/>
                <w:sz w:val="16"/>
                <w:szCs w:val="16"/>
              </w:rPr>
              <w:t>Non-accelerated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Smaller reporting company </w:t>
            </w:r>
          </w:p>
        </w:tc>
        <w:tc>
          <w:tcPr>
            <w:tcW w:w="0" w:type="auto"/>
            <w:tcMar>
              <w:top w:w="30" w:type="dxa"/>
              <w:left w:w="30" w:type="dxa"/>
              <w:bottom w:w="30" w:type="dxa"/>
              <w:right w:w="30" w:type="dxa"/>
            </w:tcMar>
            <w:hideMark/>
          </w:tcPr>
          <w:p w:rsidR="00000000" w:rsidRDefault="00E617AE">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855146479"/>
        </w:trPr>
        <w:tc>
          <w:tcPr>
            <w:tcW w:w="0" w:type="auto"/>
            <w:tcMar>
              <w:top w:w="30" w:type="dxa"/>
              <w:left w:w="30" w:type="dxa"/>
              <w:bottom w:w="30" w:type="dxa"/>
              <w:right w:w="30" w:type="dxa"/>
            </w:tcMar>
            <w:vAlign w:val="bottom"/>
            <w:hideMark/>
          </w:tcPr>
          <w:p w:rsidR="00000000" w:rsidRDefault="00E617AE">
            <w:pPr>
              <w:divId w:val="870648882"/>
              <w:rPr>
                <w:rFonts w:eastAsia="Times New Roman"/>
                <w:sz w:val="18"/>
                <w:szCs w:val="18"/>
              </w:rPr>
            </w:pPr>
            <w:r>
              <w:rPr>
                <w:rFonts w:ascii="Arial" w:eastAsia="Times New Roman" w:hAnsi="Arial" w:cs="Arial"/>
                <w:sz w:val="16"/>
                <w:szCs w:val="16"/>
              </w:rPr>
              <w:t>Emerging growth company</w:t>
            </w:r>
            <w:r>
              <w:rPr>
                <w:rFonts w:ascii="Arial" w:eastAsia="Times New Roman" w:hAnsi="Arial" w:cs="Arial"/>
                <w:sz w:val="18"/>
                <w:szCs w:val="18"/>
              </w:rPr>
              <w:t> </w:t>
            </w:r>
          </w:p>
        </w:tc>
        <w:tc>
          <w:tcPr>
            <w:tcW w:w="0" w:type="auto"/>
            <w:tcMar>
              <w:top w:w="30" w:type="dxa"/>
              <w:left w:w="30" w:type="dxa"/>
              <w:bottom w:w="30" w:type="dxa"/>
              <w:right w:w="30" w:type="dxa"/>
            </w:tcMar>
            <w:hideMark/>
          </w:tcPr>
          <w:p w:rsidR="00000000" w:rsidRDefault="00E617AE">
            <w:pPr>
              <w:divId w:val="1835295361"/>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divId w:val="263726563"/>
              <w:rPr>
                <w:rFonts w:eastAsia="Times New Roman"/>
                <w:sz w:val="20"/>
                <w:szCs w:val="20"/>
              </w:rPr>
            </w:pPr>
            <w:r>
              <w:rPr>
                <w:rFonts w:ascii="inherit" w:eastAsia="Times New Roman" w:hAnsi="inherit"/>
                <w:sz w:val="20"/>
                <w:szCs w:val="20"/>
              </w:rPr>
              <w:t> </w:t>
            </w:r>
          </w:p>
        </w:tc>
      </w:tr>
    </w:tbl>
    <w:p w:rsidR="00000000" w:rsidRDefault="00E617AE">
      <w:pPr>
        <w:spacing w:line="288" w:lineRule="auto"/>
        <w:jc w:val="both"/>
        <w:divId w:val="118913864"/>
        <w:rPr>
          <w:rFonts w:eastAsia="Times New Roman"/>
          <w:sz w:val="20"/>
          <w:szCs w:val="20"/>
        </w:rPr>
      </w:pPr>
      <w:r>
        <w:rPr>
          <w:rFonts w:ascii="Arial" w:eastAsia="Times New Roman" w:hAnsi="Arial" w:cs="Arial"/>
          <w:sz w:val="16"/>
          <w:szCs w:val="16"/>
        </w:rPr>
        <w:lastRenderedPageBreak/>
        <w:t xml:space="preserve">If an emerging growth company, indicate by check mark if </w:t>
      </w:r>
      <w:r>
        <w:rPr>
          <w:rFonts w:ascii="Arial" w:eastAsia="Times New Roman" w:hAnsi="Arial" w:cs="Arial"/>
          <w:sz w:val="16"/>
          <w:szCs w:val="16"/>
        </w:rPr>
        <w:t>the registrant has elected not to use the extended transition period for complying with any new or revised financial accounting standards provided pursuant to Section 13(a) of the Exchange Act.</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E617AE">
      <w:pPr>
        <w:spacing w:line="288" w:lineRule="auto"/>
        <w:jc w:val="both"/>
        <w:divId w:val="118913864"/>
        <w:rPr>
          <w:rFonts w:eastAsia="Times New Roman"/>
          <w:sz w:val="20"/>
          <w:szCs w:val="20"/>
        </w:rPr>
      </w:pPr>
      <w:r>
        <w:rPr>
          <w:rFonts w:ascii="Arial" w:eastAsia="Times New Roman" w:hAnsi="Arial" w:cs="Arial"/>
          <w:sz w:val="16"/>
          <w:szCs w:val="16"/>
        </w:rPr>
        <w:t>Indicate by check mark whether the registrant is a shell com</w:t>
      </w:r>
      <w:r>
        <w:rPr>
          <w:rFonts w:ascii="Arial" w:eastAsia="Times New Roman" w:hAnsi="Arial" w:cs="Arial"/>
          <w:sz w:val="16"/>
          <w:szCs w:val="16"/>
        </w:rPr>
        <w:t>pany (as defined in Rule 12b-2 of the Exchange Act). Yes</w:t>
      </w:r>
      <w:r>
        <w:rPr>
          <w:rFonts w:ascii="Arial" w:eastAsia="Times New Roman" w:hAnsi="Arial" w:cs="Arial"/>
          <w:sz w:val="20"/>
          <w:szCs w:val="20"/>
        </w:rPr>
        <w:t xml:space="preserve"> </w:t>
      </w:r>
      <w:r>
        <w:rPr>
          <w:rFonts w:ascii="Segoe UI Symbol" w:eastAsia="Times New Roman" w:hAnsi="Segoe UI Symbol" w:cs="Segoe UI Symbol"/>
          <w:sz w:val="20"/>
          <w:szCs w:val="20"/>
        </w:rPr>
        <w:t>☐</w:t>
      </w:r>
      <w:r>
        <w:rPr>
          <w:rFonts w:ascii="Arial" w:eastAsia="Times New Roman" w:hAnsi="Arial" w:cs="Arial"/>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x</w:t>
      </w:r>
    </w:p>
    <w:p w:rsidR="00000000" w:rsidRDefault="00E617AE">
      <w:pPr>
        <w:spacing w:line="288" w:lineRule="auto"/>
        <w:divId w:val="118913864"/>
        <w:rPr>
          <w:rFonts w:eastAsia="Times New Roman"/>
          <w:sz w:val="20"/>
          <w:szCs w:val="20"/>
        </w:rPr>
      </w:pPr>
      <w:r>
        <w:rPr>
          <w:rFonts w:ascii="Arial" w:eastAsia="Times New Roman" w:hAnsi="Arial" w:cs="Arial"/>
          <w:sz w:val="16"/>
          <w:szCs w:val="16"/>
        </w:rPr>
        <w:t>The registrant had 2,025,101,269 common shares outstanding as at April 30, 2020.</w:t>
      </w:r>
    </w:p>
    <w:tbl>
      <w:tblPr>
        <w:tblW w:w="4990" w:type="pct"/>
        <w:tblCellMar>
          <w:left w:w="0" w:type="dxa"/>
          <w:right w:w="0" w:type="dxa"/>
        </w:tblCellMar>
        <w:tblLook w:val="04A0" w:firstRow="1" w:lastRow="0" w:firstColumn="1" w:lastColumn="0" w:noHBand="0" w:noVBand="1"/>
      </w:tblPr>
      <w:tblGrid>
        <w:gridCol w:w="8289"/>
      </w:tblGrid>
      <w:tr w:rsidR="00000000">
        <w:trPr>
          <w:divId w:val="464738181"/>
        </w:trPr>
        <w:tc>
          <w:tcPr>
            <w:tcW w:w="0" w:type="auto"/>
            <w:vAlign w:val="center"/>
            <w:hideMark/>
          </w:tcPr>
          <w:p w:rsidR="00000000" w:rsidRDefault="00E617AE">
            <w:pPr>
              <w:spacing w:line="288" w:lineRule="auto"/>
              <w:rPr>
                <w:rFonts w:eastAsia="Times New Roman"/>
                <w:sz w:val="20"/>
                <w:szCs w:val="20"/>
              </w:rPr>
            </w:pPr>
          </w:p>
        </w:tc>
      </w:tr>
      <w:tr w:rsidR="00000000">
        <w:trPr>
          <w:divId w:val="464738181"/>
        </w:trPr>
        <w:tc>
          <w:tcPr>
            <w:tcW w:w="5000" w:type="pct"/>
            <w:vAlign w:val="center"/>
            <w:hideMark/>
          </w:tcPr>
          <w:p w:rsidR="00000000" w:rsidRDefault="00E617AE">
            <w:pPr>
              <w:rPr>
                <w:rFonts w:eastAsia="Times New Roman"/>
                <w:sz w:val="20"/>
                <w:szCs w:val="20"/>
              </w:rPr>
            </w:pPr>
          </w:p>
        </w:tc>
      </w:tr>
      <w:tr w:rsidR="00000000">
        <w:trPr>
          <w:divId w:val="46473818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143617622"/>
              <w:rPr>
                <w:rFonts w:eastAsia="Times New Roman"/>
                <w:sz w:val="20"/>
                <w:szCs w:val="20"/>
              </w:rPr>
            </w:pPr>
            <w:r>
              <w:rPr>
                <w:rFonts w:ascii="inherit" w:eastAsia="Times New Roman" w:hAnsi="inherit"/>
                <w:sz w:val="20"/>
                <w:szCs w:val="20"/>
              </w:rPr>
              <w:t> </w:t>
            </w:r>
          </w:p>
        </w:tc>
      </w:tr>
    </w:tbl>
    <w:p w:rsidR="00000000" w:rsidRDefault="00E617AE">
      <w:pPr>
        <w:divId w:val="90225645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w:t>
      </w:r>
    </w:p>
    <w:p w:rsidR="00000000" w:rsidRDefault="00E617AE">
      <w:pPr>
        <w:divId w:val="118913864"/>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E617AE">
      <w:pPr>
        <w:divId w:val="903176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6562"/>
        <w:gridCol w:w="914"/>
      </w:tblGrid>
      <w:tr w:rsidR="00000000">
        <w:trPr>
          <w:divId w:val="2069068203"/>
          <w:jc w:val="center"/>
        </w:trPr>
        <w:tc>
          <w:tcPr>
            <w:tcW w:w="0" w:type="auto"/>
            <w:gridSpan w:val="3"/>
            <w:vAlign w:val="center"/>
            <w:hideMark/>
          </w:tcPr>
          <w:p w:rsidR="00000000" w:rsidRDefault="00E617AE">
            <w:pPr>
              <w:rPr>
                <w:rFonts w:eastAsia="Times New Roman"/>
                <w:sz w:val="20"/>
                <w:szCs w:val="20"/>
              </w:rPr>
            </w:pPr>
          </w:p>
        </w:tc>
      </w:tr>
      <w:tr w:rsidR="00000000">
        <w:trPr>
          <w:divId w:val="2069068203"/>
          <w:jc w:val="center"/>
        </w:trPr>
        <w:tc>
          <w:tcPr>
            <w:tcW w:w="500" w:type="pct"/>
            <w:vAlign w:val="center"/>
            <w:hideMark/>
          </w:tcPr>
          <w:p w:rsidR="00000000" w:rsidRDefault="00E617AE">
            <w:pPr>
              <w:rPr>
                <w:rFonts w:eastAsia="Times New Roman"/>
                <w:sz w:val="20"/>
                <w:szCs w:val="20"/>
              </w:rPr>
            </w:pPr>
          </w:p>
        </w:tc>
        <w:tc>
          <w:tcPr>
            <w:tcW w:w="39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r>
      <w:tr w:rsidR="00000000">
        <w:trPr>
          <w:divId w:val="2069068203"/>
          <w:jc w:val="center"/>
        </w:trPr>
        <w:tc>
          <w:tcPr>
            <w:tcW w:w="0" w:type="auto"/>
            <w:tcMar>
              <w:top w:w="30" w:type="dxa"/>
              <w:left w:w="30" w:type="dxa"/>
              <w:bottom w:w="30" w:type="dxa"/>
              <w:right w:w="30" w:type="dxa"/>
            </w:tcMar>
            <w:vAlign w:val="bottom"/>
            <w:hideMark/>
          </w:tcPr>
          <w:p w:rsidR="00000000" w:rsidRDefault="00E617AE">
            <w:pPr>
              <w:divId w:val="1889485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20125621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Page</w:t>
            </w:r>
          </w:p>
        </w:tc>
      </w:tr>
      <w:tr w:rsidR="00000000">
        <w:trPr>
          <w:divId w:val="2069068203"/>
          <w:jc w:val="center"/>
        </w:trPr>
        <w:tc>
          <w:tcPr>
            <w:tcW w:w="0" w:type="auto"/>
            <w:tcMar>
              <w:top w:w="30" w:type="dxa"/>
              <w:left w:w="30" w:type="dxa"/>
              <w:bottom w:w="30" w:type="dxa"/>
              <w:right w:w="30" w:type="dxa"/>
            </w:tcMar>
            <w:vAlign w:val="bottom"/>
            <w:hideMark/>
          </w:tcPr>
          <w:p w:rsidR="00000000" w:rsidRDefault="00E617AE">
            <w:pPr>
              <w:divId w:val="89327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A4708DE32C415F1B85349C9BCCF201ED" w:history="1">
              <w:r>
                <w:rPr>
                  <w:rStyle w:val="a3"/>
                  <w:rFonts w:ascii="Arial" w:eastAsia="Times New Roman" w:hAnsi="Arial" w:cs="Arial"/>
                  <w:sz w:val="20"/>
                  <w:szCs w:val="20"/>
                </w:rPr>
                <w:t>Financial Statements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A4708DE32C415F1B85349C9BCCF201ED" w:history="1">
              <w:r>
                <w:rPr>
                  <w:rStyle w:val="a3"/>
                  <w:rFonts w:ascii="Arial" w:eastAsia="Times New Roman" w:hAnsi="Arial" w:cs="Arial"/>
                  <w:sz w:val="20"/>
                  <w:szCs w:val="20"/>
                </w:rPr>
                <w:t>6</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7D1A47E6D3DB5E2F9FC76F39A935BD38"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7D1A47E6D3DB5E2F9FC76F39A935BD38" w:history="1">
              <w:r>
                <w:rPr>
                  <w:rStyle w:val="a3"/>
                  <w:rFonts w:ascii="Arial" w:eastAsia="Times New Roman" w:hAnsi="Arial" w:cs="Arial"/>
                  <w:sz w:val="20"/>
                  <w:szCs w:val="20"/>
                </w:rPr>
                <w:t>36</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577DA82A133852C89F42181EC3725E4D"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577DA82A133852C89F42181EC3725E4D" w:history="1">
              <w:r>
                <w:rPr>
                  <w:rStyle w:val="a3"/>
                  <w:rFonts w:ascii="Arial" w:eastAsia="Times New Roman" w:hAnsi="Arial" w:cs="Arial"/>
                  <w:sz w:val="20"/>
                  <w:szCs w:val="20"/>
                </w:rPr>
                <w:t>54</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8A9C01F8E60D5DA29E01E0DB77529093"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8A9C01F8E60D5DA29E01E0DB77529093" w:history="1">
              <w:r>
                <w:rPr>
                  <w:rStyle w:val="a3"/>
                  <w:rFonts w:ascii="Arial" w:eastAsia="Times New Roman" w:hAnsi="Arial" w:cs="Arial"/>
                  <w:sz w:val="20"/>
                  <w:szCs w:val="20"/>
                </w:rPr>
                <w:t>54</w:t>
              </w:r>
            </w:hyperlink>
          </w:p>
        </w:tc>
      </w:tr>
      <w:tr w:rsidR="00000000">
        <w:trPr>
          <w:divId w:val="2069068203"/>
          <w:jc w:val="center"/>
        </w:trPr>
        <w:tc>
          <w:tcPr>
            <w:tcW w:w="0" w:type="auto"/>
            <w:tcMar>
              <w:top w:w="30" w:type="dxa"/>
              <w:left w:w="30" w:type="dxa"/>
              <w:bottom w:w="30" w:type="dxa"/>
              <w:right w:w="30" w:type="dxa"/>
            </w:tcMar>
            <w:vAlign w:val="bottom"/>
            <w:hideMark/>
          </w:tcPr>
          <w:p w:rsidR="00000000" w:rsidRDefault="00E617AE">
            <w:pPr>
              <w:divId w:val="7944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rsidR="00000000" w:rsidRDefault="00E617AE">
            <w:pPr>
              <w:divId w:val="688336915"/>
              <w:rPr>
                <w:rFonts w:eastAsia="Times New Roman"/>
                <w:sz w:val="20"/>
                <w:szCs w:val="20"/>
              </w:rPr>
            </w:pPr>
            <w:r>
              <w:rPr>
                <w:rFonts w:ascii="inherit" w:eastAsia="Times New Roman" w:hAnsi="inherit"/>
                <w:sz w:val="20"/>
                <w:szCs w:val="20"/>
              </w:rPr>
              <w:t> </w:t>
            </w:r>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9F853C8359E957C08EBFFF99DF069E4D"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9F853C8359E957C08EBFFF99DF069E4D" w:history="1">
              <w:r>
                <w:rPr>
                  <w:rStyle w:val="a3"/>
                  <w:rFonts w:ascii="Arial" w:eastAsia="Times New Roman" w:hAnsi="Arial" w:cs="Arial"/>
                  <w:sz w:val="20"/>
                  <w:szCs w:val="20"/>
                </w:rPr>
                <w:t>55</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57343CC2F03F587E8C7ACAC35B885A86"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57343CC2F03F587E8C7ACAC35B885A86" w:history="1">
              <w:r>
                <w:rPr>
                  <w:rStyle w:val="a3"/>
                  <w:rFonts w:ascii="Arial" w:eastAsia="Times New Roman" w:hAnsi="Arial" w:cs="Arial"/>
                  <w:sz w:val="20"/>
                  <w:szCs w:val="20"/>
                </w:rPr>
                <w:t>55</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2FFCE4D881305B559A564EF0C7E7D725" w:history="1">
              <w:r>
                <w:rPr>
                  <w:rStyle w:val="a3"/>
                  <w:rFonts w:ascii="Arial" w:eastAsia="Times New Roman" w:hAnsi="Arial" w:cs="Arial"/>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2FFCE4D881305B559A564EF0C7E7D725" w:history="1">
              <w:r>
                <w:rPr>
                  <w:rStyle w:val="a3"/>
                  <w:rFonts w:ascii="Arial" w:eastAsia="Times New Roman" w:hAnsi="Arial" w:cs="Arial"/>
                  <w:sz w:val="20"/>
                  <w:szCs w:val="20"/>
                </w:rPr>
                <w:t>58</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446A630D8DF1565B85CA2DE45BC6A040" w:history="1">
              <w:r>
                <w:rPr>
                  <w:rStyle w:val="a3"/>
                  <w:rFonts w:ascii="Arial" w:eastAsia="Times New Roman" w:hAnsi="Arial" w:cs="Arial"/>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446A630D8DF1565B85CA2DE45BC6A040" w:history="1">
              <w:r>
                <w:rPr>
                  <w:rStyle w:val="a3"/>
                  <w:rFonts w:ascii="Arial" w:eastAsia="Times New Roman" w:hAnsi="Arial" w:cs="Arial"/>
                  <w:sz w:val="20"/>
                  <w:szCs w:val="20"/>
                </w:rPr>
                <w:t>58</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BB3734923B0659C1B882CA65E225BC76"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BB3734923B0659C1B882CA65E225BC76" w:history="1">
              <w:r>
                <w:rPr>
                  <w:rStyle w:val="a3"/>
                  <w:rFonts w:ascii="Arial" w:eastAsia="Times New Roman" w:hAnsi="Arial" w:cs="Arial"/>
                  <w:sz w:val="20"/>
                  <w:szCs w:val="20"/>
                </w:rPr>
                <w:t>58</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5.</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B80869290D3A5BBBA9DF685DC251B883"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B80869290D3A5BBBA9DF685DC251B883" w:history="1">
              <w:r>
                <w:rPr>
                  <w:rStyle w:val="a3"/>
                  <w:rFonts w:ascii="Arial" w:eastAsia="Times New Roman" w:hAnsi="Arial" w:cs="Arial"/>
                  <w:sz w:val="20"/>
                  <w:szCs w:val="20"/>
                </w:rPr>
                <w:t>58</w:t>
              </w:r>
            </w:hyperlink>
          </w:p>
        </w:tc>
      </w:tr>
      <w:tr w:rsidR="00000000">
        <w:trPr>
          <w:divId w:val="206906820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7BFBC120C5235AA68AFC2649BF01D90C" w:history="1">
              <w:r>
                <w:rPr>
                  <w:rStyle w:val="a3"/>
                  <w:rFonts w:ascii="Arial" w:eastAsia="Times New Roman" w:hAnsi="Arial" w:cs="Arial"/>
                  <w:sz w:val="20"/>
                  <w:szCs w:val="20"/>
                </w:rPr>
                <w:t>Exhibits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7BFBC120C5235AA68AFC2649BF01D90C" w:history="1">
              <w:r>
                <w:rPr>
                  <w:rStyle w:val="a3"/>
                  <w:rFonts w:ascii="Arial" w:eastAsia="Times New Roman" w:hAnsi="Arial" w:cs="Arial"/>
                  <w:sz w:val="20"/>
                  <w:szCs w:val="20"/>
                </w:rPr>
                <w:t>59</w:t>
              </w:r>
            </w:hyperlink>
          </w:p>
        </w:tc>
      </w:tr>
      <w:tr w:rsidR="00000000">
        <w:trPr>
          <w:divId w:val="2069068203"/>
          <w:jc w:val="center"/>
        </w:trPr>
        <w:tc>
          <w:tcPr>
            <w:tcW w:w="0" w:type="auto"/>
            <w:tcMar>
              <w:top w:w="30" w:type="dxa"/>
              <w:left w:w="30" w:type="dxa"/>
              <w:bottom w:w="30" w:type="dxa"/>
              <w:right w:w="30" w:type="dxa"/>
            </w:tcMar>
            <w:vAlign w:val="bottom"/>
            <w:hideMark/>
          </w:tcPr>
          <w:p w:rsidR="00000000" w:rsidRDefault="00E617AE">
            <w:pPr>
              <w:divId w:val="148635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hyperlink w:anchor="s384E3EC3D98356A4BE8BC14CE6C7C1FD"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hyperlink w:anchor="s384E3EC3D98356A4BE8BC14CE6C7C1FD" w:history="1">
              <w:r>
                <w:rPr>
                  <w:rStyle w:val="a3"/>
                  <w:rFonts w:ascii="Arial" w:eastAsia="Times New Roman" w:hAnsi="Arial" w:cs="Arial"/>
                  <w:sz w:val="20"/>
                  <w:szCs w:val="20"/>
                </w:rPr>
                <w:t>60</w:t>
              </w:r>
            </w:hyperlink>
          </w:p>
        </w:tc>
      </w:tr>
    </w:tbl>
    <w:p w:rsidR="00000000" w:rsidRDefault="00E617AE">
      <w:pPr>
        <w:spacing w:line="288" w:lineRule="auto"/>
        <w:divId w:val="118913864"/>
        <w:rPr>
          <w:rFonts w:eastAsia="Times New Roman"/>
          <w:sz w:val="20"/>
          <w:szCs w:val="20"/>
        </w:rPr>
      </w:pPr>
    </w:p>
    <w:p w:rsidR="00000000" w:rsidRDefault="00E617AE">
      <w:pPr>
        <w:divId w:val="982320125"/>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w:t>
      </w:r>
    </w:p>
    <w:p w:rsidR="00000000" w:rsidRDefault="00E617AE">
      <w:pPr>
        <w:divId w:val="118913864"/>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E617AE">
      <w:pPr>
        <w:divId w:val="2119058098"/>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GLOSSARY</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1661"/>
        <w:gridCol w:w="6645"/>
      </w:tblGrid>
      <w:tr w:rsidR="00000000">
        <w:trPr>
          <w:divId w:val="427507524"/>
        </w:trPr>
        <w:tc>
          <w:tcPr>
            <w:tcW w:w="0" w:type="auto"/>
            <w:gridSpan w:val="2"/>
            <w:vAlign w:val="center"/>
            <w:hideMark/>
          </w:tcPr>
          <w:p w:rsidR="00000000" w:rsidRDefault="00E617AE">
            <w:pPr>
              <w:spacing w:line="288" w:lineRule="auto"/>
              <w:rPr>
                <w:rFonts w:eastAsia="Times New Roman"/>
                <w:sz w:val="20"/>
                <w:szCs w:val="20"/>
              </w:rPr>
            </w:pPr>
          </w:p>
        </w:tc>
      </w:tr>
      <w:tr w:rsidR="00000000">
        <w:trPr>
          <w:divId w:val="427507524"/>
        </w:trPr>
        <w:tc>
          <w:tcPr>
            <w:tcW w:w="1000" w:type="pct"/>
            <w:vAlign w:val="center"/>
            <w:hideMark/>
          </w:tcPr>
          <w:p w:rsidR="00000000" w:rsidRDefault="00E617AE">
            <w:pPr>
              <w:rPr>
                <w:rFonts w:eastAsia="Times New Roman"/>
                <w:sz w:val="20"/>
                <w:szCs w:val="20"/>
              </w:rPr>
            </w:pPr>
          </w:p>
        </w:tc>
        <w:tc>
          <w:tcPr>
            <w:tcW w:w="4000" w:type="pct"/>
            <w:vAlign w:val="center"/>
            <w:hideMark/>
          </w:tcPr>
          <w:p w:rsidR="00000000" w:rsidRDefault="00E617AE">
            <w:pPr>
              <w:rPr>
                <w:rFonts w:eastAsia="Times New Roman"/>
                <w:sz w:val="20"/>
                <w:szCs w:val="20"/>
              </w:rPr>
            </w:pPr>
          </w:p>
        </w:tc>
      </w:tr>
      <w:tr w:rsidR="00000000">
        <w:trPr>
          <w:divId w:val="427507524"/>
        </w:trPr>
        <w:tc>
          <w:tcPr>
            <w:tcW w:w="0" w:type="auto"/>
            <w:tcMar>
              <w:top w:w="30" w:type="dxa"/>
              <w:left w:w="30" w:type="dxa"/>
              <w:bottom w:w="30" w:type="dxa"/>
              <w:right w:w="30" w:type="dxa"/>
            </w:tcMar>
            <w:vAlign w:val="bottom"/>
            <w:hideMark/>
          </w:tcPr>
          <w:p w:rsidR="00000000" w:rsidRDefault="00E617AE">
            <w:pPr>
              <w:divId w:val="1279991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2043742284"/>
              <w:rPr>
                <w:rFonts w:eastAsia="Times New Roman"/>
                <w:sz w:val="20"/>
                <w:szCs w:val="20"/>
              </w:rPr>
            </w:pPr>
            <w:r>
              <w:rPr>
                <w:rFonts w:ascii="inherit" w:eastAsia="Times New Roman" w:hAnsi="inherit"/>
                <w:sz w:val="20"/>
                <w:szCs w:val="20"/>
              </w:rPr>
              <w:t> </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Accumulated other comprehensive income/(loss)</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Army Corps</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United States Army Corps of Engineers</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ASC</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Accounting Standards Codification</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Accounting Standards Update</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CPP Investments</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Canada Pension Plan Investment Board</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DCP Midstream</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DCP Midstream, LLC</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Enbridge Energy Partners, L.P.</w:t>
            </w:r>
          </w:p>
        </w:tc>
      </w:tr>
      <w:tr w:rsidR="00000000">
        <w:trPr>
          <w:divId w:val="427507524"/>
        </w:trPr>
        <w:tc>
          <w:tcPr>
            <w:tcW w:w="0" w:type="auto"/>
            <w:tcMar>
              <w:top w:w="30" w:type="dxa"/>
              <w:left w:w="30" w:type="dxa"/>
              <w:bottom w:w="30" w:type="dxa"/>
              <w:right w:w="30" w:type="dxa"/>
            </w:tcMar>
            <w:vAlign w:val="center"/>
            <w:hideMark/>
          </w:tcPr>
          <w:p w:rsidR="00000000" w:rsidRDefault="00E617AE">
            <w:pPr>
              <w:rPr>
                <w:rFonts w:eastAsia="Times New Roman"/>
                <w:sz w:val="20"/>
                <w:szCs w:val="20"/>
              </w:rPr>
            </w:pPr>
            <w:r>
              <w:rPr>
                <w:rFonts w:ascii="Arial" w:eastAsia="Times New Roman" w:hAnsi="Arial" w:cs="Arial"/>
                <w:sz w:val="20"/>
                <w:szCs w:val="20"/>
              </w:rPr>
              <w:t>EMF</w:t>
            </w:r>
          </w:p>
        </w:tc>
        <w:tc>
          <w:tcPr>
            <w:tcW w:w="0" w:type="auto"/>
            <w:tcMar>
              <w:top w:w="30" w:type="dxa"/>
              <w:left w:w="30" w:type="dxa"/>
              <w:bottom w:w="30" w:type="dxa"/>
              <w:right w:w="30" w:type="dxa"/>
            </w:tcMar>
            <w:vAlign w:val="center"/>
            <w:hideMark/>
          </w:tcPr>
          <w:p w:rsidR="00000000" w:rsidRDefault="00E617AE">
            <w:pPr>
              <w:rPr>
                <w:rFonts w:eastAsia="Times New Roman"/>
                <w:sz w:val="20"/>
                <w:szCs w:val="20"/>
              </w:rPr>
            </w:pPr>
            <w:r>
              <w:rPr>
                <w:rFonts w:ascii="Arial" w:eastAsia="Times New Roman" w:hAnsi="Arial" w:cs="Arial"/>
                <w:sz w:val="20"/>
                <w:szCs w:val="20"/>
              </w:rPr>
              <w:t>Éolien Maritime France SAS</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Enbridge Inc.</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kbpd</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thousands of barrels per day</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Natural gas liquids</w:t>
            </w: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OCI</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Other comprehensive income</w:t>
            </w:r>
            <w:r>
              <w:rPr>
                <w:rFonts w:ascii="Arial" w:eastAsia="Times New Roman" w:hAnsi="Arial" w:cs="Arial"/>
                <w:sz w:val="20"/>
                <w:szCs w:val="20"/>
              </w:rPr>
              <w:t>/(loss)</w:t>
            </w:r>
          </w:p>
        </w:tc>
      </w:tr>
      <w:tr w:rsidR="00000000">
        <w:trPr>
          <w:divId w:val="42750752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The Partnerships</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Spectra Energy Partners, LP (SEP) and Enbridge Energy Partners, L.P. (EEP)</w:t>
            </w:r>
          </w:p>
          <w:p w:rsidR="00000000" w:rsidRDefault="00E617AE">
            <w:pPr>
              <w:rPr>
                <w:rFonts w:eastAsia="Times New Roman"/>
                <w:sz w:val="20"/>
                <w:szCs w:val="20"/>
              </w:rPr>
            </w:pP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lastRenderedPageBreak/>
              <w:t>Exchange Act</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United States Securities Exchange Act of 1934, as amended</w:t>
            </w:r>
          </w:p>
          <w:p w:rsidR="00000000" w:rsidRDefault="00E617AE">
            <w:pPr>
              <w:rPr>
                <w:rFonts w:eastAsia="Times New Roman"/>
                <w:sz w:val="20"/>
                <w:szCs w:val="20"/>
              </w:rPr>
            </w:pPr>
          </w:p>
        </w:tc>
      </w:tr>
      <w:tr w:rsidR="00000000">
        <w:trPr>
          <w:divId w:val="427507524"/>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SEP</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Spectra Energy Partners, LP</w:t>
            </w:r>
          </w:p>
        </w:tc>
      </w:tr>
    </w:tbl>
    <w:p w:rsidR="00000000" w:rsidRDefault="00E617AE">
      <w:pPr>
        <w:divId w:val="69207001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w:t>
      </w:r>
    </w:p>
    <w:p w:rsidR="00000000" w:rsidRDefault="00E617AE">
      <w:pPr>
        <w:divId w:val="118913864"/>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E617AE">
      <w:pPr>
        <w:divId w:val="2072344413"/>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CONVENTIONS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sz w:val="20"/>
          <w:szCs w:val="20"/>
        </w:rPr>
        <w:t>as a precise description of any separate legal entity within Enbridge.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sz w:val="20"/>
          <w:szCs w:val="20"/>
        </w:rPr>
        <w:t>nited States dollars. All amounts are provided on a before tax basis, unless otherwise stated.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FORWARD-LOOKING INFORMATION</w:t>
      </w:r>
    </w:p>
    <w:p w:rsidR="00000000" w:rsidRDefault="00E617AE">
      <w:pPr>
        <w:spacing w:line="288" w:lineRule="auto"/>
        <w:divId w:val="118913864"/>
        <w:rPr>
          <w:rFonts w:eastAsia="Times New Roman"/>
          <w:sz w:val="18"/>
          <w:szCs w:val="18"/>
        </w:rPr>
      </w:pPr>
    </w:p>
    <w:p w:rsidR="00000000" w:rsidRDefault="00E617AE">
      <w:pPr>
        <w:spacing w:line="288" w:lineRule="auto"/>
        <w:divId w:val="118913864"/>
        <w:rPr>
          <w:rFonts w:eastAsia="Times New Roman"/>
          <w:sz w:val="18"/>
          <w:szCs w:val="18"/>
        </w:rPr>
      </w:pPr>
      <w:r>
        <w:rPr>
          <w:rFonts w:ascii="Arial" w:eastAsia="Times New Roman" w:hAnsi="Arial" w:cs="Arial"/>
          <w:i/>
          <w:iCs/>
          <w:sz w:val="18"/>
          <w:szCs w:val="18"/>
        </w:rPr>
        <w:t xml:space="preserve">Forward-looking information, or forward-looking statements, have been included in this quarterly report on Form 10-Q to provide information about us and our subsidiaries and affiliates, including management’s assessment of our and our subsidiaries’ future </w:t>
      </w:r>
      <w:r>
        <w:rPr>
          <w:rFonts w:ascii="Arial" w:eastAsia="Times New Roman" w:hAnsi="Arial" w:cs="Arial"/>
          <w:i/>
          <w:iCs/>
          <w:sz w:val="18"/>
          <w:szCs w:val="18"/>
        </w:rPr>
        <w:t>plans and operations. This information may not be appropriate for other purposes. Forward-looking statements are typically identified by words such as ‘‘anticipate”, “believe”, “estimate”, “expect”, “forecast”, “intend”, “likely”, “plan”, “project”, “targe</w:t>
      </w:r>
      <w:r>
        <w:rPr>
          <w:rFonts w:ascii="Arial" w:eastAsia="Times New Roman" w:hAnsi="Arial" w:cs="Arial"/>
          <w:i/>
          <w:iCs/>
          <w:sz w:val="18"/>
          <w:szCs w:val="18"/>
        </w:rPr>
        <w:t xml:space="preserve">t” and similar words suggesting future outcomes or statements regarding an outlook. Forward-looking information or statements included or incorporated by reference in this document include, but are not limited to, statements with respect to the following: </w:t>
      </w:r>
      <w:r>
        <w:rPr>
          <w:rFonts w:ascii="Arial" w:eastAsia="Times New Roman" w:hAnsi="Arial" w:cs="Arial"/>
          <w:i/>
          <w:iCs/>
          <w:sz w:val="18"/>
          <w:szCs w:val="18"/>
        </w:rPr>
        <w:t>our corporate vision and strategy, including strategic priorities and enablers; the COVID-19 pandemic and the duration and impact thereof; the expected supply of, demand for and prices of crude oil, natural gas, natural gas liquids, liquified natural gas a</w:t>
      </w:r>
      <w:r>
        <w:rPr>
          <w:rFonts w:ascii="Arial" w:eastAsia="Times New Roman" w:hAnsi="Arial" w:cs="Arial"/>
          <w:i/>
          <w:iCs/>
          <w:sz w:val="18"/>
          <w:szCs w:val="18"/>
        </w:rPr>
        <w:t>nd renewable energy; anticipated utilization of our existing assets; expected earnings before interest, income taxes and depreciation and amortization (EBITDA); expected earnings/(loss); expected future cash flows; expected distributable cash flow; expecte</w:t>
      </w:r>
      <w:r>
        <w:rPr>
          <w:rFonts w:ascii="Arial" w:eastAsia="Times New Roman" w:hAnsi="Arial" w:cs="Arial"/>
          <w:i/>
          <w:iCs/>
          <w:sz w:val="18"/>
          <w:szCs w:val="18"/>
        </w:rPr>
        <w:t>d debt-to-EBITDA ratio; financial strength and flexibility; expectations on sources of liquidity and sufficiency of financial resources; expected strategic priorities and performance of the Liquids Pipelines, Gas Transmission and Midstream, Gas Distributio</w:t>
      </w:r>
      <w:r>
        <w:rPr>
          <w:rFonts w:ascii="Arial" w:eastAsia="Times New Roman" w:hAnsi="Arial" w:cs="Arial"/>
          <w:i/>
          <w:iCs/>
          <w:sz w:val="18"/>
          <w:szCs w:val="18"/>
        </w:rPr>
        <w:t>n and Storage, Renewable Power Generation and Energy Services businesses; expected costs related to announced projects and projects under construction; expected in-service dates for announced projects and projects under construction; expected capital expen</w:t>
      </w:r>
      <w:r>
        <w:rPr>
          <w:rFonts w:ascii="Arial" w:eastAsia="Times New Roman" w:hAnsi="Arial" w:cs="Arial"/>
          <w:i/>
          <w:iCs/>
          <w:sz w:val="18"/>
          <w:szCs w:val="18"/>
        </w:rPr>
        <w:t>ditures; expected equity funding requirements for our commercially secured growth program; expected future growth and expansion opportunities; expectations about our joint venture partners’ ability to complete and finance projects under construction; expec</w:t>
      </w:r>
      <w:r>
        <w:rPr>
          <w:rFonts w:ascii="Arial" w:eastAsia="Times New Roman" w:hAnsi="Arial" w:cs="Arial"/>
          <w:i/>
          <w:iCs/>
          <w:sz w:val="18"/>
          <w:szCs w:val="18"/>
        </w:rPr>
        <w:t>ted closing of acquisitions and dispositions and the timing thereof; expected benefits of transactions, including the realization of efficiencies and synergies; expected future actions of regulators and related court proceedings and other litigation; antic</w:t>
      </w:r>
      <w:r>
        <w:rPr>
          <w:rFonts w:ascii="Arial" w:eastAsia="Times New Roman" w:hAnsi="Arial" w:cs="Arial"/>
          <w:i/>
          <w:iCs/>
          <w:sz w:val="18"/>
          <w:szCs w:val="18"/>
        </w:rPr>
        <w:t>ipated competition; United States Line 3 Replacement Program (U.S. L3R Program); Line 5 related matters; estimated future dividends; our dividend payout policy; dividend growth and dividend payout expectation; and expectations on impact of our hedging prog</w:t>
      </w:r>
      <w:r>
        <w:rPr>
          <w:rFonts w:ascii="Arial" w:eastAsia="Times New Roman" w:hAnsi="Arial" w:cs="Arial"/>
          <w:i/>
          <w:iCs/>
          <w:sz w:val="18"/>
          <w:szCs w:val="18"/>
        </w:rPr>
        <w:t xml:space="preserve">ram.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18"/>
          <w:szCs w:val="18"/>
        </w:rPr>
      </w:pPr>
      <w:r>
        <w:rPr>
          <w:rFonts w:ascii="Arial" w:eastAsia="Times New Roman" w:hAnsi="Arial" w:cs="Arial"/>
          <w:i/>
          <w:iCs/>
          <w:sz w:val="18"/>
          <w:szCs w:val="18"/>
        </w:rPr>
        <w:t xml:space="preserve">Although we believe these forward-looking statements are reasonable based on the information available on the date such statements are made and processes used to prepare the information, such statements are not guarantees of future performance and </w:t>
      </w:r>
      <w:r>
        <w:rPr>
          <w:rFonts w:ascii="Arial" w:eastAsia="Times New Roman" w:hAnsi="Arial" w:cs="Arial"/>
          <w:i/>
          <w:iCs/>
          <w:sz w:val="18"/>
          <w:szCs w:val="18"/>
        </w:rPr>
        <w:t>readers are cautioned against placing undue reliance on forward-looking statements. By their nature, these statements involve a variety of assumptions, known and unknown risks and uncertainties and other factors, which may cause actual results, levels of a</w:t>
      </w:r>
      <w:r>
        <w:rPr>
          <w:rFonts w:ascii="Arial" w:eastAsia="Times New Roman" w:hAnsi="Arial" w:cs="Arial"/>
          <w:i/>
          <w:iCs/>
          <w:sz w:val="18"/>
          <w:szCs w:val="18"/>
        </w:rPr>
        <w:t>ctivity and achievements to differ materially from those expressed or implied by such statements. Material assumptions and risks include the following: the COVID-19 pandemic and the duration and impact thereof; the expected supply of and demand for crude o</w:t>
      </w:r>
      <w:r>
        <w:rPr>
          <w:rFonts w:ascii="Arial" w:eastAsia="Times New Roman" w:hAnsi="Arial" w:cs="Arial"/>
          <w:i/>
          <w:iCs/>
          <w:sz w:val="18"/>
          <w:szCs w:val="18"/>
        </w:rPr>
        <w:t xml:space="preserve">il, natural gas, natural gas </w:t>
      </w:r>
      <w:r>
        <w:rPr>
          <w:rFonts w:ascii="Arial" w:eastAsia="Times New Roman" w:hAnsi="Arial" w:cs="Arial"/>
          <w:i/>
          <w:iCs/>
          <w:sz w:val="18"/>
          <w:szCs w:val="18"/>
        </w:rPr>
        <w:lastRenderedPageBreak/>
        <w:t>liquids (NGL) and renewable energy; prices of crude oil, natural gas, NGL and renewable energy, including the current weakness and volatility of such prices; anticipated utilization of our existing assets; exchange rates; infla</w:t>
      </w:r>
      <w:r>
        <w:rPr>
          <w:rFonts w:ascii="Arial" w:eastAsia="Times New Roman" w:hAnsi="Arial" w:cs="Arial"/>
          <w:i/>
          <w:iCs/>
          <w:sz w:val="18"/>
          <w:szCs w:val="18"/>
        </w:rPr>
        <w:t>tion; interest rates; availability and price of labor and construction materials; operational reliability; customer and regulatory approvals; maintenance of support and regulatory approvals for our projects; anticipated in-service dates; weather; the timin</w:t>
      </w:r>
      <w:r>
        <w:rPr>
          <w:rFonts w:ascii="Arial" w:eastAsia="Times New Roman" w:hAnsi="Arial" w:cs="Arial"/>
          <w:i/>
          <w:iCs/>
          <w:sz w:val="18"/>
          <w:szCs w:val="18"/>
        </w:rPr>
        <w:t>g and closing of acquisitions and dispositions; the realization of anticipated benefits and synergies of transactions; governmental legislation; impact of our dividend policy on our future cash flows; our credit ratings; capital project funding; expected E</w:t>
      </w:r>
      <w:r>
        <w:rPr>
          <w:rFonts w:ascii="Arial" w:eastAsia="Times New Roman" w:hAnsi="Arial" w:cs="Arial"/>
          <w:i/>
          <w:iCs/>
          <w:sz w:val="18"/>
          <w:szCs w:val="18"/>
        </w:rPr>
        <w:t>BITDA; expected earnings/(loss); expected future cash flows; expected distributable cash flow; and estimated future dividends. Assumptions regarding the expected supply of and demand for crude oil, natural gas, NGL and renewable energy, and the prices of t</w:t>
      </w:r>
      <w:r>
        <w:rPr>
          <w:rFonts w:ascii="Arial" w:eastAsia="Times New Roman" w:hAnsi="Arial" w:cs="Arial"/>
          <w:i/>
          <w:iCs/>
          <w:sz w:val="18"/>
          <w:szCs w:val="18"/>
        </w:rPr>
        <w:t>hese commodities, are material to and underlie all forward-looking statements, as they may impact current and future levels of demand for our services. Similarly, exchange rates, inflation and interest rates impact the economies and business environments i</w:t>
      </w:r>
      <w:r>
        <w:rPr>
          <w:rFonts w:ascii="Arial" w:eastAsia="Times New Roman" w:hAnsi="Arial" w:cs="Arial"/>
          <w:i/>
          <w:iCs/>
          <w:sz w:val="18"/>
          <w:szCs w:val="18"/>
        </w:rPr>
        <w:t>n which we operate and may impact levels of demand for our services and cost of inputs, and are therefore inherent in all forward-looking statements. Due to the interdependencies and correlation of these macroeconomic factors, the impact of any one assumpt</w:t>
      </w:r>
      <w:r>
        <w:rPr>
          <w:rFonts w:ascii="Arial" w:eastAsia="Times New Roman" w:hAnsi="Arial" w:cs="Arial"/>
          <w:i/>
          <w:iCs/>
          <w:sz w:val="18"/>
          <w:szCs w:val="18"/>
        </w:rPr>
        <w:t xml:space="preserve">ion on a forward-looking statement cannot be determined with certainty, particularly with respect to expected EBITDA, expected earnings/(loss), expected future cash flows, expected distributable cash flow or estimated future dividends. </w:t>
      </w:r>
    </w:p>
    <w:p w:rsidR="00000000" w:rsidRDefault="00E617AE">
      <w:pPr>
        <w:divId w:val="1561868498"/>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w:t>
      </w:r>
    </w:p>
    <w:p w:rsidR="00000000" w:rsidRDefault="00E617AE">
      <w:pPr>
        <w:divId w:val="118913864"/>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E617AE">
      <w:pPr>
        <w:divId w:val="2016573077"/>
        <w:rPr>
          <w:rFonts w:eastAsia="Times New Roman"/>
          <w:sz w:val="20"/>
          <w:szCs w:val="20"/>
        </w:rPr>
      </w:pPr>
    </w:p>
    <w:p w:rsidR="00000000" w:rsidRDefault="00E617AE">
      <w:pPr>
        <w:spacing w:line="288" w:lineRule="auto"/>
        <w:divId w:val="118913864"/>
        <w:rPr>
          <w:rFonts w:eastAsia="Times New Roman"/>
          <w:sz w:val="18"/>
          <w:szCs w:val="18"/>
        </w:rPr>
      </w:pPr>
      <w:r>
        <w:rPr>
          <w:rFonts w:ascii="Arial" w:eastAsia="Times New Roman" w:hAnsi="Arial" w:cs="Arial"/>
          <w:i/>
          <w:iCs/>
          <w:sz w:val="18"/>
          <w:szCs w:val="18"/>
        </w:rPr>
        <w:t>The most relevant assumptions associated with forward-looking statements on announced projects and projects under construction, including estimated completion dates and expected capital expenditures, include the following: the avail</w:t>
      </w:r>
      <w:r>
        <w:rPr>
          <w:rFonts w:ascii="Arial" w:eastAsia="Times New Roman" w:hAnsi="Arial" w:cs="Arial"/>
          <w:i/>
          <w:iCs/>
          <w:sz w:val="18"/>
          <w:szCs w:val="18"/>
        </w:rPr>
        <w:t>ability and price of labor and construction materials; the effects of inflation and foreign exchange rates on labor and material costs; the effects of interest rates on borrowing costs; the impact of weather and customer, government and regulatory approval</w:t>
      </w:r>
      <w:r>
        <w:rPr>
          <w:rFonts w:ascii="Arial" w:eastAsia="Times New Roman" w:hAnsi="Arial" w:cs="Arial"/>
          <w:i/>
          <w:iCs/>
          <w:sz w:val="18"/>
          <w:szCs w:val="18"/>
        </w:rPr>
        <w:t xml:space="preserve">s on construction and in-service schedules and cost recovery regimes; and the COVID-19 pandemic and the duration and impact thereof.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18"/>
          <w:szCs w:val="18"/>
        </w:rPr>
      </w:pPr>
      <w:r>
        <w:rPr>
          <w:rFonts w:ascii="Arial" w:eastAsia="Times New Roman" w:hAnsi="Arial" w:cs="Arial"/>
          <w:i/>
          <w:iCs/>
          <w:sz w:val="18"/>
          <w:szCs w:val="18"/>
        </w:rPr>
        <w:t>Our forward-looking statements are subject to risks and uncertainties pertaining to the successful execution of our stra</w:t>
      </w:r>
      <w:r>
        <w:rPr>
          <w:rFonts w:ascii="Arial" w:eastAsia="Times New Roman" w:hAnsi="Arial" w:cs="Arial"/>
          <w:i/>
          <w:iCs/>
          <w:sz w:val="18"/>
          <w:szCs w:val="18"/>
        </w:rPr>
        <w:t>tegic priorities, operating performance, regulatory parameters, changes in regulations applicable to our business, acquisitions, dispositions and other transactions, our dividend policy, project approval and support, renewals of rights-of-way, weather, eco</w:t>
      </w:r>
      <w:r>
        <w:rPr>
          <w:rFonts w:ascii="Arial" w:eastAsia="Times New Roman" w:hAnsi="Arial" w:cs="Arial"/>
          <w:i/>
          <w:iCs/>
          <w:sz w:val="18"/>
          <w:szCs w:val="18"/>
        </w:rPr>
        <w:t>nomic and competitive conditions, public opinion, changes in tax laws and tax rates, changes in trade agreements, exchange rates, interest rates, commodity prices, political decisions, supply of and demand for commodities, and the COVID-19 pandemic and the</w:t>
      </w:r>
      <w:r>
        <w:rPr>
          <w:rFonts w:ascii="Arial" w:eastAsia="Times New Roman" w:hAnsi="Arial" w:cs="Arial"/>
          <w:i/>
          <w:iCs/>
          <w:sz w:val="18"/>
          <w:szCs w:val="18"/>
        </w:rPr>
        <w:t xml:space="preserve"> duration and impact thereof, including but not limited to those risks and uncertainties discussed in this quarterly report on Form 10-Q and in our other filings with Canadian and United States securities regulators. The impact of any one risk, uncertainty</w:t>
      </w:r>
      <w:r>
        <w:rPr>
          <w:rFonts w:ascii="Arial" w:eastAsia="Times New Roman" w:hAnsi="Arial" w:cs="Arial"/>
          <w:i/>
          <w:iCs/>
          <w:sz w:val="18"/>
          <w:szCs w:val="18"/>
        </w:rPr>
        <w:t xml:space="preserve"> or factor on a particular forward-looking statement is not determinable with certainty as these are interdependent and our future course of action depends on management’s assessment of all information available at the relevant time. Except to the extent r</w:t>
      </w:r>
      <w:r>
        <w:rPr>
          <w:rFonts w:ascii="Arial" w:eastAsia="Times New Roman" w:hAnsi="Arial" w:cs="Arial"/>
          <w:i/>
          <w:iCs/>
          <w:sz w:val="18"/>
          <w:szCs w:val="18"/>
        </w:rPr>
        <w:t>equired by applicable law, Enbridge Inc. assumes no obligation to publicly update or revise any forward-looking statement made in this quarterly report on Form 10-Q or otherwise, whether as a result of new information, future events or otherwise. All forwa</w:t>
      </w:r>
      <w:r>
        <w:rPr>
          <w:rFonts w:ascii="Arial" w:eastAsia="Times New Roman" w:hAnsi="Arial" w:cs="Arial"/>
          <w:i/>
          <w:iCs/>
          <w:sz w:val="18"/>
          <w:szCs w:val="18"/>
        </w:rPr>
        <w:t xml:space="preserve">rd-looking statements, whether written or oral, attributable to us or persons acting on our behalf, are expressly qualified in their entirety by these cautionary statements. </w:t>
      </w:r>
    </w:p>
    <w:p w:rsidR="00000000" w:rsidRDefault="00E617AE">
      <w:pPr>
        <w:spacing w:line="288" w:lineRule="auto"/>
        <w:divId w:val="118913864"/>
        <w:rPr>
          <w:rFonts w:eastAsia="Times New Roman"/>
          <w:sz w:val="20"/>
          <w:szCs w:val="20"/>
        </w:rPr>
      </w:pPr>
    </w:p>
    <w:p w:rsidR="00000000" w:rsidRDefault="00E617AE">
      <w:pPr>
        <w:divId w:val="153060354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w:t>
      </w:r>
    </w:p>
    <w:p w:rsidR="00000000" w:rsidRDefault="00E617AE">
      <w:pPr>
        <w:divId w:val="118913864"/>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E617AE">
      <w:pPr>
        <w:divId w:val="718358473"/>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PART I - FINANCIAL INFORMATION</w:t>
      </w:r>
    </w:p>
    <w:p w:rsidR="00000000" w:rsidRDefault="00E617AE">
      <w:pPr>
        <w:spacing w:line="288" w:lineRule="auto"/>
        <w:jc w:val="center"/>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1. FINANCIAL STATEMENTS</w:t>
      </w:r>
    </w:p>
    <w:p w:rsidR="00000000" w:rsidRDefault="00E617AE">
      <w:pPr>
        <w:spacing w:line="288" w:lineRule="auto"/>
        <w:divId w:val="118913864"/>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ENBRIDGE INC.</w:t>
      </w: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 xml:space="preserve">CONSOLIDATED STATEMENTS OF EARNINGS </w:t>
      </w:r>
    </w:p>
    <w:p w:rsidR="00000000" w:rsidRDefault="00E617AE">
      <w:pPr>
        <w:spacing w:line="288" w:lineRule="auto"/>
        <w:jc w:val="center"/>
        <w:divId w:val="118913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261108327"/>
        </w:trPr>
        <w:tc>
          <w:tcPr>
            <w:tcW w:w="0" w:type="auto"/>
            <w:gridSpan w:val="5"/>
            <w:vAlign w:val="center"/>
            <w:hideMark/>
          </w:tcPr>
          <w:p w:rsidR="00000000" w:rsidRDefault="00E617AE">
            <w:pPr>
              <w:spacing w:line="288" w:lineRule="auto"/>
              <w:jc w:val="center"/>
              <w:rPr>
                <w:rFonts w:eastAsia="Times New Roman"/>
                <w:sz w:val="20"/>
                <w:szCs w:val="20"/>
              </w:rPr>
            </w:pPr>
          </w:p>
        </w:tc>
      </w:tr>
      <w:tr w:rsidR="00000000">
        <w:trPr>
          <w:divId w:val="261108327"/>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divId w:val="197887583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261108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825512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sales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7,389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6,632</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Transportation and other services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3,208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4,348</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Gas distribution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1,416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1,876</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12,013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12,856</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Operating expenses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635063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851647650"/>
              <w:rPr>
                <w:rFonts w:eastAsia="Times New Roman"/>
                <w:sz w:val="20"/>
                <w:szCs w:val="20"/>
              </w:rPr>
            </w:pPr>
            <w:r>
              <w:rPr>
                <w:rFonts w:ascii="inherit" w:eastAsia="Times New Roman" w:hAnsi="inherit"/>
                <w:sz w:val="20"/>
                <w:szCs w:val="20"/>
              </w:rPr>
              <w:t> </w:t>
            </w: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7,163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6,565</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Gas distribution costs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855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1,207</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1,600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1,625</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882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840</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10,500</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10,237</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1,513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2,619</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413</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Impairment of equity investments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(1,736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78280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52208708"/>
              <w:rPr>
                <w:rFonts w:eastAsia="Times New Roman"/>
                <w:sz w:val="20"/>
                <w:szCs w:val="20"/>
              </w:rPr>
            </w:pPr>
            <w:r>
              <w:rPr>
                <w:rFonts w:ascii="inherit" w:eastAsia="Times New Roman" w:hAnsi="inherit"/>
                <w:sz w:val="20"/>
                <w:szCs w:val="20"/>
              </w:rPr>
              <w:t> </w:t>
            </w: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foreign currency gain/(loss)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(956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214</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(191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(706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(685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 before income taxes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(1,913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2,607</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Income tax recovery/(expense) </w:t>
            </w:r>
            <w:r>
              <w:rPr>
                <w:rFonts w:ascii="Arial" w:eastAsia="Times New Roman" w:hAnsi="Arial" w:cs="Arial"/>
                <w:i/>
                <w:iCs/>
                <w:sz w:val="16"/>
                <w:szCs w:val="16"/>
              </w:rPr>
              <w:t>(Note 11)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549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(584</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(1,364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2,023</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(Earnings)/loss attributable to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261108327"/>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(1,333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1,986</w:t>
            </w:r>
          </w:p>
        </w:tc>
        <w:tc>
          <w:tcPr>
            <w:tcW w:w="0" w:type="auto"/>
            <w:vAlign w:val="bottom"/>
            <w:hideMark/>
          </w:tcPr>
          <w:p w:rsidR="00000000" w:rsidRDefault="00E617AE">
            <w:pPr>
              <w:rPr>
                <w:rFonts w:eastAsia="Times New Roman"/>
                <w:sz w:val="20"/>
                <w:szCs w:val="20"/>
              </w:rPr>
            </w:pPr>
          </w:p>
        </w:tc>
      </w:tr>
      <w:tr w:rsidR="00000000">
        <w:trPr>
          <w:divId w:val="261108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261108327"/>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Earnings/(loss) attributable to common shareholders</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(1,429</w:t>
            </w:r>
          </w:p>
        </w:tc>
        <w:tc>
          <w:tcPr>
            <w:tcW w:w="0" w:type="auto"/>
            <w:tcBorders>
              <w:top w:val="single" w:sz="6" w:space="0" w:color="000000"/>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1,891</w:t>
            </w:r>
          </w:p>
        </w:tc>
        <w:tc>
          <w:tcPr>
            <w:tcW w:w="0" w:type="auto"/>
            <w:tcBorders>
              <w:bottom w:val="single" w:sz="8"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Borders>
              <w:bottom w:val="single" w:sz="8"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 xml:space="preserve">Earnings/(loss)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(0.71</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0.94</w:t>
            </w:r>
          </w:p>
        </w:tc>
        <w:tc>
          <w:tcPr>
            <w:tcW w:w="0" w:type="auto"/>
            <w:tcBorders>
              <w:bottom w:val="single" w:sz="8" w:space="0" w:color="000000"/>
            </w:tcBorders>
            <w:vAlign w:val="bottom"/>
            <w:hideMark/>
          </w:tcPr>
          <w:p w:rsidR="00000000" w:rsidRDefault="00E617AE">
            <w:pPr>
              <w:rPr>
                <w:rFonts w:eastAsia="Times New Roman"/>
                <w:sz w:val="20"/>
                <w:szCs w:val="20"/>
              </w:rPr>
            </w:pPr>
          </w:p>
        </w:tc>
      </w:tr>
      <w:tr w:rsidR="00000000">
        <w:trPr>
          <w:divId w:val="261108327"/>
        </w:trPr>
        <w:tc>
          <w:tcPr>
            <w:tcW w:w="0" w:type="auto"/>
            <w:tcBorders>
              <w:bottom w:val="single" w:sz="8"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 xml:space="preserve">Diluted earnings/(loss)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(0.71</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0.94</w:t>
            </w:r>
          </w:p>
        </w:tc>
        <w:tc>
          <w:tcPr>
            <w:tcW w:w="0" w:type="auto"/>
            <w:tcBorders>
              <w:bottom w:val="single" w:sz="8"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E617AE">
      <w:pPr>
        <w:spacing w:line="288" w:lineRule="auto"/>
        <w:divId w:val="118913864"/>
        <w:rPr>
          <w:rFonts w:eastAsia="Times New Roman"/>
          <w:sz w:val="16"/>
          <w:szCs w:val="16"/>
        </w:rPr>
      </w:pPr>
    </w:p>
    <w:p w:rsidR="00000000" w:rsidRDefault="00E617AE">
      <w:pPr>
        <w:spacing w:line="288" w:lineRule="auto"/>
        <w:divId w:val="118913864"/>
        <w:rPr>
          <w:rFonts w:eastAsia="Times New Roman"/>
          <w:sz w:val="20"/>
          <w:szCs w:val="20"/>
        </w:rPr>
      </w:pPr>
    </w:p>
    <w:p w:rsidR="00000000" w:rsidRDefault="00E617AE">
      <w:pPr>
        <w:divId w:val="91405387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6</w:t>
      </w:r>
    </w:p>
    <w:p w:rsidR="00000000" w:rsidRDefault="00E617AE">
      <w:pPr>
        <w:divId w:val="118913864"/>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E617AE">
      <w:pPr>
        <w:divId w:val="1223562576"/>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ENBRIDGE INC.</w:t>
      </w: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CONSOLIDATED STATEMENTS OF COMPREHENSIVE INCOME</w:t>
      </w:r>
    </w:p>
    <w:p w:rsidR="00000000" w:rsidRDefault="00E617AE">
      <w:pPr>
        <w:spacing w:line="288" w:lineRule="auto"/>
        <w:jc w:val="center"/>
        <w:divId w:val="118913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32506112"/>
        </w:trPr>
        <w:tc>
          <w:tcPr>
            <w:tcW w:w="0" w:type="auto"/>
            <w:gridSpan w:val="5"/>
            <w:vAlign w:val="center"/>
            <w:hideMark/>
          </w:tcPr>
          <w:p w:rsidR="00000000" w:rsidRDefault="00E617AE">
            <w:pPr>
              <w:spacing w:line="288" w:lineRule="auto"/>
              <w:jc w:val="center"/>
              <w:rPr>
                <w:rFonts w:eastAsia="Times New Roman"/>
                <w:sz w:val="20"/>
                <w:szCs w:val="20"/>
              </w:rPr>
            </w:pPr>
          </w:p>
        </w:tc>
      </w:tr>
      <w:tr w:rsidR="00000000">
        <w:trPr>
          <w:divId w:val="32506112"/>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32506112"/>
        </w:trPr>
        <w:tc>
          <w:tcPr>
            <w:tcW w:w="0" w:type="auto"/>
            <w:tcMar>
              <w:top w:w="30" w:type="dxa"/>
              <w:left w:w="30" w:type="dxa"/>
              <w:bottom w:w="30" w:type="dxa"/>
              <w:right w:w="30" w:type="dxa"/>
            </w:tcMar>
            <w:vAlign w:val="bottom"/>
            <w:hideMark/>
          </w:tcPr>
          <w:p w:rsidR="00000000" w:rsidRDefault="00E617AE">
            <w:pPr>
              <w:divId w:val="44192566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3250611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32506112"/>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(unaudited; 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(1,364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2,023</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57416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714038091"/>
              <w:rPr>
                <w:rFonts w:eastAsia="Times New Roman"/>
                <w:sz w:val="20"/>
                <w:szCs w:val="20"/>
              </w:rPr>
            </w:pPr>
            <w:r>
              <w:rPr>
                <w:rFonts w:ascii="inherit" w:eastAsia="Times New Roman" w:hAnsi="inherit"/>
                <w:sz w:val="20"/>
                <w:szCs w:val="20"/>
              </w:rPr>
              <w:t> </w:t>
            </w:r>
          </w:p>
        </w:tc>
      </w:tr>
      <w:tr w:rsidR="00000000">
        <w:trPr>
          <w:divId w:val="32506112"/>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Change in unrealized loss on cash flow hedges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(513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(192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32506112"/>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(715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Other comprehensive income/(loss) from equity investees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Excluded components of fair value hedges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Reclassification to earnings of loss on cash flow hedges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Reclassification to earnings of pension and other postretirement benefits (OPEB) amounts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38</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currency translation adjustments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5,637</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(1,291</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3250611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comprehensive income/(loss), net of tax</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4,437</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(1,328</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32506112"/>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Comprehensive income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3,073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695</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Comprehensive (income)/loss attributable to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(145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13</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32506112"/>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Comprehensive income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2,928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708</w:t>
            </w:r>
          </w:p>
        </w:tc>
        <w:tc>
          <w:tcPr>
            <w:tcW w:w="0" w:type="auto"/>
            <w:vAlign w:val="bottom"/>
            <w:hideMark/>
          </w:tcPr>
          <w:p w:rsidR="00000000" w:rsidRDefault="00E617AE">
            <w:pPr>
              <w:rPr>
                <w:rFonts w:eastAsia="Times New Roman"/>
                <w:sz w:val="20"/>
                <w:szCs w:val="20"/>
              </w:rPr>
            </w:pPr>
          </w:p>
        </w:tc>
      </w:tr>
      <w:tr w:rsidR="00000000">
        <w:trPr>
          <w:divId w:val="3250611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32506112"/>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Comprehensive income attributable to common shareholders</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2,832</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613</w:t>
            </w:r>
          </w:p>
        </w:tc>
        <w:tc>
          <w:tcPr>
            <w:tcW w:w="0" w:type="auto"/>
            <w:tcBorders>
              <w:bottom w:val="single" w:sz="8"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E617AE">
      <w:pPr>
        <w:divId w:val="1782141764"/>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7</w:t>
      </w:r>
    </w:p>
    <w:p w:rsidR="00000000" w:rsidRDefault="00E617AE">
      <w:pPr>
        <w:divId w:val="118913864"/>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E617AE">
      <w:pPr>
        <w:divId w:val="31082398"/>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ENBRIDGE INC.</w:t>
      </w: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CONSOLIDATED STATEMENTS OF CHANGES IN EQUITY</w:t>
      </w:r>
    </w:p>
    <w:tbl>
      <w:tblPr>
        <w:tblW w:w="5000" w:type="pct"/>
        <w:jc w:val="center"/>
        <w:tblCellMar>
          <w:left w:w="0" w:type="dxa"/>
          <w:right w:w="0" w:type="dxa"/>
        </w:tblCellMar>
        <w:tblLook w:val="04A0" w:firstRow="1" w:lastRow="0" w:firstColumn="1" w:lastColumn="0" w:noHBand="0" w:noVBand="1"/>
      </w:tblPr>
      <w:tblGrid>
        <w:gridCol w:w="6478"/>
        <w:gridCol w:w="830"/>
        <w:gridCol w:w="84"/>
        <w:gridCol w:w="830"/>
        <w:gridCol w:w="84"/>
      </w:tblGrid>
      <w:tr w:rsidR="00000000">
        <w:trPr>
          <w:divId w:val="1123497556"/>
          <w:jc w:val="center"/>
        </w:trPr>
        <w:tc>
          <w:tcPr>
            <w:tcW w:w="0" w:type="auto"/>
            <w:gridSpan w:val="5"/>
            <w:vAlign w:val="center"/>
            <w:hideMark/>
          </w:tcPr>
          <w:p w:rsidR="00000000" w:rsidRDefault="00E617AE">
            <w:pPr>
              <w:spacing w:line="288" w:lineRule="auto"/>
              <w:jc w:val="center"/>
              <w:rPr>
                <w:rFonts w:eastAsia="Times New Roman"/>
                <w:sz w:val="30"/>
                <w:szCs w:val="30"/>
              </w:rPr>
            </w:pPr>
          </w:p>
        </w:tc>
      </w:tr>
      <w:tr w:rsidR="00000000">
        <w:trPr>
          <w:divId w:val="1123497556"/>
          <w:jc w:val="center"/>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bottom"/>
            <w:hideMark/>
          </w:tcPr>
          <w:p w:rsidR="00000000" w:rsidRDefault="00E617AE">
            <w:pPr>
              <w:divId w:val="57058028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16"/>
                <w:szCs w:val="16"/>
              </w:rPr>
            </w:pPr>
            <w:r>
              <w:rPr>
                <w:rFonts w:ascii="Arial" w:eastAsia="Times New Roman" w:hAnsi="Arial" w:cs="Arial"/>
                <w:sz w:val="16"/>
                <w:szCs w:val="16"/>
              </w:rPr>
              <w:t>Three months ended</w:t>
            </w:r>
            <w:r>
              <w:rPr>
                <w:rFonts w:ascii="Arial" w:eastAsia="Times New Roman" w:hAnsi="Arial" w:cs="Arial"/>
                <w:sz w:val="16"/>
                <w:szCs w:val="16"/>
              </w:rPr>
              <w:br/>
              <w:t>March 31,</w:t>
            </w:r>
          </w:p>
        </w:tc>
      </w:tr>
      <w:tr w:rsidR="00000000">
        <w:trPr>
          <w:divId w:val="112349755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2020</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2019</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i/>
                <w:iCs/>
                <w:sz w:val="14"/>
                <w:szCs w:val="14"/>
              </w:rPr>
              <w:t>(unaudited; millions of Canadian dollars, except per share amounts)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734885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492914142"/>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divId w:val="1415664202"/>
              <w:rPr>
                <w:rFonts w:eastAsia="Times New Roman"/>
                <w:sz w:val="16"/>
                <w:szCs w:val="16"/>
              </w:rPr>
            </w:pPr>
            <w:r>
              <w:rPr>
                <w:rFonts w:ascii="Arial" w:eastAsia="Times New Roman" w:hAnsi="Arial" w:cs="Arial"/>
                <w:sz w:val="16"/>
                <w:szCs w:val="16"/>
              </w:rPr>
              <w:t>Preference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108309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110806342"/>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and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divId w:val="2037726557"/>
              <w:rPr>
                <w:rFonts w:eastAsia="Times New Roman"/>
                <w:sz w:val="16"/>
                <w:szCs w:val="16"/>
              </w:rPr>
            </w:pPr>
            <w:r>
              <w:rPr>
                <w:rFonts w:ascii="Arial" w:eastAsia="Times New Roman" w:hAnsi="Arial" w:cs="Arial"/>
                <w:sz w:val="16"/>
                <w:szCs w:val="16"/>
              </w:rPr>
              <w:t>Common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83414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523278859"/>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64,746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64,677</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Shares issued on exercise of stock options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51</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64,760</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64,728</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Additional paid-in capital</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5877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47300655"/>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187</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Stock-based compensation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Options exercised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Change in reciprocal interest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202</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72</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Deficit</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948073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23448348"/>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(6,314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(5,538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Earnings/(loss)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(1,333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1,986</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Preference share dividends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Dividends paid to reciprocal shareholder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divId w:val="354383177"/>
              <w:rPr>
                <w:rFonts w:eastAsia="Times New Roman"/>
                <w:sz w:val="16"/>
                <w:szCs w:val="16"/>
              </w:rPr>
            </w:pPr>
            <w:r>
              <w:rPr>
                <w:rFonts w:ascii="Arial" w:eastAsia="Times New Roman" w:hAnsi="Arial" w:cs="Arial"/>
                <w:sz w:val="16"/>
                <w:szCs w:val="16"/>
              </w:rPr>
              <w:t xml:space="preserve">Modified retrospective adoption of </w:t>
            </w:r>
            <w:r>
              <w:rPr>
                <w:rFonts w:ascii="Arial" w:eastAsia="Times New Roman" w:hAnsi="Arial" w:cs="Arial"/>
                <w:i/>
                <w:iCs/>
                <w:sz w:val="16"/>
                <w:szCs w:val="16"/>
              </w:rPr>
              <w:t xml:space="preserve">ASU 2016-13 Financial Instruments - Credit Losses </w:t>
            </w:r>
            <w:r>
              <w:rPr>
                <w:rFonts w:ascii="Arial" w:eastAsia="Times New Roman" w:hAnsi="Arial" w:cs="Arial"/>
                <w:i/>
                <w:iCs/>
                <w:sz w:val="14"/>
                <w:szCs w:val="14"/>
              </w:rPr>
              <w:t>(Note 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(7,808</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(3,640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Borders>
              <w:top w:val="single" w:sz="6" w:space="0" w:color="000000"/>
            </w:tcBorders>
            <w:tcMar>
              <w:top w:w="30" w:type="dxa"/>
              <w:left w:w="30" w:type="dxa"/>
              <w:bottom w:w="30" w:type="dxa"/>
              <w:right w:w="30" w:type="dxa"/>
            </w:tcMar>
            <w:vAlign w:val="center"/>
            <w:hideMark/>
          </w:tcPr>
          <w:p w:rsidR="00000000" w:rsidRDefault="00E617AE">
            <w:pPr>
              <w:divId w:val="455953541"/>
              <w:rPr>
                <w:rFonts w:eastAsia="Times New Roman"/>
                <w:sz w:val="16"/>
                <w:szCs w:val="16"/>
              </w:rPr>
            </w:pPr>
            <w:r>
              <w:rPr>
                <w:rFonts w:ascii="Arial" w:eastAsia="Times New Roman" w:hAnsi="Arial" w:cs="Arial"/>
                <w:sz w:val="16"/>
                <w:szCs w:val="16"/>
              </w:rPr>
              <w:t xml:space="preserve">Accumulated other comprehensive income/(loss) </w:t>
            </w:r>
            <w:r>
              <w:rPr>
                <w:rFonts w:ascii="Arial" w:eastAsia="Times New Roman" w:hAnsi="Arial" w:cs="Arial"/>
                <w:i/>
                <w:iCs/>
                <w:sz w:val="14"/>
                <w:szCs w:val="14"/>
              </w:rPr>
              <w:t>(Note 8)</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0209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395007006"/>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2,672</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attributable to common shareholders, net of tax</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4,261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(1,278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55</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3,989</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1,449</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Reciprocal shareholding</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divId w:val="1954287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E617AE">
            <w:pPr>
              <w:divId w:val="986014642"/>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Change in reciprocal interest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Total Enbridge Inc. shareholders’ equity</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68,843</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70,305</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Noncontrolling interests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13846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78158548"/>
              <w:rPr>
                <w:rFonts w:eastAsia="Times New Roman"/>
                <w:sz w:val="20"/>
                <w:szCs w:val="20"/>
              </w:rPr>
            </w:pPr>
            <w:r>
              <w:rPr>
                <w:rFonts w:ascii="inherit" w:eastAsia="Times New Roman" w:hAnsi="inherit"/>
                <w:sz w:val="20"/>
                <w:szCs w:val="20"/>
              </w:rPr>
              <w:t> </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3,364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3,965</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Earnings/(loss)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attributable to noncontrolling interests, net of tax</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42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Change in unrealized loss on cash flow hedges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42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Foreign currency translation adjus</w:t>
            </w:r>
            <w:r>
              <w:rPr>
                <w:rFonts w:ascii="Arial" w:eastAsia="Times New Roman" w:hAnsi="Arial" w:cs="Arial"/>
                <w:sz w:val="16"/>
                <w:szCs w:val="16"/>
              </w:rPr>
              <w:t>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176</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Comprehensive income/(loss)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Contributions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Distributions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(46</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Redemption of preferred shares held by subsidiary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23497556"/>
          <w:jc w:val="center"/>
        </w:trPr>
        <w:tc>
          <w:tcPr>
            <w:tcW w:w="0" w:type="auto"/>
            <w:tcMar>
              <w:top w:w="30" w:type="dxa"/>
              <w:left w:w="18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E617AE">
            <w:pPr>
              <w:rPr>
                <w:rFonts w:eastAsia="Times New Roman"/>
                <w:sz w:val="20"/>
                <w:szCs w:val="20"/>
              </w:rPr>
            </w:pPr>
          </w:p>
        </w:tc>
      </w:tr>
      <w:tr w:rsidR="00000000">
        <w:trPr>
          <w:divId w:val="1123497556"/>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3,448</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3,614</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Total equity</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72,291</w:t>
            </w:r>
          </w:p>
        </w:tc>
        <w:tc>
          <w:tcPr>
            <w:tcW w:w="0" w:type="auto"/>
            <w:tcBorders>
              <w:top w:val="single" w:sz="6" w:space="0" w:color="000000"/>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73,919</w:t>
            </w:r>
          </w:p>
        </w:tc>
        <w:tc>
          <w:tcPr>
            <w:tcW w:w="0" w:type="auto"/>
            <w:tcBorders>
              <w:bottom w:val="single" w:sz="8"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Dividends paid per common share</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0.810</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0.738</w:t>
            </w:r>
          </w:p>
        </w:tc>
        <w:tc>
          <w:tcPr>
            <w:tcW w:w="0" w:type="auto"/>
            <w:tcBorders>
              <w:bottom w:val="single" w:sz="8"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bottom w:val="single" w:sz="8" w:space="0" w:color="000000"/>
            </w:tcBorders>
            <w:tcMar>
              <w:top w:w="30" w:type="dxa"/>
              <w:left w:w="30" w:type="dxa"/>
              <w:bottom w:w="30" w:type="dxa"/>
              <w:right w:w="30" w:type="dxa"/>
            </w:tcMar>
            <w:hideMark/>
          </w:tcPr>
          <w:p w:rsidR="00000000" w:rsidRDefault="00E617AE">
            <w:pPr>
              <w:ind w:hanging="180"/>
              <w:rPr>
                <w:rFonts w:eastAsia="Times New Roman"/>
                <w:sz w:val="16"/>
                <w:szCs w:val="16"/>
              </w:rPr>
            </w:pPr>
            <w:r>
              <w:rPr>
                <w:rFonts w:ascii="Arial" w:eastAsia="Times New Roman" w:hAnsi="Arial" w:cs="Arial"/>
                <w:sz w:val="16"/>
                <w:szCs w:val="16"/>
              </w:rPr>
              <w:t xml:space="preserve">Earnings/(loss) per common share attributable to common shareholders </w:t>
            </w:r>
            <w:r>
              <w:rPr>
                <w:rFonts w:ascii="Arial" w:eastAsia="Times New Roman" w:hAnsi="Arial" w:cs="Arial"/>
                <w:i/>
                <w:iCs/>
                <w:sz w:val="14"/>
                <w:szCs w:val="14"/>
              </w:rPr>
              <w:t>(Note 5)</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(0.71</w:t>
            </w:r>
          </w:p>
        </w:tc>
        <w:tc>
          <w:tcPr>
            <w:tcW w:w="0" w:type="auto"/>
            <w:tcBorders>
              <w:top w:val="single" w:sz="8" w:space="0" w:color="000000"/>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0.94</w:t>
            </w:r>
          </w:p>
        </w:tc>
        <w:tc>
          <w:tcPr>
            <w:tcW w:w="0" w:type="auto"/>
            <w:tcBorders>
              <w:top w:val="single" w:sz="8" w:space="0" w:color="000000"/>
              <w:bottom w:val="single" w:sz="8" w:space="0" w:color="000000"/>
            </w:tcBorders>
            <w:vAlign w:val="bottom"/>
            <w:hideMark/>
          </w:tcPr>
          <w:p w:rsidR="00000000" w:rsidRDefault="00E617AE">
            <w:pPr>
              <w:rPr>
                <w:rFonts w:eastAsia="Times New Roman"/>
                <w:sz w:val="20"/>
                <w:szCs w:val="20"/>
              </w:rPr>
            </w:pPr>
          </w:p>
        </w:tc>
      </w:tr>
      <w:tr w:rsidR="00000000">
        <w:trPr>
          <w:divId w:val="1123497556"/>
          <w:jc w:val="center"/>
        </w:trPr>
        <w:tc>
          <w:tcPr>
            <w:tcW w:w="0" w:type="auto"/>
            <w:tcBorders>
              <w:bottom w:val="single" w:sz="8" w:space="0" w:color="000000"/>
            </w:tcBorders>
            <w:tcMar>
              <w:top w:w="30" w:type="dxa"/>
              <w:left w:w="30" w:type="dxa"/>
              <w:bottom w:w="30" w:type="dxa"/>
              <w:right w:w="30" w:type="dxa"/>
            </w:tcMar>
            <w:hideMark/>
          </w:tcPr>
          <w:p w:rsidR="00000000" w:rsidRDefault="00E617AE">
            <w:pPr>
              <w:ind w:hanging="180"/>
              <w:rPr>
                <w:rFonts w:eastAsia="Times New Roman"/>
                <w:sz w:val="16"/>
                <w:szCs w:val="16"/>
              </w:rPr>
            </w:pPr>
            <w:r>
              <w:rPr>
                <w:rFonts w:ascii="Arial" w:eastAsia="Times New Roman" w:hAnsi="Arial" w:cs="Arial"/>
                <w:sz w:val="16"/>
                <w:szCs w:val="16"/>
              </w:rPr>
              <w:t xml:space="preserve">Diluted earnings/(loss) per common share attributable to common shareholders </w:t>
            </w:r>
            <w:r>
              <w:rPr>
                <w:rFonts w:ascii="Arial" w:eastAsia="Times New Roman" w:hAnsi="Arial" w:cs="Arial"/>
                <w:i/>
                <w:iCs/>
                <w:sz w:val="14"/>
                <w:szCs w:val="14"/>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(0.71</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0.94</w:t>
            </w:r>
          </w:p>
        </w:tc>
        <w:tc>
          <w:tcPr>
            <w:tcW w:w="0" w:type="auto"/>
            <w:tcBorders>
              <w:bottom w:val="single" w:sz="8"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E617AE">
      <w:pPr>
        <w:divId w:val="1541017353"/>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8</w:t>
      </w:r>
    </w:p>
    <w:p w:rsidR="00000000" w:rsidRDefault="00E617AE">
      <w:pPr>
        <w:divId w:val="118913864"/>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E617AE">
      <w:pPr>
        <w:divId w:val="1577398791"/>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ENBRIDGE INC.</w:t>
      </w: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CONSOLIDATED STATEMENTS OF CASH FLOWS</w:t>
      </w:r>
    </w:p>
    <w:p w:rsidR="00000000" w:rsidRDefault="00E617AE">
      <w:pPr>
        <w:spacing w:line="288" w:lineRule="auto"/>
        <w:jc w:val="center"/>
        <w:divId w:val="118913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275789956"/>
        </w:trPr>
        <w:tc>
          <w:tcPr>
            <w:tcW w:w="0" w:type="auto"/>
            <w:gridSpan w:val="5"/>
            <w:vAlign w:val="center"/>
            <w:hideMark/>
          </w:tcPr>
          <w:p w:rsidR="00000000" w:rsidRDefault="00E617AE">
            <w:pPr>
              <w:spacing w:line="288" w:lineRule="auto"/>
              <w:jc w:val="center"/>
              <w:rPr>
                <w:rFonts w:eastAsia="Times New Roman"/>
                <w:sz w:val="20"/>
                <w:szCs w:val="20"/>
              </w:rPr>
            </w:pPr>
          </w:p>
        </w:tc>
      </w:tr>
      <w:tr w:rsidR="00000000">
        <w:trPr>
          <w:divId w:val="1275789956"/>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275789956"/>
        </w:trPr>
        <w:tc>
          <w:tcPr>
            <w:tcW w:w="0" w:type="auto"/>
            <w:tcMar>
              <w:top w:w="30" w:type="dxa"/>
              <w:left w:w="30" w:type="dxa"/>
              <w:bottom w:w="30" w:type="dxa"/>
              <w:right w:w="30" w:type="dxa"/>
            </w:tcMar>
            <w:vAlign w:val="bottom"/>
            <w:hideMark/>
          </w:tcPr>
          <w:p w:rsidR="00000000" w:rsidRDefault="00E617AE">
            <w:pPr>
              <w:divId w:val="120540585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18"/>
                <w:szCs w:val="18"/>
              </w:rPr>
            </w:pPr>
            <w:r>
              <w:rPr>
                <w:rFonts w:ascii="Arial" w:eastAsia="Times New Roman" w:hAnsi="Arial" w:cs="Arial"/>
                <w:sz w:val="18"/>
                <w:szCs w:val="18"/>
              </w:rPr>
              <w:t>Three months ended</w:t>
            </w:r>
            <w:r>
              <w:rPr>
                <w:rFonts w:ascii="Arial" w:eastAsia="Times New Roman" w:hAnsi="Arial" w:cs="Arial"/>
                <w:sz w:val="18"/>
                <w:szCs w:val="18"/>
              </w:rPr>
              <w:br/>
              <w:t>March 31,</w:t>
            </w:r>
          </w:p>
        </w:tc>
      </w:tr>
      <w:tr w:rsidR="00000000">
        <w:trPr>
          <w:divId w:val="127578995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8"/>
                <w:szCs w:val="18"/>
              </w:rPr>
            </w:pPr>
            <w:r>
              <w:rPr>
                <w:rFonts w:ascii="Arial" w:eastAsia="Times New Roman" w:hAnsi="Arial" w:cs="Arial"/>
                <w:sz w:val="18"/>
                <w:szCs w:val="18"/>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8"/>
                <w:szCs w:val="18"/>
              </w:rPr>
            </w:pPr>
            <w:r>
              <w:rPr>
                <w:rFonts w:ascii="Arial" w:eastAsia="Times New Roman" w:hAnsi="Arial" w:cs="Arial"/>
                <w:b/>
                <w:bCs/>
                <w:sz w:val="18"/>
                <w:szCs w:val="18"/>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8"/>
                <w:szCs w:val="18"/>
              </w:rPr>
            </w:pPr>
            <w:r>
              <w:rPr>
                <w:rFonts w:ascii="Arial" w:eastAsia="Times New Roman" w:hAnsi="Arial" w:cs="Arial"/>
                <w:sz w:val="18"/>
                <w:szCs w:val="18"/>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(unaudited;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8"/>
                <w:szCs w:val="18"/>
              </w:rPr>
            </w:pPr>
            <w:r>
              <w:rPr>
                <w:rFonts w:ascii="Arial" w:eastAsia="Times New Roman" w:hAnsi="Arial" w:cs="Arial"/>
                <w:sz w:val="18"/>
                <w:szCs w:val="18"/>
              </w:rPr>
              <w:t> </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18"/>
                <w:szCs w:val="18"/>
              </w:rPr>
            </w:pPr>
            <w:r>
              <w:rPr>
                <w:rFonts w:ascii="Arial" w:eastAsia="Times New Roman" w:hAnsi="Arial" w:cs="Arial"/>
                <w:sz w:val="18"/>
                <w:szCs w:val="18"/>
              </w:rPr>
              <w:t> </w:t>
            </w:r>
          </w:p>
        </w:tc>
      </w:tr>
      <w:tr w:rsidR="00000000">
        <w:trPr>
          <w:divId w:val="1275789956"/>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Operating activities</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(1,364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2,023</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Adjustments to reconcile earnings to net cash provided by operating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882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840</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Deferred income tax (recovery)/expense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(713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435</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0" w:type="dxa"/>
              <w:bottom w:w="30" w:type="dxa"/>
              <w:right w:w="30" w:type="dxa"/>
            </w:tcMar>
            <w:vAlign w:val="bottom"/>
            <w:hideMark/>
          </w:tcPr>
          <w:p w:rsidR="00000000" w:rsidRDefault="00E617AE">
            <w:pPr>
              <w:ind w:hanging="180"/>
              <w:divId w:val="1542134575"/>
              <w:rPr>
                <w:rFonts w:eastAsia="Times New Roman"/>
                <w:sz w:val="20"/>
                <w:szCs w:val="20"/>
              </w:rPr>
            </w:pPr>
            <w:r>
              <w:rPr>
                <w:rFonts w:ascii="Arial" w:eastAsia="Times New Roman" w:hAnsi="Arial" w:cs="Arial"/>
                <w:sz w:val="20"/>
                <w:szCs w:val="20"/>
              </w:rPr>
              <w:t xml:space="preserve">Changes in unrealized (gain)/loss on derivative instruments, net </w:t>
            </w:r>
            <w:r>
              <w:rPr>
                <w:rFonts w:ascii="Arial" w:eastAsia="Times New Roman" w:hAnsi="Arial" w:cs="Arial"/>
                <w:i/>
                <w:iCs/>
                <w:sz w:val="16"/>
                <w:szCs w:val="16"/>
              </w:rPr>
              <w:t>(Note 10)</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1,556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(538</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30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 from equity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(413</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30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Distributions from equity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428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466</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0" w:type="dxa"/>
              <w:bottom w:w="30" w:type="dxa"/>
              <w:right w:w="30" w:type="dxa"/>
            </w:tcMar>
            <w:vAlign w:val="bottom"/>
            <w:hideMark/>
          </w:tcPr>
          <w:p w:rsidR="00000000" w:rsidRDefault="00E617AE">
            <w:pPr>
              <w:divId w:val="1571307793"/>
              <w:rPr>
                <w:rFonts w:eastAsia="Times New Roman"/>
                <w:sz w:val="20"/>
                <w:szCs w:val="20"/>
              </w:rPr>
            </w:pPr>
            <w:r>
              <w:rPr>
                <w:rFonts w:ascii="Arial" w:eastAsia="Times New Roman" w:hAnsi="Arial" w:cs="Arial"/>
                <w:sz w:val="20"/>
                <w:szCs w:val="20"/>
              </w:rPr>
              <w:t xml:space="preserve">Impairment of equity investments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1,736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253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Changes in operating assets and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194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(667</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2,809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2,176</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Investing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Capital expenditures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(1,147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(1,612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Long-term investments and restricted long-term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(565</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Distributions from equity investments in excess of cumulative earnings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77</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139</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Additions to intangible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(26</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Affiliate loans,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(84</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(1,270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(2,148</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 xml:space="preserve">Net change in short-term borrowings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(154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Net change in commercial paper and credit facility draws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1,159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2,773</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Debenture and term note issues, net of issue costs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990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1,195</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Debenture and term note repayments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(1,657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(1,789</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Contributions from noncontrolling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Distributions to noncontrolling interests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(46</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 dividends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Common share dividends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(1,641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(1,486</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Redemption of preferred shares held by subsidiary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(300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cash provided by/(used in) financing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(1,386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75789956"/>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75789956"/>
        </w:trPr>
        <w:tc>
          <w:tcPr>
            <w:tcW w:w="0" w:type="auto"/>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increase in cash and cash equivalents and restricted cash</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120</w:t>
            </w:r>
          </w:p>
        </w:tc>
        <w:tc>
          <w:tcPr>
            <w:tcW w:w="0" w:type="auto"/>
            <w:vAlign w:val="bottom"/>
            <w:hideMark/>
          </w:tcPr>
          <w:p w:rsidR="00000000" w:rsidRDefault="00E617AE">
            <w:pPr>
              <w:rPr>
                <w:rFonts w:eastAsia="Times New Roman"/>
                <w:sz w:val="20"/>
                <w:szCs w:val="20"/>
              </w:rPr>
            </w:pPr>
          </w:p>
        </w:tc>
      </w:tr>
      <w:tr w:rsidR="00000000">
        <w:trPr>
          <w:divId w:val="127578995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Cash and cash equivalents and restricted cash at beginning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676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637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75789956"/>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Cash and cash equivalents and restricted cash at end of period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840</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757</w:t>
            </w:r>
          </w:p>
        </w:tc>
        <w:tc>
          <w:tcPr>
            <w:tcW w:w="0" w:type="auto"/>
            <w:tcBorders>
              <w:bottom w:val="single" w:sz="8"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E617AE">
      <w:pPr>
        <w:divId w:val="282003901"/>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9</w:t>
      </w:r>
    </w:p>
    <w:p w:rsidR="00000000" w:rsidRDefault="00E617AE">
      <w:pPr>
        <w:divId w:val="118913864"/>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E617AE">
      <w:pPr>
        <w:divId w:val="785465362"/>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ENBRIDGE INC.</w:t>
      </w: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CONSOLIDATED STATEMENTS OF FINANCIAL POSITION</w:t>
      </w:r>
    </w:p>
    <w:p w:rsidR="00000000" w:rsidRDefault="00E617AE">
      <w:pPr>
        <w:spacing w:line="288" w:lineRule="auto"/>
        <w:jc w:val="center"/>
        <w:divId w:val="118913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613"/>
        <w:gridCol w:w="1212"/>
        <w:gridCol w:w="97"/>
        <w:gridCol w:w="1287"/>
        <w:gridCol w:w="97"/>
      </w:tblGrid>
      <w:tr w:rsidR="00000000">
        <w:trPr>
          <w:divId w:val="1267932303"/>
        </w:trPr>
        <w:tc>
          <w:tcPr>
            <w:tcW w:w="0" w:type="auto"/>
            <w:gridSpan w:val="5"/>
            <w:vAlign w:val="center"/>
            <w:hideMark/>
          </w:tcPr>
          <w:p w:rsidR="00000000" w:rsidRDefault="00E617AE">
            <w:pPr>
              <w:spacing w:line="288" w:lineRule="auto"/>
              <w:jc w:val="center"/>
              <w:rPr>
                <w:rFonts w:eastAsia="Times New Roman"/>
                <w:sz w:val="20"/>
                <w:szCs w:val="20"/>
              </w:rPr>
            </w:pPr>
          </w:p>
        </w:tc>
      </w:tr>
      <w:tr w:rsidR="00000000">
        <w:trPr>
          <w:divId w:val="1267932303"/>
        </w:trPr>
        <w:tc>
          <w:tcPr>
            <w:tcW w:w="340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668967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 xml:space="preserve">March 31, </w:t>
            </w:r>
            <w:r>
              <w:rPr>
                <w:rFonts w:ascii="Arial" w:eastAsia="Times New Roman" w:hAnsi="Arial" w:cs="Arial"/>
                <w:b/>
                <w:bCs/>
                <w:sz w:val="20"/>
                <w:szCs w:val="20"/>
              </w:rPr>
              <w:b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(unaudited; millions of Canadian dollars; number of shares in millions)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Current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799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648</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6,574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6,781</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69</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699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1,299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8,151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8,825</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98,483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93,723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15,986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16,528</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434</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8,155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7,433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2,239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2,173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35,549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33,153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1,248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1,000</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assets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170,254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163,269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divId w:val="18213811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65941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917792875"/>
              <w:rPr>
                <w:rFonts w:eastAsia="Times New Roman"/>
                <w:sz w:val="20"/>
                <w:szCs w:val="20"/>
              </w:rPr>
            </w:pPr>
            <w:r>
              <w:rPr>
                <w:rFonts w:ascii="inherit" w:eastAsia="Times New Roman" w:hAnsi="inherit"/>
                <w:sz w:val="20"/>
                <w:szCs w:val="20"/>
              </w:rPr>
              <w:t> </w:t>
            </w: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Liabilities and equity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Current 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898</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8,306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10,063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divId w:val="2087074469"/>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615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624</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4,221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4,404</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13,988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16,010</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63,571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59,661</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10,499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8,324</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9,905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9,867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97,963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93,862</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Contingencies </w:t>
            </w:r>
            <w:r>
              <w:rPr>
                <w:rFonts w:ascii="Arial" w:eastAsia="Times New Roman" w:hAnsi="Arial" w:cs="Arial"/>
                <w:i/>
                <w:iCs/>
                <w:sz w:val="16"/>
                <w:szCs w:val="16"/>
              </w:rPr>
              <w:t>(Note 13)</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Equity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Share capital</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42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7,747</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7,747</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 xml:space="preserve">Common shares </w:t>
            </w:r>
            <w:r>
              <w:rPr>
                <w:rFonts w:ascii="Arial" w:eastAsia="Times New Roman" w:hAnsi="Arial" w:cs="Arial"/>
                <w:i/>
                <w:iCs/>
                <w:sz w:val="16"/>
                <w:szCs w:val="16"/>
              </w:rPr>
              <w:t>(2,025 and 2,025 outstanding at March 31, 2020 and December 31, 2019, respectively)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64,760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64,746</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Additional paid-in capital</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187</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Deficit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(7,808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(6,314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Accumulated other comprehensive income/(loss) </w:t>
            </w:r>
            <w:r>
              <w:rPr>
                <w:rFonts w:ascii="Arial" w:eastAsia="Times New Roman" w:hAnsi="Arial" w:cs="Arial"/>
                <w:i/>
                <w:iCs/>
                <w:sz w:val="16"/>
                <w:szCs w:val="16"/>
              </w:rPr>
              <w:t>(Note 8)</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3,989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(272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67932303"/>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Reciprocal shareholding</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(51</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67932303"/>
        </w:trPr>
        <w:tc>
          <w:tcPr>
            <w:tcW w:w="0" w:type="auto"/>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Enbridge Inc. shareholders’ equity</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68,843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66,043</w:t>
            </w:r>
          </w:p>
        </w:tc>
        <w:tc>
          <w:tcPr>
            <w:tcW w:w="0" w:type="auto"/>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3,448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3,364</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72,291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69,407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67932303"/>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liabilities and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170,254</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163,269</w:t>
            </w:r>
          </w:p>
        </w:tc>
        <w:tc>
          <w:tcPr>
            <w:tcW w:w="0" w:type="auto"/>
            <w:tcBorders>
              <w:bottom w:val="single" w:sz="8"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E617AE">
      <w:pPr>
        <w:spacing w:line="288" w:lineRule="auto"/>
        <w:divId w:val="118913864"/>
        <w:rPr>
          <w:rFonts w:eastAsia="Times New Roman"/>
          <w:sz w:val="20"/>
          <w:szCs w:val="20"/>
        </w:rPr>
      </w:pPr>
    </w:p>
    <w:p w:rsidR="00000000" w:rsidRDefault="00E617AE">
      <w:pPr>
        <w:divId w:val="72240682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10</w:t>
      </w:r>
    </w:p>
    <w:p w:rsidR="00000000" w:rsidRDefault="00E617AE">
      <w:pPr>
        <w:divId w:val="118913864"/>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E617AE">
      <w:pPr>
        <w:divId w:val="1410232862"/>
        <w:rPr>
          <w:rFonts w:eastAsia="Times New Roman"/>
          <w:sz w:val="20"/>
          <w:szCs w:val="20"/>
        </w:rPr>
      </w:pPr>
    </w:p>
    <w:p w:rsidR="00000000" w:rsidRDefault="00E617AE">
      <w:pPr>
        <w:spacing w:line="288" w:lineRule="auto"/>
        <w:jc w:val="center"/>
        <w:divId w:val="118913864"/>
        <w:rPr>
          <w:rFonts w:eastAsia="Times New Roman"/>
          <w:sz w:val="28"/>
          <w:szCs w:val="28"/>
        </w:rPr>
      </w:pPr>
      <w:r>
        <w:rPr>
          <w:rFonts w:ascii="Arial" w:eastAsia="Times New Roman" w:hAnsi="Arial" w:cs="Arial"/>
          <w:b/>
          <w:bCs/>
          <w:sz w:val="28"/>
          <w:szCs w:val="28"/>
        </w:rPr>
        <w:t>NOTES TO THE INTERIM CONSOLIDATED FINANCIAL STATEMENTS</w:t>
      </w:r>
    </w:p>
    <w:p w:rsidR="00000000" w:rsidRDefault="00E617AE">
      <w:pPr>
        <w:spacing w:line="288" w:lineRule="auto"/>
        <w:jc w:val="center"/>
        <w:divId w:val="118913864"/>
        <w:rPr>
          <w:rFonts w:eastAsia="Times New Roman"/>
          <w:sz w:val="26"/>
          <w:szCs w:val="26"/>
        </w:rPr>
      </w:pPr>
      <w:r>
        <w:rPr>
          <w:rFonts w:ascii="Arial" w:eastAsia="Times New Roman" w:hAnsi="Arial" w:cs="Arial"/>
          <w:i/>
          <w:iCs/>
          <w:sz w:val="26"/>
          <w:szCs w:val="26"/>
        </w:rPr>
        <w:t>(unaudited)</w:t>
      </w:r>
    </w:p>
    <w:p w:rsidR="00000000" w:rsidRDefault="00E617AE">
      <w:pPr>
        <w:spacing w:line="288" w:lineRule="auto"/>
        <w:jc w:val="both"/>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1. BASIS OF PRESENTATION</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accompanying unaudited interim consolidated financial statements of Enbridge Inc. ("we", "our", "us" and "Enbridge") have been prepared in accordance with generally accepted accounting principles in the United States of America (U.S. GAAP) and Regulati</w:t>
      </w:r>
      <w:r>
        <w:rPr>
          <w:rFonts w:ascii="Arial" w:eastAsia="Times New Roman" w:hAnsi="Arial" w:cs="Arial"/>
          <w:sz w:val="20"/>
          <w:szCs w:val="20"/>
        </w:rPr>
        <w:t>on S-X for interim consolidated financial information. They do not include all of the information and notes required by U.S. GAAP for annual consolidated financial statements and should therefore be read in conjunction with our audited consolidated financi</w:t>
      </w:r>
      <w:r>
        <w:rPr>
          <w:rFonts w:ascii="Arial" w:eastAsia="Times New Roman" w:hAnsi="Arial" w:cs="Arial"/>
          <w:sz w:val="20"/>
          <w:szCs w:val="20"/>
        </w:rPr>
        <w:t>al statements and notes for the year ended December 31, 2019. In the opinion of management, the interim consolidated financial statements contain all normal recurring adjustments necessary to present fairly our financial position, results of operations and</w:t>
      </w:r>
      <w:r>
        <w:rPr>
          <w:rFonts w:ascii="Arial" w:eastAsia="Times New Roman" w:hAnsi="Arial" w:cs="Arial"/>
          <w:sz w:val="20"/>
          <w:szCs w:val="20"/>
        </w:rPr>
        <w:t xml:space="preserve"> cash flows for the interim periods reported. These interim consolidated financial statements follow the same significant accounting policies as those included in our audited consolidated financial statements for the year ended December 31, 2019, except fo</w:t>
      </w:r>
      <w:r>
        <w:rPr>
          <w:rFonts w:ascii="Arial" w:eastAsia="Times New Roman" w:hAnsi="Arial" w:cs="Arial"/>
          <w:sz w:val="20"/>
          <w:szCs w:val="20"/>
        </w:rPr>
        <w:t xml:space="preserve">r the adoption of new standards </w:t>
      </w:r>
      <w:r>
        <w:rPr>
          <w:rFonts w:ascii="Arial" w:eastAsia="Times New Roman" w:hAnsi="Arial" w:cs="Arial"/>
          <w:i/>
          <w:iCs/>
          <w:sz w:val="16"/>
          <w:szCs w:val="16"/>
        </w:rPr>
        <w:t>(Note 2)</w:t>
      </w:r>
      <w:r>
        <w:rPr>
          <w:rFonts w:ascii="Arial" w:eastAsia="Times New Roman" w:hAnsi="Arial" w:cs="Arial"/>
          <w:sz w:val="20"/>
          <w:szCs w:val="20"/>
        </w:rPr>
        <w:t>. Amounts are stated in Canadian dollars unless otherwise noted.</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operations and earnings for interim periods can be affected by seasonal fluctuations within the gas distribution utility businesses, as well as o</w:t>
      </w:r>
      <w:r>
        <w:rPr>
          <w:rFonts w:ascii="Arial" w:eastAsia="Times New Roman" w:hAnsi="Arial" w:cs="Arial"/>
          <w:sz w:val="20"/>
          <w:szCs w:val="20"/>
        </w:rPr>
        <w:t>ther factors such as the supply of and demand for crude oil and natural gas, and may not be indicative of annual results.</w:t>
      </w:r>
    </w:p>
    <w:p w:rsidR="00000000" w:rsidRDefault="00E617AE">
      <w:pPr>
        <w:spacing w:line="288" w:lineRule="auto"/>
        <w:divId w:val="118913864"/>
        <w:rPr>
          <w:rFonts w:eastAsia="Times New Roman"/>
          <w:sz w:val="20"/>
          <w:szCs w:val="20"/>
        </w:rPr>
      </w:pPr>
    </w:p>
    <w:p w:rsidR="00000000" w:rsidRDefault="00E617AE">
      <w:pPr>
        <w:spacing w:line="288" w:lineRule="auto"/>
        <w:ind w:hanging="360"/>
        <w:divId w:val="118913864"/>
        <w:rPr>
          <w:rFonts w:eastAsia="Times New Roman"/>
          <w:sz w:val="26"/>
          <w:szCs w:val="26"/>
        </w:rPr>
      </w:pPr>
      <w:r>
        <w:rPr>
          <w:rFonts w:ascii="Arial" w:eastAsia="Times New Roman" w:hAnsi="Arial" w:cs="Arial"/>
          <w:b/>
          <w:bCs/>
          <w:sz w:val="26"/>
          <w:szCs w:val="26"/>
        </w:rPr>
        <w:t>2. CHANGES IN ACCOUNTING POLICIES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ADOPTION OF NEW ACCOUNTING STANDARDS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Clarifying Interaction between Collaborative Arrangements </w:t>
      </w:r>
      <w:r>
        <w:rPr>
          <w:rFonts w:ascii="Arial" w:eastAsia="Times New Roman" w:hAnsi="Arial" w:cs="Arial"/>
          <w:b/>
          <w:bCs/>
          <w:sz w:val="20"/>
          <w:szCs w:val="20"/>
        </w:rPr>
        <w:t>and Revenue from Contracts with Customers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Effective January 1, 2020, we adopted Accounting Standards Update (ASU) 2018-18 on a retrospective basis. The new standard was issued in November 2018 to provide clarity on when transactions between entities in a collaborative arrangement should be account</w:t>
      </w:r>
      <w:r>
        <w:rPr>
          <w:rFonts w:ascii="Arial" w:eastAsia="Times New Roman" w:hAnsi="Arial" w:cs="Arial"/>
          <w:sz w:val="20"/>
          <w:szCs w:val="20"/>
        </w:rPr>
        <w:t>ed for under the new revenue standard, Accounting Standards Codification (ASC) 606. In determining whether transactions in collaborative arrangements should be accounted for under the revenue standard, the update specifies that entities shall apply unit of</w:t>
      </w:r>
      <w:r>
        <w:rPr>
          <w:rFonts w:ascii="Arial" w:eastAsia="Times New Roman" w:hAnsi="Arial" w:cs="Arial"/>
          <w:sz w:val="20"/>
          <w:szCs w:val="20"/>
        </w:rPr>
        <w:t xml:space="preserve"> account guidance to identify distinct goods or services and whether such goods and services are separately identifiable from other promises in the contract. ASU 2018-18 also precludes entities from presenting transactions with a collaborative partner whic</w:t>
      </w:r>
      <w:r>
        <w:rPr>
          <w:rFonts w:ascii="Arial" w:eastAsia="Times New Roman" w:hAnsi="Arial" w:cs="Arial"/>
          <w:sz w:val="20"/>
          <w:szCs w:val="20"/>
        </w:rPr>
        <w:t>h are not in scope of the new revenue standard together with revenue from contracts with customers. The adoption of this ASU did not have a material impact on our consolidated financial statements.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Disclosure Effectiveness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Effective January 1, 2020, we a</w:t>
      </w:r>
      <w:r>
        <w:rPr>
          <w:rFonts w:ascii="Arial" w:eastAsia="Times New Roman" w:hAnsi="Arial" w:cs="Arial"/>
          <w:sz w:val="20"/>
          <w:szCs w:val="20"/>
        </w:rPr>
        <w:t>dopted ASU 2018-13 on both a retrospective and prospective basis depending on the change. The new standard was issued to improve the disclosure requirements for fair value measurements by eliminating and modifying some disclosures, while also adding new di</w:t>
      </w:r>
      <w:r>
        <w:rPr>
          <w:rFonts w:ascii="Arial" w:eastAsia="Times New Roman" w:hAnsi="Arial" w:cs="Arial"/>
          <w:sz w:val="20"/>
          <w:szCs w:val="20"/>
        </w:rPr>
        <w:t>sclosures. The adoption of this ASU did not have a material impact on our consolidated financial statements.</w:t>
      </w:r>
    </w:p>
    <w:p w:rsidR="00000000" w:rsidRDefault="00E617AE">
      <w:pPr>
        <w:spacing w:line="288" w:lineRule="auto"/>
        <w:divId w:val="118913864"/>
        <w:rPr>
          <w:rFonts w:eastAsia="Times New Roman"/>
          <w:sz w:val="20"/>
          <w:szCs w:val="20"/>
        </w:rPr>
      </w:pPr>
    </w:p>
    <w:p w:rsidR="00000000" w:rsidRDefault="00E617AE">
      <w:pPr>
        <w:divId w:val="60793531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11</w:t>
      </w:r>
    </w:p>
    <w:p w:rsidR="00000000" w:rsidRDefault="00E617AE">
      <w:pPr>
        <w:divId w:val="118913864"/>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E617AE">
      <w:pPr>
        <w:divId w:val="159543341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Accounting for Credit Losses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Effective January 1, 2020, we adopted ASU 2016-13 on a modified retrospec</w:t>
      </w:r>
      <w:r>
        <w:rPr>
          <w:rFonts w:ascii="Arial" w:eastAsia="Times New Roman" w:hAnsi="Arial" w:cs="Arial"/>
          <w:sz w:val="20"/>
          <w:szCs w:val="20"/>
        </w:rPr>
        <w:t xml:space="preserve">tive basis.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new standard was issued in June 2016 with the intent of providing financial statement users with more useful information about the expected credit losses on financial instruments and other commitments to extend credit held by a reporting</w:t>
      </w:r>
      <w:r>
        <w:rPr>
          <w:rFonts w:ascii="Arial" w:eastAsia="Times New Roman" w:hAnsi="Arial" w:cs="Arial"/>
          <w:sz w:val="20"/>
          <w:szCs w:val="20"/>
        </w:rPr>
        <w:t xml:space="preserve"> entity at each reporting date. The previous accounting treatment used the incurred loss methodology for recognizing credit losses that delayed the recognition until it was probable a loss had been incurred. The accounting update adds a new impairment mode</w:t>
      </w:r>
      <w:r>
        <w:rPr>
          <w:rFonts w:ascii="Arial" w:eastAsia="Times New Roman" w:hAnsi="Arial" w:cs="Arial"/>
          <w:sz w:val="20"/>
          <w:szCs w:val="20"/>
        </w:rPr>
        <w:t>l, known as the current expected credit loss model, which is based on expected losses rather than incurred losses. Under the new guidance, an entity recognizes as an allowance its estimate of expected credit losses, which the Financial Accounting Standards</w:t>
      </w:r>
      <w:r>
        <w:rPr>
          <w:rFonts w:ascii="Arial" w:eastAsia="Times New Roman" w:hAnsi="Arial" w:cs="Arial"/>
          <w:sz w:val="20"/>
          <w:szCs w:val="20"/>
        </w:rPr>
        <w:t xml:space="preserve"> Board believes results in more timely recognition of such losses.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Further, ASU 2018-19 was issued in November 2018 to clarify that operating lease receivables should be accounted for under the new leases standard, ASC 842, and are not within the scope of ASC 326, Financial Instruments - Credit Losses.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For accounts rece</w:t>
      </w:r>
      <w:r>
        <w:rPr>
          <w:rFonts w:ascii="Arial" w:eastAsia="Times New Roman" w:hAnsi="Arial" w:cs="Arial"/>
          <w:sz w:val="20"/>
          <w:szCs w:val="20"/>
        </w:rPr>
        <w:t>ivable, a loss allowance matrix is utilized to measure lifetime expected credit losses. The matrix contemplates historical credit losses by age of receivables, adjusted for any forward-looking information and management expectations. Other loan receivables</w:t>
      </w:r>
      <w:r>
        <w:rPr>
          <w:rFonts w:ascii="Arial" w:eastAsia="Times New Roman" w:hAnsi="Arial" w:cs="Arial"/>
          <w:sz w:val="20"/>
          <w:szCs w:val="20"/>
        </w:rPr>
        <w:t xml:space="preserve"> and off-balance sheet commitments in scope of the new standard utilize a discounted cash flow methodology which calculates the current expected credit losses based on historical default probability rates associated with the credit rating of the counterpar</w:t>
      </w:r>
      <w:r>
        <w:rPr>
          <w:rFonts w:ascii="Arial" w:eastAsia="Times New Roman" w:hAnsi="Arial" w:cs="Arial"/>
          <w:sz w:val="20"/>
          <w:szCs w:val="20"/>
        </w:rPr>
        <w:t xml:space="preserve">ty and the related term of the loan or commitment, adjusted for forward-looking information and management expectations.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January 1, 2020 we recorded $66 million of additional Deficit on our Statements of Financial Position in connection with the adop</w:t>
      </w:r>
      <w:r>
        <w:rPr>
          <w:rFonts w:ascii="Arial" w:eastAsia="Times New Roman" w:hAnsi="Arial" w:cs="Arial"/>
          <w:sz w:val="20"/>
          <w:szCs w:val="20"/>
        </w:rPr>
        <w:t>tion of ASU 2016-13. The adoption of this ASU did not have a material impact on the Consolidated Statements of Earnings, Comprehensive Income or Cash Flows during the period.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FUTURE ACCOUNTING POLICY CHANGES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Reference Rate Reform</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ASU 2020-04 was issued </w:t>
      </w:r>
      <w:r>
        <w:rPr>
          <w:rFonts w:ascii="Arial" w:eastAsia="Times New Roman" w:hAnsi="Arial" w:cs="Arial"/>
          <w:sz w:val="20"/>
          <w:szCs w:val="20"/>
        </w:rPr>
        <w:t>in March 2020 to provide temporary optional guidance in accounting for reference rate reform. The new guidance provides optional expedients and exceptions for applying generally accepted accounting principles when accounting for contract modifications, hed</w:t>
      </w:r>
      <w:r>
        <w:rPr>
          <w:rFonts w:ascii="Arial" w:eastAsia="Times New Roman" w:hAnsi="Arial" w:cs="Arial"/>
          <w:sz w:val="20"/>
          <w:szCs w:val="20"/>
        </w:rPr>
        <w:t>ging relationships and other transactions impacted by rate reform, subject to meeting certain criteria. ASU 2020-04 is effective as of March 12, 2020 through December 31, 2022. We are currently assessing the impact of the new standard and the rate reform o</w:t>
      </w:r>
      <w:r>
        <w:rPr>
          <w:rFonts w:ascii="Arial" w:eastAsia="Times New Roman" w:hAnsi="Arial" w:cs="Arial"/>
          <w:sz w:val="20"/>
          <w:szCs w:val="20"/>
        </w:rPr>
        <w:t>n our consolidated financial statements.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Clarifying Interaction between Equity Securities, Equity Method Investments and Derivatives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ASU 2020-01 was issued in January 2020 and clarifies that observable transactions should be considered for the purpose of</w:t>
      </w:r>
      <w:r>
        <w:rPr>
          <w:rFonts w:ascii="Arial" w:eastAsia="Times New Roman" w:hAnsi="Arial" w:cs="Arial"/>
          <w:sz w:val="20"/>
          <w:szCs w:val="20"/>
        </w:rPr>
        <w:t xml:space="preserve"> applying the measurement alternative in accordance with ASC 321 immediately before the application or upon discontinuance of the equity method of accounting. Furthermore, the ASU clarifies that forward contracts or purchased options on equity securities a</w:t>
      </w:r>
      <w:r>
        <w:rPr>
          <w:rFonts w:ascii="Arial" w:eastAsia="Times New Roman" w:hAnsi="Arial" w:cs="Arial"/>
          <w:sz w:val="20"/>
          <w:szCs w:val="20"/>
        </w:rPr>
        <w:t>re not out of scope of ASC 815 guidance only because, upon the contracts’ exercise, the equity securities could be accounted for under the equity method of accounting or fair value option. ASU 2020-01 is effective January 1, 2021 with early adoption permit</w:t>
      </w:r>
      <w:r>
        <w:rPr>
          <w:rFonts w:ascii="Arial" w:eastAsia="Times New Roman" w:hAnsi="Arial" w:cs="Arial"/>
          <w:sz w:val="20"/>
          <w:szCs w:val="20"/>
        </w:rPr>
        <w:t>ted and is applied prospectively. We are currently assessing the impact of the new standard on our consolidated financial statements.</w:t>
      </w:r>
    </w:p>
    <w:p w:rsidR="00000000" w:rsidRDefault="00E617AE">
      <w:pPr>
        <w:spacing w:line="288" w:lineRule="auto"/>
        <w:divId w:val="118913864"/>
        <w:rPr>
          <w:rFonts w:eastAsia="Times New Roman"/>
          <w:sz w:val="20"/>
          <w:szCs w:val="20"/>
        </w:rPr>
      </w:pPr>
    </w:p>
    <w:p w:rsidR="00000000" w:rsidRDefault="00E617AE">
      <w:pPr>
        <w:divId w:val="16312676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12</w:t>
      </w:r>
    </w:p>
    <w:p w:rsidR="00000000" w:rsidRDefault="00E617AE">
      <w:pPr>
        <w:divId w:val="118913864"/>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E617AE">
      <w:pPr>
        <w:divId w:val="1141772238"/>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Accounting for Income Taxes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ASU 2019-12 was issued in December 2019 with the</w:t>
      </w:r>
      <w:r>
        <w:rPr>
          <w:rFonts w:ascii="Arial" w:eastAsia="Times New Roman" w:hAnsi="Arial" w:cs="Arial"/>
          <w:sz w:val="20"/>
          <w:szCs w:val="20"/>
        </w:rPr>
        <w:t xml:space="preserve"> intent of simplifying the accounting for income taxes. The accounting update removes certain exceptions to the general principles in ASC 740 as well as provides simplification by clarifying and amending existing guidance. ASU 2019-12 is effective January </w:t>
      </w:r>
      <w:r>
        <w:rPr>
          <w:rFonts w:ascii="Arial" w:eastAsia="Times New Roman" w:hAnsi="Arial" w:cs="Arial"/>
          <w:sz w:val="20"/>
          <w:szCs w:val="20"/>
        </w:rPr>
        <w:t>1, 2021 and entities are permitted to adopt the standard early. We are currently assessing the impact of the new standard on our consolidated financial statements.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Disclosure Effectiveness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ASU 2018-14 was issued in August 2018 to improve disclosure requi</w:t>
      </w:r>
      <w:r>
        <w:rPr>
          <w:rFonts w:ascii="Arial" w:eastAsia="Times New Roman" w:hAnsi="Arial" w:cs="Arial"/>
          <w:sz w:val="20"/>
          <w:szCs w:val="20"/>
        </w:rPr>
        <w:t>rements for employers that sponsor defined benefit pension or other postretirement plans. The amendment modifies the current guidance by adding and removing several disclosure requirements while also clarifying the guidance on current disclosure requiremen</w:t>
      </w:r>
      <w:r>
        <w:rPr>
          <w:rFonts w:ascii="Arial" w:eastAsia="Times New Roman" w:hAnsi="Arial" w:cs="Arial"/>
          <w:sz w:val="20"/>
          <w:szCs w:val="20"/>
        </w:rPr>
        <w:t>ts. ASU 2018-14 is effective January 1, 2021 and entities are permitted to adopt the standard early. The adoption of ASU 2018-14 is not expected to have a material impact on our consolidated financial statements.</w:t>
      </w:r>
    </w:p>
    <w:p w:rsidR="00000000" w:rsidRDefault="00E617AE">
      <w:pPr>
        <w:divId w:val="1523058361"/>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13</w:t>
      </w:r>
    </w:p>
    <w:p w:rsidR="00000000" w:rsidRDefault="00E617AE">
      <w:pPr>
        <w:divId w:val="118913864"/>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E617AE">
      <w:pPr>
        <w:divId w:val="70738551"/>
        <w:rPr>
          <w:rFonts w:eastAsia="Times New Roman"/>
          <w:sz w:val="20"/>
          <w:szCs w:val="20"/>
        </w:rPr>
      </w:pPr>
    </w:p>
    <w:p w:rsidR="00000000" w:rsidRDefault="00E617AE">
      <w:pPr>
        <w:spacing w:line="288" w:lineRule="auto"/>
        <w:ind w:hanging="360"/>
        <w:divId w:val="118913864"/>
        <w:rPr>
          <w:rFonts w:eastAsia="Times New Roman"/>
          <w:sz w:val="26"/>
          <w:szCs w:val="26"/>
        </w:rPr>
      </w:pPr>
      <w:r>
        <w:rPr>
          <w:rFonts w:ascii="Arial" w:eastAsia="Times New Roman" w:hAnsi="Arial" w:cs="Arial"/>
          <w:b/>
          <w:bCs/>
          <w:sz w:val="26"/>
          <w:szCs w:val="26"/>
        </w:rPr>
        <w:t>3. REVENUES</w:t>
      </w:r>
    </w:p>
    <w:p w:rsidR="00000000" w:rsidRDefault="00E617AE">
      <w:pPr>
        <w:spacing w:line="288" w:lineRule="auto"/>
        <w:ind w:hanging="360"/>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REVENUE FROM CONTRACTS WITH CUSTOMERS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Major Products and Services</w:t>
      </w:r>
    </w:p>
    <w:tbl>
      <w:tblPr>
        <w:tblW w:w="4775" w:type="pct"/>
        <w:tblCellMar>
          <w:left w:w="0" w:type="dxa"/>
          <w:right w:w="0" w:type="dxa"/>
        </w:tblCellMar>
        <w:tblLook w:val="04A0" w:firstRow="1" w:lastRow="0" w:firstColumn="1" w:lastColumn="0" w:noHBand="0" w:noVBand="1"/>
      </w:tblPr>
      <w:tblGrid>
        <w:gridCol w:w="1675"/>
        <w:gridCol w:w="680"/>
        <w:gridCol w:w="84"/>
        <w:gridCol w:w="982"/>
        <w:gridCol w:w="6"/>
        <w:gridCol w:w="831"/>
        <w:gridCol w:w="84"/>
        <w:gridCol w:w="831"/>
        <w:gridCol w:w="6"/>
        <w:gridCol w:w="644"/>
        <w:gridCol w:w="84"/>
        <w:gridCol w:w="893"/>
        <w:gridCol w:w="84"/>
        <w:gridCol w:w="964"/>
        <w:gridCol w:w="84"/>
      </w:tblGrid>
      <w:tr w:rsidR="00000000">
        <w:trPr>
          <w:divId w:val="831214810"/>
        </w:trPr>
        <w:tc>
          <w:tcPr>
            <w:tcW w:w="0" w:type="auto"/>
            <w:gridSpan w:val="15"/>
            <w:vAlign w:val="center"/>
            <w:hideMark/>
          </w:tcPr>
          <w:p w:rsidR="00000000" w:rsidRDefault="00E617AE">
            <w:pPr>
              <w:spacing w:line="288" w:lineRule="auto"/>
              <w:rPr>
                <w:rFonts w:eastAsia="Times New Roman"/>
                <w:sz w:val="20"/>
                <w:szCs w:val="20"/>
              </w:rPr>
            </w:pPr>
          </w:p>
        </w:tc>
      </w:tr>
      <w:tr w:rsidR="00000000">
        <w:trPr>
          <w:divId w:val="831214810"/>
        </w:trPr>
        <w:tc>
          <w:tcPr>
            <w:tcW w:w="13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bottom"/>
            <w:hideMark/>
          </w:tcPr>
          <w:p w:rsidR="00000000" w:rsidRDefault="00E617AE">
            <w:pPr>
              <w:divId w:val="20463576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83121481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2020</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2,440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1,255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3,910</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152</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1,417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1,417</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2,466</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1,341</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1,679</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5,536</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7,389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7,389</w:t>
            </w:r>
          </w:p>
        </w:tc>
        <w:tc>
          <w:tcPr>
            <w:tcW w:w="0" w:type="auto"/>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Mar>
              <w:top w:w="30" w:type="dxa"/>
              <w:left w:w="30" w:type="dxa"/>
              <w:bottom w:w="30" w:type="dxa"/>
              <w:right w:w="30" w:type="dxa"/>
            </w:tcMar>
            <w:vAlign w:val="center"/>
            <w:hideMark/>
          </w:tcPr>
          <w:p w:rsidR="00000000" w:rsidRDefault="00E617AE">
            <w:pPr>
              <w:divId w:val="915940628"/>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(1,017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(912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831214810"/>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831214810"/>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1,534</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1,357</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1,682</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153</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7,398</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(111</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12,013</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r>
    </w:tbl>
    <w:tbl>
      <w:tblPr>
        <w:tblW w:w="4775" w:type="pct"/>
        <w:tblCellMar>
          <w:left w:w="0" w:type="dxa"/>
          <w:right w:w="0" w:type="dxa"/>
        </w:tblCellMar>
        <w:tblLook w:val="04A0" w:firstRow="1" w:lastRow="0" w:firstColumn="1" w:lastColumn="0" w:noHBand="0" w:noVBand="1"/>
      </w:tblPr>
      <w:tblGrid>
        <w:gridCol w:w="2141"/>
        <w:gridCol w:w="555"/>
        <w:gridCol w:w="144"/>
        <w:gridCol w:w="872"/>
        <w:gridCol w:w="436"/>
        <w:gridCol w:w="713"/>
        <w:gridCol w:w="144"/>
        <w:gridCol w:w="872"/>
        <w:gridCol w:w="144"/>
        <w:gridCol w:w="634"/>
        <w:gridCol w:w="144"/>
        <w:gridCol w:w="793"/>
        <w:gridCol w:w="144"/>
        <w:gridCol w:w="793"/>
        <w:gridCol w:w="144"/>
      </w:tblGrid>
      <w:tr w:rsidR="00000000">
        <w:trPr>
          <w:divId w:val="118913864"/>
        </w:trPr>
        <w:tc>
          <w:tcPr>
            <w:tcW w:w="0" w:type="auto"/>
            <w:gridSpan w:val="15"/>
            <w:vAlign w:val="center"/>
            <w:hideMark/>
          </w:tcPr>
          <w:p w:rsidR="00000000" w:rsidRDefault="00E617AE">
            <w:pPr>
              <w:rPr>
                <w:rFonts w:eastAsia="Times New Roman"/>
                <w:sz w:val="20"/>
                <w:szCs w:val="20"/>
              </w:rPr>
            </w:pPr>
          </w:p>
        </w:tc>
      </w:tr>
      <w:tr w:rsidR="00000000">
        <w:trPr>
          <w:divId w:val="118913864"/>
        </w:trPr>
        <w:tc>
          <w:tcPr>
            <w:tcW w:w="13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divId w:val="112415307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2,214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1,137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249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3,600</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134</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116</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1,856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1,856</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2,241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1,306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2,159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5,756</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6,632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6,632</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center"/>
            <w:hideMark/>
          </w:tcPr>
          <w:p w:rsidR="00000000" w:rsidRDefault="00E617AE">
            <w:pPr>
              <w:divId w:val="1362628838"/>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340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468</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35</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(117</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2,658</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1,318</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2,191</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152</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6,673</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12,856</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Includes mark-to-market gains/(losses) from our hedging program for the three months ended March 31, 2020 and 2019 of $1,106 million loss and $258 million gain, respectively.</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2 Includes revenues from lease contracts for the three months ended March 31, 202</w:t>
      </w:r>
      <w:r>
        <w:rPr>
          <w:rFonts w:ascii="Arial" w:eastAsia="Times New Roman" w:hAnsi="Arial" w:cs="Arial"/>
          <w:i/>
          <w:iCs/>
          <w:sz w:val="16"/>
          <w:szCs w:val="16"/>
        </w:rPr>
        <w:t>0 and 2019 of $158 million and $164 million, respectively.</w:t>
      </w:r>
    </w:p>
    <w:p w:rsidR="00000000" w:rsidRDefault="00E617AE">
      <w:pPr>
        <w:spacing w:line="288" w:lineRule="auto"/>
        <w:ind w:hanging="360"/>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disaggregate revenues into categories which represent our principal performance obligations within each business segment because these revenues categories represent the most significant revenu</w:t>
      </w:r>
      <w:r>
        <w:rPr>
          <w:rFonts w:ascii="Arial" w:eastAsia="Times New Roman" w:hAnsi="Arial" w:cs="Arial"/>
          <w:sz w:val="20"/>
          <w:szCs w:val="20"/>
        </w:rPr>
        <w:t xml:space="preserve">e streams in each segment and consequently are considered to be the most relevant revenues information for management to consider in evaluating performance.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Contract Balances </w:t>
      </w:r>
    </w:p>
    <w:tbl>
      <w:tblPr>
        <w:tblW w:w="4775" w:type="pct"/>
        <w:tblCellMar>
          <w:left w:w="0" w:type="dxa"/>
          <w:right w:w="0" w:type="dxa"/>
        </w:tblCellMar>
        <w:tblLook w:val="04A0" w:firstRow="1" w:lastRow="0" w:firstColumn="1" w:lastColumn="0" w:noHBand="0" w:noVBand="1"/>
      </w:tblPr>
      <w:tblGrid>
        <w:gridCol w:w="4811"/>
        <w:gridCol w:w="1120"/>
        <w:gridCol w:w="51"/>
        <w:gridCol w:w="924"/>
        <w:gridCol w:w="51"/>
        <w:gridCol w:w="924"/>
        <w:gridCol w:w="51"/>
      </w:tblGrid>
      <w:tr w:rsidR="00000000">
        <w:trPr>
          <w:divId w:val="352460982"/>
        </w:trPr>
        <w:tc>
          <w:tcPr>
            <w:tcW w:w="0" w:type="auto"/>
            <w:gridSpan w:val="7"/>
            <w:vAlign w:val="center"/>
            <w:hideMark/>
          </w:tcPr>
          <w:p w:rsidR="00000000" w:rsidRDefault="00E617AE">
            <w:pPr>
              <w:spacing w:line="288" w:lineRule="auto"/>
              <w:rPr>
                <w:rFonts w:eastAsia="Times New Roman"/>
                <w:sz w:val="20"/>
                <w:szCs w:val="20"/>
              </w:rPr>
            </w:pPr>
          </w:p>
        </w:tc>
      </w:tr>
      <w:tr w:rsidR="00000000">
        <w:trPr>
          <w:divId w:val="352460982"/>
        </w:trPr>
        <w:tc>
          <w:tcPr>
            <w:tcW w:w="30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35246098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009508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Receivables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352460982"/>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E617AE">
            <w:pPr>
              <w:divId w:val="1896626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E617AE">
            <w:pPr>
              <w:divId w:val="17087517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E617AE">
            <w:pPr>
              <w:divId w:val="2141536287"/>
              <w:rPr>
                <w:rFonts w:eastAsia="Times New Roman"/>
                <w:sz w:val="20"/>
                <w:szCs w:val="20"/>
              </w:rPr>
            </w:pPr>
            <w:r>
              <w:rPr>
                <w:rFonts w:ascii="inherit" w:eastAsia="Times New Roman" w:hAnsi="inherit"/>
                <w:sz w:val="20"/>
                <w:szCs w:val="20"/>
              </w:rPr>
              <w:t> </w:t>
            </w:r>
          </w:p>
        </w:tc>
      </w:tr>
      <w:tr w:rsidR="00000000">
        <w:trPr>
          <w:divId w:val="352460982"/>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Balance as at December 31, 2019</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2,099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1,424</w:t>
            </w:r>
          </w:p>
        </w:tc>
        <w:tc>
          <w:tcPr>
            <w:tcW w:w="0" w:type="auto"/>
            <w:vAlign w:val="bottom"/>
            <w:hideMark/>
          </w:tcPr>
          <w:p w:rsidR="00000000" w:rsidRDefault="00E617AE">
            <w:pPr>
              <w:rPr>
                <w:rFonts w:eastAsia="Times New Roman"/>
                <w:sz w:val="20"/>
                <w:szCs w:val="20"/>
              </w:rPr>
            </w:pPr>
          </w:p>
        </w:tc>
      </w:tr>
      <w:tr w:rsidR="00000000">
        <w:trPr>
          <w:divId w:val="352460982"/>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Balance as at March 31, 2020</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2,287</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224</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1,500</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p w:rsidR="00000000" w:rsidRDefault="00E617AE">
      <w:pPr>
        <w:spacing w:line="288" w:lineRule="auto"/>
        <w:ind w:hanging="360"/>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Contract receivables represent the amount of receivables derived from contracts with customers. </w:t>
      </w:r>
    </w:p>
    <w:p w:rsidR="00000000" w:rsidRDefault="00E617AE">
      <w:pPr>
        <w:spacing w:line="288" w:lineRule="auto"/>
        <w:divId w:val="118913864"/>
        <w:rPr>
          <w:rFonts w:eastAsia="Times New Roman"/>
          <w:sz w:val="20"/>
          <w:szCs w:val="20"/>
        </w:rPr>
      </w:pPr>
    </w:p>
    <w:p w:rsidR="00000000" w:rsidRDefault="00E617AE">
      <w:pPr>
        <w:divId w:val="1701201793"/>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14</w:t>
      </w:r>
    </w:p>
    <w:p w:rsidR="00000000" w:rsidRDefault="00E617AE">
      <w:pPr>
        <w:divId w:val="118913864"/>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E617AE">
      <w:pPr>
        <w:divId w:val="1114593353"/>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Contract assets represent the amount of revenues which has been recognized in advance of payments received for performance obligations we have fulfilled (or partially fulfilled) and prior to the point in time at which </w:t>
      </w:r>
      <w:r>
        <w:rPr>
          <w:rFonts w:ascii="Arial" w:eastAsia="Times New Roman" w:hAnsi="Arial" w:cs="Arial"/>
          <w:sz w:val="20"/>
          <w:szCs w:val="20"/>
        </w:rPr>
        <w:t xml:space="preserve">our right to the payment is unconditional. Amounts included in contract assets are transferred to accounts receivable when our right to the consideration becomes unconditional.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Contract liabilities represent payments received for performance obligations</w:t>
      </w:r>
      <w:r>
        <w:rPr>
          <w:rFonts w:ascii="Arial" w:eastAsia="Times New Roman" w:hAnsi="Arial" w:cs="Arial"/>
          <w:sz w:val="20"/>
          <w:szCs w:val="20"/>
        </w:rPr>
        <w:t xml:space="preserve"> which have not been fulfilled. Contract liabilities primarily relate to make-up rights and deferred revenues. Revenue recognized during the three months ended March 31, 2020 included in contract liabilities at the beginning of the period was $86 million. </w:t>
      </w:r>
      <w:r>
        <w:rPr>
          <w:rFonts w:ascii="Arial" w:eastAsia="Times New Roman" w:hAnsi="Arial" w:cs="Arial"/>
          <w:sz w:val="20"/>
          <w:szCs w:val="20"/>
        </w:rPr>
        <w:t>Increases in contract liabilities from cash received, net of amounts recognized as revenues during the three months ended March 31, 2020 were $76 million.</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Performance Obligations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There were no material revenues recognized in the three months ended March 3</w:t>
      </w:r>
      <w:r>
        <w:rPr>
          <w:rFonts w:ascii="Arial" w:eastAsia="Times New Roman" w:hAnsi="Arial" w:cs="Arial"/>
          <w:sz w:val="20"/>
          <w:szCs w:val="20"/>
        </w:rPr>
        <w:t xml:space="preserve">1, 2020 from performance obligations satisfied in previous periods.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Revenues to be Recognized from Unfulfilled Performance Obligations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Total revenues from performance obligations expected to be fulfilled in future periods is $68.0 billion, of which $5.5</w:t>
      </w:r>
      <w:r>
        <w:rPr>
          <w:rFonts w:ascii="Arial" w:eastAsia="Times New Roman" w:hAnsi="Arial" w:cs="Arial"/>
          <w:sz w:val="20"/>
          <w:szCs w:val="20"/>
        </w:rPr>
        <w:t xml:space="preserve"> billion and $6.4 billion is expected to be recognized during the nine months ending December 31, 2020, and the year ending December 31, 2021, respectively.</w:t>
      </w:r>
    </w:p>
    <w:p w:rsidR="00000000" w:rsidRDefault="00E617AE">
      <w:pPr>
        <w:spacing w:line="288" w:lineRule="auto"/>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 revenues excluded from the amounts above based on optional exemptions available under ASC 606, as explained below, represent a significant portion of our overall revenues and revenue from contracts with customers. Certain revenues such as flow-through </w:t>
      </w:r>
      <w:r>
        <w:rPr>
          <w:rFonts w:ascii="Arial" w:eastAsia="Times New Roman" w:hAnsi="Arial" w:cs="Arial"/>
          <w:sz w:val="20"/>
          <w:szCs w:val="20"/>
        </w:rPr>
        <w:t>operating costs charged to shippers are recognized at the amount for which we have the right to invoice our customers and are excluded from the amounts for revenues to be recognized in the future from unfulfilled performance obligations above. Variable con</w:t>
      </w:r>
      <w:r>
        <w:rPr>
          <w:rFonts w:ascii="Arial" w:eastAsia="Times New Roman" w:hAnsi="Arial" w:cs="Arial"/>
          <w:sz w:val="20"/>
          <w:szCs w:val="20"/>
        </w:rPr>
        <w:t>sideration is excluded from the amounts above due to the uncertainty of the associated consideration, which is generally resolved when actual volumes and prices are determined. For example, we consider interruptible transportation service revenues to be va</w:t>
      </w:r>
      <w:r>
        <w:rPr>
          <w:rFonts w:ascii="Arial" w:eastAsia="Times New Roman" w:hAnsi="Arial" w:cs="Arial"/>
          <w:sz w:val="20"/>
          <w:szCs w:val="20"/>
        </w:rPr>
        <w:t>riable revenues since volumes cannot be estimated. Additionally, the effect of escalation on certain tolls which are contractually escalated for inflation has not been reflected in the amounts above as it is not possible to reliably estimate future inflati</w:t>
      </w:r>
      <w:r>
        <w:rPr>
          <w:rFonts w:ascii="Arial" w:eastAsia="Times New Roman" w:hAnsi="Arial" w:cs="Arial"/>
          <w:sz w:val="20"/>
          <w:szCs w:val="20"/>
        </w:rPr>
        <w:t>on rates. Revenues for periods extending beyond the current rate settlement term for regulated contracts where the tolls are periodically reset by the regulator are excluded from the amounts above since future tolls remain unknown. Finally, revenue from co</w:t>
      </w:r>
      <w:r>
        <w:rPr>
          <w:rFonts w:ascii="Arial" w:eastAsia="Times New Roman" w:hAnsi="Arial" w:cs="Arial"/>
          <w:sz w:val="20"/>
          <w:szCs w:val="20"/>
        </w:rPr>
        <w:t xml:space="preserve">ntracts with customers which have an original expected duration of one year or less are excluded from the amounts above.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Recognition and Measurement of Revenues</w:t>
      </w:r>
    </w:p>
    <w:tbl>
      <w:tblPr>
        <w:tblW w:w="4775" w:type="pct"/>
        <w:tblCellMar>
          <w:left w:w="0" w:type="dxa"/>
          <w:right w:w="0" w:type="dxa"/>
        </w:tblCellMar>
        <w:tblLook w:val="04A0" w:firstRow="1" w:lastRow="0" w:firstColumn="1" w:lastColumn="0" w:noHBand="0" w:noVBand="1"/>
      </w:tblPr>
      <w:tblGrid>
        <w:gridCol w:w="2878"/>
        <w:gridCol w:w="680"/>
        <w:gridCol w:w="22"/>
        <w:gridCol w:w="982"/>
        <w:gridCol w:w="22"/>
        <w:gridCol w:w="831"/>
        <w:gridCol w:w="23"/>
        <w:gridCol w:w="831"/>
        <w:gridCol w:w="9"/>
        <w:gridCol w:w="644"/>
        <w:gridCol w:w="23"/>
        <w:gridCol w:w="964"/>
        <w:gridCol w:w="23"/>
      </w:tblGrid>
      <w:tr w:rsidR="00000000">
        <w:trPr>
          <w:divId w:val="2082946907"/>
        </w:trPr>
        <w:tc>
          <w:tcPr>
            <w:tcW w:w="0" w:type="auto"/>
            <w:gridSpan w:val="13"/>
            <w:vAlign w:val="center"/>
            <w:hideMark/>
          </w:tcPr>
          <w:p w:rsidR="00000000" w:rsidRDefault="00E617AE">
            <w:pPr>
              <w:spacing w:line="288" w:lineRule="auto"/>
              <w:rPr>
                <w:rFonts w:eastAsia="Times New Roman"/>
                <w:sz w:val="20"/>
                <w:szCs w:val="20"/>
              </w:rPr>
            </w:pPr>
          </w:p>
        </w:tc>
      </w:tr>
      <w:tr w:rsidR="00000000">
        <w:trPr>
          <w:divId w:val="2082946907"/>
        </w:trPr>
        <w:tc>
          <w:tcPr>
            <w:tcW w:w="18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2082946907"/>
        </w:trPr>
        <w:tc>
          <w:tcPr>
            <w:tcW w:w="0" w:type="auto"/>
            <w:tcMar>
              <w:top w:w="30" w:type="dxa"/>
              <w:left w:w="30" w:type="dxa"/>
              <w:bottom w:w="30" w:type="dxa"/>
              <w:right w:w="30" w:type="dxa"/>
            </w:tcMar>
            <w:vAlign w:val="bottom"/>
            <w:hideMark/>
          </w:tcPr>
          <w:p w:rsidR="00000000" w:rsidRDefault="00E617AE">
            <w:pPr>
              <w:divId w:val="11864352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208294690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2020</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208294690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divId w:val="179903871"/>
              <w:rPr>
                <w:rFonts w:eastAsia="Times New Roman"/>
                <w:sz w:val="20"/>
                <w:szCs w:val="20"/>
              </w:rPr>
            </w:pPr>
            <w:r>
              <w:rPr>
                <w:rFonts w:ascii="inherit" w:eastAsia="Times New Roman" w:hAnsi="inherit"/>
                <w:sz w:val="20"/>
                <w:szCs w:val="20"/>
              </w:rPr>
              <w:t> </w:t>
            </w:r>
          </w:p>
        </w:tc>
      </w:tr>
      <w:tr w:rsidR="00000000">
        <w:trPr>
          <w:divId w:val="2082946907"/>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2082946907"/>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ind w:hanging="180"/>
              <w:divId w:val="500042992"/>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2,466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1,341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1,664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5,521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2082946907"/>
        </w:trPr>
        <w:tc>
          <w:tcPr>
            <w:tcW w:w="0" w:type="auto"/>
            <w:tcBorders>
              <w:bottom w:val="single" w:sz="12" w:space="0" w:color="000000"/>
            </w:tcBorders>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2,466</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1,341</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1,679</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5,536</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r>
    </w:tbl>
    <w:tbl>
      <w:tblPr>
        <w:tblW w:w="4775" w:type="pct"/>
        <w:tblCellMar>
          <w:left w:w="0" w:type="dxa"/>
          <w:right w:w="0" w:type="dxa"/>
        </w:tblCellMar>
        <w:tblLook w:val="04A0" w:firstRow="1" w:lastRow="0" w:firstColumn="1" w:lastColumn="0" w:noHBand="0" w:noVBand="1"/>
      </w:tblPr>
      <w:tblGrid>
        <w:gridCol w:w="2934"/>
        <w:gridCol w:w="634"/>
        <w:gridCol w:w="317"/>
        <w:gridCol w:w="872"/>
        <w:gridCol w:w="436"/>
        <w:gridCol w:w="713"/>
        <w:gridCol w:w="357"/>
        <w:gridCol w:w="872"/>
        <w:gridCol w:w="436"/>
        <w:gridCol w:w="555"/>
        <w:gridCol w:w="278"/>
        <w:gridCol w:w="872"/>
        <w:gridCol w:w="442"/>
      </w:tblGrid>
      <w:tr w:rsidR="00000000">
        <w:trPr>
          <w:divId w:val="118913864"/>
        </w:trPr>
        <w:tc>
          <w:tcPr>
            <w:tcW w:w="0" w:type="auto"/>
            <w:gridSpan w:val="13"/>
            <w:vAlign w:val="center"/>
            <w:hideMark/>
          </w:tcPr>
          <w:p w:rsidR="00000000" w:rsidRDefault="00E617AE">
            <w:pPr>
              <w:rPr>
                <w:rFonts w:eastAsia="Times New Roman"/>
                <w:sz w:val="20"/>
                <w:szCs w:val="20"/>
              </w:rPr>
            </w:pPr>
          </w:p>
        </w:tc>
      </w:tr>
      <w:tr w:rsidR="00000000">
        <w:trPr>
          <w:divId w:val="118913864"/>
        </w:trPr>
        <w:tc>
          <w:tcPr>
            <w:tcW w:w="18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divId w:val="57193326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118913864"/>
        </w:trPr>
        <w:tc>
          <w:tcPr>
            <w:tcW w:w="0" w:type="auto"/>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E617AE">
            <w:pPr>
              <w:divId w:val="253560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461067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422070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570894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43670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749840809"/>
              <w:rPr>
                <w:rFonts w:eastAsia="Times New Roman"/>
                <w:sz w:val="20"/>
                <w:szCs w:val="20"/>
              </w:rPr>
            </w:pPr>
            <w:r>
              <w:rPr>
                <w:rFonts w:ascii="inherit" w:eastAsia="Times New Roman" w:hAnsi="inherit"/>
                <w:sz w:val="20"/>
                <w:szCs w:val="20"/>
              </w:rPr>
              <w:t> </w:t>
            </w:r>
          </w:p>
        </w:tc>
      </w:tr>
      <w:tr w:rsidR="00000000">
        <w:trPr>
          <w:divId w:val="118913864"/>
        </w:trPr>
        <w:tc>
          <w:tcPr>
            <w:tcW w:w="0" w:type="auto"/>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Revenues from products transferred at a point in time</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center"/>
            <w:hideMark/>
          </w:tcPr>
          <w:p w:rsidR="00000000" w:rsidRDefault="00E617AE">
            <w:pPr>
              <w:ind w:hanging="180"/>
              <w:divId w:val="909926777"/>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1</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2,241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1,306</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2,142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5,739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12" w:space="0" w:color="000000"/>
            </w:tcBorders>
            <w:tcMar>
              <w:top w:w="30" w:type="dxa"/>
              <w:left w:w="30" w:type="dxa"/>
              <w:bottom w:w="30" w:type="dxa"/>
              <w:right w:w="30" w:type="dxa"/>
            </w:tcMar>
            <w:vAlign w:val="center"/>
            <w:hideMark/>
          </w:tcPr>
          <w:p w:rsidR="00000000" w:rsidRDefault="00E617AE">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2,241</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1,306</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2,159</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5,756</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Revenues from crude oil and natural gas pipeline transportation, storage, natural gas gathering, compression and treating, natural gas distribution, natural gas storage services and electricity sales. </w:t>
      </w:r>
    </w:p>
    <w:p w:rsidR="00000000" w:rsidRDefault="00E617AE">
      <w:pPr>
        <w:spacing w:line="288" w:lineRule="auto"/>
        <w:divId w:val="118913864"/>
        <w:rPr>
          <w:rFonts w:eastAsia="Times New Roman"/>
          <w:sz w:val="20"/>
          <w:szCs w:val="20"/>
        </w:rPr>
      </w:pPr>
    </w:p>
    <w:p w:rsidR="00000000" w:rsidRDefault="00E617AE">
      <w:pPr>
        <w:divId w:val="190467985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15</w:t>
      </w:r>
    </w:p>
    <w:p w:rsidR="00000000" w:rsidRDefault="00E617AE">
      <w:pPr>
        <w:divId w:val="118913864"/>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E617AE">
      <w:pPr>
        <w:divId w:val="810757371"/>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4. </w:t>
      </w:r>
      <w:r>
        <w:rPr>
          <w:rFonts w:ascii="Arial" w:eastAsia="Times New Roman" w:hAnsi="Arial" w:cs="Arial"/>
          <w:b/>
          <w:bCs/>
          <w:sz w:val="26"/>
          <w:szCs w:val="26"/>
        </w:rPr>
        <w:t>SEGMENTED INFORMATION</w:t>
      </w:r>
      <w:r>
        <w:rPr>
          <w:rFonts w:ascii="Arial" w:eastAsia="Times New Roman" w:hAnsi="Arial" w:cs="Arial"/>
          <w:sz w:val="26"/>
          <w:szCs w:val="26"/>
        </w:rPr>
        <w:t xml:space="preserve"> </w:t>
      </w:r>
    </w:p>
    <w:tbl>
      <w:tblPr>
        <w:tblW w:w="5000" w:type="pct"/>
        <w:tblCellMar>
          <w:left w:w="0" w:type="dxa"/>
          <w:right w:w="0" w:type="dxa"/>
        </w:tblCellMar>
        <w:tblLook w:val="04A0" w:firstRow="1" w:lastRow="0" w:firstColumn="1" w:lastColumn="0" w:noHBand="0" w:noVBand="1"/>
      </w:tblPr>
      <w:tblGrid>
        <w:gridCol w:w="1893"/>
        <w:gridCol w:w="680"/>
        <w:gridCol w:w="84"/>
        <w:gridCol w:w="982"/>
        <w:gridCol w:w="84"/>
        <w:gridCol w:w="831"/>
        <w:gridCol w:w="84"/>
        <w:gridCol w:w="831"/>
        <w:gridCol w:w="84"/>
        <w:gridCol w:w="644"/>
        <w:gridCol w:w="84"/>
        <w:gridCol w:w="893"/>
        <w:gridCol w:w="84"/>
        <w:gridCol w:w="964"/>
        <w:gridCol w:w="84"/>
      </w:tblGrid>
      <w:tr w:rsidR="00000000">
        <w:trPr>
          <w:divId w:val="55128818"/>
        </w:trPr>
        <w:tc>
          <w:tcPr>
            <w:tcW w:w="0" w:type="auto"/>
            <w:gridSpan w:val="15"/>
            <w:vAlign w:val="center"/>
            <w:hideMark/>
          </w:tcPr>
          <w:p w:rsidR="00000000" w:rsidRDefault="00E617AE">
            <w:pPr>
              <w:spacing w:line="288" w:lineRule="auto"/>
              <w:ind w:hanging="360"/>
              <w:jc w:val="both"/>
              <w:rPr>
                <w:rFonts w:eastAsia="Times New Roman"/>
                <w:sz w:val="26"/>
                <w:szCs w:val="26"/>
              </w:rPr>
            </w:pPr>
          </w:p>
        </w:tc>
      </w:tr>
      <w:tr w:rsidR="00000000">
        <w:trPr>
          <w:divId w:val="55128818"/>
        </w:trPr>
        <w:tc>
          <w:tcPr>
            <w:tcW w:w="13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55128818"/>
        </w:trPr>
        <w:tc>
          <w:tcPr>
            <w:tcW w:w="0" w:type="auto"/>
            <w:tcMar>
              <w:top w:w="30" w:type="dxa"/>
              <w:left w:w="30" w:type="dxa"/>
              <w:bottom w:w="30" w:type="dxa"/>
              <w:right w:w="30" w:type="dxa"/>
            </w:tcMar>
            <w:vAlign w:val="bottom"/>
            <w:hideMark/>
          </w:tcPr>
          <w:p w:rsidR="00000000" w:rsidRDefault="00E617AE">
            <w:pPr>
              <w:divId w:val="49827915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5512881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2020</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5512881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512881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1,534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1,357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1,682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7,398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12,013</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5128818"/>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(872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(7,243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(8,018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(865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(1,600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Income/(loss) from equity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197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163</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5128818"/>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Impairment of equity investments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(1,736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(1,736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(1,147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(1,054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604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(966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(325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75577834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8913857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2940994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7486152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4533564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972927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(882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(706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549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5512881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Loss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1818842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(1,364</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55128818"/>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590889461"/>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500</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391</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222</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23</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1,158</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trPr>
          <w:divId w:val="118913864"/>
        </w:trPr>
        <w:tc>
          <w:tcPr>
            <w:tcW w:w="0" w:type="auto"/>
            <w:gridSpan w:val="15"/>
            <w:vAlign w:val="center"/>
            <w:hideMark/>
          </w:tcPr>
          <w:p w:rsidR="00000000" w:rsidRDefault="00E617AE">
            <w:pPr>
              <w:rPr>
                <w:rFonts w:eastAsia="Times New Roman"/>
                <w:sz w:val="20"/>
                <w:szCs w:val="20"/>
              </w:rPr>
            </w:pPr>
          </w:p>
        </w:tc>
      </w:tr>
      <w:tr w:rsidR="00000000">
        <w:trPr>
          <w:divId w:val="118913864"/>
        </w:trPr>
        <w:tc>
          <w:tcPr>
            <w:tcW w:w="13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divId w:val="191817579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Gas Distribution and Storage</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xml:space="preserve">Renewable Power Generation </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c>
          <w:tcPr>
            <w:tcW w:w="0" w:type="auto"/>
            <w:vMerge/>
            <w:tcBorders>
              <w:bottom w:val="single" w:sz="6" w:space="0" w:color="000000"/>
            </w:tcBorders>
            <w:vAlign w:val="center"/>
            <w:hideMark/>
          </w:tcPr>
          <w:p w:rsidR="00000000" w:rsidRDefault="00E617AE">
            <w:pPr>
              <w:rPr>
                <w:rFonts w:eastAsia="Times New Roman"/>
                <w:sz w:val="16"/>
                <w:szCs w:val="16"/>
              </w:rPr>
            </w:pPr>
          </w:p>
        </w:tc>
        <w:tc>
          <w:tcPr>
            <w:tcW w:w="0" w:type="auto"/>
            <w:vMerge/>
            <w:tcBorders>
              <w:bottom w:val="single" w:sz="6" w:space="0" w:color="000000"/>
            </w:tcBorders>
            <w:vAlign w:val="center"/>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2,658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1,318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2,191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6,673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(136</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12,856</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(1,264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(6,629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(7,772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89138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(801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(513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(294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(1,625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8913864"/>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413</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income</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260</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2,072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1,020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662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248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4,132</w:t>
            </w:r>
          </w:p>
        </w:tc>
        <w:tc>
          <w:tcPr>
            <w:tcW w:w="0" w:type="auto"/>
            <w:vAlign w:val="bottom"/>
            <w:hideMark/>
          </w:tcPr>
          <w:p w:rsidR="00000000" w:rsidRDefault="00E617AE">
            <w:pPr>
              <w:rPr>
                <w:rFonts w:eastAsia="Times New Roman"/>
                <w:sz w:val="20"/>
                <w:szCs w:val="20"/>
              </w:rPr>
            </w:pPr>
          </w:p>
        </w:tc>
      </w:tr>
      <w:tr w:rsidR="00000000">
        <w:trPr>
          <w:divId w:val="1189138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E617AE">
            <w:pPr>
              <w:divId w:val="1608267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03439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83133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11987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87080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93772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(840</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89138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(685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(584</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189138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8913864"/>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1467897149"/>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1,020</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394</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173</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25</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1,627</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Includes allowance for equity funds used during construction.</w:t>
      </w:r>
    </w:p>
    <w:p w:rsidR="00000000" w:rsidRDefault="00E617AE">
      <w:pPr>
        <w:spacing w:line="288" w:lineRule="auto"/>
        <w:ind w:hanging="180"/>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5. EARNINGS PER COMMON SHARE AND DIVIDENDS PER SHARE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BASIC</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sz w:val="20"/>
          <w:szCs w:val="20"/>
        </w:rPr>
        <w:t xml:space="preserve"> average interest in our own common shares of 6 million for both the three months ended March 31, 2020 and 2019, resulting from our reciprocal investment in Noverco Inc.</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divId w:val="1085804103"/>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16</w:t>
      </w:r>
    </w:p>
    <w:p w:rsidR="00000000" w:rsidRDefault="00E617AE">
      <w:pPr>
        <w:divId w:val="118913864"/>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E617AE">
      <w:pPr>
        <w:divId w:val="1049960418"/>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DILUTED</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treasury stock method is use</w:t>
      </w:r>
      <w:r>
        <w:rPr>
          <w:rFonts w:ascii="Arial" w:eastAsia="Times New Roman" w:hAnsi="Arial" w:cs="Arial"/>
          <w:sz w:val="20"/>
          <w:szCs w:val="20"/>
        </w:rPr>
        <w:t>d to determine the dilutive impact of stock options. This method assumes any proceeds from the exercise of stock options would be used to purchase common shares at the average market price during the period.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Weighted average shares outstanding used to ca</w:t>
      </w:r>
      <w:r>
        <w:rPr>
          <w:rFonts w:ascii="Arial" w:eastAsia="Times New Roman" w:hAnsi="Arial" w:cs="Arial"/>
          <w:sz w:val="20"/>
          <w:szCs w:val="20"/>
        </w:rPr>
        <w:t>lculate basic and diluted earnings per share are as follows:</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505554466"/>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505554466"/>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505554466"/>
        </w:trPr>
        <w:tc>
          <w:tcPr>
            <w:tcW w:w="0" w:type="auto"/>
            <w:tcMar>
              <w:top w:w="30" w:type="dxa"/>
              <w:left w:w="30" w:type="dxa"/>
              <w:bottom w:w="30" w:type="dxa"/>
              <w:right w:w="30" w:type="dxa"/>
            </w:tcMar>
            <w:vAlign w:val="bottom"/>
            <w:hideMark/>
          </w:tcPr>
          <w:p w:rsidR="00000000" w:rsidRDefault="00E617AE">
            <w:pPr>
              <w:divId w:val="85723760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50555446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505554466"/>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(number of common shares in millions)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505554466"/>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2,019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2,016</w:t>
            </w:r>
          </w:p>
        </w:tc>
        <w:tc>
          <w:tcPr>
            <w:tcW w:w="0" w:type="auto"/>
            <w:vAlign w:val="bottom"/>
            <w:hideMark/>
          </w:tcPr>
          <w:p w:rsidR="00000000" w:rsidRDefault="00E617AE">
            <w:pPr>
              <w:rPr>
                <w:rFonts w:eastAsia="Times New Roman"/>
                <w:sz w:val="20"/>
                <w:szCs w:val="20"/>
              </w:rPr>
            </w:pPr>
          </w:p>
        </w:tc>
      </w:tr>
      <w:tr w:rsidR="00000000">
        <w:trPr>
          <w:divId w:val="50555446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505554466"/>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2,021</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16"/>
          <w:szCs w:val="16"/>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For the three months ended March 31, 2020 and 2019, 16.7 million and 10.5 million</w:t>
      </w:r>
      <w:r>
        <w:rPr>
          <w:rFonts w:ascii="Arial" w:eastAsia="Times New Roman" w:hAnsi="Arial" w:cs="Arial"/>
          <w:sz w:val="20"/>
          <w:szCs w:val="20"/>
        </w:rPr>
        <w:t>, respectively, anti-dilutive stock options with a weighted average exercise price of $56.26 and $55.32, respectively, were excluded from the diluted earnings per common share calculation.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DIVIDENDS PER SHARE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May 5, 2020, our Board of Directors declar</w:t>
      </w:r>
      <w:r>
        <w:rPr>
          <w:rFonts w:ascii="Arial" w:eastAsia="Times New Roman" w:hAnsi="Arial" w:cs="Arial"/>
          <w:sz w:val="20"/>
          <w:szCs w:val="20"/>
        </w:rPr>
        <w:t>ed the following quarterly dividends. All dividends are payable on June 1, 2020, to shareholders of record on May 15, 2020.</w:t>
      </w:r>
      <w:r>
        <w:rPr>
          <w:rFonts w:ascii="Arial" w:eastAsia="Times New Roman" w:hAnsi="Arial" w:cs="Arial"/>
          <w:sz w:val="16"/>
          <w:szCs w:val="16"/>
        </w:rPr>
        <w:t xml:space="preserve"> </w:t>
      </w:r>
    </w:p>
    <w:tbl>
      <w:tblPr>
        <w:tblW w:w="5000" w:type="pct"/>
        <w:tblCellMar>
          <w:left w:w="0" w:type="dxa"/>
          <w:right w:w="0" w:type="dxa"/>
        </w:tblCellMar>
        <w:tblLook w:val="04A0" w:firstRow="1" w:lastRow="0" w:firstColumn="1" w:lastColumn="0" w:noHBand="0" w:noVBand="1"/>
      </w:tblPr>
      <w:tblGrid>
        <w:gridCol w:w="6977"/>
        <w:gridCol w:w="83"/>
        <w:gridCol w:w="1163"/>
        <w:gridCol w:w="83"/>
      </w:tblGrid>
      <w:tr w:rsidR="00000000">
        <w:trPr>
          <w:divId w:val="1966882734"/>
        </w:trPr>
        <w:tc>
          <w:tcPr>
            <w:tcW w:w="0" w:type="auto"/>
            <w:gridSpan w:val="4"/>
            <w:vAlign w:val="center"/>
            <w:hideMark/>
          </w:tcPr>
          <w:p w:rsidR="00000000" w:rsidRDefault="00E617AE">
            <w:pPr>
              <w:spacing w:line="288" w:lineRule="auto"/>
              <w:rPr>
                <w:rFonts w:eastAsia="Times New Roman"/>
                <w:sz w:val="20"/>
                <w:szCs w:val="20"/>
              </w:rPr>
            </w:pPr>
          </w:p>
        </w:tc>
      </w:tr>
      <w:tr w:rsidR="00000000">
        <w:trPr>
          <w:divId w:val="1966882734"/>
        </w:trPr>
        <w:tc>
          <w:tcPr>
            <w:tcW w:w="42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7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966882734"/>
        </w:trPr>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72896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Dividend per share</w:t>
            </w:r>
          </w:p>
        </w:tc>
        <w:tc>
          <w:tcPr>
            <w:tcW w:w="0" w:type="auto"/>
            <w:tcBorders>
              <w:top w:val="single" w:sz="6" w:space="0" w:color="000000"/>
            </w:tcBorders>
            <w:vAlign w:val="bottom"/>
            <w:hideMark/>
          </w:tcPr>
          <w:p w:rsidR="00000000" w:rsidRDefault="00E617AE">
            <w:pPr>
              <w:rPr>
                <w:rFonts w:eastAsia="Times New Roman"/>
                <w:sz w:val="20"/>
                <w:szCs w:val="20"/>
              </w:rPr>
            </w:pPr>
          </w:p>
        </w:tc>
      </w:tr>
      <w:tr w:rsidR="00000000">
        <w:trPr>
          <w:divId w:val="1966882734"/>
        </w:trPr>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1315067261"/>
              <w:rPr>
                <w:rFonts w:eastAsia="Times New Roman"/>
                <w:sz w:val="20"/>
                <w:szCs w:val="20"/>
              </w:rPr>
            </w:pPr>
            <w:r>
              <w:rPr>
                <w:rFonts w:ascii="Arial" w:eastAsia="Times New Roman" w:hAnsi="Arial" w:cs="Arial"/>
                <w:sz w:val="20"/>
                <w:szCs w:val="20"/>
              </w:rPr>
              <w:t>Common Shares</w:t>
            </w:r>
            <w:r>
              <w:rPr>
                <w:rFonts w:ascii="Arial" w:eastAsia="Times New Roman" w:hAnsi="Arial" w:cs="Arial"/>
                <w:sz w:val="10"/>
                <w:szCs w:val="10"/>
                <w:vertAlign w:val="superscript"/>
              </w:rPr>
              <w:t>1</w:t>
            </w:r>
          </w:p>
        </w:tc>
        <w:tc>
          <w:tcPr>
            <w:tcW w:w="0" w:type="auto"/>
            <w:tcBorders>
              <w:top w:val="single" w:sz="6" w:space="0" w:color="000000"/>
            </w:tcBorders>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Borders>
              <w:top w:val="single" w:sz="6" w:space="0" w:color="000000"/>
            </w:tcBorders>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$0.81000</w:t>
            </w:r>
          </w:p>
        </w:tc>
        <w:tc>
          <w:tcPr>
            <w:tcW w:w="0" w:type="auto"/>
            <w:tcBorders>
              <w:top w:val="single" w:sz="6" w:space="0" w:color="000000"/>
            </w:tcBorders>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divId w:val="782457090"/>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$0.25458</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P</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R</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$0.25456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3</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$0.23356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5</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7</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9</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$0.25606</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divId w:val="1378815066"/>
              <w:rPr>
                <w:rFonts w:eastAsia="Times New Roman"/>
                <w:sz w:val="20"/>
                <w:szCs w:val="20"/>
              </w:rPr>
            </w:pPr>
            <w:r>
              <w:rPr>
                <w:rFonts w:ascii="Arial" w:eastAsia="Times New Roman" w:hAnsi="Arial" w:cs="Arial"/>
                <w:sz w:val="20"/>
                <w:szCs w:val="20"/>
              </w:rPr>
              <w:t>Preference Shares, Series 11</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$0.24613</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13</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rsidR="00000000" w:rsidRDefault="00E617AE">
            <w:pPr>
              <w:rPr>
                <w:rFonts w:eastAsia="Times New Roman"/>
                <w:sz w:val="20"/>
                <w:szCs w:val="20"/>
              </w:rPr>
            </w:pPr>
          </w:p>
        </w:tc>
      </w:tr>
      <w:tr w:rsidR="00000000">
        <w:trPr>
          <w:divId w:val="1966882734"/>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Shares, Series 19</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The quarterly dividend per common share was increased 9.8% to $0.81 from $0.738, effective March 1, 2020. </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2 The quarterly dividend per share paid on Series C was increased to $0.25458 from $0.25305 on March 1, 2020 due to reset on a quarterly basis follow</w:t>
      </w:r>
      <w:r>
        <w:rPr>
          <w:rFonts w:ascii="Arial" w:eastAsia="Times New Roman" w:hAnsi="Arial" w:cs="Arial"/>
          <w:i/>
          <w:iCs/>
          <w:sz w:val="16"/>
          <w:szCs w:val="16"/>
        </w:rPr>
        <w:t xml:space="preserve">ing the date of issuance of the Series C Preference Shares. </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3 The quarterly dividend per share paid on Series 11 was decreased to $0.24613 from $0.275 on March 1, 2020, due to the reset of the annual dividend on March 1, 2020, and every five years thereaf</w:t>
      </w:r>
      <w:r>
        <w:rPr>
          <w:rFonts w:ascii="Arial" w:eastAsia="Times New Roman" w:hAnsi="Arial" w:cs="Arial"/>
          <w:i/>
          <w:iCs/>
          <w:sz w:val="16"/>
          <w:szCs w:val="16"/>
        </w:rPr>
        <w:t xml:space="preserve">ter. </w:t>
      </w:r>
    </w:p>
    <w:p w:rsidR="00000000" w:rsidRDefault="00E617AE">
      <w:pPr>
        <w:spacing w:line="288" w:lineRule="auto"/>
        <w:ind w:hanging="180"/>
        <w:divId w:val="118913864"/>
        <w:rPr>
          <w:rFonts w:eastAsia="Times New Roman"/>
          <w:sz w:val="16"/>
          <w:szCs w:val="16"/>
        </w:rPr>
      </w:pPr>
    </w:p>
    <w:p w:rsidR="00000000" w:rsidRDefault="00E617AE">
      <w:pPr>
        <w:divId w:val="312414774"/>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17</w:t>
      </w:r>
    </w:p>
    <w:p w:rsidR="00000000" w:rsidRDefault="00E617AE">
      <w:pPr>
        <w:divId w:val="118913864"/>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E617AE">
      <w:pPr>
        <w:divId w:val="582684038"/>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6. ACQUISITIONS AND DISPOSITIONS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ASSETS HELD FOR SALE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Line 10 Crude Oil Pipeline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the first quarter of 2018, we satisfied the condition as set out in our agreements for the sale of our Line 10 crude oil pipeline (Line 10), which originates near Hamilton, Ontario and terminates at West Seneca, New York. Our subsidiaries, Enbridge Pipe</w:t>
      </w:r>
      <w:r>
        <w:rPr>
          <w:rFonts w:ascii="Arial" w:eastAsia="Times New Roman" w:hAnsi="Arial" w:cs="Arial"/>
          <w:sz w:val="20"/>
          <w:szCs w:val="20"/>
        </w:rPr>
        <w:t>lines Inc. and EEP, own the Canadian and United States portions of Line 10, respectively, and the related assets are included in our Liquids Pipelines segment. Subject to certain regulatory approvals and customary closing conditions, the transaction is exp</w:t>
      </w:r>
      <w:r>
        <w:rPr>
          <w:rFonts w:ascii="Arial" w:eastAsia="Times New Roman" w:hAnsi="Arial" w:cs="Arial"/>
          <w:sz w:val="20"/>
          <w:szCs w:val="20"/>
        </w:rPr>
        <w:t>ected to close in 2020.</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Montana-Alberta Tie Line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the fourth quarter of 2019, we committed to a plan to sell the Montana-Alberta Tie Line transmission assets, a 345 kilometer transmission line from Great Falls, Montana to Lethbridge, Alberta. Its relat</w:t>
      </w:r>
      <w:r>
        <w:rPr>
          <w:rFonts w:ascii="Arial" w:eastAsia="Times New Roman" w:hAnsi="Arial" w:cs="Arial"/>
          <w:sz w:val="20"/>
          <w:szCs w:val="20"/>
        </w:rPr>
        <w:t xml:space="preserve">ed assets are included in our Renewable Power Generation segment. The purchase and sale agreement was signed in January 2020. The transaction closed on May 1, 2020, please refer to </w:t>
      </w:r>
      <w:r>
        <w:rPr>
          <w:rFonts w:ascii="Arial" w:eastAsia="Times New Roman" w:hAnsi="Arial" w:cs="Arial"/>
          <w:i/>
          <w:iCs/>
          <w:sz w:val="20"/>
          <w:szCs w:val="20"/>
        </w:rPr>
        <w:t>Note 14. Subsequent Events</w:t>
      </w:r>
      <w:r>
        <w:rPr>
          <w:rFonts w:ascii="Arial" w:eastAsia="Times New Roman" w:hAnsi="Arial" w:cs="Arial"/>
          <w:sz w:val="20"/>
          <w:szCs w:val="20"/>
        </w:rPr>
        <w:t>.</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Ozark Gas Transmission</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the first quarter o</w:t>
      </w:r>
      <w:r>
        <w:rPr>
          <w:rFonts w:ascii="Arial" w:eastAsia="Times New Roman" w:hAnsi="Arial" w:cs="Arial"/>
          <w:sz w:val="20"/>
          <w:szCs w:val="20"/>
        </w:rPr>
        <w:t>f 2020, we agreed to sell our Ozark Gas Transmission and Ozark Gas Gathering assets (Ozark assets). The Ozark assets are composed of a 367 mile transmission system that extends from southeastern Oklahoma through Arkansas to southeastern Missouri, and a fee</w:t>
      </w:r>
      <w:r>
        <w:rPr>
          <w:rFonts w:ascii="Arial" w:eastAsia="Times New Roman" w:hAnsi="Arial" w:cs="Arial"/>
          <w:sz w:val="20"/>
          <w:szCs w:val="20"/>
        </w:rPr>
        <w:t xml:space="preserve">-based 330 mile gathering system that accesses Fayetteville Shale and Arkoma production. These assets are included in our Gas Transmission and Midstream segment. The transaction closed on April 1, 2020, please refer to </w:t>
      </w:r>
      <w:r>
        <w:rPr>
          <w:rFonts w:ascii="Arial" w:eastAsia="Times New Roman" w:hAnsi="Arial" w:cs="Arial"/>
          <w:i/>
          <w:iCs/>
          <w:sz w:val="20"/>
          <w:szCs w:val="20"/>
        </w:rPr>
        <w:t>Note 14. Subsequent Events</w:t>
      </w:r>
      <w:r>
        <w:rPr>
          <w:rFonts w:ascii="Arial" w:eastAsia="Times New Roman" w:hAnsi="Arial" w:cs="Arial"/>
          <w:sz w:val="20"/>
          <w:szCs w:val="20"/>
        </w:rPr>
        <w:t>.</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Upon th</w:t>
      </w:r>
      <w:r>
        <w:rPr>
          <w:rFonts w:ascii="Arial" w:eastAsia="Times New Roman" w:hAnsi="Arial" w:cs="Arial"/>
          <w:sz w:val="20"/>
          <w:szCs w:val="20"/>
        </w:rPr>
        <w:t xml:space="preserve">e reclassification and subsequent remeasurement of the Ozark assets as held for sale, a loss of $19 million was included within Operating and administrative expenses on the Consolidated Statements of Earnings for the three months ended March 31, 2020.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S</w:t>
      </w:r>
      <w:r>
        <w:rPr>
          <w:rFonts w:ascii="Arial" w:eastAsia="Times New Roman" w:hAnsi="Arial" w:cs="Arial"/>
          <w:b/>
          <w:bCs/>
          <w:sz w:val="20"/>
          <w:szCs w:val="20"/>
        </w:rPr>
        <w:t>ummary of Assets Held for Sale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table below summarizes the presentation of net assets held for sale in our Consolidated Statements of Financial Position:</w:t>
      </w:r>
    </w:p>
    <w:tbl>
      <w:tblPr>
        <w:tblW w:w="5000" w:type="pct"/>
        <w:jc w:val="center"/>
        <w:tblCellMar>
          <w:left w:w="0" w:type="dxa"/>
          <w:right w:w="0" w:type="dxa"/>
        </w:tblCellMar>
        <w:tblLook w:val="04A0" w:firstRow="1" w:lastRow="0" w:firstColumn="1" w:lastColumn="0" w:noHBand="0" w:noVBand="1"/>
      </w:tblPr>
      <w:tblGrid>
        <w:gridCol w:w="5629"/>
        <w:gridCol w:w="1228"/>
        <w:gridCol w:w="97"/>
        <w:gridCol w:w="1287"/>
        <w:gridCol w:w="65"/>
      </w:tblGrid>
      <w:tr w:rsidR="00000000">
        <w:trPr>
          <w:divId w:val="1021780523"/>
          <w:jc w:val="center"/>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1021780523"/>
          <w:jc w:val="center"/>
        </w:trPr>
        <w:tc>
          <w:tcPr>
            <w:tcW w:w="340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02178052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5238628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March 31, 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December 31, 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021780523"/>
          <w:jc w:val="center"/>
        </w:trPr>
        <w:tc>
          <w:tcPr>
            <w:tcW w:w="0" w:type="auto"/>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E617AE">
            <w:pPr>
              <w:divId w:val="815610284"/>
              <w:rPr>
                <w:rFonts w:eastAsia="Times New Roman"/>
                <w:sz w:val="20"/>
                <w:szCs w:val="20"/>
              </w:rPr>
            </w:pPr>
            <w:r>
              <w:rPr>
                <w:rFonts w:ascii="inherit" w:eastAsia="Times New Roman" w:hAnsi="inherit"/>
                <w:sz w:val="20"/>
                <w:szCs w:val="20"/>
              </w:rPr>
              <w:t> </w:t>
            </w:r>
          </w:p>
        </w:tc>
      </w:tr>
      <w:tr w:rsidR="00000000">
        <w:trPr>
          <w:divId w:val="1021780523"/>
          <w:jc w:val="center"/>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Accounts receivable and other (current assets held for sale)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E617AE">
            <w:pPr>
              <w:rPr>
                <w:rFonts w:eastAsia="Times New Roman"/>
                <w:sz w:val="20"/>
                <w:szCs w:val="20"/>
              </w:rPr>
            </w:pPr>
          </w:p>
        </w:tc>
      </w:tr>
      <w:tr w:rsidR="00000000">
        <w:trPr>
          <w:divId w:val="1021780523"/>
          <w:jc w:val="center"/>
        </w:trPr>
        <w:tc>
          <w:tcPr>
            <w:tcW w:w="0" w:type="auto"/>
            <w:tcMar>
              <w:top w:w="30" w:type="dxa"/>
              <w:left w:w="30" w:type="dxa"/>
              <w:bottom w:w="30" w:type="dxa"/>
              <w:right w:w="30" w:type="dxa"/>
            </w:tcMar>
            <w:hideMark/>
          </w:tcPr>
          <w:p w:rsidR="00000000" w:rsidRDefault="00E617AE">
            <w:pPr>
              <w:divId w:val="618343187"/>
              <w:rPr>
                <w:rFonts w:eastAsia="Times New Roman"/>
                <w:sz w:val="20"/>
                <w:szCs w:val="20"/>
              </w:rPr>
            </w:pPr>
            <w:r>
              <w:rPr>
                <w:rFonts w:ascii="Arial" w:eastAsia="Times New Roman" w:hAnsi="Arial" w:cs="Arial"/>
                <w:sz w:val="20"/>
                <w:szCs w:val="20"/>
              </w:rPr>
              <w:t>Deferred amounts and other assets (long-term assets held for sale)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330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269</w:t>
            </w:r>
          </w:p>
        </w:tc>
        <w:tc>
          <w:tcPr>
            <w:tcW w:w="0" w:type="auto"/>
            <w:vAlign w:val="bottom"/>
            <w:hideMark/>
          </w:tcPr>
          <w:p w:rsidR="00000000" w:rsidRDefault="00E617AE">
            <w:pPr>
              <w:rPr>
                <w:rFonts w:eastAsia="Times New Roman"/>
                <w:sz w:val="20"/>
                <w:szCs w:val="20"/>
              </w:rPr>
            </w:pPr>
          </w:p>
        </w:tc>
      </w:tr>
      <w:tr w:rsidR="00000000">
        <w:trPr>
          <w:divId w:val="1021780523"/>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Accounts payable and other (current liabilities held for sale)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1021780523"/>
          <w:jc w:val="center"/>
        </w:trPr>
        <w:tc>
          <w:tcPr>
            <w:tcW w:w="0" w:type="auto"/>
            <w:tcBorders>
              <w:top w:val="single" w:sz="6" w:space="0" w:color="000000"/>
              <w:bottom w:val="single" w:sz="12"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Net assets held for sale</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339</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297</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jc w:val="cente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42512483"/>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Included within Deferred amounts and other assets at March 31, 2020 and December 31, 2019 </w:t>
            </w:r>
            <w:r>
              <w:rPr>
                <w:rFonts w:ascii="Arial" w:eastAsia="Times New Roman" w:hAnsi="Arial" w:cs="Arial"/>
                <w:i/>
                <w:iCs/>
                <w:sz w:val="16"/>
                <w:szCs w:val="16"/>
              </w:rPr>
              <w:t>is property, plant and equipment of $241 million and $181 million, respectively.</w:t>
            </w:r>
          </w:p>
        </w:tc>
      </w:tr>
    </w:tbl>
    <w:p w:rsidR="00000000" w:rsidRDefault="00E617AE">
      <w:pPr>
        <w:spacing w:line="288" w:lineRule="auto"/>
        <w:divId w:val="118913864"/>
        <w:rPr>
          <w:rFonts w:eastAsia="Times New Roman"/>
          <w:sz w:val="20"/>
          <w:szCs w:val="20"/>
        </w:rPr>
      </w:pPr>
    </w:p>
    <w:p w:rsidR="00000000" w:rsidRDefault="00E617AE">
      <w:pPr>
        <w:divId w:val="193030514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18</w:t>
      </w:r>
    </w:p>
    <w:p w:rsidR="00000000" w:rsidRDefault="00E617AE">
      <w:pPr>
        <w:divId w:val="11891386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E617AE">
      <w:pPr>
        <w:divId w:val="12575201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08"/>
      </w:tblGrid>
      <w:tr w:rsidR="00000000">
        <w:trPr>
          <w:divId w:val="118913864"/>
          <w:tblCellSpacing w:w="0" w:type="dxa"/>
        </w:trPr>
        <w:tc>
          <w:tcPr>
            <w:tcW w:w="36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32375563"/>
              <w:rPr>
                <w:rFonts w:eastAsia="Times New Roman"/>
                <w:sz w:val="26"/>
                <w:szCs w:val="26"/>
              </w:rPr>
            </w:pPr>
            <w:r>
              <w:rPr>
                <w:rFonts w:ascii="Arial" w:eastAsia="Times New Roman" w:hAnsi="Arial" w:cs="Arial"/>
                <w:b/>
                <w:bCs/>
                <w:sz w:val="26"/>
                <w:szCs w:val="26"/>
              </w:rPr>
              <w:t xml:space="preserve">7. </w:t>
            </w:r>
          </w:p>
        </w:tc>
        <w:tc>
          <w:tcPr>
            <w:tcW w:w="0" w:type="auto"/>
            <w:hideMark/>
          </w:tcPr>
          <w:p w:rsidR="00000000" w:rsidRDefault="00E617AE">
            <w:pPr>
              <w:spacing w:line="288" w:lineRule="auto"/>
              <w:rPr>
                <w:rFonts w:eastAsia="Times New Roman"/>
                <w:sz w:val="26"/>
                <w:szCs w:val="26"/>
              </w:rPr>
            </w:pPr>
            <w:r>
              <w:rPr>
                <w:rFonts w:ascii="Arial" w:eastAsia="Times New Roman" w:hAnsi="Arial" w:cs="Arial"/>
                <w:b/>
                <w:bCs/>
                <w:sz w:val="26"/>
                <w:szCs w:val="26"/>
              </w:rPr>
              <w:t xml:space="preserve">DEBT </w:t>
            </w:r>
          </w:p>
        </w:tc>
      </w:tr>
    </w:tbl>
    <w:p w:rsidR="00000000" w:rsidRDefault="00E617AE">
      <w:pPr>
        <w:spacing w:line="288" w:lineRule="auto"/>
        <w:ind w:hanging="360"/>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CREDIT FACILITIES</w:t>
      </w:r>
    </w:p>
    <w:p w:rsidR="00000000" w:rsidRDefault="00E617AE">
      <w:pPr>
        <w:spacing w:line="288" w:lineRule="auto"/>
        <w:jc w:val="both"/>
        <w:divId w:val="118913864"/>
        <w:rPr>
          <w:rFonts w:eastAsia="Times New Roman"/>
          <w:sz w:val="20"/>
          <w:szCs w:val="20"/>
        </w:rPr>
      </w:pPr>
      <w:r>
        <w:rPr>
          <w:rFonts w:ascii="Arial" w:eastAsia="Times New Roman" w:hAnsi="Arial" w:cs="Arial"/>
          <w:sz w:val="20"/>
          <w:szCs w:val="20"/>
        </w:rPr>
        <w:t xml:space="preserve">The following table provides details of our committed credit facilities as at March 31, 2020: </w:t>
      </w:r>
    </w:p>
    <w:p w:rsidR="00000000" w:rsidRDefault="00E617AE">
      <w:pPr>
        <w:spacing w:line="288" w:lineRule="auto"/>
        <w:jc w:val="both"/>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1128553164"/>
        </w:trPr>
        <w:tc>
          <w:tcPr>
            <w:tcW w:w="0" w:type="auto"/>
            <w:gridSpan w:val="8"/>
            <w:vAlign w:val="center"/>
            <w:hideMark/>
          </w:tcPr>
          <w:p w:rsidR="00000000" w:rsidRDefault="00E617AE">
            <w:pPr>
              <w:spacing w:line="288" w:lineRule="auto"/>
              <w:rPr>
                <w:rFonts w:eastAsia="Times New Roman"/>
                <w:sz w:val="2"/>
                <w:szCs w:val="2"/>
              </w:rPr>
            </w:pPr>
          </w:p>
        </w:tc>
      </w:tr>
      <w:tr w:rsidR="00000000">
        <w:trPr>
          <w:divId w:val="1128553164"/>
        </w:trPr>
        <w:tc>
          <w:tcPr>
            <w:tcW w:w="26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285531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3970487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Total</w:t>
            </w:r>
          </w:p>
          <w:p w:rsidR="00000000" w:rsidRDefault="00E617AE">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2855316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r>
      <w:tr w:rsidR="00000000">
        <w:trPr>
          <w:divId w:val="112855316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10,959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6,250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4,709</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12855316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7,829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2,162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5,667</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12855316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2,155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845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12855316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1,165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128553164"/>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23,788</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11,402</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12,386</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6715"/>
      </w:tblGrid>
      <w:tr w:rsidR="00000000">
        <w:trPr>
          <w:divId w:val="118913864"/>
          <w:tblCellSpacing w:w="0" w:type="dxa"/>
        </w:trPr>
        <w:tc>
          <w:tcPr>
            <w:tcW w:w="18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424375961"/>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credit facility.</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11"/>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69846263"/>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Maturity date is inclusive of the one year term out option. </w:t>
            </w:r>
          </w:p>
        </w:tc>
      </w:tr>
    </w:tbl>
    <w:p w:rsidR="00000000" w:rsidRDefault="00E617AE">
      <w:pPr>
        <w:spacing w:line="288" w:lineRule="auto"/>
        <w:ind w:hanging="180"/>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On February 24, 2020, Enbridge Inc. entered into a two year, non-revolving credit facility for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US$1 billion with a syndicate of lenders.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25, 2020, Enbridge Inc. entered into two, one year, non-revolving, bilateral credit facilities for a to</w:t>
      </w:r>
      <w:r>
        <w:rPr>
          <w:rFonts w:ascii="Arial" w:eastAsia="Times New Roman" w:hAnsi="Arial" w:cs="Arial"/>
          <w:sz w:val="20"/>
          <w:szCs w:val="20"/>
        </w:rPr>
        <w:t xml:space="preserve">tal of US$500 million.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On March 31, 2020, Enbridge Inc. entered into a one year, revolving, syndicated credit facility for $1.7 billion. On April 9, 2020, Enbridge Inc. exercised an accordion provision and increased the facility to $3.0 billion.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a</w:t>
      </w:r>
      <w:r>
        <w:rPr>
          <w:rFonts w:ascii="Arial" w:eastAsia="Times New Roman" w:hAnsi="Arial" w:cs="Arial"/>
          <w:sz w:val="20"/>
          <w:szCs w:val="20"/>
        </w:rPr>
        <w:t>ddition to the committed credit facilities noted above, we maintain $806 million of uncommitted demand credit facilities, of which $523 million were unutilized as at March 31, 2020. As at December 31, 2019, we had $916 million of uncommitted credit facilit</w:t>
      </w:r>
      <w:r>
        <w:rPr>
          <w:rFonts w:ascii="Arial" w:eastAsia="Times New Roman" w:hAnsi="Arial" w:cs="Arial"/>
          <w:sz w:val="20"/>
          <w:szCs w:val="20"/>
        </w:rPr>
        <w:t xml:space="preserve">ies, of which $476 million were unutilized.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credit facilities carry a weighted average standby fee of 0.1% per annum on the unused portion and draws bear interest at market rates. Certain credit facilities serve as a back-stop to the commercial pape</w:t>
      </w:r>
      <w:r>
        <w:rPr>
          <w:rFonts w:ascii="Arial" w:eastAsia="Times New Roman" w:hAnsi="Arial" w:cs="Arial"/>
          <w:sz w:val="20"/>
          <w:szCs w:val="20"/>
        </w:rPr>
        <w:t>r programs and we have the option to extend such facilities, which are currently scheduled to mature from 2021 to 2024.</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at March 31, 2020 and December 31, 2019, commercial paper and credit facility draws, net of short-term borrowings and non-revolving</w:t>
      </w:r>
      <w:r>
        <w:rPr>
          <w:rFonts w:ascii="Arial" w:eastAsia="Times New Roman" w:hAnsi="Arial" w:cs="Arial"/>
          <w:sz w:val="20"/>
          <w:szCs w:val="20"/>
        </w:rPr>
        <w:t xml:space="preserve"> credit facilities that mature within one year, of $9,855 million and $8,974 million, respectively, were supported by the availability of long-term committed credit facilities and therefore have been classified as long-term debt.</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LONG-TERM DEBT ISSUANCES</w:t>
      </w:r>
      <w:r>
        <w:rPr>
          <w:rFonts w:ascii="Arial" w:eastAsia="Times New Roman" w:hAnsi="Arial" w:cs="Arial"/>
          <w:b/>
          <w:bCs/>
          <w:sz w:val="20"/>
          <w:szCs w:val="20"/>
        </w:rPr>
        <w:t xml:space="preserve">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During the three months ended March 31, 2020, we completed the following long-term debt issuances: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583300051"/>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583300051"/>
        </w:trPr>
        <w:tc>
          <w:tcPr>
            <w:tcW w:w="550" w:type="pct"/>
            <w:vAlign w:val="center"/>
            <w:hideMark/>
          </w:tcPr>
          <w:p w:rsidR="00000000" w:rsidRDefault="00E617AE">
            <w:pPr>
              <w:rPr>
                <w:rFonts w:eastAsia="Times New Roman"/>
                <w:sz w:val="20"/>
                <w:szCs w:val="20"/>
              </w:rPr>
            </w:pPr>
          </w:p>
        </w:tc>
        <w:tc>
          <w:tcPr>
            <w:tcW w:w="900" w:type="pct"/>
            <w:vAlign w:val="center"/>
            <w:hideMark/>
          </w:tcPr>
          <w:p w:rsidR="00000000" w:rsidRDefault="00E617AE">
            <w:pPr>
              <w:rPr>
                <w:rFonts w:eastAsia="Times New Roman"/>
                <w:sz w:val="20"/>
                <w:szCs w:val="20"/>
              </w:rPr>
            </w:pPr>
          </w:p>
        </w:tc>
        <w:tc>
          <w:tcPr>
            <w:tcW w:w="23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r>
      <w:tr w:rsidR="00000000">
        <w:trPr>
          <w:divId w:val="58330005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823666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9524674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Principal Amount</w:t>
            </w:r>
          </w:p>
        </w:tc>
      </w:tr>
      <w:tr w:rsidR="00000000">
        <w:trPr>
          <w:divId w:val="583300051"/>
        </w:trPr>
        <w:tc>
          <w:tcPr>
            <w:tcW w:w="0" w:type="auto"/>
            <w:gridSpan w:val="3"/>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E617AE">
            <w:pPr>
              <w:divId w:val="792480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048066309"/>
              <w:rPr>
                <w:rFonts w:eastAsia="Times New Roman"/>
                <w:sz w:val="20"/>
                <w:szCs w:val="20"/>
              </w:rPr>
            </w:pPr>
            <w:r>
              <w:rPr>
                <w:rFonts w:ascii="inherit" w:eastAsia="Times New Roman" w:hAnsi="inherit"/>
                <w:sz w:val="20"/>
                <w:szCs w:val="20"/>
              </w:rPr>
              <w:t> </w:t>
            </w:r>
          </w:p>
        </w:tc>
      </w:tr>
      <w:tr w:rsidR="00000000">
        <w:trPr>
          <w:divId w:val="583300051"/>
        </w:trPr>
        <w:tc>
          <w:tcPr>
            <w:tcW w:w="0" w:type="auto"/>
            <w:gridSpan w:val="3"/>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E617AE">
            <w:pPr>
              <w:divId w:val="287400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833718429"/>
              <w:rPr>
                <w:rFonts w:eastAsia="Times New Roman"/>
                <w:sz w:val="20"/>
                <w:szCs w:val="20"/>
              </w:rPr>
            </w:pPr>
            <w:r>
              <w:rPr>
                <w:rFonts w:ascii="inherit" w:eastAsia="Times New Roman" w:hAnsi="inherit"/>
                <w:sz w:val="20"/>
                <w:szCs w:val="20"/>
              </w:rPr>
              <w:t> </w:t>
            </w:r>
          </w:p>
        </w:tc>
      </w:tr>
      <w:tr w:rsidR="00000000">
        <w:trPr>
          <w:divId w:val="583300051"/>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917546951"/>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February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notes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43280441"/>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US$750</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April 1, 2020, Enbridge Gas Inc. (Enbridge Gas) issued $600 million of 2.90% 10-year medium-term notes and $600 million of 3.65% 30-year medium term notes payable semi-annually in arrears. The notes mature on April 1, 2030 and April 1, 2050, respectivel</w:t>
      </w:r>
      <w:r>
        <w:rPr>
          <w:rFonts w:ascii="Arial" w:eastAsia="Times New Roman" w:hAnsi="Arial" w:cs="Arial"/>
          <w:sz w:val="20"/>
          <w:szCs w:val="20"/>
        </w:rPr>
        <w:t xml:space="preserve">y. </w:t>
      </w:r>
    </w:p>
    <w:p w:rsidR="00000000" w:rsidRDefault="00E617AE">
      <w:pPr>
        <w:spacing w:line="288" w:lineRule="auto"/>
        <w:divId w:val="118913864"/>
        <w:rPr>
          <w:rFonts w:eastAsia="Times New Roman"/>
          <w:sz w:val="20"/>
          <w:szCs w:val="20"/>
        </w:rPr>
      </w:pPr>
    </w:p>
    <w:p w:rsidR="00000000" w:rsidRDefault="00E617AE">
      <w:pPr>
        <w:divId w:val="32081899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19</w:t>
      </w:r>
    </w:p>
    <w:p w:rsidR="00000000" w:rsidRDefault="00E617AE">
      <w:pPr>
        <w:divId w:val="118913864"/>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E617AE">
      <w:pPr>
        <w:divId w:val="1142505541"/>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LONG-TERM DEBT REPAYMENTS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During the three months ended March 31, 2020, we completed the following long-term debt repayments: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363796134"/>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363796134"/>
        </w:trPr>
        <w:tc>
          <w:tcPr>
            <w:tcW w:w="550" w:type="pct"/>
            <w:vAlign w:val="center"/>
            <w:hideMark/>
          </w:tcPr>
          <w:p w:rsidR="00000000" w:rsidRDefault="00E617AE">
            <w:pPr>
              <w:rPr>
                <w:rFonts w:eastAsia="Times New Roman"/>
                <w:sz w:val="20"/>
                <w:szCs w:val="20"/>
              </w:rPr>
            </w:pPr>
          </w:p>
        </w:tc>
        <w:tc>
          <w:tcPr>
            <w:tcW w:w="900" w:type="pct"/>
            <w:vAlign w:val="center"/>
            <w:hideMark/>
          </w:tcPr>
          <w:p w:rsidR="00000000" w:rsidRDefault="00E617AE">
            <w:pPr>
              <w:rPr>
                <w:rFonts w:eastAsia="Times New Roman"/>
                <w:sz w:val="20"/>
                <w:szCs w:val="20"/>
              </w:rPr>
            </w:pPr>
          </w:p>
        </w:tc>
        <w:tc>
          <w:tcPr>
            <w:tcW w:w="23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r>
      <w:tr w:rsidR="00000000">
        <w:trPr>
          <w:divId w:val="36379613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6386578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2285654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Principal Amount</w:t>
            </w:r>
          </w:p>
        </w:tc>
      </w:tr>
      <w:tr w:rsidR="00000000">
        <w:trPr>
          <w:divId w:val="363796134"/>
        </w:trPr>
        <w:tc>
          <w:tcPr>
            <w:tcW w:w="0" w:type="auto"/>
            <w:gridSpan w:val="3"/>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E617AE">
            <w:pPr>
              <w:divId w:val="421532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406416364"/>
              <w:rPr>
                <w:rFonts w:eastAsia="Times New Roman"/>
                <w:sz w:val="20"/>
                <w:szCs w:val="20"/>
              </w:rPr>
            </w:pPr>
            <w:r>
              <w:rPr>
                <w:rFonts w:ascii="inherit" w:eastAsia="Times New Roman" w:hAnsi="inherit"/>
                <w:sz w:val="20"/>
                <w:szCs w:val="20"/>
              </w:rPr>
              <w:t> </w:t>
            </w:r>
          </w:p>
        </w:tc>
      </w:tr>
      <w:tr w:rsidR="00000000">
        <w:trPr>
          <w:divId w:val="363796134"/>
        </w:trPr>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rsidR="00000000" w:rsidRDefault="00E617AE">
            <w:pPr>
              <w:divId w:val="1020551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531579326"/>
              <w:rPr>
                <w:rFonts w:eastAsia="Times New Roman"/>
                <w:sz w:val="20"/>
                <w:szCs w:val="20"/>
              </w:rPr>
            </w:pPr>
            <w:r>
              <w:rPr>
                <w:rFonts w:ascii="inherit" w:eastAsia="Times New Roman" w:hAnsi="inherit"/>
                <w:sz w:val="20"/>
                <w:szCs w:val="20"/>
              </w:rPr>
              <w:t> </w:t>
            </w:r>
          </w:p>
        </w:tc>
      </w:tr>
      <w:tr w:rsidR="00000000">
        <w:trPr>
          <w:divId w:val="363796134"/>
        </w:trPr>
        <w:tc>
          <w:tcPr>
            <w:tcW w:w="0" w:type="auto"/>
            <w:tcMar>
              <w:top w:w="30" w:type="dxa"/>
              <w:left w:w="30" w:type="dxa"/>
              <w:bottom w:w="30" w:type="dxa"/>
              <w:right w:w="30" w:type="dxa"/>
            </w:tcMar>
            <w:vAlign w:val="bottom"/>
            <w:hideMark/>
          </w:tcPr>
          <w:p w:rsidR="00000000" w:rsidRDefault="00E617AE">
            <w:pPr>
              <w:divId w:val="872227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US$700</w:t>
            </w:r>
          </w:p>
        </w:tc>
      </w:tr>
      <w:tr w:rsidR="00000000">
        <w:trPr>
          <w:divId w:val="363796134"/>
        </w:trPr>
        <w:tc>
          <w:tcPr>
            <w:tcW w:w="0" w:type="auto"/>
            <w:tcMar>
              <w:top w:w="30" w:type="dxa"/>
              <w:left w:w="30" w:type="dxa"/>
              <w:bottom w:w="30" w:type="dxa"/>
              <w:right w:w="30" w:type="dxa"/>
            </w:tcMar>
            <w:vAlign w:val="bottom"/>
            <w:hideMark/>
          </w:tcPr>
          <w:p w:rsidR="00000000" w:rsidRDefault="00E617AE">
            <w:pPr>
              <w:divId w:val="89465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March 2020</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4.53% medium-term notes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$500</w:t>
            </w:r>
          </w:p>
        </w:tc>
      </w:tr>
      <w:tr w:rsidR="00000000">
        <w:trPr>
          <w:divId w:val="363796134"/>
        </w:trPr>
        <w:tc>
          <w:tcPr>
            <w:tcW w:w="0" w:type="auto"/>
            <w:gridSpan w:val="3"/>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Spectra Energy Partners, LP</w:t>
            </w:r>
          </w:p>
        </w:tc>
        <w:tc>
          <w:tcPr>
            <w:tcW w:w="0" w:type="auto"/>
            <w:tcMar>
              <w:top w:w="30" w:type="dxa"/>
              <w:left w:w="30" w:type="dxa"/>
              <w:bottom w:w="30" w:type="dxa"/>
              <w:right w:w="30" w:type="dxa"/>
            </w:tcMar>
            <w:vAlign w:val="bottom"/>
            <w:hideMark/>
          </w:tcPr>
          <w:p w:rsidR="00000000" w:rsidRDefault="00E617AE">
            <w:pPr>
              <w:divId w:val="1706295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978022277"/>
              <w:rPr>
                <w:rFonts w:eastAsia="Times New Roman"/>
                <w:sz w:val="20"/>
                <w:szCs w:val="20"/>
              </w:rPr>
            </w:pPr>
            <w:r>
              <w:rPr>
                <w:rFonts w:ascii="inherit" w:eastAsia="Times New Roman" w:hAnsi="inherit"/>
                <w:sz w:val="20"/>
                <w:szCs w:val="20"/>
              </w:rPr>
              <w:t> </w:t>
            </w:r>
          </w:p>
        </w:tc>
      </w:tr>
      <w:tr w:rsidR="00000000">
        <w:trPr>
          <w:divId w:val="363796134"/>
        </w:trPr>
        <w:tc>
          <w:tcPr>
            <w:tcW w:w="0" w:type="auto"/>
            <w:tcMar>
              <w:top w:w="30" w:type="dxa"/>
              <w:left w:w="30" w:type="dxa"/>
              <w:bottom w:w="30" w:type="dxa"/>
              <w:right w:w="30" w:type="dxa"/>
            </w:tcMar>
            <w:vAlign w:val="bottom"/>
            <w:hideMark/>
          </w:tcPr>
          <w:p w:rsidR="00000000" w:rsidRDefault="00E617AE">
            <w:pPr>
              <w:divId w:val="1019505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6.09% senior secured notes</w:t>
            </w:r>
          </w:p>
        </w:tc>
        <w:tc>
          <w:tcPr>
            <w:tcW w:w="0" w:type="auto"/>
            <w:tcMar>
              <w:top w:w="30" w:type="dxa"/>
              <w:left w:w="30" w:type="dxa"/>
              <w:bottom w:w="30" w:type="dxa"/>
              <w:right w:w="30" w:type="dxa"/>
            </w:tcMar>
            <w:vAlign w:val="bottom"/>
            <w:hideMark/>
          </w:tcPr>
          <w:p w:rsidR="00000000" w:rsidRDefault="00E617AE">
            <w:pPr>
              <w:divId w:val="1183667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US$111</w:t>
            </w:r>
          </w:p>
        </w:tc>
      </w:tr>
      <w:tr w:rsidR="00000000">
        <w:trPr>
          <w:divId w:val="363796134"/>
        </w:trPr>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E617AE">
            <w:pPr>
              <w:divId w:val="83237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552080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603996301"/>
              <w:rPr>
                <w:rFonts w:eastAsia="Times New Roman"/>
                <w:sz w:val="20"/>
                <w:szCs w:val="20"/>
              </w:rPr>
            </w:pPr>
            <w:r>
              <w:rPr>
                <w:rFonts w:ascii="inherit" w:eastAsia="Times New Roman" w:hAnsi="inherit"/>
                <w:sz w:val="20"/>
                <w:szCs w:val="20"/>
              </w:rPr>
              <w:t> </w:t>
            </w:r>
          </w:p>
        </w:tc>
      </w:tr>
      <w:tr w:rsidR="00000000">
        <w:trPr>
          <w:divId w:val="363796134"/>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9.90% debentures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315723850"/>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$100</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SUBORDINATED TERM NOTES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at March 31, 2020 and December 31, 2019</w:t>
      </w:r>
      <w:r>
        <w:rPr>
          <w:rFonts w:ascii="Arial" w:eastAsia="Times New Roman" w:hAnsi="Arial" w:cs="Arial"/>
          <w:sz w:val="20"/>
          <w:szCs w:val="20"/>
        </w:rPr>
        <w:t xml:space="preserve">, our fixed-to-floating subordinated term notes had a principal value of $6,955 million and $6,550 million, respectively.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FAIR VALUE ADJUSTMENT</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at March 31, 2020, the net fair value adjustment for total debt assumed in the acquisition of Spectra Ener</w:t>
      </w:r>
      <w:r>
        <w:rPr>
          <w:rFonts w:ascii="Arial" w:eastAsia="Times New Roman" w:hAnsi="Arial" w:cs="Arial"/>
          <w:sz w:val="20"/>
          <w:szCs w:val="20"/>
        </w:rPr>
        <w:t>gy was $847 million. During the three months ended March 31, 2020, the amortization of the fair value adjustment, recorded as a reduction to Interest expense in the Consolidated Statements of Earnings, was $15 million.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DEBT COVENANTS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Our credit facility </w:t>
      </w:r>
      <w:r>
        <w:rPr>
          <w:rFonts w:ascii="Arial" w:eastAsia="Times New Roman" w:hAnsi="Arial" w:cs="Arial"/>
          <w:sz w:val="20"/>
          <w:szCs w:val="20"/>
        </w:rPr>
        <w:t>agreements and term debt indentures include standard events of default and covenant provisions whereby accelerated repayment and/or termination of the agreements may result if we were to default on payment or violate certain covenants. As at March 31, 2020</w:t>
      </w:r>
      <w:r>
        <w:rPr>
          <w:rFonts w:ascii="Arial" w:eastAsia="Times New Roman" w:hAnsi="Arial" w:cs="Arial"/>
          <w:sz w:val="20"/>
          <w:szCs w:val="20"/>
        </w:rPr>
        <w:t xml:space="preserve">, we were in compliance with all debt covenants. </w:t>
      </w:r>
    </w:p>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8913864"/>
          <w:tblCellSpacing w:w="0" w:type="dxa"/>
        </w:trPr>
        <w:tc>
          <w:tcPr>
            <w:tcW w:w="36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23277568"/>
              <w:rPr>
                <w:rFonts w:eastAsia="Times New Roman"/>
                <w:sz w:val="26"/>
                <w:szCs w:val="26"/>
              </w:rPr>
            </w:pPr>
            <w:r>
              <w:rPr>
                <w:rFonts w:ascii="Arial" w:eastAsia="Times New Roman" w:hAnsi="Arial" w:cs="Arial"/>
                <w:b/>
                <w:bCs/>
                <w:sz w:val="26"/>
                <w:szCs w:val="26"/>
              </w:rPr>
              <w:t xml:space="preserve">8. </w:t>
            </w:r>
          </w:p>
        </w:tc>
        <w:tc>
          <w:tcPr>
            <w:tcW w:w="0" w:type="auto"/>
            <w:tcMar>
              <w:top w:w="0" w:type="dxa"/>
              <w:left w:w="360" w:type="dxa"/>
              <w:bottom w:w="0" w:type="dxa"/>
              <w:right w:w="0" w:type="dxa"/>
            </w:tcMar>
            <w:hideMark/>
          </w:tcPr>
          <w:p w:rsidR="00000000" w:rsidRDefault="00E617AE">
            <w:pPr>
              <w:spacing w:line="288" w:lineRule="auto"/>
              <w:ind w:hanging="360"/>
              <w:rPr>
                <w:rFonts w:eastAsia="Times New Roman"/>
                <w:sz w:val="26"/>
                <w:szCs w:val="26"/>
              </w:rPr>
            </w:pPr>
            <w:r>
              <w:rPr>
                <w:rFonts w:ascii="Arial" w:eastAsia="Times New Roman" w:hAnsi="Arial" w:cs="Arial"/>
                <w:b/>
                <w:bCs/>
                <w:sz w:val="26"/>
                <w:szCs w:val="26"/>
              </w:rPr>
              <w:t>COMPONENTS OF ACCUMULATED OTHER COMPREHENSIVE INCOME</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Changes in Accumulated Other Comprehensive Income (AOCI) attributable to our common shareholders for the three months ended March 31, 2020 and 2019 are as follows:</w:t>
      </w:r>
    </w:p>
    <w:tbl>
      <w:tblPr>
        <w:tblW w:w="5000" w:type="pct"/>
        <w:tblCellMar>
          <w:left w:w="0" w:type="dxa"/>
          <w:right w:w="0" w:type="dxa"/>
        </w:tblCellMar>
        <w:tblLook w:val="04A0" w:firstRow="1" w:lastRow="0" w:firstColumn="1" w:lastColumn="0" w:noHBand="0" w:noVBand="1"/>
      </w:tblPr>
      <w:tblGrid>
        <w:gridCol w:w="2662"/>
        <w:gridCol w:w="585"/>
        <w:gridCol w:w="84"/>
        <w:gridCol w:w="938"/>
        <w:gridCol w:w="6"/>
        <w:gridCol w:w="813"/>
        <w:gridCol w:w="84"/>
        <w:gridCol w:w="831"/>
        <w:gridCol w:w="6"/>
        <w:gridCol w:w="715"/>
        <w:gridCol w:w="84"/>
        <w:gridCol w:w="831"/>
        <w:gridCol w:w="84"/>
        <w:gridCol w:w="499"/>
        <w:gridCol w:w="84"/>
      </w:tblGrid>
      <w:tr w:rsidR="00000000">
        <w:trPr>
          <w:divId w:val="1495604541"/>
        </w:trPr>
        <w:tc>
          <w:tcPr>
            <w:tcW w:w="0" w:type="auto"/>
            <w:gridSpan w:val="15"/>
            <w:vAlign w:val="center"/>
            <w:hideMark/>
          </w:tcPr>
          <w:p w:rsidR="00000000" w:rsidRDefault="00E617AE">
            <w:pPr>
              <w:spacing w:line="288" w:lineRule="auto"/>
              <w:rPr>
                <w:rFonts w:eastAsia="Times New Roman"/>
                <w:sz w:val="20"/>
                <w:szCs w:val="20"/>
              </w:rPr>
            </w:pPr>
          </w:p>
        </w:tc>
      </w:tr>
      <w:tr w:rsidR="00000000">
        <w:trPr>
          <w:divId w:val="1495604541"/>
        </w:trPr>
        <w:tc>
          <w:tcPr>
            <w:tcW w:w="16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49560454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826581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Cash Flow </w:t>
            </w:r>
          </w:p>
          <w:p w:rsidR="00000000" w:rsidRDefault="00E617AE">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Excluded Components of Fair Value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Net</w:t>
            </w:r>
          </w:p>
          <w:p w:rsidR="00000000" w:rsidRDefault="00E617AE">
            <w:pPr>
              <w:jc w:val="right"/>
              <w:rPr>
                <w:rFonts w:eastAsia="Times New Roman"/>
                <w:sz w:val="16"/>
                <w:szCs w:val="16"/>
              </w:rPr>
            </w:pPr>
            <w:r>
              <w:rPr>
                <w:rFonts w:ascii="Arial" w:eastAsia="Times New Roman" w:hAnsi="Arial" w:cs="Arial"/>
                <w:sz w:val="16"/>
                <w:szCs w:val="16"/>
              </w:rPr>
              <w:t>Investment</w:t>
            </w:r>
          </w:p>
          <w:p w:rsidR="00000000" w:rsidRDefault="00E617AE">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Cumulative</w:t>
            </w:r>
          </w:p>
          <w:p w:rsidR="00000000" w:rsidRDefault="00E617AE">
            <w:pPr>
              <w:jc w:val="right"/>
              <w:rPr>
                <w:rFonts w:eastAsia="Times New Roman"/>
                <w:sz w:val="16"/>
                <w:szCs w:val="16"/>
              </w:rPr>
            </w:pPr>
            <w:r>
              <w:rPr>
                <w:rFonts w:ascii="Arial" w:eastAsia="Times New Roman" w:hAnsi="Arial" w:cs="Arial"/>
                <w:sz w:val="16"/>
                <w:szCs w:val="16"/>
              </w:rPr>
              <w:t>Translation</w:t>
            </w:r>
          </w:p>
          <w:p w:rsidR="00000000" w:rsidRDefault="00E617AE">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Equity</w:t>
            </w:r>
          </w:p>
          <w:p w:rsidR="00000000" w:rsidRDefault="00E617AE">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Pension and</w:t>
            </w:r>
          </w:p>
          <w:p w:rsidR="00000000" w:rsidRDefault="00E617AE">
            <w:pPr>
              <w:jc w:val="right"/>
              <w:rPr>
                <w:rFonts w:eastAsia="Times New Roman"/>
                <w:sz w:val="16"/>
                <w:szCs w:val="16"/>
              </w:rPr>
            </w:pPr>
            <w:r>
              <w:rPr>
                <w:rFonts w:ascii="Arial" w:eastAsia="Times New Roman" w:hAnsi="Arial" w:cs="Arial"/>
                <w:sz w:val="16"/>
                <w:szCs w:val="16"/>
              </w:rPr>
              <w:t>OPEB</w:t>
            </w:r>
          </w:p>
          <w:p w:rsidR="00000000" w:rsidRDefault="00E617AE">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6036856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 </w:t>
            </w:r>
          </w:p>
        </w:tc>
      </w:tr>
      <w:tr w:rsidR="00000000">
        <w:trPr>
          <w:divId w:val="1495604541"/>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Balance as at January 1, 2020</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(1,073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(317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1,396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(345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495604541"/>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(693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(715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5,459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4,047</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7013514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7553756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736044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603347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7097756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942224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180" w:type="dxa"/>
              <w:bottom w:w="30" w:type="dxa"/>
              <w:right w:w="30" w:type="dxa"/>
            </w:tcMar>
            <w:vAlign w:val="bottom"/>
            <w:hideMark/>
          </w:tcPr>
          <w:p w:rsidR="00000000" w:rsidRDefault="00E617AE">
            <w:pPr>
              <w:divId w:val="83807712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8"/>
                <w:szCs w:val="8"/>
                <w:vertAlign w:val="superscript"/>
              </w:rPr>
              <w:t>1</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180" w:type="dxa"/>
              <w:bottom w:w="30" w:type="dxa"/>
              <w:right w:w="30" w:type="dxa"/>
            </w:tcMar>
            <w:vAlign w:val="bottom"/>
            <w:hideMark/>
          </w:tcPr>
          <w:p w:rsidR="00000000" w:rsidRDefault="00E617AE">
            <w:pPr>
              <w:divId w:val="1649824675"/>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8"/>
                <w:szCs w:val="8"/>
                <w:vertAlign w:val="superscript"/>
              </w:rPr>
              <w:t>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ind w:hanging="180"/>
              <w:divId w:val="834802844"/>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8"/>
                <w:szCs w:val="8"/>
                <w:vertAlign w:val="superscript"/>
              </w:rPr>
              <w:t>4</w:t>
            </w:r>
          </w:p>
          <w:p w:rsidR="00000000" w:rsidRDefault="00E617AE">
            <w:pPr>
              <w:divId w:val="669716272"/>
              <w:rPr>
                <w:rFonts w:eastAsia="Times New Roman"/>
                <w:sz w:val="12"/>
                <w:szCs w:val="12"/>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30" w:type="dxa"/>
              <w:bottom w:w="30" w:type="dxa"/>
              <w:right w:w="30" w:type="dxa"/>
            </w:tcMar>
            <w:vAlign w:val="bottom"/>
            <w:hideMark/>
          </w:tcPr>
          <w:p w:rsidR="00000000" w:rsidRDefault="00E617AE">
            <w:pPr>
              <w:divId w:val="10033595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(649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(715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5,459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4,095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Tax impact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226189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179</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49560454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973443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170</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166</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495604541"/>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Balance as at March 31, 2020</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(1,552</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(1,032</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6,855</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57</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(342</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3,989</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r>
    </w:tbl>
    <w:p w:rsidR="00000000" w:rsidRDefault="00E617AE">
      <w:pPr>
        <w:divId w:val="1012025791"/>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20</w:t>
      </w:r>
    </w:p>
    <w:p w:rsidR="00000000" w:rsidRDefault="00E617AE">
      <w:pPr>
        <w:divId w:val="118913864"/>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E617AE">
      <w:pPr>
        <w:divId w:val="101411225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74"/>
        <w:gridCol w:w="700"/>
        <w:gridCol w:w="84"/>
        <w:gridCol w:w="813"/>
        <w:gridCol w:w="84"/>
        <w:gridCol w:w="831"/>
        <w:gridCol w:w="84"/>
        <w:gridCol w:w="715"/>
        <w:gridCol w:w="21"/>
        <w:gridCol w:w="831"/>
        <w:gridCol w:w="84"/>
        <w:gridCol w:w="701"/>
        <w:gridCol w:w="84"/>
      </w:tblGrid>
      <w:tr w:rsidR="00000000">
        <w:trPr>
          <w:divId w:val="708720154"/>
        </w:trPr>
        <w:tc>
          <w:tcPr>
            <w:tcW w:w="0" w:type="auto"/>
            <w:gridSpan w:val="13"/>
            <w:vAlign w:val="center"/>
            <w:hideMark/>
          </w:tcPr>
          <w:p w:rsidR="00000000" w:rsidRDefault="00E617AE">
            <w:pPr>
              <w:rPr>
                <w:rFonts w:eastAsia="Times New Roman"/>
                <w:sz w:val="20"/>
                <w:szCs w:val="20"/>
              </w:rPr>
            </w:pPr>
          </w:p>
        </w:tc>
      </w:tr>
      <w:tr w:rsidR="00000000">
        <w:trPr>
          <w:divId w:val="708720154"/>
        </w:trPr>
        <w:tc>
          <w:tcPr>
            <w:tcW w:w="200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70872015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5894368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Cash Flow</w:t>
            </w:r>
          </w:p>
          <w:p w:rsidR="00000000" w:rsidRDefault="00E617AE">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Net</w:t>
            </w:r>
          </w:p>
          <w:p w:rsidR="00000000" w:rsidRDefault="00E617AE">
            <w:pPr>
              <w:jc w:val="right"/>
              <w:rPr>
                <w:rFonts w:eastAsia="Times New Roman"/>
                <w:sz w:val="16"/>
                <w:szCs w:val="16"/>
              </w:rPr>
            </w:pPr>
            <w:r>
              <w:rPr>
                <w:rFonts w:ascii="Arial" w:eastAsia="Times New Roman" w:hAnsi="Arial" w:cs="Arial"/>
                <w:sz w:val="16"/>
                <w:szCs w:val="16"/>
              </w:rPr>
              <w:t>Investment</w:t>
            </w:r>
          </w:p>
          <w:p w:rsidR="00000000" w:rsidRDefault="00E617AE">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Cumulative</w:t>
            </w:r>
          </w:p>
          <w:p w:rsidR="00000000" w:rsidRDefault="00E617AE">
            <w:pPr>
              <w:jc w:val="right"/>
              <w:rPr>
                <w:rFonts w:eastAsia="Times New Roman"/>
                <w:sz w:val="16"/>
                <w:szCs w:val="16"/>
              </w:rPr>
            </w:pPr>
            <w:r>
              <w:rPr>
                <w:rFonts w:ascii="Arial" w:eastAsia="Times New Roman" w:hAnsi="Arial" w:cs="Arial"/>
                <w:sz w:val="16"/>
                <w:szCs w:val="16"/>
              </w:rPr>
              <w:t>Translation</w:t>
            </w:r>
          </w:p>
          <w:p w:rsidR="00000000" w:rsidRDefault="00E617AE">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Equity</w:t>
            </w:r>
          </w:p>
          <w:p w:rsidR="00000000" w:rsidRDefault="00E617AE">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Pension and</w:t>
            </w:r>
          </w:p>
          <w:p w:rsidR="00000000" w:rsidRDefault="00E617AE">
            <w:pPr>
              <w:jc w:val="right"/>
              <w:rPr>
                <w:rFonts w:eastAsia="Times New Roman"/>
                <w:sz w:val="16"/>
                <w:szCs w:val="16"/>
              </w:rPr>
            </w:pPr>
            <w:r>
              <w:rPr>
                <w:rFonts w:ascii="Arial" w:eastAsia="Times New Roman" w:hAnsi="Arial" w:cs="Arial"/>
                <w:sz w:val="16"/>
                <w:szCs w:val="16"/>
              </w:rPr>
              <w:t>OPEB</w:t>
            </w:r>
          </w:p>
          <w:p w:rsidR="00000000" w:rsidRDefault="00E617AE">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70872015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E617AE">
            <w:pPr>
              <w:divId w:val="670063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3887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911738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7642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948121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399376499"/>
              <w:rPr>
                <w:rFonts w:eastAsia="Times New Roman"/>
                <w:sz w:val="20"/>
                <w:szCs w:val="20"/>
              </w:rPr>
            </w:pPr>
            <w:r>
              <w:rPr>
                <w:rFonts w:ascii="inherit" w:eastAsia="Times New Roman" w:hAnsi="inherit"/>
                <w:sz w:val="20"/>
                <w:szCs w:val="20"/>
              </w:rPr>
              <w:t> </w:t>
            </w:r>
          </w:p>
        </w:tc>
      </w:tr>
      <w:tr w:rsidR="00000000">
        <w:trPr>
          <w:divId w:val="70872015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Balance as at January 1, 2019</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(770</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(598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4,323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(317</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2,672</w:t>
            </w:r>
          </w:p>
        </w:tc>
        <w:tc>
          <w:tcPr>
            <w:tcW w:w="0" w:type="auto"/>
            <w:vAlign w:val="bottom"/>
            <w:hideMark/>
          </w:tcPr>
          <w:p w:rsidR="00000000" w:rsidRDefault="00E617AE">
            <w:pPr>
              <w:rPr>
                <w:rFonts w:eastAsia="Times New Roman"/>
                <w:sz w:val="20"/>
                <w:szCs w:val="20"/>
              </w:rPr>
            </w:pPr>
          </w:p>
        </w:tc>
      </w:tr>
      <w:tr w:rsidR="00000000">
        <w:trPr>
          <w:divId w:val="708720154"/>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(312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(1,242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(1,437</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708720154"/>
        </w:trPr>
        <w:tc>
          <w:tcPr>
            <w:tcW w:w="0" w:type="auto"/>
            <w:tcMar>
              <w:top w:w="30" w:type="dxa"/>
              <w:left w:w="30" w:type="dxa"/>
              <w:bottom w:w="30" w:type="dxa"/>
              <w:right w:w="30" w:type="dxa"/>
            </w:tcMar>
            <w:vAlign w:val="bottom"/>
            <w:hideMark/>
          </w:tcPr>
          <w:p w:rsidR="00000000" w:rsidRDefault="00E617AE">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rsidR="00000000" w:rsidRDefault="00E617AE">
            <w:pPr>
              <w:divId w:val="104290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287005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535429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94012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84126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p>
        </w:tc>
        <w:tc>
          <w:tcPr>
            <w:tcW w:w="0" w:type="auto"/>
            <w:vAlign w:val="bottom"/>
            <w:hideMark/>
          </w:tcPr>
          <w:p w:rsidR="00000000" w:rsidRDefault="00E617AE">
            <w:pPr>
              <w:rPr>
                <w:rFonts w:eastAsia="Times New Roman"/>
                <w:sz w:val="20"/>
                <w:szCs w:val="20"/>
              </w:rPr>
            </w:pPr>
          </w:p>
        </w:tc>
      </w:tr>
      <w:tr w:rsidR="00000000">
        <w:trPr>
          <w:divId w:val="708720154"/>
        </w:trPr>
        <w:tc>
          <w:tcPr>
            <w:tcW w:w="0" w:type="auto"/>
            <w:tcMar>
              <w:top w:w="30" w:type="dxa"/>
              <w:left w:w="180" w:type="dxa"/>
              <w:bottom w:w="30" w:type="dxa"/>
              <w:right w:w="30" w:type="dxa"/>
            </w:tcMar>
            <w:vAlign w:val="bottom"/>
            <w:hideMark/>
          </w:tcPr>
          <w:p w:rsidR="00000000" w:rsidRDefault="00E617AE">
            <w:pPr>
              <w:divId w:val="1881355018"/>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32</w:t>
            </w:r>
          </w:p>
        </w:tc>
        <w:tc>
          <w:tcPr>
            <w:tcW w:w="0" w:type="auto"/>
            <w:vAlign w:val="bottom"/>
            <w:hideMark/>
          </w:tcPr>
          <w:p w:rsidR="00000000" w:rsidRDefault="00E617AE">
            <w:pPr>
              <w:rPr>
                <w:rFonts w:eastAsia="Times New Roman"/>
                <w:sz w:val="20"/>
                <w:szCs w:val="20"/>
              </w:rPr>
            </w:pPr>
          </w:p>
        </w:tc>
      </w:tr>
      <w:tr w:rsidR="00000000">
        <w:trPr>
          <w:divId w:val="708720154"/>
        </w:trPr>
        <w:tc>
          <w:tcPr>
            <w:tcW w:w="0" w:type="auto"/>
            <w:tcMar>
              <w:top w:w="30" w:type="dxa"/>
              <w:left w:w="180" w:type="dxa"/>
              <w:bottom w:w="30" w:type="dxa"/>
              <w:right w:w="30" w:type="dxa"/>
            </w:tcMar>
            <w:vAlign w:val="bottom"/>
            <w:hideMark/>
          </w:tcPr>
          <w:p w:rsidR="00000000" w:rsidRDefault="00E617AE">
            <w:pPr>
              <w:divId w:val="185949431"/>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8"/>
                <w:szCs w:val="8"/>
                <w:vertAlign w:val="superscript"/>
              </w:rPr>
              <w:t>2</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E617AE">
            <w:pPr>
              <w:rPr>
                <w:rFonts w:eastAsia="Times New Roman"/>
                <w:sz w:val="20"/>
                <w:szCs w:val="20"/>
              </w:rPr>
            </w:pPr>
          </w:p>
        </w:tc>
      </w:tr>
      <w:tr w:rsidR="00000000">
        <w:trPr>
          <w:divId w:val="708720154"/>
        </w:trPr>
        <w:tc>
          <w:tcPr>
            <w:tcW w:w="0" w:type="auto"/>
            <w:tcMar>
              <w:top w:w="30" w:type="dxa"/>
              <w:left w:w="180" w:type="dxa"/>
              <w:bottom w:w="30" w:type="dxa"/>
              <w:right w:w="30" w:type="dxa"/>
            </w:tcMar>
            <w:vAlign w:val="bottom"/>
            <w:hideMark/>
          </w:tcPr>
          <w:p w:rsidR="00000000" w:rsidRDefault="00E617AE">
            <w:pPr>
              <w:divId w:val="440993611"/>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8"/>
                <w:szCs w:val="8"/>
                <w:vertAlign w:val="superscript"/>
              </w:rPr>
              <w:t>3</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708720154"/>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ind w:hanging="180"/>
              <w:divId w:val="1633711929"/>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8"/>
                <w:szCs w:val="8"/>
                <w:vertAlign w:val="superscript"/>
              </w:rPr>
              <w:t>4</w:t>
            </w:r>
          </w:p>
          <w:p w:rsidR="00000000" w:rsidRDefault="00E617AE">
            <w:pPr>
              <w:divId w:val="1681009494"/>
              <w:rPr>
                <w:rFonts w:eastAsia="Times New Roman"/>
                <w:sz w:val="12"/>
                <w:szCs w:val="12"/>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708720154"/>
        </w:trPr>
        <w:tc>
          <w:tcPr>
            <w:tcW w:w="0" w:type="auto"/>
            <w:tcMar>
              <w:top w:w="30" w:type="dxa"/>
              <w:left w:w="30" w:type="dxa"/>
              <w:bottom w:w="30" w:type="dxa"/>
              <w:right w:w="30" w:type="dxa"/>
            </w:tcMar>
            <w:vAlign w:val="bottom"/>
            <w:hideMark/>
          </w:tcPr>
          <w:p w:rsidR="00000000" w:rsidRDefault="00E617AE">
            <w:pPr>
              <w:divId w:val="29348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(287</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(1,242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(1,359</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70872015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rsidR="00000000" w:rsidRDefault="00E617AE">
            <w:pPr>
              <w:divId w:val="831139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69452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246919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57468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59397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84989186"/>
              <w:rPr>
                <w:rFonts w:eastAsia="Times New Roman"/>
                <w:sz w:val="20"/>
                <w:szCs w:val="20"/>
              </w:rPr>
            </w:pPr>
            <w:r>
              <w:rPr>
                <w:rFonts w:ascii="inherit" w:eastAsia="Times New Roman" w:hAnsi="inherit"/>
                <w:sz w:val="20"/>
                <w:szCs w:val="20"/>
              </w:rPr>
              <w:t> </w:t>
            </w:r>
          </w:p>
        </w:tc>
      </w:tr>
      <w:tr w:rsidR="00000000">
        <w:trPr>
          <w:divId w:val="708720154"/>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E617AE">
            <w:pPr>
              <w:rPr>
                <w:rFonts w:eastAsia="Times New Roman"/>
                <w:sz w:val="20"/>
                <w:szCs w:val="20"/>
              </w:rPr>
            </w:pPr>
          </w:p>
        </w:tc>
      </w:tr>
      <w:tr w:rsidR="00000000">
        <w:trPr>
          <w:divId w:val="708720154"/>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(29</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70872015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899074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81</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70872015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55</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55</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708720154"/>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Balance as at March 31, 2019</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(950</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(504</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3,081</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46</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(224</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1,449</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Reported within Interest expense in the Consolidated Statements of Earnings.</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 xml:space="preserve">2 </w:t>
      </w:r>
      <w:r>
        <w:rPr>
          <w:rFonts w:ascii="Arial" w:eastAsia="Times New Roman" w:hAnsi="Arial" w:cs="Arial"/>
          <w:i/>
          <w:iCs/>
          <w:sz w:val="16"/>
          <w:szCs w:val="16"/>
        </w:rPr>
        <w:t>Reported within Transportation and other services revenues and Net foreign currency gain/(loss) in the Consolidated Statements of Earnings.</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3 Reported within Operating and administrative expense in the Consolidated Statements of Earnings.</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4 These component</w:t>
      </w:r>
      <w:r>
        <w:rPr>
          <w:rFonts w:ascii="Arial" w:eastAsia="Times New Roman" w:hAnsi="Arial" w:cs="Arial"/>
          <w:i/>
          <w:iCs/>
          <w:sz w:val="16"/>
          <w:szCs w:val="16"/>
        </w:rPr>
        <w:t xml:space="preserve">s are included in the computation of net periodic benefit costs and are reported within Other income/(expense) in the Consolidated Statements of Earnings. </w:t>
      </w:r>
    </w:p>
    <w:p w:rsidR="00000000" w:rsidRDefault="00E617AE">
      <w:pPr>
        <w:spacing w:line="288" w:lineRule="auto"/>
        <w:ind w:hanging="180"/>
        <w:divId w:val="118913864"/>
        <w:rPr>
          <w:rFonts w:eastAsia="Times New Roman"/>
          <w:sz w:val="20"/>
          <w:szCs w:val="20"/>
        </w:rPr>
      </w:pPr>
    </w:p>
    <w:p w:rsidR="00000000" w:rsidRDefault="00E617AE">
      <w:pPr>
        <w:divId w:val="28967444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21</w:t>
      </w:r>
    </w:p>
    <w:p w:rsidR="00000000" w:rsidRDefault="00E617AE">
      <w:pPr>
        <w:divId w:val="118913864"/>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E617AE">
      <w:pPr>
        <w:divId w:val="449394687"/>
        <w:rPr>
          <w:rFonts w:eastAsia="Times New Roman"/>
          <w:sz w:val="20"/>
          <w:szCs w:val="20"/>
        </w:rPr>
      </w:pPr>
    </w:p>
    <w:p w:rsidR="00000000" w:rsidRDefault="00E617AE">
      <w:pPr>
        <w:spacing w:line="288" w:lineRule="auto"/>
        <w:ind w:hanging="540"/>
        <w:jc w:val="both"/>
        <w:divId w:val="118913864"/>
        <w:rPr>
          <w:rFonts w:eastAsia="Times New Roman"/>
          <w:sz w:val="26"/>
          <w:szCs w:val="26"/>
        </w:rPr>
      </w:pPr>
      <w:r>
        <w:rPr>
          <w:rFonts w:ascii="Arial" w:eastAsia="Times New Roman" w:hAnsi="Arial" w:cs="Arial"/>
          <w:b/>
          <w:bCs/>
          <w:sz w:val="26"/>
          <w:szCs w:val="26"/>
        </w:rPr>
        <w:t xml:space="preserve">9. IMPAIRMENT OF EQUITY INVESTMENTS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For the three months ended March 31, 2020, we recorded a loss of $1,736 million resulting from an other than temporary impairment to the carrying value of our equity method investment in DCP Midstream, LLC (DCP Midstream). DCP Midstream holds a limited par</w:t>
      </w:r>
      <w:r>
        <w:rPr>
          <w:rFonts w:ascii="Arial" w:eastAsia="Times New Roman" w:hAnsi="Arial" w:cs="Arial"/>
          <w:sz w:val="20"/>
          <w:szCs w:val="20"/>
        </w:rPr>
        <w:t>tner interest in and is the owner of the general partner of DCP Midstream, LP. The impairment in our equity investment is related to a decline in the market price of DCP Midstream, LP publicly-traded units as at March 31, 2020. In addition, we recorded a l</w:t>
      </w:r>
      <w:r>
        <w:rPr>
          <w:rFonts w:ascii="Arial" w:eastAsia="Times New Roman" w:hAnsi="Arial" w:cs="Arial"/>
          <w:sz w:val="20"/>
          <w:szCs w:val="20"/>
        </w:rPr>
        <w:t>oss of $324 million from our equity pick up of the loss recorded by DCP Midstream in relation to DCP Midstream, LP's asset and goodwill impairment. This is recorded within Income from Equity Investments in the Consolidated Statement of Earnings. Our invest</w:t>
      </w:r>
      <w:r>
        <w:rPr>
          <w:rFonts w:ascii="Arial" w:eastAsia="Times New Roman" w:hAnsi="Arial" w:cs="Arial"/>
          <w:sz w:val="20"/>
          <w:szCs w:val="20"/>
        </w:rPr>
        <w:t xml:space="preserve">ment in DCP Midstream is part of the Gas Transmission and Midstream segment and our carrying value of the investment as at March 31, 2020 and December 31, 2019 was $341 million and $2,193 million, respectively. </w:t>
      </w:r>
    </w:p>
    <w:p w:rsidR="00000000" w:rsidRDefault="00E617AE">
      <w:pPr>
        <w:spacing w:line="288" w:lineRule="auto"/>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10. RISK MANAGEMENT AND FINANCIAL INSTRUME</w:t>
      </w:r>
      <w:r>
        <w:rPr>
          <w:rFonts w:ascii="Arial" w:eastAsia="Times New Roman" w:hAnsi="Arial" w:cs="Arial"/>
          <w:b/>
          <w:bCs/>
          <w:sz w:val="26"/>
          <w:szCs w:val="26"/>
        </w:rPr>
        <w:t xml:space="preserve">NTS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MARKET RISK</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earnings, cash flows and Other Comprehensive Income (OCI) are subject to movements in foreign exchange rates, interest rates, commodity prices and our share price (collectively, market risks). Formal risk management policies, process</w:t>
      </w:r>
      <w:r>
        <w:rPr>
          <w:rFonts w:ascii="Arial" w:eastAsia="Times New Roman" w:hAnsi="Arial" w:cs="Arial"/>
          <w:sz w:val="20"/>
          <w:szCs w:val="20"/>
        </w:rPr>
        <w:t>es and systems have been designed to mitigate these risks.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summarizes the types of market risks to which we are exposed and the risk management instruments used to mitigate them. We use a combination of qualifying and non-qualifying derivat</w:t>
      </w:r>
      <w:r>
        <w:rPr>
          <w:rFonts w:ascii="Arial" w:eastAsia="Times New Roman" w:hAnsi="Arial" w:cs="Arial"/>
          <w:sz w:val="20"/>
          <w:szCs w:val="20"/>
        </w:rPr>
        <w:t xml:space="preserve">ive instruments to manage the risks noted below.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Foreign Exchange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generate certain revenues, incur expenses, and hold a number of investments and subsidiaries that are denominated in currencies other than Canadian dollars. As a result, our earn</w:t>
      </w:r>
      <w:r>
        <w:rPr>
          <w:rFonts w:ascii="Arial" w:eastAsia="Times New Roman" w:hAnsi="Arial" w:cs="Arial"/>
          <w:sz w:val="20"/>
          <w:szCs w:val="20"/>
        </w:rPr>
        <w:t xml:space="preserve">ings, cash flows and OCI are exposed to fluctuations resulting from foreign exchange rate variability.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employ financial derivative instruments to hedge foreign currency denominated earnings exposure. A combination of qualifying cash flow, fair value </w:t>
      </w:r>
      <w:r>
        <w:rPr>
          <w:rFonts w:ascii="Arial" w:eastAsia="Times New Roman" w:hAnsi="Arial" w:cs="Arial"/>
          <w:sz w:val="20"/>
          <w:szCs w:val="20"/>
        </w:rPr>
        <w:t>and non-qualifying derivative instruments is used to hedge anticipated foreign currency denominated revenues and expenses, and to manage variability in cash flows. We hedge certain net investments in United States dollar denominated investments and subsidi</w:t>
      </w:r>
      <w:r>
        <w:rPr>
          <w:rFonts w:ascii="Arial" w:eastAsia="Times New Roman" w:hAnsi="Arial" w:cs="Arial"/>
          <w:sz w:val="20"/>
          <w:szCs w:val="20"/>
        </w:rPr>
        <w:t xml:space="preserve">aries using foreign currency derivatives and United States dollar denominated debt.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Interest Rate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earnings and cash flows are exposed to short-term interest rate variability due to the regular repricing of our variable rate debt, primarily com</w:t>
      </w:r>
      <w:r>
        <w:rPr>
          <w:rFonts w:ascii="Arial" w:eastAsia="Times New Roman" w:hAnsi="Arial" w:cs="Arial"/>
          <w:sz w:val="20"/>
          <w:szCs w:val="20"/>
        </w:rPr>
        <w:t>mercial paper. We monitor our debt portfolio mix of fixed and variable rate debt instruments to manage a consolidated portfolio of floating rate debt within the Board of Directors approved policy limit of a maximum of 30% of floating rate debt as a percent</w:t>
      </w:r>
      <w:r>
        <w:rPr>
          <w:rFonts w:ascii="Arial" w:eastAsia="Times New Roman" w:hAnsi="Arial" w:cs="Arial"/>
          <w:sz w:val="20"/>
          <w:szCs w:val="20"/>
        </w:rPr>
        <w:t xml:space="preserve">age of total debt outstanding. We primarily use qualifying derivative instruments to manage interest rate risk. Pay fixed-receive floating interest rate swaps may be used to hedge against the effect of future interest rate movements. We have implemented a </w:t>
      </w:r>
      <w:r>
        <w:rPr>
          <w:rFonts w:ascii="Arial" w:eastAsia="Times New Roman" w:hAnsi="Arial" w:cs="Arial"/>
          <w:sz w:val="20"/>
          <w:szCs w:val="20"/>
        </w:rPr>
        <w:t xml:space="preserve">program to significantly mitigate the impact of short-term interest rate volatility on interest expense via execution of floating to fixed interest rate swaps with an average swap rate of 2.9%.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are exposed to changes in the fair value of fixed rate d</w:t>
      </w:r>
      <w:r>
        <w:rPr>
          <w:rFonts w:ascii="Arial" w:eastAsia="Times New Roman" w:hAnsi="Arial" w:cs="Arial"/>
          <w:sz w:val="20"/>
          <w:szCs w:val="20"/>
        </w:rPr>
        <w:t>ebt that arise as a result of the changes in market interest rates. Pay floating-receive fixed interest rate swaps are used, when applicable, to hedge against future changes to the fair value of fixed rate debt which mitigates the impact of fluctuations in</w:t>
      </w:r>
      <w:r>
        <w:rPr>
          <w:rFonts w:ascii="Arial" w:eastAsia="Times New Roman" w:hAnsi="Arial" w:cs="Arial"/>
          <w:sz w:val="20"/>
          <w:szCs w:val="20"/>
        </w:rPr>
        <w:t xml:space="preserve"> the fair value of fixed rate debt via execution of fixed to floating interest rate swaps. As at March 31, 2020, we do not have any pay floating-receive fixed interest rate swaps outstanding.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divId w:val="149934969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22</w:t>
      </w:r>
    </w:p>
    <w:p w:rsidR="00000000" w:rsidRDefault="00E617AE">
      <w:pPr>
        <w:divId w:val="118913864"/>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E617AE">
      <w:pPr>
        <w:divId w:val="212364313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earnings and c</w:t>
      </w:r>
      <w:r>
        <w:rPr>
          <w:rFonts w:ascii="Arial" w:eastAsia="Times New Roman" w:hAnsi="Arial" w:cs="Arial"/>
          <w:sz w:val="20"/>
          <w:szCs w:val="20"/>
        </w:rPr>
        <w:t xml:space="preserve">ash flows are also exposed to variability in longer term interest rates ahead of anticipated fixed rate term debt issuances. Forward starting interest rate swaps are used to hedge against the effect of future interest rate movements. We have established a </w:t>
      </w:r>
      <w:r>
        <w:rPr>
          <w:rFonts w:ascii="Arial" w:eastAsia="Times New Roman" w:hAnsi="Arial" w:cs="Arial"/>
          <w:sz w:val="20"/>
          <w:szCs w:val="20"/>
        </w:rPr>
        <w:t xml:space="preserve">program within some of our subsidiaries to mitigate our exposure to long-term interest rate variability on select forecast term debt issuances via execution of floating to fixed interest rate swaps with an average swap rate of 3.1%.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Commodity Price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Our earnings and cash flows are exposed to changes in commodity prices as a result of our ownership interests in certain assets and investments, as well as through the activities of our energy services subsidiaries. These commodities </w:t>
      </w:r>
      <w:r>
        <w:rPr>
          <w:rFonts w:ascii="Arial" w:eastAsia="Times New Roman" w:hAnsi="Arial" w:cs="Arial"/>
          <w:sz w:val="20"/>
          <w:szCs w:val="20"/>
        </w:rPr>
        <w:t>include natural gas, crude oil, power and NGL. We employ financial and physical derivative instruments to fix a portion of the variable price exposures that arise from physical transactions involving these commodities. We use primarily non-qualifying deriv</w:t>
      </w:r>
      <w:r>
        <w:rPr>
          <w:rFonts w:ascii="Arial" w:eastAsia="Times New Roman" w:hAnsi="Arial" w:cs="Arial"/>
          <w:sz w:val="20"/>
          <w:szCs w:val="20"/>
        </w:rPr>
        <w:t xml:space="preserve">ative instruments to manage commodity price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Equity Price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Equity price risk is the risk of earnings fluctuations due to changes in our share price. We have exposure to our own common share price through the issuance of various forms of stock-</w:t>
      </w:r>
      <w:r>
        <w:rPr>
          <w:rFonts w:ascii="Arial" w:eastAsia="Times New Roman" w:hAnsi="Arial" w:cs="Arial"/>
          <w:sz w:val="20"/>
          <w:szCs w:val="20"/>
        </w:rPr>
        <w:t>based compensation, which affect earnings through revaluation of the outstanding units every period. We use equity derivatives to manage the earnings volatility derived from one form of stock-based compensation, restricted share units. We use a combination</w:t>
      </w:r>
      <w:r>
        <w:rPr>
          <w:rFonts w:ascii="Arial" w:eastAsia="Times New Roman" w:hAnsi="Arial" w:cs="Arial"/>
          <w:sz w:val="20"/>
          <w:szCs w:val="20"/>
        </w:rPr>
        <w:t xml:space="preserve"> of qualifying and non-qualifying derivative instruments to manage equity price risk.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TOTAL DERIVATIVE INSTRUMENTS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summarizes the Consolidated Statements of Financial Position location and carrying value of our derivative instruments</w:t>
      </w:r>
      <w:r>
        <w:rPr>
          <w:rFonts w:ascii="Arial" w:eastAsia="Times New Roman" w:hAnsi="Arial" w:cs="Arial"/>
          <w:sz w:val="20"/>
          <w:szCs w:val="20"/>
        </w:rPr>
        <w:t>.</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generally have a policy of entering into individual International Swaps and Derivatives Association, Inc. agreements, or other similar derivative agreements, with the majority of our financial derivative counterparties. These agreements provide for </w:t>
      </w:r>
      <w:r>
        <w:rPr>
          <w:rFonts w:ascii="Arial" w:eastAsia="Times New Roman" w:hAnsi="Arial" w:cs="Arial"/>
          <w:sz w:val="20"/>
          <w:szCs w:val="20"/>
        </w:rPr>
        <w:t>the net settlement of derivative instruments outstanding with specific counterparties in the event of bankruptcy or other significant credit events, and reduce our credit risk exposure on financial derivative asset positions outstanding with the counterpar</w:t>
      </w:r>
      <w:r>
        <w:rPr>
          <w:rFonts w:ascii="Arial" w:eastAsia="Times New Roman" w:hAnsi="Arial" w:cs="Arial"/>
          <w:sz w:val="20"/>
          <w:szCs w:val="20"/>
        </w:rPr>
        <w:t xml:space="preserve">ties in those circumstances.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summarizes the maximum potential settlement amounts in the event of these specific</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circumstances. All amounts are presented gross in the Consolidated Statements of Financial Position.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divId w:val="179274150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23</w:t>
      </w:r>
    </w:p>
    <w:p w:rsidR="00000000" w:rsidRDefault="00E617AE">
      <w:pPr>
        <w:divId w:val="118913864"/>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E617AE">
      <w:pPr>
        <w:divId w:val="1914004731"/>
        <w:rPr>
          <w:rFonts w:eastAsia="Times New Roman"/>
          <w:sz w:val="20"/>
          <w:szCs w:val="20"/>
        </w:rPr>
      </w:pPr>
    </w:p>
    <w:tbl>
      <w:tblPr>
        <w:tblW w:w="4989" w:type="pct"/>
        <w:tblCellMar>
          <w:left w:w="0" w:type="dxa"/>
          <w:right w:w="0" w:type="dxa"/>
        </w:tblCellMar>
        <w:tblLook w:val="04A0" w:firstRow="1" w:lastRow="0" w:firstColumn="1" w:lastColumn="0" w:noHBand="0" w:noVBand="1"/>
      </w:tblPr>
      <w:tblGrid>
        <w:gridCol w:w="1757"/>
        <w:gridCol w:w="866"/>
        <w:gridCol w:w="84"/>
        <w:gridCol w:w="866"/>
        <w:gridCol w:w="84"/>
        <w:gridCol w:w="866"/>
        <w:gridCol w:w="18"/>
        <w:gridCol w:w="866"/>
        <w:gridCol w:w="84"/>
        <w:gridCol w:w="866"/>
        <w:gridCol w:w="84"/>
        <w:gridCol w:w="133"/>
        <w:gridCol w:w="680"/>
        <w:gridCol w:w="84"/>
        <w:gridCol w:w="866"/>
        <w:gridCol w:w="84"/>
      </w:tblGrid>
      <w:tr w:rsidR="00000000">
        <w:trPr>
          <w:divId w:val="1099569837"/>
        </w:trPr>
        <w:tc>
          <w:tcPr>
            <w:tcW w:w="0" w:type="auto"/>
            <w:gridSpan w:val="16"/>
            <w:vAlign w:val="center"/>
            <w:hideMark/>
          </w:tcPr>
          <w:p w:rsidR="00000000" w:rsidRDefault="00E617AE">
            <w:pPr>
              <w:rPr>
                <w:rFonts w:eastAsia="Times New Roman"/>
                <w:sz w:val="20"/>
                <w:szCs w:val="20"/>
              </w:rPr>
            </w:pPr>
          </w:p>
        </w:tc>
      </w:tr>
      <w:tr w:rsidR="00000000">
        <w:trPr>
          <w:divId w:val="1099569837"/>
        </w:trPr>
        <w:tc>
          <w:tcPr>
            <w:tcW w:w="11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10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March 31, 2020</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w:t>
            </w:r>
          </w:p>
          <w:p w:rsidR="00000000" w:rsidRDefault="00E617AE">
            <w:pPr>
              <w:jc w:val="right"/>
              <w:rPr>
                <w:rFonts w:eastAsia="Times New Roman"/>
                <w:sz w:val="16"/>
                <w:szCs w:val="16"/>
              </w:rPr>
            </w:pPr>
            <w:r>
              <w:rPr>
                <w:rFonts w:ascii="Arial" w:eastAsia="Times New Roman" w:hAnsi="Arial" w:cs="Arial"/>
                <w:sz w:val="16"/>
                <w:szCs w:val="16"/>
              </w:rPr>
              <w:t>Used as</w:t>
            </w:r>
          </w:p>
          <w:p w:rsidR="00000000" w:rsidRDefault="00E617AE">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w:t>
            </w:r>
          </w:p>
          <w:p w:rsidR="00000000" w:rsidRDefault="00E617AE">
            <w:pPr>
              <w:jc w:val="right"/>
              <w:rPr>
                <w:rFonts w:eastAsia="Times New Roman"/>
                <w:sz w:val="16"/>
                <w:szCs w:val="16"/>
              </w:rPr>
            </w:pPr>
            <w:r>
              <w:rPr>
                <w:rFonts w:ascii="Arial" w:eastAsia="Times New Roman" w:hAnsi="Arial" w:cs="Arial"/>
                <w:sz w:val="16"/>
                <w:szCs w:val="16"/>
              </w:rPr>
              <w:t>Used as Net</w:t>
            </w:r>
          </w:p>
          <w:p w:rsidR="00000000" w:rsidRDefault="00E617AE">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Derivative Instruments Used as Fair Value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Non-</w:t>
            </w:r>
          </w:p>
          <w:p w:rsidR="00000000" w:rsidRDefault="00E617AE">
            <w:pPr>
              <w:jc w:val="right"/>
              <w:rPr>
                <w:rFonts w:eastAsia="Times New Roman"/>
                <w:sz w:val="16"/>
                <w:szCs w:val="16"/>
              </w:rPr>
            </w:pPr>
            <w:r>
              <w:rPr>
                <w:rFonts w:ascii="Arial" w:eastAsia="Times New Roman" w:hAnsi="Arial" w:cs="Arial"/>
                <w:sz w:val="16"/>
                <w:szCs w:val="16"/>
              </w:rPr>
              <w:t>Qualifying</w:t>
            </w:r>
          </w:p>
          <w:p w:rsidR="00000000" w:rsidRDefault="00E617AE">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 Gross</w:t>
            </w:r>
          </w:p>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5476422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Amounts</w:t>
            </w:r>
          </w:p>
          <w:p w:rsidR="00000000" w:rsidRDefault="00E617AE">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 Net</w:t>
            </w:r>
          </w:p>
          <w:p w:rsidR="00000000" w:rsidRDefault="00E617AE">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3020331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76333755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2086137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077951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0134364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21439640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9696211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2675215"/>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receivable and other</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8960665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8657506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0863425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4149382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2978770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85138329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233725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66291123"/>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213524560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961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963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12650685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674</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667509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1,017</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1,068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729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Deferred amounts and other assets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3338479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5632970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214628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50370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6392540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9789201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574195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90267421"/>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373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04648723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8126737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4018243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239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441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8140276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291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payable and other</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0196556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3213896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488584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026557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11853032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4276528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877479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27301744"/>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(899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(924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114866885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(874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(813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(831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23462967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(831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206667884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2571069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170966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(818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(1,424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(2,262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339</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(1,923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liabilities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9852081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043296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6453483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96588380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533512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6102535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295248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36940125"/>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(2,428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445296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(2,300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121812982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136748626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3114528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9290718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(399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(2,512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(2,911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15856088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(2,761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Total net derivative assets/(liabilities)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785396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9046355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349947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3823385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3374864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8119408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81942259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00110421"/>
              <w:rPr>
                <w:rFonts w:eastAsia="Times New Roman"/>
                <w:sz w:val="20"/>
                <w:szCs w:val="20"/>
              </w:rPr>
            </w:pPr>
            <w:r>
              <w:rPr>
                <w:rFonts w:ascii="inherit" w:eastAsia="Times New Roman" w:hAnsi="inherit"/>
                <w:sz w:val="20"/>
                <w:szCs w:val="20"/>
              </w:rPr>
              <w:t> </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(3,097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(2,874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100659452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(2,874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(1,208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(1,226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divId w:val="49260096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(1,226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444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34367397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444</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099569837"/>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divId w:val="18781608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1099569837"/>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143485652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(1,182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218</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(2,680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(3,664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82820634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(3,664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108189526"/>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As at March 31, 2020, $1,067 million </w:t>
            </w:r>
            <w:r>
              <w:rPr>
                <w:rFonts w:ascii="Arial" w:eastAsia="Times New Roman" w:hAnsi="Arial" w:cs="Arial"/>
                <w:i/>
                <w:iCs/>
                <w:sz w:val="16"/>
                <w:szCs w:val="16"/>
              </w:rPr>
              <w:t>was reported within Accounts receivable and other and $1 million within Accounts receivable from affiliates on the Consolidated Statements of Financial Position.</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03658872"/>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As at March 31, 2020, $2,246 million </w:t>
            </w:r>
            <w:r>
              <w:rPr>
                <w:rFonts w:ascii="Arial" w:eastAsia="Times New Roman" w:hAnsi="Arial" w:cs="Arial"/>
                <w:i/>
                <w:iCs/>
                <w:sz w:val="16"/>
                <w:szCs w:val="16"/>
              </w:rPr>
              <w:t xml:space="preserve">was reported within Accounts payable and other and $16 million within Accounts payable to affiliates on the Consolidated Statements of Financial Position. </w:t>
            </w:r>
          </w:p>
        </w:tc>
      </w:tr>
    </w:tbl>
    <w:p w:rsidR="00000000" w:rsidRDefault="00E617AE">
      <w:pPr>
        <w:divId w:val="185888771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24</w:t>
      </w:r>
    </w:p>
    <w:p w:rsidR="00000000" w:rsidRDefault="00E617AE">
      <w:pPr>
        <w:divId w:val="118913864"/>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E617AE">
      <w:pPr>
        <w:divId w:val="178018095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tbl>
      <w:tblPr>
        <w:tblW w:w="4764" w:type="pct"/>
        <w:tblCellMar>
          <w:left w:w="0" w:type="dxa"/>
          <w:right w:w="0" w:type="dxa"/>
        </w:tblCellMar>
        <w:tblLook w:val="04A0" w:firstRow="1" w:lastRow="0" w:firstColumn="1" w:lastColumn="0" w:noHBand="0" w:noVBand="1"/>
      </w:tblPr>
      <w:tblGrid>
        <w:gridCol w:w="2267"/>
        <w:gridCol w:w="866"/>
        <w:gridCol w:w="84"/>
        <w:gridCol w:w="866"/>
        <w:gridCol w:w="84"/>
        <w:gridCol w:w="866"/>
        <w:gridCol w:w="84"/>
        <w:gridCol w:w="866"/>
        <w:gridCol w:w="84"/>
        <w:gridCol w:w="133"/>
        <w:gridCol w:w="680"/>
        <w:gridCol w:w="84"/>
        <w:gridCol w:w="866"/>
        <w:gridCol w:w="84"/>
      </w:tblGrid>
      <w:tr w:rsidR="00000000">
        <w:trPr>
          <w:divId w:val="1234730395"/>
        </w:trPr>
        <w:tc>
          <w:tcPr>
            <w:tcW w:w="0" w:type="auto"/>
            <w:gridSpan w:val="14"/>
            <w:vAlign w:val="center"/>
            <w:hideMark/>
          </w:tcPr>
          <w:p w:rsidR="00000000" w:rsidRDefault="00E617AE">
            <w:pPr>
              <w:spacing w:line="288" w:lineRule="auto"/>
              <w:rPr>
                <w:rFonts w:eastAsia="Times New Roman"/>
                <w:sz w:val="20"/>
                <w:szCs w:val="20"/>
              </w:rPr>
            </w:pPr>
          </w:p>
        </w:tc>
      </w:tr>
      <w:tr w:rsidR="00000000">
        <w:trPr>
          <w:divId w:val="1234730395"/>
        </w:trPr>
        <w:tc>
          <w:tcPr>
            <w:tcW w:w="16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10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2347303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December </w:t>
            </w:r>
            <w:r>
              <w:rPr>
                <w:rFonts w:ascii="Arial" w:eastAsia="Times New Roman" w:hAnsi="Arial" w:cs="Arial"/>
                <w:sz w:val="16"/>
                <w:szCs w:val="16"/>
              </w:rPr>
              <w:t>31, 2019</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w:t>
            </w:r>
          </w:p>
          <w:p w:rsidR="00000000" w:rsidRDefault="00E617AE">
            <w:pPr>
              <w:jc w:val="right"/>
              <w:rPr>
                <w:rFonts w:eastAsia="Times New Roman"/>
                <w:sz w:val="16"/>
                <w:szCs w:val="16"/>
              </w:rPr>
            </w:pPr>
            <w:r>
              <w:rPr>
                <w:rFonts w:ascii="Arial" w:eastAsia="Times New Roman" w:hAnsi="Arial" w:cs="Arial"/>
                <w:sz w:val="16"/>
                <w:szCs w:val="16"/>
              </w:rPr>
              <w:t>Used as</w:t>
            </w:r>
          </w:p>
          <w:p w:rsidR="00000000" w:rsidRDefault="00E617AE">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w:t>
            </w:r>
          </w:p>
          <w:p w:rsidR="00000000" w:rsidRDefault="00E617AE">
            <w:pPr>
              <w:jc w:val="right"/>
              <w:rPr>
                <w:rFonts w:eastAsia="Times New Roman"/>
                <w:sz w:val="16"/>
                <w:szCs w:val="16"/>
              </w:rPr>
            </w:pPr>
            <w:r>
              <w:rPr>
                <w:rFonts w:ascii="Arial" w:eastAsia="Times New Roman" w:hAnsi="Arial" w:cs="Arial"/>
                <w:sz w:val="16"/>
                <w:szCs w:val="16"/>
              </w:rPr>
              <w:t>Used as Net</w:t>
            </w:r>
          </w:p>
          <w:p w:rsidR="00000000" w:rsidRDefault="00E617AE">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Non-</w:t>
            </w:r>
          </w:p>
          <w:p w:rsidR="00000000" w:rsidRDefault="00E617AE">
            <w:pPr>
              <w:jc w:val="right"/>
              <w:rPr>
                <w:rFonts w:eastAsia="Times New Roman"/>
                <w:sz w:val="16"/>
                <w:szCs w:val="16"/>
              </w:rPr>
            </w:pPr>
            <w:r>
              <w:rPr>
                <w:rFonts w:ascii="Arial" w:eastAsia="Times New Roman" w:hAnsi="Arial" w:cs="Arial"/>
                <w:sz w:val="16"/>
                <w:szCs w:val="16"/>
              </w:rPr>
              <w:t>Qualifying</w:t>
            </w:r>
          </w:p>
          <w:p w:rsidR="00000000" w:rsidRDefault="00E617AE">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 Gross</w:t>
            </w:r>
          </w:p>
          <w:p w:rsidR="00000000" w:rsidRDefault="00E617AE">
            <w:pPr>
              <w:jc w:val="right"/>
              <w:rPr>
                <w:rFonts w:eastAsia="Times New Roman"/>
                <w:sz w:val="16"/>
                <w:szCs w:val="16"/>
              </w:rPr>
            </w:pPr>
            <w:r>
              <w:rPr>
                <w:rFonts w:ascii="Arial" w:eastAsia="Times New Roman" w:hAnsi="Arial" w:cs="Arial"/>
                <w:sz w:val="16"/>
                <w:szCs w:val="16"/>
              </w:rPr>
              <w:t>Derivative</w:t>
            </w:r>
          </w:p>
          <w:p w:rsidR="00000000" w:rsidRDefault="00E617AE">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8809450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Amounts</w:t>
            </w:r>
          </w:p>
          <w:p w:rsidR="00000000" w:rsidRDefault="00E617AE">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 Net</w:t>
            </w:r>
          </w:p>
          <w:p w:rsidR="00000000" w:rsidRDefault="00E617AE">
            <w:pPr>
              <w:jc w:val="right"/>
              <w:rPr>
                <w:rFonts w:eastAsia="Times New Roman"/>
                <w:sz w:val="16"/>
                <w:szCs w:val="16"/>
              </w:rPr>
            </w:pPr>
            <w:r>
              <w:rPr>
                <w:rFonts w:ascii="Arial" w:eastAsia="Times New Roman" w:hAnsi="Arial" w:cs="Arial"/>
                <w:sz w:val="16"/>
                <w:szCs w:val="16"/>
              </w:rPr>
              <w:t>Derivati</w:t>
            </w:r>
            <w:r>
              <w:rPr>
                <w:rFonts w:ascii="Arial" w:eastAsia="Times New Roman" w:hAnsi="Arial" w:cs="Arial"/>
                <w:sz w:val="16"/>
                <w:szCs w:val="16"/>
              </w:rPr>
              <w:t>ve 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E617AE">
            <w:pPr>
              <w:divId w:val="61919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59018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336662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16228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5255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72685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8881732"/>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receivable and other</w:t>
            </w:r>
          </w:p>
        </w:tc>
        <w:tc>
          <w:tcPr>
            <w:tcW w:w="0" w:type="auto"/>
            <w:gridSpan w:val="2"/>
            <w:tcMar>
              <w:top w:w="30" w:type="dxa"/>
              <w:left w:w="30" w:type="dxa"/>
              <w:bottom w:w="30" w:type="dxa"/>
              <w:right w:w="30" w:type="dxa"/>
            </w:tcMar>
            <w:vAlign w:val="bottom"/>
            <w:hideMark/>
          </w:tcPr>
          <w:p w:rsidR="00000000" w:rsidRDefault="00E617AE">
            <w:pPr>
              <w:divId w:val="33966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159153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001885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33564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739549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34824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47271311"/>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1234200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83</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528878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(47</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116</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5398298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6231247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327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328</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203</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Deferred amounts and other assets</w:t>
            </w:r>
          </w:p>
        </w:tc>
        <w:tc>
          <w:tcPr>
            <w:tcW w:w="0" w:type="auto"/>
            <w:gridSpan w:val="2"/>
            <w:tcMar>
              <w:top w:w="30" w:type="dxa"/>
              <w:left w:w="30" w:type="dxa"/>
              <w:bottom w:w="30" w:type="dxa"/>
              <w:right w:w="30" w:type="dxa"/>
            </w:tcMar>
            <w:vAlign w:val="bottom"/>
            <w:hideMark/>
          </w:tcPr>
          <w:p w:rsidR="00000000" w:rsidRDefault="00E617AE">
            <w:pPr>
              <w:divId w:val="936787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683438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383987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82235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801272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2500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380859358"/>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33869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142202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30" w:type="dxa"/>
            </w:tcMar>
            <w:vAlign w:val="bottom"/>
            <w:hideMark/>
          </w:tcPr>
          <w:p w:rsidR="00000000" w:rsidRDefault="00E617AE">
            <w:pPr>
              <w:divId w:val="827742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E617AE">
            <w:pPr>
              <w:rPr>
                <w:rFonts w:eastAsia="Times New Roman"/>
                <w:sz w:val="20"/>
                <w:szCs w:val="20"/>
              </w:rPr>
            </w:pPr>
          </w:p>
        </w:tc>
      </w:tr>
      <w:tr w:rsidR="00000000">
        <w:trPr>
          <w:divId w:val="123473039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1629778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89</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101</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654333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57</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payable and other</w:t>
            </w:r>
          </w:p>
        </w:tc>
        <w:tc>
          <w:tcPr>
            <w:tcW w:w="0" w:type="auto"/>
            <w:gridSpan w:val="2"/>
            <w:tcMar>
              <w:top w:w="30" w:type="dxa"/>
              <w:left w:w="30" w:type="dxa"/>
              <w:bottom w:w="30" w:type="dxa"/>
              <w:right w:w="30" w:type="dxa"/>
            </w:tcMar>
            <w:vAlign w:val="bottom"/>
            <w:hideMark/>
          </w:tcPr>
          <w:p w:rsidR="00000000" w:rsidRDefault="00E617AE">
            <w:pPr>
              <w:divId w:val="1372344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3096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33203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4208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585112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362947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29924401"/>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(392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(410</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46990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78</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(332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1539125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(353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5325757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2469131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(358</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(565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(936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125</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(811</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liabilities</w:t>
            </w:r>
          </w:p>
        </w:tc>
        <w:tc>
          <w:tcPr>
            <w:tcW w:w="0" w:type="auto"/>
            <w:gridSpan w:val="2"/>
            <w:tcMar>
              <w:top w:w="30" w:type="dxa"/>
              <w:left w:w="30" w:type="dxa"/>
              <w:bottom w:w="30" w:type="dxa"/>
              <w:right w:w="30" w:type="dxa"/>
            </w:tcMar>
            <w:vAlign w:val="bottom"/>
            <w:hideMark/>
          </w:tcPr>
          <w:p w:rsidR="00000000" w:rsidRDefault="00E617AE">
            <w:pPr>
              <w:divId w:val="436950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358386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038967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970284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517815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13371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414815839"/>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(934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(934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77976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(892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108595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(181</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6429293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9995819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(186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(994</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(1,180</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172684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(1,136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Total net derivative assets/(liabilities)</w:t>
            </w:r>
          </w:p>
        </w:tc>
        <w:tc>
          <w:tcPr>
            <w:tcW w:w="0" w:type="auto"/>
            <w:gridSpan w:val="2"/>
            <w:tcMar>
              <w:top w:w="30" w:type="dxa"/>
              <w:left w:w="30" w:type="dxa"/>
              <w:bottom w:w="30" w:type="dxa"/>
              <w:right w:w="30" w:type="dxa"/>
            </w:tcMar>
            <w:vAlign w:val="bottom"/>
            <w:hideMark/>
          </w:tcPr>
          <w:p w:rsidR="00000000" w:rsidRDefault="00E617AE">
            <w:pPr>
              <w:divId w:val="1098603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816530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64782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778767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351495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014768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456480532"/>
              <w:rPr>
                <w:rFonts w:eastAsia="Times New Roman"/>
                <w:sz w:val="20"/>
                <w:szCs w:val="20"/>
              </w:rPr>
            </w:pPr>
            <w:r>
              <w:rPr>
                <w:rFonts w:ascii="inherit" w:eastAsia="Times New Roman" w:hAnsi="inherit"/>
                <w:sz w:val="20"/>
                <w:szCs w:val="20"/>
              </w:rPr>
              <w:t> </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(1,094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(1,102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193924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(1,102</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646714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rsidR="00000000" w:rsidRDefault="00E617AE">
            <w:pPr>
              <w:divId w:val="297957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(58</w:t>
            </w:r>
          </w:p>
        </w:tc>
        <w:tc>
          <w:tcPr>
            <w:tcW w:w="0" w:type="auto"/>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r w:rsidR="00000000">
        <w:trPr>
          <w:divId w:val="1234730395"/>
        </w:trPr>
        <w:tc>
          <w:tcPr>
            <w:tcW w:w="0" w:type="auto"/>
            <w:tcBorders>
              <w:bottom w:val="single" w:sz="6" w:space="0" w:color="000000"/>
            </w:tcBorders>
            <w:tcMar>
              <w:top w:w="30" w:type="dxa"/>
              <w:left w:w="18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478332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34730395"/>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4792461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(531</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(13</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(1,143</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166940950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96928540"/>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As at December 31, 2019, $327 million was reported within Accounts receivable and other and $1 million </w:t>
            </w:r>
            <w:r>
              <w:rPr>
                <w:rFonts w:ascii="Arial" w:eastAsia="Times New Roman" w:hAnsi="Arial" w:cs="Arial"/>
                <w:i/>
                <w:iCs/>
                <w:sz w:val="16"/>
                <w:szCs w:val="16"/>
              </w:rPr>
              <w:t>within Accounts receivable from affiliates on the Consolidated Statements of Financial Position.</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17375094"/>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As at December 31, 2019, $920 million was reported within Accounts payable and other and $16 million </w:t>
            </w:r>
            <w:r>
              <w:rPr>
                <w:rFonts w:ascii="Arial" w:eastAsia="Times New Roman" w:hAnsi="Arial" w:cs="Arial"/>
                <w:i/>
                <w:iCs/>
                <w:sz w:val="16"/>
                <w:szCs w:val="16"/>
              </w:rPr>
              <w:t>within Accounts payable to affiliates on the Consolidated Statements of Financial Position.</w:t>
            </w:r>
          </w:p>
        </w:tc>
      </w:tr>
    </w:tbl>
    <w:p w:rsidR="00000000" w:rsidRDefault="00E617AE">
      <w:pPr>
        <w:divId w:val="168489296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25</w:t>
      </w:r>
    </w:p>
    <w:p w:rsidR="00000000" w:rsidRDefault="00E617AE">
      <w:pPr>
        <w:divId w:val="118913864"/>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E617AE">
      <w:pPr>
        <w:divId w:val="32154264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summarizes the maturity and notional principal or quantity outstanding related to our derivative instruments.</w:t>
      </w:r>
    </w:p>
    <w:tbl>
      <w:tblPr>
        <w:tblW w:w="5000" w:type="pct"/>
        <w:tblCellMar>
          <w:left w:w="0" w:type="dxa"/>
          <w:right w:w="0" w:type="dxa"/>
        </w:tblCellMar>
        <w:tblLook w:val="04A0" w:firstRow="1" w:lastRow="0" w:firstColumn="1" w:lastColumn="0" w:noHBand="0" w:noVBand="1"/>
      </w:tblPr>
      <w:tblGrid>
        <w:gridCol w:w="3380"/>
        <w:gridCol w:w="556"/>
        <w:gridCol w:w="84"/>
        <w:gridCol w:w="556"/>
        <w:gridCol w:w="84"/>
        <w:gridCol w:w="557"/>
        <w:gridCol w:w="84"/>
        <w:gridCol w:w="557"/>
        <w:gridCol w:w="84"/>
        <w:gridCol w:w="557"/>
        <w:gridCol w:w="84"/>
        <w:gridCol w:w="769"/>
        <w:gridCol w:w="84"/>
        <w:gridCol w:w="133"/>
        <w:gridCol w:w="520"/>
        <w:gridCol w:w="84"/>
        <w:gridCol w:w="133"/>
      </w:tblGrid>
      <w:tr w:rsidR="00000000">
        <w:trPr>
          <w:divId w:val="280115553"/>
        </w:trPr>
        <w:tc>
          <w:tcPr>
            <w:tcW w:w="0" w:type="auto"/>
            <w:gridSpan w:val="17"/>
            <w:vAlign w:val="center"/>
            <w:hideMark/>
          </w:tcPr>
          <w:p w:rsidR="00000000" w:rsidRDefault="00E617AE">
            <w:pPr>
              <w:spacing w:line="288" w:lineRule="auto"/>
              <w:rPr>
                <w:rFonts w:eastAsia="Times New Roman"/>
                <w:sz w:val="20"/>
                <w:szCs w:val="20"/>
              </w:rPr>
            </w:pPr>
          </w:p>
        </w:tc>
      </w:tr>
      <w:tr w:rsidR="00000000">
        <w:trPr>
          <w:divId w:val="280115553"/>
        </w:trPr>
        <w:tc>
          <w:tcPr>
            <w:tcW w:w="20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3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28011555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86608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1019695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68413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381635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580796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627204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14535501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041981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617AE">
            <w:pPr>
              <w:divId w:val="6606967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593588725"/>
              <w:rPr>
                <w:rFonts w:eastAsia="Times New Roman"/>
                <w:sz w:val="20"/>
                <w:szCs w:val="20"/>
              </w:rPr>
            </w:pPr>
            <w:r>
              <w:rPr>
                <w:rFonts w:ascii="inherit" w:eastAsia="Times New Roman" w:hAnsi="inherit"/>
                <w:sz w:val="20"/>
                <w:szCs w:val="20"/>
              </w:rPr>
              <w:t> </w:t>
            </w:r>
          </w:p>
        </w:tc>
      </w:tr>
      <w:tr w:rsidR="00000000">
        <w:trPr>
          <w:divId w:val="28011555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March 31, 2020</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2024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Thereafter</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770392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708148344"/>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919869107"/>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823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1,750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divId w:val="15955557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3,073</w:t>
            </w:r>
          </w:p>
        </w:tc>
        <w:tc>
          <w:tcPr>
            <w:tcW w:w="0" w:type="auto"/>
            <w:tcBorders>
              <w:top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divId w:val="1431970674"/>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1413284216"/>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4,416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5,631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5,703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3,784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8022684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21,390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234201188"/>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404882790"/>
              <w:rPr>
                <w:rFonts w:eastAsia="Times New Roman"/>
                <w:sz w:val="16"/>
                <w:szCs w:val="16"/>
              </w:rPr>
            </w:pPr>
            <w:r>
              <w:rPr>
                <w:rFonts w:ascii="Arial" w:eastAsia="Times New Roman" w:hAnsi="Arial" w:cs="Arial"/>
                <w:sz w:val="16"/>
                <w:szCs w:val="16"/>
              </w:rPr>
              <w:t xml:space="preserve">Foreign exchange contracts - British pound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83349808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293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956785018"/>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3560373"/>
              <w:rPr>
                <w:rFonts w:eastAsia="Times New Roman"/>
                <w:sz w:val="16"/>
                <w:szCs w:val="16"/>
              </w:rPr>
            </w:pPr>
            <w:r>
              <w:rPr>
                <w:rFonts w:ascii="Arial" w:eastAsia="Times New Roman" w:hAnsi="Arial" w:cs="Arial"/>
                <w:sz w:val="16"/>
                <w:szCs w:val="16"/>
              </w:rPr>
              <w:t xml:space="preserve">Foreign exchange contracts - Euro forwards - sell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515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202809844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909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323358026"/>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1447236679"/>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95744337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959409883"/>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1805271308"/>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4,618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4,284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422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2831975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9,531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796559446"/>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1415587791"/>
              <w:rPr>
                <w:rFonts w:eastAsia="Times New Roman"/>
                <w:sz w:val="16"/>
                <w:szCs w:val="16"/>
              </w:rPr>
            </w:pPr>
            <w:r>
              <w:rPr>
                <w:rFonts w:ascii="Arial" w:eastAsia="Times New Roman" w:hAnsi="Arial" w:cs="Arial"/>
                <w:sz w:val="16"/>
                <w:szCs w:val="16"/>
              </w:rPr>
              <w:t xml:space="preserve">Interest rate contracts - long-term debt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3,544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1,619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2012851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5,163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149634457"/>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294213927"/>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08449437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422219428"/>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779186981"/>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204659036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107</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235480204"/>
              <w:rPr>
                <w:rFonts w:eastAsia="Times New Roman"/>
                <w:sz w:val="20"/>
                <w:szCs w:val="20"/>
              </w:rPr>
            </w:pPr>
            <w:r>
              <w:rPr>
                <w:rFonts w:ascii="inherit" w:eastAsia="Times New Roman" w:hAnsi="inherit"/>
                <w:sz w:val="20"/>
                <w:szCs w:val="20"/>
              </w:rPr>
              <w:t> </w:t>
            </w:r>
          </w:p>
        </w:tc>
      </w:tr>
      <w:tr w:rsidR="00000000">
        <w:trPr>
          <w:divId w:val="280115553"/>
        </w:trPr>
        <w:tc>
          <w:tcPr>
            <w:tcW w:w="0" w:type="auto"/>
            <w:tcMar>
              <w:top w:w="30" w:type="dxa"/>
              <w:left w:w="30" w:type="dxa"/>
              <w:bottom w:w="30" w:type="dxa"/>
              <w:right w:w="30" w:type="dxa"/>
            </w:tcMar>
            <w:vAlign w:val="bottom"/>
            <w:hideMark/>
          </w:tcPr>
          <w:p w:rsidR="00000000" w:rsidRDefault="00E617AE">
            <w:pPr>
              <w:ind w:hanging="180"/>
              <w:divId w:val="362900870"/>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27902223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divId w:val="1453406446"/>
              <w:rPr>
                <w:rFonts w:eastAsia="Times New Roman"/>
                <w:sz w:val="20"/>
                <w:szCs w:val="20"/>
              </w:rPr>
            </w:pPr>
            <w:r>
              <w:rPr>
                <w:rFonts w:ascii="inherit" w:eastAsia="Times New Roman" w:hAnsi="inherit"/>
                <w:sz w:val="20"/>
                <w:szCs w:val="20"/>
              </w:rPr>
              <w:t> </w:t>
            </w:r>
          </w:p>
        </w:tc>
      </w:tr>
      <w:tr w:rsidR="00000000">
        <w:trPr>
          <w:divId w:val="280115553"/>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divId w:val="347800551"/>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79</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1</w:t>
            </w:r>
            <w:r>
              <w:rPr>
                <w:rFonts w:ascii="Arial" w:eastAsia="Times New Roman" w:hAnsi="Arial" w:cs="Arial"/>
                <w:b/>
                <w:bCs/>
                <w:sz w:val="14"/>
                <w:szCs w:val="14"/>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b/>
                <w:bCs/>
                <w:sz w:val="10"/>
                <w:szCs w:val="10"/>
                <w:vertAlign w:val="superscript"/>
              </w:rPr>
              <w:t>2</w:t>
            </w:r>
            <w:r>
              <w:rPr>
                <w:rFonts w:ascii="Arial" w:eastAsia="Times New Roman" w:hAnsi="Arial" w:cs="Arial"/>
                <w:b/>
                <w:bCs/>
                <w:sz w:val="14"/>
                <w:szCs w:val="14"/>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45630610"/>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As at March 31, 2020, thereafter includes an average net purchase/(sell) of power of (43)</w:t>
            </w:r>
            <w:r>
              <w:rPr>
                <w:rFonts w:ascii="Arial" w:eastAsia="Times New Roman" w:hAnsi="Arial" w:cs="Arial"/>
                <w:sz w:val="16"/>
                <w:szCs w:val="16"/>
              </w:rPr>
              <w:t xml:space="preserve"> </w:t>
            </w:r>
            <w:r>
              <w:rPr>
                <w:rFonts w:ascii="Arial" w:eastAsia="Times New Roman" w:hAnsi="Arial" w:cs="Arial"/>
                <w:i/>
                <w:iCs/>
                <w:sz w:val="16"/>
                <w:szCs w:val="16"/>
              </w:rPr>
              <w:t>MW/H for 2025.</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3424"/>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29599742"/>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Total is an average net purchase/(sell) of power.</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divId w:val="1610045183"/>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26</w:t>
      </w:r>
    </w:p>
    <w:p w:rsidR="00000000" w:rsidRDefault="00E617AE">
      <w:pPr>
        <w:divId w:val="118913864"/>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E617AE">
      <w:pPr>
        <w:divId w:val="10835722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Fair Value Derivatives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For foreign exchange derivative instruments that are designated and qualify as fair value hedges, the gain or loss on the derivative as well as the offsetting loss or gain on the hedged item attributable to the hedged risk is included in Net foreign curren</w:t>
      </w:r>
      <w:r>
        <w:rPr>
          <w:rFonts w:ascii="Arial" w:eastAsia="Times New Roman" w:hAnsi="Arial" w:cs="Arial"/>
          <w:sz w:val="20"/>
          <w:szCs w:val="20"/>
        </w:rPr>
        <w:t>cy gain/(loss) in the Consolidated Statements of Earnings. Any excluded components are included in the Statements of Comprehensive Income.</w:t>
      </w:r>
    </w:p>
    <w:p w:rsidR="00000000" w:rsidRDefault="00E617AE">
      <w:pPr>
        <w:spacing w:line="288" w:lineRule="auto"/>
        <w:divId w:val="118913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75"/>
        <w:gridCol w:w="827"/>
        <w:gridCol w:w="97"/>
        <w:gridCol w:w="827"/>
        <w:gridCol w:w="80"/>
      </w:tblGrid>
      <w:tr w:rsidR="00000000">
        <w:trPr>
          <w:divId w:val="835269810"/>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835269810"/>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835269810"/>
        </w:trPr>
        <w:tc>
          <w:tcPr>
            <w:tcW w:w="0" w:type="auto"/>
            <w:tcMar>
              <w:top w:w="30" w:type="dxa"/>
              <w:left w:w="30" w:type="dxa"/>
              <w:bottom w:w="30" w:type="dxa"/>
              <w:right w:w="30" w:type="dxa"/>
            </w:tcMar>
            <w:vAlign w:val="bottom"/>
            <w:hideMark/>
          </w:tcPr>
          <w:p w:rsidR="00000000" w:rsidRDefault="00E617AE">
            <w:pPr>
              <w:divId w:val="120829363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83526981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878469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83526981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820340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55835389"/>
              <w:rPr>
                <w:rFonts w:eastAsia="Times New Roman"/>
                <w:sz w:val="20"/>
                <w:szCs w:val="20"/>
              </w:rPr>
            </w:pPr>
            <w:r>
              <w:rPr>
                <w:rFonts w:ascii="inherit" w:eastAsia="Times New Roman" w:hAnsi="inherit"/>
                <w:sz w:val="20"/>
                <w:szCs w:val="20"/>
              </w:rPr>
              <w:t> </w:t>
            </w:r>
          </w:p>
        </w:tc>
      </w:tr>
      <w:tr w:rsidR="00000000">
        <w:trPr>
          <w:divId w:val="835269810"/>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Unrealized gain on derivative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218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835269810"/>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Unrealized loss on hedged item</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835269810"/>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Realized loss on derivative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rsidR="00000000" w:rsidRDefault="00E617AE">
      <w:pPr>
        <w:spacing w:line="288" w:lineRule="auto"/>
        <w:divId w:val="118913864"/>
        <w:rPr>
          <w:rFonts w:eastAsia="Times New Roman"/>
          <w:sz w:val="4"/>
          <w:szCs w:val="4"/>
        </w:rPr>
      </w:pPr>
      <w:r>
        <w:rPr>
          <w:rFonts w:ascii="Arial" w:eastAsia="Times New Roman" w:hAnsi="Arial" w:cs="Arial"/>
          <w:sz w:val="4"/>
          <w:szCs w:val="4"/>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presents the effect of cash flow hedges, fair value hedges and net investment hedges on our consolidated earnings and consolidated comprehensi</w:t>
      </w:r>
      <w:r>
        <w:rPr>
          <w:rFonts w:ascii="Arial" w:eastAsia="Times New Roman" w:hAnsi="Arial" w:cs="Arial"/>
          <w:sz w:val="20"/>
          <w:szCs w:val="20"/>
        </w:rPr>
        <w:t>ve income, before the effect of income taxes: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964383114"/>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964383114"/>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964383114"/>
        </w:trPr>
        <w:tc>
          <w:tcPr>
            <w:tcW w:w="0" w:type="auto"/>
            <w:tcMar>
              <w:top w:w="30" w:type="dxa"/>
              <w:left w:w="30" w:type="dxa"/>
              <w:bottom w:w="30" w:type="dxa"/>
              <w:right w:w="30" w:type="dxa"/>
            </w:tcMar>
            <w:vAlign w:val="bottom"/>
            <w:hideMark/>
          </w:tcPr>
          <w:p w:rsidR="00000000" w:rsidRDefault="00E617AE">
            <w:pPr>
              <w:divId w:val="67850262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96438311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6324454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068453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33318235"/>
              <w:rPr>
                <w:rFonts w:eastAsia="Times New Roman"/>
                <w:sz w:val="20"/>
                <w:szCs w:val="20"/>
              </w:rPr>
            </w:pPr>
            <w:r>
              <w:rPr>
                <w:rFonts w:ascii="inherit" w:eastAsia="Times New Roman" w:hAnsi="inherit"/>
                <w:sz w:val="20"/>
                <w:szCs w:val="20"/>
              </w:rPr>
              <w:t> </w:t>
            </w:r>
          </w:p>
        </w:tc>
      </w:tr>
      <w:tr w:rsidR="00000000">
        <w:trPr>
          <w:divId w:val="964383114"/>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Amount of unrealized gain/(loss) recognized in OCI</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25368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705984874"/>
              <w:rPr>
                <w:rFonts w:eastAsia="Times New Roman"/>
                <w:sz w:val="20"/>
                <w:szCs w:val="20"/>
              </w:rPr>
            </w:pPr>
            <w:r>
              <w:rPr>
                <w:rFonts w:ascii="inherit" w:eastAsia="Times New Roman" w:hAnsi="inherit"/>
                <w:sz w:val="20"/>
                <w:szCs w:val="20"/>
              </w:rPr>
              <w:t> </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30341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71203411"/>
              <w:rPr>
                <w:rFonts w:eastAsia="Times New Roman"/>
                <w:sz w:val="20"/>
                <w:szCs w:val="20"/>
              </w:rPr>
            </w:pPr>
            <w:r>
              <w:rPr>
                <w:rFonts w:ascii="inherit" w:eastAsia="Times New Roman" w:hAnsi="inherit"/>
                <w:sz w:val="20"/>
                <w:szCs w:val="20"/>
              </w:rPr>
              <w:t> </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(715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(296</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E617AE">
            <w:pPr>
              <w:rPr>
                <w:rFonts w:eastAsia="Times New Roman"/>
                <w:sz w:val="20"/>
                <w:szCs w:val="20"/>
              </w:rPr>
            </w:pP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Fair value hedges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64666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201354996"/>
              <w:rPr>
                <w:rFonts w:eastAsia="Times New Roman"/>
                <w:sz w:val="20"/>
                <w:szCs w:val="20"/>
              </w:rPr>
            </w:pPr>
            <w:r>
              <w:rPr>
                <w:rFonts w:ascii="inherit" w:eastAsia="Times New Roman" w:hAnsi="inherit"/>
                <w:sz w:val="20"/>
                <w:szCs w:val="20"/>
              </w:rPr>
              <w:t> </w:t>
            </w: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r>
      <w:tr w:rsidR="00000000">
        <w:trPr>
          <w:divId w:val="96438311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Net investment hedges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6338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772703319"/>
              <w:rPr>
                <w:rFonts w:eastAsia="Times New Roman"/>
                <w:sz w:val="20"/>
                <w:szCs w:val="20"/>
              </w:rPr>
            </w:pPr>
            <w:r>
              <w:rPr>
                <w:rFonts w:ascii="inherit" w:eastAsia="Times New Roman" w:hAnsi="inherit"/>
                <w:sz w:val="20"/>
                <w:szCs w:val="20"/>
              </w:rPr>
              <w:t> </w:t>
            </w:r>
          </w:p>
        </w:tc>
      </w:tr>
      <w:tr w:rsidR="00000000">
        <w:trPr>
          <w:divId w:val="96438311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96438311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743620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(698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(296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964383114"/>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Amount of (gain)/loss reclassified from AOCI to earnings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82645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060204556"/>
              <w:rPr>
                <w:rFonts w:eastAsia="Times New Roman"/>
                <w:sz w:val="20"/>
                <w:szCs w:val="20"/>
              </w:rPr>
            </w:pPr>
            <w:r>
              <w:rPr>
                <w:rFonts w:ascii="inherit" w:eastAsia="Times New Roman" w:hAnsi="inherit"/>
                <w:sz w:val="20"/>
                <w:szCs w:val="20"/>
              </w:rPr>
              <w:t> </w:t>
            </w:r>
          </w:p>
        </w:tc>
      </w:tr>
      <w:tr w:rsidR="00000000">
        <w:trPr>
          <w:divId w:val="964383114"/>
        </w:trPr>
        <w:tc>
          <w:tcPr>
            <w:tcW w:w="0" w:type="auto"/>
            <w:tcMar>
              <w:top w:w="30" w:type="dxa"/>
              <w:left w:w="30" w:type="dxa"/>
              <w:bottom w:w="30" w:type="dxa"/>
              <w:right w:w="30" w:type="dxa"/>
            </w:tcMar>
            <w:vAlign w:val="bottom"/>
            <w:hideMark/>
          </w:tcPr>
          <w:p w:rsidR="00000000" w:rsidRDefault="00E617AE">
            <w:pPr>
              <w:divId w:val="613637288"/>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E617AE">
            <w:pPr>
              <w:rPr>
                <w:rFonts w:eastAsia="Times New Roman"/>
                <w:sz w:val="20"/>
                <w:szCs w:val="20"/>
              </w:rPr>
            </w:pPr>
          </w:p>
        </w:tc>
      </w:tr>
      <w:tr w:rsidR="00000000">
        <w:trPr>
          <w:divId w:val="964383114"/>
        </w:trPr>
        <w:tc>
          <w:tcPr>
            <w:tcW w:w="0" w:type="auto"/>
            <w:tcMar>
              <w:top w:w="30" w:type="dxa"/>
              <w:left w:w="30" w:type="dxa"/>
              <w:bottom w:w="30" w:type="dxa"/>
              <w:right w:w="30" w:type="dxa"/>
            </w:tcMar>
            <w:vAlign w:val="bottom"/>
            <w:hideMark/>
          </w:tcPr>
          <w:p w:rsidR="00000000" w:rsidRDefault="00E617AE">
            <w:pPr>
              <w:divId w:val="1141113316"/>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32</w:t>
            </w:r>
          </w:p>
        </w:tc>
        <w:tc>
          <w:tcPr>
            <w:tcW w:w="0" w:type="auto"/>
            <w:vAlign w:val="bottom"/>
            <w:hideMark/>
          </w:tcPr>
          <w:p w:rsidR="00000000" w:rsidRDefault="00E617AE">
            <w:pPr>
              <w:rPr>
                <w:rFonts w:eastAsia="Times New Roman"/>
                <w:sz w:val="20"/>
                <w:szCs w:val="20"/>
              </w:rPr>
            </w:pPr>
          </w:p>
        </w:tc>
      </w:tr>
      <w:tr w:rsidR="00000000">
        <w:trPr>
          <w:divId w:val="96438311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431242714"/>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964383114"/>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25</w:t>
            </w:r>
          </w:p>
        </w:tc>
        <w:tc>
          <w:tcPr>
            <w:tcW w:w="0" w:type="auto"/>
            <w:tcBorders>
              <w:bottom w:val="single" w:sz="8" w:space="0" w:color="000000"/>
            </w:tcBorders>
            <w:vAlign w:val="bottom"/>
            <w:hideMark/>
          </w:tcPr>
          <w:p w:rsidR="00000000" w:rsidRDefault="00E617AE">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05625913"/>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506"/>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22888627"/>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Reported within Interest expense in the Consolidated Statements of Earnings.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9362017"/>
              <w:rPr>
                <w:rFonts w:eastAsia="Times New Roman"/>
                <w:sz w:val="16"/>
                <w:szCs w:val="16"/>
              </w:rPr>
            </w:pPr>
            <w:r>
              <w:rPr>
                <w:rFonts w:ascii="Arial" w:eastAsia="Times New Roman" w:hAnsi="Arial" w:cs="Arial"/>
                <w:i/>
                <w:iCs/>
                <w:sz w:val="16"/>
                <w:szCs w:val="16"/>
              </w:rPr>
              <w:t>3</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estimate that a loss of $164 million of AOCI related to unrealized c</w:t>
      </w:r>
      <w:r>
        <w:rPr>
          <w:rFonts w:ascii="Arial" w:eastAsia="Times New Roman" w:hAnsi="Arial" w:cs="Arial"/>
          <w:sz w:val="20"/>
          <w:szCs w:val="20"/>
        </w:rPr>
        <w:t>ash flow hedges will be reclassified to earnings in the next 12 months. Actual amounts reclassified to earnings depend on the foreign exchange rates, interest rates and commodity prices in effect when derivative contracts that are currently outstanding mat</w:t>
      </w:r>
      <w:r>
        <w:rPr>
          <w:rFonts w:ascii="Arial" w:eastAsia="Times New Roman" w:hAnsi="Arial" w:cs="Arial"/>
          <w:sz w:val="20"/>
          <w:szCs w:val="20"/>
        </w:rPr>
        <w:t>ure. For all forecasted transactions, the maximum term over which we are hedging exposures to the variability of cash flows is 21 months as at March 31, 2020.</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divId w:val="2016807718"/>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27</w:t>
      </w:r>
    </w:p>
    <w:p w:rsidR="00000000" w:rsidRDefault="00E617AE">
      <w:pPr>
        <w:divId w:val="118913864"/>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E617AE">
      <w:pPr>
        <w:divId w:val="79340585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Non-Qualifying Derivatives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presents the unrealized gains and losses associated with changes in the fair value of our non-qualifying derivatives: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313413185"/>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1313413185"/>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313413185"/>
        </w:trPr>
        <w:tc>
          <w:tcPr>
            <w:tcW w:w="0" w:type="auto"/>
            <w:tcMar>
              <w:top w:w="30" w:type="dxa"/>
              <w:left w:w="30" w:type="dxa"/>
              <w:bottom w:w="30" w:type="dxa"/>
              <w:right w:w="30" w:type="dxa"/>
            </w:tcMar>
            <w:vAlign w:val="bottom"/>
            <w:hideMark/>
          </w:tcPr>
          <w:p w:rsidR="00000000" w:rsidRDefault="00E617AE">
            <w:pPr>
              <w:divId w:val="178226144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31341318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1182072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313413185"/>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91162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606693711"/>
              <w:rPr>
                <w:rFonts w:eastAsia="Times New Roman"/>
                <w:sz w:val="20"/>
                <w:szCs w:val="20"/>
              </w:rPr>
            </w:pPr>
            <w:r>
              <w:rPr>
                <w:rFonts w:ascii="inherit" w:eastAsia="Times New Roman" w:hAnsi="inherit"/>
                <w:sz w:val="20"/>
                <w:szCs w:val="20"/>
              </w:rPr>
              <w:t> </w:t>
            </w:r>
          </w:p>
        </w:tc>
      </w:tr>
      <w:tr w:rsidR="00000000">
        <w:trPr>
          <w:divId w:val="1313413185"/>
        </w:trPr>
        <w:tc>
          <w:tcPr>
            <w:tcW w:w="0" w:type="auto"/>
            <w:tcMar>
              <w:top w:w="30" w:type="dxa"/>
              <w:left w:w="30" w:type="dxa"/>
              <w:bottom w:w="30" w:type="dxa"/>
              <w:right w:w="30" w:type="dxa"/>
            </w:tcMar>
            <w:vAlign w:val="bottom"/>
            <w:hideMark/>
          </w:tcPr>
          <w:p w:rsidR="00000000" w:rsidRDefault="00E617AE">
            <w:pPr>
              <w:divId w:val="1963420179"/>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(2,003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616</w:t>
            </w:r>
          </w:p>
        </w:tc>
        <w:tc>
          <w:tcPr>
            <w:tcW w:w="0" w:type="auto"/>
            <w:vAlign w:val="bottom"/>
            <w:hideMark/>
          </w:tcPr>
          <w:p w:rsidR="00000000" w:rsidRDefault="00E617AE">
            <w:pPr>
              <w:rPr>
                <w:rFonts w:eastAsia="Times New Roman"/>
                <w:sz w:val="20"/>
                <w:szCs w:val="20"/>
              </w:rPr>
            </w:pPr>
          </w:p>
        </w:tc>
      </w:tr>
      <w:tr w:rsidR="00000000">
        <w:trPr>
          <w:divId w:val="1313413185"/>
        </w:trPr>
        <w:tc>
          <w:tcPr>
            <w:tcW w:w="0" w:type="auto"/>
            <w:tcMar>
              <w:top w:w="30" w:type="dxa"/>
              <w:left w:w="30" w:type="dxa"/>
              <w:bottom w:w="30" w:type="dxa"/>
              <w:right w:w="30" w:type="dxa"/>
            </w:tcMar>
            <w:vAlign w:val="bottom"/>
            <w:hideMark/>
          </w:tcPr>
          <w:p w:rsidR="00000000" w:rsidRDefault="00E617AE">
            <w:pPr>
              <w:divId w:val="98726381"/>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rsidR="00000000" w:rsidRDefault="00E617AE">
            <w:pPr>
              <w:rPr>
                <w:rFonts w:eastAsia="Times New Roman"/>
                <w:sz w:val="20"/>
                <w:szCs w:val="20"/>
              </w:rPr>
            </w:pPr>
          </w:p>
        </w:tc>
      </w:tr>
      <w:tr w:rsidR="00000000">
        <w:trPr>
          <w:divId w:val="1313413185"/>
        </w:trPr>
        <w:tc>
          <w:tcPr>
            <w:tcW w:w="0" w:type="auto"/>
            <w:tcMar>
              <w:top w:w="30" w:type="dxa"/>
              <w:left w:w="30" w:type="dxa"/>
              <w:bottom w:w="30" w:type="dxa"/>
              <w:right w:w="30" w:type="dxa"/>
            </w:tcMar>
            <w:vAlign w:val="bottom"/>
            <w:hideMark/>
          </w:tcPr>
          <w:p w:rsidR="00000000" w:rsidRDefault="00E617AE">
            <w:pPr>
              <w:divId w:val="1200438725"/>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473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(261</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31341318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948197530"/>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E617AE">
            <w:pPr>
              <w:rPr>
                <w:rFonts w:eastAsia="Times New Roman"/>
                <w:sz w:val="20"/>
                <w:szCs w:val="20"/>
              </w:rPr>
            </w:pPr>
          </w:p>
        </w:tc>
      </w:tr>
      <w:tr w:rsidR="00000000">
        <w:trPr>
          <w:divId w:val="1313413185"/>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(1,556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538</w:t>
            </w:r>
          </w:p>
        </w:tc>
        <w:tc>
          <w:tcPr>
            <w:tcW w:w="0" w:type="auto"/>
            <w:tcBorders>
              <w:top w:val="single" w:sz="6" w:space="0" w:color="000000"/>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18913864"/>
          <w:tblCellSpacing w:w="0" w:type="dxa"/>
        </w:trPr>
        <w:tc>
          <w:tcPr>
            <w:tcW w:w="18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008827952"/>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For the respective three months ended </w:t>
            </w:r>
            <w:r>
              <w:rPr>
                <w:rFonts w:ascii="Arial" w:eastAsia="Times New Roman" w:hAnsi="Arial" w:cs="Arial"/>
                <w:i/>
                <w:iCs/>
                <w:sz w:val="16"/>
                <w:szCs w:val="16"/>
              </w:rPr>
              <w:t>periods, reported within Transportation and other services revenues (2020 - $1,061 million loss; 2019 - $352 million gain) and Net foreign currency gain/(loss) (2020 - $942 million loss; 2019 - $264 million gain) in the Consolidated Statements of Earnings.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0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60025260"/>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Reported as an (increase)/decrease within Interest expense in the Consolidated Statements of Earnings.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90194313"/>
              <w:rPr>
                <w:rFonts w:eastAsia="Times New Roman"/>
                <w:sz w:val="16"/>
                <w:szCs w:val="16"/>
              </w:rPr>
            </w:pPr>
            <w:r>
              <w:rPr>
                <w:rFonts w:ascii="Arial" w:eastAsia="Times New Roman" w:hAnsi="Arial" w:cs="Arial"/>
                <w:i/>
                <w:iCs/>
                <w:sz w:val="16"/>
                <w:szCs w:val="16"/>
              </w:rPr>
              <w:t>3</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For the respective three months ended </w:t>
            </w:r>
            <w:r>
              <w:rPr>
                <w:rFonts w:ascii="Arial" w:eastAsia="Times New Roman" w:hAnsi="Arial" w:cs="Arial"/>
                <w:i/>
                <w:iCs/>
                <w:sz w:val="16"/>
                <w:szCs w:val="16"/>
              </w:rPr>
              <w:t>periods, reported within Transportation and other services revenues (2020 - $34 million gain; 2019 - $26 million loss), Commodity sales (2020 - $1,493 million gain; 2019 - $642 million loss), Commodity costs (2020 - $1,045 million loss; 2019 - $398 million</w:t>
            </w:r>
            <w:r>
              <w:rPr>
                <w:rFonts w:ascii="Arial" w:eastAsia="Times New Roman" w:hAnsi="Arial" w:cs="Arial"/>
                <w:i/>
                <w:iCs/>
                <w:sz w:val="16"/>
                <w:szCs w:val="16"/>
              </w:rPr>
              <w:t xml:space="preserve"> gain) and Operating and administrative expense (2020 - $9 million loss; 2019 - $9 million gain) in the Consolidated Statements of Earnings.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42284721"/>
              <w:rPr>
                <w:rFonts w:eastAsia="Times New Roman"/>
                <w:sz w:val="16"/>
                <w:szCs w:val="16"/>
              </w:rPr>
            </w:pPr>
            <w:r>
              <w:rPr>
                <w:rFonts w:ascii="Arial" w:eastAsia="Times New Roman" w:hAnsi="Arial" w:cs="Arial"/>
                <w:i/>
                <w:iCs/>
                <w:sz w:val="16"/>
                <w:szCs w:val="16"/>
              </w:rPr>
              <w:t>4</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LIQUIDITY RISK</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Liquidity risk is the risk that we will not be able to meet our financial obligations, including commitments and guarantees, as they become</w:t>
      </w:r>
      <w:r>
        <w:rPr>
          <w:rFonts w:ascii="Arial" w:eastAsia="Times New Roman" w:hAnsi="Arial" w:cs="Arial"/>
          <w:sz w:val="20"/>
          <w:szCs w:val="20"/>
        </w:rPr>
        <w:t xml:space="preserve"> due. In order to mitigate this risk, we forecast cash requirements over a 12-month rolling time period to determine whether sufficient funds will be available and maintain substantial capacity under our committed bank lines of credit to address any contin</w:t>
      </w:r>
      <w:r>
        <w:rPr>
          <w:rFonts w:ascii="Arial" w:eastAsia="Times New Roman" w:hAnsi="Arial" w:cs="Arial"/>
          <w:sz w:val="20"/>
          <w:szCs w:val="20"/>
        </w:rPr>
        <w:t>gencies. Our primary sources of liquidity and capital resources are funds generated from operations, the issuance of commercial paper and draws under committed credit facilities and long-term debt, which includes debentures and medium-term notes. We also m</w:t>
      </w:r>
      <w:r>
        <w:rPr>
          <w:rFonts w:ascii="Arial" w:eastAsia="Times New Roman" w:hAnsi="Arial" w:cs="Arial"/>
          <w:sz w:val="20"/>
          <w:szCs w:val="20"/>
        </w:rPr>
        <w:t>aintain current shelf prospectuses with securities regulators which enables ready access to either the Canadian or United States public capital markets, subject to market conditions. In addition, we maintain sufficient liquidity through committed credit fa</w:t>
      </w:r>
      <w:r>
        <w:rPr>
          <w:rFonts w:ascii="Arial" w:eastAsia="Times New Roman" w:hAnsi="Arial" w:cs="Arial"/>
          <w:sz w:val="20"/>
          <w:szCs w:val="20"/>
        </w:rPr>
        <w:t>cilities with a diversified group of banks and institutions which, if necessary, enables us to fund all anticipated requirements for approximately one year without accessing the capital markets. We are in compliance with all the terms and conditions of our</w:t>
      </w:r>
      <w:r>
        <w:rPr>
          <w:rFonts w:ascii="Arial" w:eastAsia="Times New Roman" w:hAnsi="Arial" w:cs="Arial"/>
          <w:sz w:val="20"/>
          <w:szCs w:val="20"/>
        </w:rPr>
        <w:t xml:space="preserve"> committed credit facility agreements and term debt indentures as at March 31, 2020. As a result, all credit facilities are available to us and the banks are obligated to fund and have been funding us under the terms of the facilities.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CREDIT RISK</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Ent</w:t>
      </w:r>
      <w:r>
        <w:rPr>
          <w:rFonts w:ascii="Arial" w:eastAsia="Times New Roman" w:hAnsi="Arial" w:cs="Arial"/>
          <w:sz w:val="20"/>
          <w:szCs w:val="20"/>
        </w:rPr>
        <w:t>ering into derivative instruments may result in exposure to credit risk from the possibility that a counterparty will default on its contractual obligations. In order to mitigate this risk, we enter into risk management transactions primarily with institut</w:t>
      </w:r>
      <w:r>
        <w:rPr>
          <w:rFonts w:ascii="Arial" w:eastAsia="Times New Roman" w:hAnsi="Arial" w:cs="Arial"/>
          <w:sz w:val="20"/>
          <w:szCs w:val="20"/>
        </w:rPr>
        <w:t>ions that possess strong investment grade credit ratings. Credit risk relating to derivative counterparties is mitigated through maintenance and monitoring of credit exposure limits and contractual requirements, netting arrangements, and ongoing monitoring</w:t>
      </w:r>
      <w:r>
        <w:rPr>
          <w:rFonts w:ascii="Arial" w:eastAsia="Times New Roman" w:hAnsi="Arial" w:cs="Arial"/>
          <w:sz w:val="20"/>
          <w:szCs w:val="20"/>
        </w:rPr>
        <w:t xml:space="preserve"> of counterparty credit exposure using external credit rating services and other analytical tools. </w:t>
      </w:r>
    </w:p>
    <w:p w:rsidR="00000000" w:rsidRDefault="00E617AE">
      <w:pPr>
        <w:spacing w:line="288" w:lineRule="auto"/>
        <w:divId w:val="118913864"/>
        <w:rPr>
          <w:rFonts w:eastAsia="Times New Roman"/>
          <w:sz w:val="20"/>
          <w:szCs w:val="20"/>
        </w:rPr>
      </w:pPr>
    </w:p>
    <w:p w:rsidR="00000000" w:rsidRDefault="00E617AE">
      <w:pPr>
        <w:divId w:val="182446998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28</w:t>
      </w:r>
    </w:p>
    <w:p w:rsidR="00000000" w:rsidRDefault="00E617AE">
      <w:pPr>
        <w:divId w:val="118913864"/>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E617AE">
      <w:pPr>
        <w:divId w:val="624041712"/>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w:t>
      </w:r>
      <w:r>
        <w:rPr>
          <w:rFonts w:ascii="Arial" w:eastAsia="Times New Roman" w:hAnsi="Arial" w:cs="Arial"/>
          <w:sz w:val="20"/>
          <w:szCs w:val="20"/>
        </w:rPr>
        <w:t>unterparty segments:</w:t>
      </w:r>
    </w:p>
    <w:tbl>
      <w:tblPr>
        <w:tblW w:w="5000" w:type="pct"/>
        <w:tblCellMar>
          <w:left w:w="0" w:type="dxa"/>
          <w:right w:w="0" w:type="dxa"/>
        </w:tblCellMar>
        <w:tblLook w:val="04A0" w:firstRow="1" w:lastRow="0" w:firstColumn="1" w:lastColumn="0" w:noHBand="0" w:noVBand="1"/>
      </w:tblPr>
      <w:tblGrid>
        <w:gridCol w:w="5637"/>
        <w:gridCol w:w="1236"/>
        <w:gridCol w:w="73"/>
        <w:gridCol w:w="1287"/>
        <w:gridCol w:w="73"/>
      </w:tblGrid>
      <w:tr w:rsidR="00000000">
        <w:trPr>
          <w:divId w:val="1230578095"/>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1230578095"/>
        </w:trPr>
        <w:tc>
          <w:tcPr>
            <w:tcW w:w="340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2305780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602817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 xml:space="preserve">March 31, </w:t>
            </w:r>
            <w:r>
              <w:rPr>
                <w:rFonts w:ascii="Arial" w:eastAsia="Times New Roman" w:hAnsi="Arial" w:cs="Arial"/>
                <w:b/>
                <w:bCs/>
                <w:sz w:val="20"/>
                <w:szCs w:val="20"/>
              </w:rPr>
              <w:b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30578095"/>
        </w:trPr>
        <w:tc>
          <w:tcPr>
            <w:tcW w:w="0" w:type="auto"/>
            <w:tcMar>
              <w:top w:w="30" w:type="dxa"/>
              <w:left w:w="30" w:type="dxa"/>
              <w:bottom w:w="30" w:type="dxa"/>
              <w:right w:w="30" w:type="dxa"/>
            </w:tcMar>
            <w:vAlign w:val="bottom"/>
            <w:hideMark/>
          </w:tcPr>
          <w:p w:rsidR="00000000" w:rsidRDefault="00E617AE">
            <w:pPr>
              <w:jc w:val="both"/>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42117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297225700"/>
              <w:rPr>
                <w:rFonts w:eastAsia="Times New Roman"/>
                <w:sz w:val="20"/>
                <w:szCs w:val="20"/>
              </w:rPr>
            </w:pPr>
            <w:r>
              <w:rPr>
                <w:rFonts w:ascii="inherit" w:eastAsia="Times New Roman" w:hAnsi="inherit"/>
                <w:sz w:val="20"/>
                <w:szCs w:val="20"/>
              </w:rPr>
              <w:t> </w:t>
            </w:r>
          </w:p>
        </w:tc>
      </w:tr>
      <w:tr w:rsidR="00000000">
        <w:trPr>
          <w:divId w:val="12305780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128</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146</w:t>
            </w:r>
          </w:p>
        </w:tc>
        <w:tc>
          <w:tcPr>
            <w:tcW w:w="0" w:type="auto"/>
            <w:vAlign w:val="bottom"/>
            <w:hideMark/>
          </w:tcPr>
          <w:p w:rsidR="00000000" w:rsidRDefault="00E617AE">
            <w:pPr>
              <w:rPr>
                <w:rFonts w:eastAsia="Times New Roman"/>
                <w:sz w:val="20"/>
                <w:szCs w:val="20"/>
              </w:rPr>
            </w:pPr>
          </w:p>
        </w:tc>
      </w:tr>
      <w:tr w:rsidR="00000000">
        <w:trPr>
          <w:divId w:val="12305780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310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rsidR="00000000" w:rsidRDefault="00E617AE">
            <w:pPr>
              <w:rPr>
                <w:rFonts w:eastAsia="Times New Roman"/>
                <w:sz w:val="20"/>
                <w:szCs w:val="20"/>
              </w:rPr>
            </w:pPr>
          </w:p>
        </w:tc>
      </w:tr>
      <w:tr w:rsidR="00000000">
        <w:trPr>
          <w:divId w:val="12305780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165</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E617AE">
            <w:pPr>
              <w:rPr>
                <w:rFonts w:eastAsia="Times New Roman"/>
                <w:sz w:val="20"/>
                <w:szCs w:val="20"/>
              </w:rPr>
            </w:pPr>
          </w:p>
        </w:tc>
      </w:tr>
      <w:tr w:rsidR="00000000">
        <w:trPr>
          <w:divId w:val="12305780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76</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rsidR="00000000" w:rsidRDefault="00E617AE">
            <w:pPr>
              <w:rPr>
                <w:rFonts w:eastAsia="Times New Roman"/>
                <w:sz w:val="20"/>
                <w:szCs w:val="20"/>
              </w:rPr>
            </w:pPr>
          </w:p>
        </w:tc>
      </w:tr>
      <w:tr w:rsidR="00000000">
        <w:trPr>
          <w:divId w:val="12305780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798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113</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30578095"/>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131919329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1,477</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394</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7258"/>
      </w:tblGrid>
      <w:tr w:rsidR="00000000">
        <w:trPr>
          <w:divId w:val="118913864"/>
          <w:tblCellSpacing w:w="0" w:type="dxa"/>
        </w:trPr>
        <w:tc>
          <w:tcPr>
            <w:tcW w:w="18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30116864"/>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at March 31, 2020, we provided letters of credit totaling nil in lieu of providing cash collateral to our counterparties pursuant to the terms of th</w:t>
      </w:r>
      <w:r>
        <w:rPr>
          <w:rFonts w:ascii="Arial" w:eastAsia="Times New Roman" w:hAnsi="Arial" w:cs="Arial"/>
          <w:sz w:val="20"/>
          <w:szCs w:val="20"/>
        </w:rPr>
        <w:t>e relevant International Swaps and Derivatives Association agreements. We held no cash collateral on derivative asset exposures as at March 31, 2020 and December 31, 2019.</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Gross derivative balances have been presented without the effects of collateral po</w:t>
      </w:r>
      <w:r>
        <w:rPr>
          <w:rFonts w:ascii="Arial" w:eastAsia="Times New Roman" w:hAnsi="Arial" w:cs="Arial"/>
          <w:sz w:val="20"/>
          <w:szCs w:val="20"/>
        </w:rPr>
        <w:t>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Credit risk also arises from trade and other long-term receivables, and is mitigated through credit exposure limits and contractual requirements, assessment of credit ratings and netting arrangements. Within Enbridge Gas, credit risk is mitigated by the ut</w:t>
      </w:r>
      <w:r>
        <w:rPr>
          <w:rFonts w:ascii="Arial" w:eastAsia="Times New Roman" w:hAnsi="Arial" w:cs="Arial"/>
          <w:sz w:val="20"/>
          <w:szCs w:val="20"/>
        </w:rPr>
        <w:t>ilities' large and diversified customer base and the ability to recover an estimate for doubtful accounts through the ratemaking process. We actively monitor the financial strength of large industrial customers, and in select cases, have obtained additiona</w:t>
      </w:r>
      <w:r>
        <w:rPr>
          <w:rFonts w:ascii="Arial" w:eastAsia="Times New Roman" w:hAnsi="Arial" w:cs="Arial"/>
          <w:sz w:val="20"/>
          <w:szCs w:val="20"/>
        </w:rPr>
        <w:t>l security to minimize the risk of default on receivables. Generally, we classify and provide for receivables older than 30 days as past due. The maximum exposure to credit risk related to non-derivative financial assets is their carrying value.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FAIR VAL</w:t>
      </w:r>
      <w:r>
        <w:rPr>
          <w:rFonts w:ascii="Arial" w:eastAsia="Times New Roman" w:hAnsi="Arial" w:cs="Arial"/>
          <w:b/>
          <w:bCs/>
          <w:sz w:val="20"/>
          <w:szCs w:val="20"/>
        </w:rPr>
        <w:t>UE MEASUREMENTS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financial assets and liabilities measured at fair value on a recurring basis include derivative instruments. We also disclose the fair value of other financial instruments not measured at fair value. The fair value of financial instrume</w:t>
      </w:r>
      <w:r>
        <w:rPr>
          <w:rFonts w:ascii="Arial" w:eastAsia="Times New Roman" w:hAnsi="Arial" w:cs="Arial"/>
          <w:sz w:val="20"/>
          <w:szCs w:val="20"/>
        </w:rPr>
        <w:t>nts reflects our best estimates of market value based on generally accepted valuation techniques or models and is supported by observable market prices and rates. When such values are not available, we use discounted cash flow analysis from applicable yiel</w:t>
      </w:r>
      <w:r>
        <w:rPr>
          <w:rFonts w:ascii="Arial" w:eastAsia="Times New Roman" w:hAnsi="Arial" w:cs="Arial"/>
          <w:sz w:val="20"/>
          <w:szCs w:val="20"/>
        </w:rPr>
        <w:t>d curves based on observable market inputs to estimate fair value.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FAIR VALUE OF FINANCIAL INSTRUMENTS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 employe</w:t>
      </w:r>
      <w:r>
        <w:rPr>
          <w:rFonts w:ascii="Arial" w:eastAsia="Times New Roman" w:hAnsi="Arial" w:cs="Arial"/>
          <w:sz w:val="20"/>
          <w:szCs w:val="20"/>
        </w:rPr>
        <w:t>d in the measurement.</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Level 1</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derivative is c</w:t>
      </w:r>
      <w:r>
        <w:rPr>
          <w:rFonts w:ascii="Arial" w:eastAsia="Times New Roman" w:hAnsi="Arial" w:cs="Arial"/>
          <w:sz w:val="20"/>
          <w:szCs w:val="20"/>
        </w:rPr>
        <w:t>onsidered to be a market where transactions occur with sufficient frequency and volume to provide pricing information on an ongoing basis. Our Level 1 instruments consist primarily of exchange-traded derivatives used to mitigate the risk of crude oil price</w:t>
      </w:r>
      <w:r>
        <w:rPr>
          <w:rFonts w:ascii="Arial" w:eastAsia="Times New Roman" w:hAnsi="Arial" w:cs="Arial"/>
          <w:sz w:val="20"/>
          <w:szCs w:val="20"/>
        </w:rPr>
        <w:t xml:space="preserve"> fluctuations.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divId w:val="1536428055"/>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29</w:t>
      </w:r>
    </w:p>
    <w:p w:rsidR="00000000" w:rsidRDefault="00E617AE">
      <w:pPr>
        <w:divId w:val="118913864"/>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E617AE">
      <w:pPr>
        <w:divId w:val="1463038146"/>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Level 2</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Level 2 includes derivative valuations determined using directly or indirectly observable inputs other than quoted prices included within Level 1. Derivatives in this category are valued u</w:t>
      </w:r>
      <w:r>
        <w:rPr>
          <w:rFonts w:ascii="Arial" w:eastAsia="Times New Roman" w:hAnsi="Arial" w:cs="Arial"/>
          <w:sz w:val="20"/>
          <w:szCs w:val="20"/>
        </w:rPr>
        <w:t>sing models or other industry standard valuation techniques derived from observable market data. Such valuation techniques include inputs such as quoted forward prices, time value, volatility factors and broker quotes that can be observed or corroborated i</w:t>
      </w:r>
      <w:r>
        <w:rPr>
          <w:rFonts w:ascii="Arial" w:eastAsia="Times New Roman" w:hAnsi="Arial" w:cs="Arial"/>
          <w:sz w:val="20"/>
          <w:szCs w:val="20"/>
        </w:rPr>
        <w:t>n the market for the entire duration of the derivative. Derivatives valued using Level 2 inputs include non-exchange traded derivatives such as over-the-counter foreign exchange forward and cross currency swap contracts, interest rate swaps, physical forwa</w:t>
      </w:r>
      <w:r>
        <w:rPr>
          <w:rFonts w:ascii="Arial" w:eastAsia="Times New Roman" w:hAnsi="Arial" w:cs="Arial"/>
          <w:sz w:val="20"/>
          <w:szCs w:val="20"/>
        </w:rPr>
        <w:t>rd commodity contracts, as well as commodity swaps and options for which observable inputs can be obtained.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also categorized the fair value of our held to maturity preferred share investment and long-term debt as Level 2. The fair value of our he</w:t>
      </w:r>
      <w:r>
        <w:rPr>
          <w:rFonts w:ascii="Arial" w:eastAsia="Times New Roman" w:hAnsi="Arial" w:cs="Arial"/>
          <w:sz w:val="20"/>
          <w:szCs w:val="20"/>
        </w:rPr>
        <w:t>ld to maturity preferred share investment is primarily based on the yield of certain Government of Canada bonds. The fair value of our long-term debt is based on quoted market prices for instruments of similar yield, credit risk and tenor.</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Level 3</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Level </w:t>
      </w:r>
      <w:r>
        <w:rPr>
          <w:rFonts w:ascii="Arial" w:eastAsia="Times New Roman" w:hAnsi="Arial" w:cs="Arial"/>
          <w:sz w:val="20"/>
          <w:szCs w:val="20"/>
        </w:rPr>
        <w:t xml:space="preserve">3 includes derivative valuations based on inputs which are less observable, unavailable or where the observable data does not support a significant portion of the derivatives’ fair value. Generally, Level 3 derivatives are longer dated transactions, occur </w:t>
      </w:r>
      <w:r>
        <w:rPr>
          <w:rFonts w:ascii="Arial" w:eastAsia="Times New Roman" w:hAnsi="Arial" w:cs="Arial"/>
          <w:sz w:val="20"/>
          <w:szCs w:val="20"/>
        </w:rPr>
        <w:t>in less active markets, occur at locations where pricing information is not available or have no binding broker quote to support Level 2 classification. We have developed methodologies, benchmarked against industry standards, to determine fair value for th</w:t>
      </w:r>
      <w:r>
        <w:rPr>
          <w:rFonts w:ascii="Arial" w:eastAsia="Times New Roman" w:hAnsi="Arial" w:cs="Arial"/>
          <w:sz w:val="20"/>
          <w:szCs w:val="20"/>
        </w:rPr>
        <w:t xml:space="preserve">ese derivatives based on extrapolation of observable future prices and rates. Derivatives valued using Level 3 inputs primarily include long-dated derivative power, crude, NGL and natural gas contracts, basis swaps, commodity swaps and energy swaps. We do </w:t>
      </w:r>
      <w:r>
        <w:rPr>
          <w:rFonts w:ascii="Arial" w:eastAsia="Times New Roman" w:hAnsi="Arial" w:cs="Arial"/>
          <w:sz w:val="20"/>
          <w:szCs w:val="20"/>
        </w:rPr>
        <w:t>not have any other financial instruments categorized in Level 3.</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use the most observable inputs available to estimate the fair value of our derivatives. When possible, we estimate the fair value of our derivatives based on quoted market prices. If quo</w:t>
      </w:r>
      <w:r>
        <w:rPr>
          <w:rFonts w:ascii="Arial" w:eastAsia="Times New Roman" w:hAnsi="Arial" w:cs="Arial"/>
          <w:sz w:val="20"/>
          <w:szCs w:val="20"/>
        </w:rPr>
        <w:t>ted market prices are not available, we use estimates from third party brokers. For non-exchange traded derivatives classified in Levels 2 and 3, we use standard valuation techniques to calculate the estimated fair value. These methods include discounted c</w:t>
      </w:r>
      <w:r>
        <w:rPr>
          <w:rFonts w:ascii="Arial" w:eastAsia="Times New Roman" w:hAnsi="Arial" w:cs="Arial"/>
          <w:sz w:val="20"/>
          <w:szCs w:val="20"/>
        </w:rPr>
        <w:t>ash flows for forwards and swaps. Depending on the type of derivative and nature of the underlying risk, we use observable market prices (interest, foreign exchange, commodity and share price) as primary inputs to these valuation techniques. Finally, we co</w:t>
      </w:r>
      <w:r>
        <w:rPr>
          <w:rFonts w:ascii="Arial" w:eastAsia="Times New Roman" w:hAnsi="Arial" w:cs="Arial"/>
          <w:sz w:val="20"/>
          <w:szCs w:val="20"/>
        </w:rPr>
        <w:t xml:space="preserve">nsider our own credit default swap spread as well as the credit default swap spreads associated with our counterparties in our estimation of fair value. </w:t>
      </w:r>
    </w:p>
    <w:p w:rsidR="00000000" w:rsidRDefault="00E617AE">
      <w:pPr>
        <w:spacing w:line="288" w:lineRule="auto"/>
        <w:divId w:val="118913864"/>
        <w:rPr>
          <w:rFonts w:eastAsia="Times New Roman"/>
          <w:sz w:val="20"/>
          <w:szCs w:val="20"/>
        </w:rPr>
      </w:pPr>
    </w:p>
    <w:p w:rsidR="00000000" w:rsidRDefault="00E617AE">
      <w:pPr>
        <w:divId w:val="56448642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30</w:t>
      </w:r>
    </w:p>
    <w:p w:rsidR="00000000" w:rsidRDefault="00E617AE">
      <w:pPr>
        <w:divId w:val="118913864"/>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E617AE">
      <w:pPr>
        <w:divId w:val="1504079836"/>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categorized our derivative assets and liabilities measured at fair value as follows:</w:t>
      </w: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521553044"/>
        </w:trPr>
        <w:tc>
          <w:tcPr>
            <w:tcW w:w="0" w:type="auto"/>
            <w:gridSpan w:val="9"/>
            <w:vAlign w:val="center"/>
            <w:hideMark/>
          </w:tcPr>
          <w:p w:rsidR="00000000" w:rsidRDefault="00E617AE">
            <w:pPr>
              <w:spacing w:line="288" w:lineRule="auto"/>
              <w:rPr>
                <w:rFonts w:eastAsia="Times New Roman"/>
                <w:sz w:val="20"/>
                <w:szCs w:val="20"/>
              </w:rPr>
            </w:pPr>
          </w:p>
        </w:tc>
      </w:tr>
      <w:tr w:rsidR="00000000">
        <w:trPr>
          <w:divId w:val="521553044"/>
        </w:trPr>
        <w:tc>
          <w:tcPr>
            <w:tcW w:w="24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b/>
                <w:bCs/>
                <w:sz w:val="20"/>
                <w:szCs w:val="20"/>
              </w:rPr>
              <w:t>March 31, 2020</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Total Gross</w:t>
            </w:r>
          </w:p>
          <w:p w:rsidR="00000000" w:rsidRDefault="00E617AE">
            <w:pPr>
              <w:jc w:val="right"/>
              <w:rPr>
                <w:rFonts w:eastAsia="Times New Roman"/>
                <w:sz w:val="20"/>
                <w:szCs w:val="20"/>
              </w:rPr>
            </w:pPr>
            <w:r>
              <w:rPr>
                <w:rFonts w:ascii="Arial" w:eastAsia="Times New Roman" w:hAnsi="Arial" w:cs="Arial"/>
                <w:sz w:val="20"/>
                <w:szCs w:val="20"/>
              </w:rPr>
              <w:t>Derivative</w:t>
            </w:r>
          </w:p>
          <w:p w:rsidR="00000000" w:rsidRDefault="00E617AE">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Financial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Current derivative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800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963</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800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1,068</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Long-term derivative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373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373</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68</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33</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392</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441</w:t>
            </w:r>
          </w:p>
        </w:tc>
        <w:tc>
          <w:tcPr>
            <w:tcW w:w="0" w:type="auto"/>
            <w:tcBorders>
              <w:top w:val="single" w:sz="6" w:space="0" w:color="000000"/>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Financial 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(924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(924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(506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(1,776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(428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(2,262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Long-term derivative 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(2,428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(2,428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(395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(395</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(2,838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(2,911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net financial assets/(liabilities)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(2,874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(2,874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(1,226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(1,226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328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444</w:t>
            </w:r>
          </w:p>
        </w:tc>
        <w:tc>
          <w:tcPr>
            <w:tcW w:w="0" w:type="auto"/>
            <w:shd w:val="clear" w:color="auto" w:fill="D9D9D9"/>
            <w:vAlign w:val="bottom"/>
            <w:hideMark/>
          </w:tcPr>
          <w:p w:rsidR="00000000" w:rsidRDefault="00E617AE">
            <w:pPr>
              <w:rPr>
                <w:rFonts w:eastAsia="Times New Roman"/>
                <w:sz w:val="20"/>
                <w:szCs w:val="20"/>
              </w:rPr>
            </w:pPr>
          </w:p>
        </w:tc>
      </w:tr>
      <w:tr w:rsidR="00000000">
        <w:trPr>
          <w:divId w:val="521553044"/>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r w:rsidR="00000000">
        <w:trPr>
          <w:divId w:val="521553044"/>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52</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4,044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328</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(3,664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r>
    </w:tbl>
    <w:p w:rsidR="00000000" w:rsidRDefault="00E617AE">
      <w:pPr>
        <w:spacing w:line="288" w:lineRule="auto"/>
        <w:divId w:val="118913864"/>
        <w:rPr>
          <w:rFonts w:eastAsia="Times New Roman"/>
          <w:sz w:val="20"/>
          <w:szCs w:val="20"/>
        </w:rPr>
      </w:pPr>
    </w:p>
    <w:p w:rsidR="00000000" w:rsidRDefault="00E617AE">
      <w:pPr>
        <w:divId w:val="203210526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31</w:t>
      </w:r>
    </w:p>
    <w:p w:rsidR="00000000" w:rsidRDefault="00E617AE">
      <w:pPr>
        <w:divId w:val="118913864"/>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E617AE">
      <w:pPr>
        <w:divId w:val="13184137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1577589795"/>
        </w:trPr>
        <w:tc>
          <w:tcPr>
            <w:tcW w:w="0" w:type="auto"/>
            <w:gridSpan w:val="9"/>
            <w:vAlign w:val="center"/>
            <w:hideMark/>
          </w:tcPr>
          <w:p w:rsidR="00000000" w:rsidRDefault="00E617AE">
            <w:pPr>
              <w:rPr>
                <w:rFonts w:eastAsia="Times New Roman"/>
                <w:sz w:val="20"/>
                <w:szCs w:val="20"/>
              </w:rPr>
            </w:pPr>
          </w:p>
        </w:tc>
      </w:tr>
      <w:tr w:rsidR="00000000">
        <w:trPr>
          <w:divId w:val="1577589795"/>
        </w:trPr>
        <w:tc>
          <w:tcPr>
            <w:tcW w:w="24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5775897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December 31, 2019</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Total Gross</w:t>
            </w:r>
          </w:p>
          <w:p w:rsidR="00000000" w:rsidRDefault="00E617AE">
            <w:pPr>
              <w:jc w:val="right"/>
              <w:rPr>
                <w:rFonts w:eastAsia="Times New Roman"/>
                <w:sz w:val="20"/>
                <w:szCs w:val="20"/>
              </w:rPr>
            </w:pPr>
            <w:r>
              <w:rPr>
                <w:rFonts w:ascii="Arial" w:eastAsia="Times New Roman" w:hAnsi="Arial" w:cs="Arial"/>
                <w:sz w:val="20"/>
                <w:szCs w:val="20"/>
              </w:rPr>
              <w:t>Derivative</w:t>
            </w:r>
          </w:p>
          <w:p w:rsidR="00000000" w:rsidRDefault="00E617AE">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30" w:type="dxa"/>
              <w:bottom w:w="30" w:type="dxa"/>
              <w:right w:w="30" w:type="dxa"/>
            </w:tcMar>
            <w:vAlign w:val="bottom"/>
            <w:hideMark/>
          </w:tcPr>
          <w:p w:rsidR="00000000" w:rsidRDefault="00E617AE">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Financial assets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18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Current derivative assets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161</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33</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130</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163</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Borders>
              <w:bottom w:val="single" w:sz="6" w:space="0" w:color="000000"/>
            </w:tcBorders>
            <w:tcMar>
              <w:top w:w="30" w:type="dxa"/>
              <w:left w:w="42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775897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198</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130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328</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77589795"/>
        </w:trPr>
        <w:tc>
          <w:tcPr>
            <w:tcW w:w="0" w:type="auto"/>
            <w:tcBorders>
              <w:top w:val="single" w:sz="6" w:space="0" w:color="000000"/>
            </w:tcBorders>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Long-term derivative assets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Borders>
              <w:bottom w:val="single" w:sz="6" w:space="0" w:color="000000"/>
            </w:tcBorders>
            <w:tcMar>
              <w:top w:w="30" w:type="dxa"/>
              <w:left w:w="42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96</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Financial liabilities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18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Current derivative liabilities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(410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(410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(353</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(353</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bottom w:val="single" w:sz="6" w:space="0" w:color="000000"/>
            </w:tcBorders>
            <w:tcMar>
              <w:top w:w="30" w:type="dxa"/>
              <w:left w:w="42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(145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(173</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(786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(145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(936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top w:val="single" w:sz="6" w:space="0" w:color="000000"/>
            </w:tcBorders>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Long-term derivative liabilities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(934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(934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(181</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(181</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bottom w:val="single" w:sz="6" w:space="0" w:color="000000"/>
            </w:tcBorders>
            <w:tcMar>
              <w:top w:w="30" w:type="dxa"/>
              <w:left w:w="42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(59</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(1,121</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(59</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(1,180</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Total net financial assets/(liabilities)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(1,102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(1,102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(534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(534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w:t>
            </w:r>
          </w:p>
        </w:tc>
        <w:tc>
          <w:tcPr>
            <w:tcW w:w="0" w:type="auto"/>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(69</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(58</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77589795"/>
        </w:trPr>
        <w:tc>
          <w:tcPr>
            <w:tcW w:w="0" w:type="auto"/>
            <w:tcBorders>
              <w:bottom w:val="single" w:sz="6" w:space="0" w:color="000000"/>
            </w:tcBorders>
            <w:tcMar>
              <w:top w:w="30" w:type="dxa"/>
              <w:left w:w="42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77589795"/>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(1,613</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(69</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(1,687</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2151"/>
        <w:gridCol w:w="440"/>
        <w:gridCol w:w="84"/>
        <w:gridCol w:w="1652"/>
        <w:gridCol w:w="905"/>
        <w:gridCol w:w="74"/>
        <w:gridCol w:w="905"/>
        <w:gridCol w:w="75"/>
        <w:gridCol w:w="906"/>
        <w:gridCol w:w="75"/>
        <w:gridCol w:w="1039"/>
      </w:tblGrid>
      <w:tr w:rsidR="00000000">
        <w:trPr>
          <w:divId w:val="1298532680"/>
        </w:trPr>
        <w:tc>
          <w:tcPr>
            <w:tcW w:w="0" w:type="auto"/>
            <w:gridSpan w:val="11"/>
            <w:vAlign w:val="center"/>
            <w:hideMark/>
          </w:tcPr>
          <w:p w:rsidR="00000000" w:rsidRDefault="00E617AE">
            <w:pPr>
              <w:spacing w:line="288" w:lineRule="auto"/>
              <w:rPr>
                <w:rFonts w:eastAsia="Times New Roman"/>
                <w:sz w:val="20"/>
                <w:szCs w:val="20"/>
              </w:rPr>
            </w:pPr>
          </w:p>
        </w:tc>
      </w:tr>
      <w:tr w:rsidR="00000000">
        <w:trPr>
          <w:divId w:val="1298532680"/>
        </w:trPr>
        <w:tc>
          <w:tcPr>
            <w:tcW w:w="1300" w:type="pct"/>
            <w:vAlign w:val="center"/>
            <w:hideMark/>
          </w:tcPr>
          <w:p w:rsidR="00000000" w:rsidRDefault="00E617AE">
            <w:pPr>
              <w:rPr>
                <w:rFonts w:eastAsia="Times New Roman"/>
                <w:sz w:val="20"/>
                <w:szCs w:val="20"/>
              </w:rPr>
            </w:pPr>
          </w:p>
        </w:tc>
        <w:tc>
          <w:tcPr>
            <w:tcW w:w="2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100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r>
      <w:tr w:rsidR="00000000">
        <w:trPr>
          <w:divId w:val="129853268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March 31, 2020</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Fair</w:t>
            </w:r>
          </w:p>
          <w:p w:rsidR="00000000" w:rsidRDefault="00E617AE">
            <w:pPr>
              <w:jc w:val="right"/>
              <w:rPr>
                <w:rFonts w:eastAsia="Times New Roman"/>
                <w:sz w:val="16"/>
                <w:szCs w:val="16"/>
              </w:rPr>
            </w:pPr>
            <w:r>
              <w:rPr>
                <w:rFonts w:ascii="Arial" w:eastAsia="Times New Roman" w:hAnsi="Arial" w:cs="Arial"/>
                <w:sz w:val="16"/>
                <w:szCs w:val="16"/>
              </w:rPr>
              <w:t>Value</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Unobservable</w:t>
            </w:r>
          </w:p>
          <w:p w:rsidR="00000000" w:rsidRDefault="00E617AE">
            <w:pPr>
              <w:jc w:val="right"/>
              <w:rPr>
                <w:rFonts w:eastAsia="Times New Roman"/>
                <w:sz w:val="16"/>
                <w:szCs w:val="16"/>
              </w:rPr>
            </w:pPr>
            <w:r>
              <w:rPr>
                <w:rFonts w:ascii="Arial" w:eastAsia="Times New Roman" w:hAnsi="Arial" w:cs="Arial"/>
                <w:sz w:val="16"/>
                <w:szCs w:val="16"/>
              </w:rPr>
              <w:t>Input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Minimum</w:t>
            </w:r>
          </w:p>
          <w:p w:rsidR="00000000" w:rsidRDefault="00E617AE">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Maximum</w:t>
            </w:r>
          </w:p>
          <w:p w:rsidR="00000000" w:rsidRDefault="00E617AE">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Weighted</w:t>
            </w:r>
          </w:p>
          <w:p w:rsidR="00000000" w:rsidRDefault="00E617AE">
            <w:pPr>
              <w:jc w:val="right"/>
              <w:rPr>
                <w:rFonts w:eastAsia="Times New Roman"/>
                <w:sz w:val="16"/>
                <w:szCs w:val="16"/>
              </w:rPr>
            </w:pPr>
            <w:r>
              <w:rPr>
                <w:rFonts w:ascii="Arial" w:eastAsia="Times New Roman" w:hAnsi="Arial" w:cs="Arial"/>
                <w:sz w:val="16"/>
                <w:szCs w:val="16"/>
              </w:rPr>
              <w:t>Average Price</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Unit of</w:t>
            </w:r>
          </w:p>
          <w:p w:rsidR="00000000" w:rsidRDefault="00E617AE">
            <w:pPr>
              <w:jc w:val="right"/>
              <w:rPr>
                <w:rFonts w:eastAsia="Times New Roman"/>
                <w:sz w:val="16"/>
                <w:szCs w:val="16"/>
              </w:rPr>
            </w:pPr>
            <w:r>
              <w:rPr>
                <w:rFonts w:ascii="Arial" w:eastAsia="Times New Roman" w:hAnsi="Arial" w:cs="Arial"/>
                <w:sz w:val="16"/>
                <w:szCs w:val="16"/>
              </w:rPr>
              <w:t>Measurement</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4"/>
                <w:szCs w:val="14"/>
              </w:rPr>
            </w:pPr>
            <w:r>
              <w:rPr>
                <w:rFonts w:ascii="Arial" w:eastAsia="Times New Roman" w:hAnsi="Arial" w:cs="Arial"/>
                <w:i/>
                <w:iCs/>
                <w:sz w:val="14"/>
                <w:szCs w:val="14"/>
              </w:rPr>
              <w:t>(fair value in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12704099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12408374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21261626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3171476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32023589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635913612"/>
              <w:rPr>
                <w:rFonts w:eastAsia="Times New Roman"/>
                <w:sz w:val="20"/>
                <w:szCs w:val="20"/>
              </w:rPr>
            </w:pPr>
            <w:r>
              <w:rPr>
                <w:rFonts w:ascii="inherit" w:eastAsia="Times New Roman" w:hAnsi="inherit"/>
                <w:sz w:val="20"/>
                <w:szCs w:val="20"/>
              </w:rPr>
              <w:t> </w:t>
            </w:r>
          </w:p>
        </w:tc>
      </w:tr>
      <w:tr w:rsidR="00000000">
        <w:trPr>
          <w:divId w:val="1298532680"/>
        </w:trPr>
        <w:tc>
          <w:tcPr>
            <w:tcW w:w="0" w:type="auto"/>
            <w:tcMar>
              <w:top w:w="30" w:type="dxa"/>
              <w:left w:w="30" w:type="dxa"/>
              <w:bottom w:w="30" w:type="dxa"/>
              <w:right w:w="30" w:type="dxa"/>
            </w:tcMar>
            <w:vAlign w:val="bottom"/>
            <w:hideMark/>
          </w:tcPr>
          <w:p w:rsidR="00000000" w:rsidRDefault="00E617AE">
            <w:pPr>
              <w:divId w:val="39281786"/>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738162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5979040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726497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725626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7408445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301418079"/>
              <w:rPr>
                <w:rFonts w:eastAsia="Times New Roman"/>
                <w:sz w:val="20"/>
                <w:szCs w:val="20"/>
              </w:rPr>
            </w:pPr>
            <w:r>
              <w:rPr>
                <w:rFonts w:ascii="inherit" w:eastAsia="Times New Roman" w:hAnsi="inherit"/>
                <w:sz w:val="20"/>
                <w:szCs w:val="20"/>
              </w:rPr>
              <w:t> </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1.81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5.15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3.18</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4.46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96.53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46.61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$/barrel</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Forward power price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70.42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53.00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$/MW/H</w:t>
            </w:r>
          </w:p>
        </w:tc>
      </w:tr>
      <w:tr w:rsidR="00000000">
        <w:trPr>
          <w:divId w:val="1298532680"/>
        </w:trPr>
        <w:tc>
          <w:tcPr>
            <w:tcW w:w="0" w:type="auto"/>
            <w:tcMar>
              <w:top w:w="30" w:type="dxa"/>
              <w:left w:w="30" w:type="dxa"/>
              <w:bottom w:w="30" w:type="dxa"/>
              <w:right w:w="30" w:type="dxa"/>
            </w:tcMar>
            <w:vAlign w:val="bottom"/>
            <w:hideMark/>
          </w:tcPr>
          <w:p w:rsidR="00000000" w:rsidRDefault="00E617AE">
            <w:pPr>
              <w:divId w:val="553278067"/>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0970821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160256926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57261794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30778612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5103423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E617AE">
            <w:pPr>
              <w:divId w:val="340932241"/>
              <w:rPr>
                <w:rFonts w:eastAsia="Times New Roman"/>
                <w:sz w:val="20"/>
                <w:szCs w:val="20"/>
              </w:rPr>
            </w:pPr>
            <w:r>
              <w:rPr>
                <w:rFonts w:ascii="inherit" w:eastAsia="Times New Roman" w:hAnsi="inherit"/>
                <w:sz w:val="20"/>
                <w:szCs w:val="20"/>
              </w:rPr>
              <w:t> </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1.51</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7.53</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2.56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12985326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336</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76.89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28.24</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$/barrel</w:t>
            </w:r>
          </w:p>
        </w:tc>
      </w:tr>
      <w:tr w:rsidR="00000000">
        <w:trPr>
          <w:divId w:val="129853268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NGL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Forward NGL price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0.11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0.42</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shd w:val="clear" w:color="auto" w:fill="D9D9D9"/>
              </w:rPr>
              <w:t>$/gallon</w:t>
            </w:r>
          </w:p>
        </w:tc>
      </w:tr>
      <w:tr w:rsidR="00000000">
        <w:trPr>
          <w:divId w:val="1298532680"/>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203479430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328</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1619609103"/>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1242065146"/>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1882476454"/>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101989080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E617AE">
            <w:pPr>
              <w:divId w:val="1786577543"/>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48945530"/>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60930810"/>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One million British thermal units (mmbtu).</w:t>
            </w: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0"/>
          <w:szCs w:val="20"/>
        </w:rPr>
      </w:pPr>
    </w:p>
    <w:p w:rsidR="00000000" w:rsidRDefault="00E617AE">
      <w:pPr>
        <w:divId w:val="1115060158"/>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32</w:t>
      </w:r>
    </w:p>
    <w:p w:rsidR="00000000" w:rsidRDefault="00E617AE">
      <w:pPr>
        <w:divId w:val="118913864"/>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E617AE">
      <w:pPr>
        <w:divId w:val="1638334509"/>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sz w:val="20"/>
          <w:szCs w:val="20"/>
        </w:rPr>
        <w:t xml:space="preserve">ue measurement of Level 3 derivative instruments include forward commodity prices. Changes in forward commodity prices could result in significantly different fair values for our Level 3 derivatives.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Changes in net fair value of derivative assets and li</w:t>
      </w:r>
      <w:r>
        <w:rPr>
          <w:rFonts w:ascii="Arial" w:eastAsia="Times New Roman" w:hAnsi="Arial" w:cs="Arial"/>
          <w:sz w:val="20"/>
          <w:szCs w:val="20"/>
        </w:rPr>
        <w:t>abilities classified as Level 3 in the fair value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486674619"/>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486674619"/>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486674619"/>
        </w:trPr>
        <w:tc>
          <w:tcPr>
            <w:tcW w:w="0" w:type="auto"/>
            <w:tcMar>
              <w:top w:w="30" w:type="dxa"/>
              <w:left w:w="30" w:type="dxa"/>
              <w:bottom w:w="30" w:type="dxa"/>
              <w:right w:w="30" w:type="dxa"/>
            </w:tcMar>
            <w:vAlign w:val="bottom"/>
            <w:hideMark/>
          </w:tcPr>
          <w:p w:rsidR="00000000" w:rsidRDefault="00E617AE">
            <w:pPr>
              <w:divId w:val="10327312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486674619"/>
        </w:trPr>
        <w:tc>
          <w:tcPr>
            <w:tcW w:w="0" w:type="auto"/>
            <w:tcBorders>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486674619"/>
        </w:trPr>
        <w:tc>
          <w:tcPr>
            <w:tcW w:w="0" w:type="auto"/>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486674619"/>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(69</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486674619"/>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gain/(loss)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E617AE">
            <w:pPr>
              <w:rPr>
                <w:rFonts w:eastAsia="Times New Roman"/>
                <w:sz w:val="20"/>
                <w:szCs w:val="20"/>
              </w:rPr>
            </w:pPr>
          </w:p>
        </w:tc>
      </w:tr>
      <w:tr w:rsidR="00000000">
        <w:trPr>
          <w:divId w:val="486674619"/>
        </w:trPr>
        <w:tc>
          <w:tcPr>
            <w:tcW w:w="0" w:type="auto"/>
            <w:tcMar>
              <w:top w:w="30" w:type="dxa"/>
              <w:left w:w="30" w:type="dxa"/>
              <w:bottom w:w="30" w:type="dxa"/>
              <w:right w:w="30" w:type="dxa"/>
            </w:tcMar>
            <w:vAlign w:val="bottom"/>
            <w:hideMark/>
          </w:tcPr>
          <w:p w:rsidR="00000000" w:rsidRDefault="00E617AE">
            <w:pPr>
              <w:divId w:val="1916864346"/>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2"/>
                <w:szCs w:val="12"/>
                <w:vertAlign w:val="superscript"/>
              </w:rPr>
              <w:t>1</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349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(52</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486674619"/>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486674619"/>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(156</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486674619"/>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328</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(222</w:t>
            </w:r>
          </w:p>
        </w:tc>
        <w:tc>
          <w:tcPr>
            <w:tcW w:w="0" w:type="auto"/>
            <w:tcBorders>
              <w:bottom w:val="single" w:sz="12"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92423146"/>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Commodity costs and Operating and administrative expense in the Consolidated Statements of Earnings.</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There were no transfers into or out of Level 3 as at March 31, 2020 </w:t>
      </w:r>
      <w:r>
        <w:rPr>
          <w:rFonts w:ascii="Arial" w:eastAsia="Times New Roman" w:hAnsi="Arial" w:cs="Arial"/>
          <w:sz w:val="20"/>
          <w:szCs w:val="20"/>
        </w:rPr>
        <w:t>or December 31, 2019.</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FAIR VALUE OF OTHER FINANCIAL INSTRUMENTS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other long-term investments in other entities with no actively quoted prices are classified as Fair Value Measurement Alternative (FVMA) investments and are recorded at cost less impairment. The carrying value of FVMA other long-term investments totale</w:t>
      </w:r>
      <w:r>
        <w:rPr>
          <w:rFonts w:ascii="Arial" w:eastAsia="Times New Roman" w:hAnsi="Arial" w:cs="Arial"/>
          <w:sz w:val="20"/>
          <w:szCs w:val="20"/>
        </w:rPr>
        <w:t xml:space="preserve">d $56 million and $99 million as at March 31, 2020 and December 31, 2019, respectively.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Restricted long-term investments held in trust totaling $443 million and $434 million as at March 31, 2020 and December 31, 2019, respectively, which are rec</w:t>
      </w:r>
      <w:r>
        <w:rPr>
          <w:rFonts w:ascii="Arial" w:eastAsia="Times New Roman" w:hAnsi="Arial" w:cs="Arial"/>
          <w:sz w:val="20"/>
          <w:szCs w:val="20"/>
        </w:rPr>
        <w:t>ognized at fair value.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a held to maturity preferred share investment carried at its amortized cost of $566 million and $580 million as at March 31, 2020 and December 31, 2019, respectively. These preferred shares are entitled to a cumulative pref</w:t>
      </w:r>
      <w:r>
        <w:rPr>
          <w:rFonts w:ascii="Arial" w:eastAsia="Times New Roman" w:hAnsi="Arial" w:cs="Arial"/>
          <w:sz w:val="20"/>
          <w:szCs w:val="20"/>
        </w:rPr>
        <w:t>erred dividend based on the yield of 10-year Government of Canada bonds plus a margin of 4.38%. The fair value of this preferred share investment is $566 million and $580 million as at March 31, 2020 and December 31, 2019, respectively.</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at March 31, 2</w:t>
      </w:r>
      <w:r>
        <w:rPr>
          <w:rFonts w:ascii="Arial" w:eastAsia="Times New Roman" w:hAnsi="Arial" w:cs="Arial"/>
          <w:sz w:val="20"/>
          <w:szCs w:val="20"/>
        </w:rPr>
        <w:t>020 and December 31, 2019, our long-term debt had a carrying value of $68.1 billion and $64.4 billion, respectively, before debt issuance costs and a fair value of $65.9 billion and $70.5 billion, respectively. We also have non-current notes receivable car</w:t>
      </w:r>
      <w:r>
        <w:rPr>
          <w:rFonts w:ascii="Arial" w:eastAsia="Times New Roman" w:hAnsi="Arial" w:cs="Arial"/>
          <w:sz w:val="20"/>
          <w:szCs w:val="20"/>
        </w:rPr>
        <w:t>ried at book value and recorded in Deferred amounts and other assets in the Consolidated Statements of Financial Position. As at March 31, 2020 and December 31, 2019, the non-current notes receivable had a carrying value of $1,130 million and $1,026 millio</w:t>
      </w:r>
      <w:r>
        <w:rPr>
          <w:rFonts w:ascii="Arial" w:eastAsia="Times New Roman" w:hAnsi="Arial" w:cs="Arial"/>
          <w:sz w:val="20"/>
          <w:szCs w:val="20"/>
        </w:rPr>
        <w:t xml:space="preserve">n, respectively, which also approximates their fair value.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fair value of financial assets and liabilities other than derivative instruments, long-term investments, restricted long-term investments, long-term debt and non-current notes receivable des</w:t>
      </w:r>
      <w:r>
        <w:rPr>
          <w:rFonts w:ascii="Arial" w:eastAsia="Times New Roman" w:hAnsi="Arial" w:cs="Arial"/>
          <w:sz w:val="20"/>
          <w:szCs w:val="20"/>
        </w:rPr>
        <w:t>cribed above approximate their carrying value due to the short period to maturity.</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NET INVESTMENT HEDGES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designated a portion of our United States dollar denominated debt, as well as a portfolio of foreign exchange forward contracts, as a hedge o</w:t>
      </w:r>
      <w:r>
        <w:rPr>
          <w:rFonts w:ascii="Arial" w:eastAsia="Times New Roman" w:hAnsi="Arial" w:cs="Arial"/>
          <w:sz w:val="20"/>
          <w:szCs w:val="20"/>
        </w:rPr>
        <w:t>f our net investment in United States dollar denominated investments and subsidiaries.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divId w:val="140857076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33</w:t>
      </w:r>
    </w:p>
    <w:p w:rsidR="00000000" w:rsidRDefault="00E617AE">
      <w:pPr>
        <w:divId w:val="118913864"/>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E617AE">
      <w:pPr>
        <w:divId w:val="39643788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During the three months ended March 31, 2020 and 2019, we recognized an unrealized foreign exchange loss of $708 million and</w:t>
      </w:r>
      <w:r>
        <w:rPr>
          <w:rFonts w:ascii="Arial" w:eastAsia="Times New Roman" w:hAnsi="Arial" w:cs="Arial"/>
          <w:sz w:val="20"/>
          <w:szCs w:val="20"/>
        </w:rPr>
        <w:t xml:space="preserve"> a gain of $108 million, respectively, on the translation of United States dollar denominated debt and unrealized loss of $7 million and a gain of $1 million, respectively, on the change in fair value of our outstanding foreign exchange forward contracts i</w:t>
      </w:r>
      <w:r>
        <w:rPr>
          <w:rFonts w:ascii="Arial" w:eastAsia="Times New Roman" w:hAnsi="Arial" w:cs="Arial"/>
          <w:sz w:val="20"/>
          <w:szCs w:val="20"/>
        </w:rPr>
        <w:t xml:space="preserve">n OCI. During the three months ended March 31, 2020 and 2019, we recognized realized losses of nil, in OCI associated with the settlement of foreign exchange forward contracts and recognized realized losses of nil, in OCI associated with the settlement of </w:t>
      </w:r>
      <w:r>
        <w:rPr>
          <w:rFonts w:ascii="Arial" w:eastAsia="Times New Roman" w:hAnsi="Arial" w:cs="Arial"/>
          <w:sz w:val="20"/>
          <w:szCs w:val="20"/>
        </w:rPr>
        <w:t xml:space="preserve">United States dollar denominated debt that had matured during the period. </w:t>
      </w:r>
    </w:p>
    <w:p w:rsidR="00000000" w:rsidRDefault="00E617AE">
      <w:pPr>
        <w:spacing w:line="288" w:lineRule="auto"/>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11. INCOME TAXES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effective income tax rates for the three months ended March 31, 2020 and 2019 were 28.7% and 22.4%</w:t>
      </w:r>
      <w:r>
        <w:rPr>
          <w:rFonts w:ascii="Arial" w:eastAsia="Times New Roman" w:hAnsi="Arial" w:cs="Arial"/>
          <w:sz w:val="20"/>
          <w:szCs w:val="20"/>
        </w:rPr>
        <w:t xml:space="preserve">, respectively. The period-over-period increase in the effective income tax rate is due to the benefit of rate-regulated accounting for income taxes being partially offset by higher United States minimum tax. </w:t>
      </w:r>
    </w:p>
    <w:p w:rsidR="00000000" w:rsidRDefault="00E617AE">
      <w:pPr>
        <w:spacing w:line="288" w:lineRule="auto"/>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12. PENSION AND OTHER POSTRETIREMENT BENEFIT</w:t>
      </w:r>
      <w:r>
        <w:rPr>
          <w:rFonts w:ascii="Arial" w:eastAsia="Times New Roman" w:hAnsi="Arial" w:cs="Arial"/>
          <w:b/>
          <w:bCs/>
          <w:sz w:val="26"/>
          <w:szCs w:val="26"/>
        </w:rPr>
        <w:t xml:space="preserve">S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243029243"/>
        </w:trPr>
        <w:tc>
          <w:tcPr>
            <w:tcW w:w="0" w:type="auto"/>
            <w:gridSpan w:val="5"/>
            <w:vAlign w:val="center"/>
            <w:hideMark/>
          </w:tcPr>
          <w:p w:rsidR="00000000" w:rsidRDefault="00E617AE">
            <w:pPr>
              <w:spacing w:line="288" w:lineRule="auto"/>
              <w:ind w:hanging="360"/>
              <w:jc w:val="both"/>
              <w:rPr>
                <w:rFonts w:eastAsia="Times New Roman"/>
                <w:sz w:val="26"/>
                <w:szCs w:val="26"/>
              </w:rPr>
            </w:pPr>
          </w:p>
        </w:tc>
      </w:tr>
      <w:tr w:rsidR="00000000">
        <w:trPr>
          <w:divId w:val="1243029243"/>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243029243"/>
        </w:trPr>
        <w:tc>
          <w:tcPr>
            <w:tcW w:w="0" w:type="auto"/>
            <w:tcMar>
              <w:top w:w="30" w:type="dxa"/>
              <w:left w:w="30" w:type="dxa"/>
              <w:bottom w:w="30" w:type="dxa"/>
              <w:right w:w="30" w:type="dxa"/>
            </w:tcMar>
            <w:vAlign w:val="bottom"/>
            <w:hideMark/>
          </w:tcPr>
          <w:p w:rsidR="00000000" w:rsidRDefault="00E617AE">
            <w:pPr>
              <w:divId w:val="26281016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24302924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758561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43029243"/>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07649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702825576"/>
              <w:rPr>
                <w:rFonts w:eastAsia="Times New Roman"/>
                <w:sz w:val="20"/>
                <w:szCs w:val="20"/>
              </w:rPr>
            </w:pPr>
            <w:r>
              <w:rPr>
                <w:rFonts w:ascii="inherit" w:eastAsia="Times New Roman" w:hAnsi="inherit"/>
                <w:sz w:val="20"/>
                <w:szCs w:val="20"/>
              </w:rPr>
              <w:t> </w:t>
            </w:r>
          </w:p>
        </w:tc>
      </w:tr>
      <w:tr w:rsidR="00000000">
        <w:trPr>
          <w:divId w:val="1243029243"/>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Service cost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42</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51</w:t>
            </w:r>
          </w:p>
        </w:tc>
        <w:tc>
          <w:tcPr>
            <w:tcW w:w="0" w:type="auto"/>
            <w:vAlign w:val="bottom"/>
            <w:hideMark/>
          </w:tcPr>
          <w:p w:rsidR="00000000" w:rsidRDefault="00E617AE">
            <w:pPr>
              <w:rPr>
                <w:rFonts w:eastAsia="Times New Roman"/>
                <w:sz w:val="20"/>
                <w:szCs w:val="20"/>
              </w:rPr>
            </w:pPr>
          </w:p>
        </w:tc>
      </w:tr>
      <w:tr w:rsidR="00000000">
        <w:trPr>
          <w:divId w:val="1243029243"/>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33</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51</w:t>
            </w:r>
          </w:p>
        </w:tc>
        <w:tc>
          <w:tcPr>
            <w:tcW w:w="0" w:type="auto"/>
            <w:vAlign w:val="bottom"/>
            <w:hideMark/>
          </w:tcPr>
          <w:p w:rsidR="00000000" w:rsidRDefault="00E617AE">
            <w:pPr>
              <w:rPr>
                <w:rFonts w:eastAsia="Times New Roman"/>
                <w:sz w:val="20"/>
                <w:szCs w:val="20"/>
              </w:rPr>
            </w:pPr>
          </w:p>
        </w:tc>
      </w:tr>
      <w:tr w:rsidR="00000000">
        <w:trPr>
          <w:divId w:val="1243029243"/>
        </w:trPr>
        <w:tc>
          <w:tcPr>
            <w:tcW w:w="0" w:type="auto"/>
            <w:tcMar>
              <w:top w:w="30" w:type="dxa"/>
              <w:left w:w="30" w:type="dxa"/>
              <w:bottom w:w="30" w:type="dxa"/>
              <w:right w:w="30" w:type="dxa"/>
            </w:tcMar>
            <w:vAlign w:val="bottom"/>
            <w:hideMark/>
          </w:tcPr>
          <w:p w:rsidR="00000000" w:rsidRDefault="00E617AE">
            <w:pPr>
              <w:jc w:val="both"/>
              <w:rPr>
                <w:rFonts w:eastAsia="Times New Roman"/>
                <w:sz w:val="20"/>
                <w:szCs w:val="20"/>
              </w:rPr>
            </w:pPr>
            <w:r>
              <w:rPr>
                <w:rFonts w:ascii="Arial" w:eastAsia="Times New Roman" w:hAnsi="Arial" w:cs="Arial"/>
                <w:sz w:val="20"/>
                <w:szCs w:val="20"/>
              </w:rPr>
              <w:t>Expected return on plan assets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24302924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Amortization of actuarial loss and prior service costs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243029243"/>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Net periodic benefit costs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17</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25</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13. CONTINGENCIES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TAX MATTERS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E617AE">
      <w:pPr>
        <w:spacing w:line="288" w:lineRule="auto"/>
        <w:divId w:val="118913864"/>
        <w:rPr>
          <w:rFonts w:eastAsia="Times New Roman"/>
          <w:sz w:val="20"/>
          <w:szCs w:val="20"/>
        </w:rPr>
      </w:pPr>
    </w:p>
    <w:p w:rsidR="00000000" w:rsidRDefault="00E617AE">
      <w:pPr>
        <w:divId w:val="16798232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34</w:t>
      </w:r>
    </w:p>
    <w:p w:rsidR="00000000" w:rsidRDefault="00E617AE">
      <w:pPr>
        <w:divId w:val="118913864"/>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E617AE">
      <w:pPr>
        <w:divId w:val="45760163"/>
        <w:rPr>
          <w:rFonts w:eastAsia="Times New Roman"/>
          <w:sz w:val="20"/>
          <w:szCs w:val="20"/>
        </w:rPr>
      </w:pPr>
    </w:p>
    <w:p w:rsidR="00000000" w:rsidRDefault="00E617AE">
      <w:pPr>
        <w:spacing w:line="288" w:lineRule="auto"/>
        <w:ind w:hanging="360"/>
        <w:jc w:val="both"/>
        <w:divId w:val="118913864"/>
        <w:rPr>
          <w:rFonts w:eastAsia="Times New Roman"/>
          <w:sz w:val="26"/>
          <w:szCs w:val="26"/>
        </w:rPr>
      </w:pPr>
      <w:r>
        <w:rPr>
          <w:rFonts w:ascii="Arial" w:eastAsia="Times New Roman" w:hAnsi="Arial" w:cs="Arial"/>
          <w:b/>
          <w:bCs/>
          <w:sz w:val="26"/>
          <w:szCs w:val="26"/>
        </w:rPr>
        <w:t xml:space="preserve">14. SUBSEQUENT EVENTS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On April 1, 2020, we closed the sale of our Ozark assets for proceeds of approximately $60 million (US$43 million), subject to customary closing adjustments. Refer to </w:t>
      </w:r>
      <w:r>
        <w:rPr>
          <w:rFonts w:ascii="Arial" w:eastAsia="Times New Roman" w:hAnsi="Arial" w:cs="Arial"/>
          <w:i/>
          <w:iCs/>
          <w:sz w:val="20"/>
          <w:szCs w:val="20"/>
        </w:rPr>
        <w:t>Note 6. Acquisitions and Dispositions</w:t>
      </w:r>
      <w:r>
        <w:rPr>
          <w:rFonts w:ascii="Arial" w:eastAsia="Times New Roman" w:hAnsi="Arial" w:cs="Arial"/>
          <w:sz w:val="20"/>
          <w:szCs w:val="20"/>
        </w:rPr>
        <w:t xml:space="preserve"> for furt</w:t>
      </w:r>
      <w:r>
        <w:rPr>
          <w:rFonts w:ascii="Arial" w:eastAsia="Times New Roman" w:hAnsi="Arial" w:cs="Arial"/>
          <w:sz w:val="20"/>
          <w:szCs w:val="20"/>
        </w:rPr>
        <w:t>her discussion of the transaction.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May 1, 2020, we closed the sale of our Montana-Alberta Tie Line assets for proceeds of approximately $180 million, subject to customary closing adjustments. Refer to</w:t>
      </w:r>
      <w:r>
        <w:rPr>
          <w:rFonts w:ascii="Arial" w:eastAsia="Times New Roman" w:hAnsi="Arial" w:cs="Arial"/>
          <w:i/>
          <w:iCs/>
          <w:sz w:val="20"/>
          <w:szCs w:val="20"/>
        </w:rPr>
        <w:t xml:space="preserve"> Note 6. Acquisitions and Dispositions</w:t>
      </w:r>
      <w:r>
        <w:rPr>
          <w:rFonts w:ascii="Arial" w:eastAsia="Times New Roman" w:hAnsi="Arial" w:cs="Arial"/>
          <w:sz w:val="20"/>
          <w:szCs w:val="20"/>
        </w:rPr>
        <w:t xml:space="preserve"> for further </w:t>
      </w:r>
      <w:r>
        <w:rPr>
          <w:rFonts w:ascii="Arial" w:eastAsia="Times New Roman" w:hAnsi="Arial" w:cs="Arial"/>
          <w:sz w:val="20"/>
          <w:szCs w:val="20"/>
        </w:rPr>
        <w:t>discussion of the transaction.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On May 4, 2020, a rupture occurred on Line 10, a 30-inch natural gas pipeline that makes up part of the Texas Eastern natural gas pipeline system in Fleming County, Kentucky. There have been no reported injuries or damaged </w:t>
      </w:r>
      <w:r>
        <w:rPr>
          <w:rFonts w:ascii="Arial" w:eastAsia="Times New Roman" w:hAnsi="Arial" w:cs="Arial"/>
          <w:sz w:val="20"/>
          <w:szCs w:val="20"/>
        </w:rPr>
        <w:t>structures as a result of the rupture. Texas Eastern crews are on site and have secured the area. The impacted section of pipe was shut-in following the incident and remains isolated. The National Transportation Safety Board has assumed control of the site</w:t>
      </w:r>
      <w:r>
        <w:rPr>
          <w:rFonts w:ascii="Arial" w:eastAsia="Times New Roman" w:hAnsi="Arial" w:cs="Arial"/>
          <w:sz w:val="20"/>
          <w:szCs w:val="20"/>
        </w:rPr>
        <w:t xml:space="preserve"> and is working with the Pipeline and Hazardous Materials Safety Administration and Enbridge to investigate.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spread of the COVID-19 pandemic has caused significant volatility in Canada, the United States and international markets. We continue to mon</w:t>
      </w:r>
      <w:r>
        <w:rPr>
          <w:rFonts w:ascii="Arial" w:eastAsia="Times New Roman" w:hAnsi="Arial" w:cs="Arial"/>
          <w:sz w:val="20"/>
          <w:szCs w:val="20"/>
        </w:rPr>
        <w:t>itor the impact of the COVID-19 pandemic, reduced crude oil demand and reduced commodity prices on our results of operations. These demand effects coincided with decisions by various global producers, including the Organization of Petroleum Exporting Count</w:t>
      </w:r>
      <w:r>
        <w:rPr>
          <w:rFonts w:ascii="Arial" w:eastAsia="Times New Roman" w:hAnsi="Arial" w:cs="Arial"/>
          <w:sz w:val="20"/>
          <w:szCs w:val="20"/>
        </w:rPr>
        <w:t>ries and other oil producing nations (OPEC+) to increase global production levels, putting severe downward pressure on prices. As a result, prices of crude oil, natural gas, natural gas liquids and other commodities whose prices are highly correlated to cr</w:t>
      </w:r>
      <w:r>
        <w:rPr>
          <w:rFonts w:ascii="Arial" w:eastAsia="Times New Roman" w:hAnsi="Arial" w:cs="Arial"/>
          <w:sz w:val="20"/>
          <w:szCs w:val="20"/>
        </w:rPr>
        <w:t>ude oil have decreased substantially. Given the many outstanding questions as to the length and depth of the COVID-19 pandemic and the current low commodity price environment, the impact on us is uncertain; however, it is possible that they may have an adv</w:t>
      </w:r>
      <w:r>
        <w:rPr>
          <w:rFonts w:ascii="Arial" w:eastAsia="Times New Roman" w:hAnsi="Arial" w:cs="Arial"/>
          <w:sz w:val="20"/>
          <w:szCs w:val="20"/>
        </w:rPr>
        <w:t xml:space="preserve">erse impact on our business and results of operations in the future. </w:t>
      </w:r>
    </w:p>
    <w:p w:rsidR="00000000" w:rsidRDefault="00E617AE">
      <w:pPr>
        <w:spacing w:line="288" w:lineRule="auto"/>
        <w:divId w:val="118913864"/>
        <w:rPr>
          <w:rFonts w:eastAsia="Times New Roman"/>
          <w:sz w:val="20"/>
          <w:szCs w:val="20"/>
        </w:rPr>
      </w:pPr>
    </w:p>
    <w:p w:rsidR="00000000" w:rsidRDefault="00E617AE">
      <w:pPr>
        <w:divId w:val="36880190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35</w:t>
      </w:r>
    </w:p>
    <w:p w:rsidR="00000000" w:rsidRDefault="00E617AE">
      <w:pPr>
        <w:divId w:val="118913864"/>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E617AE">
      <w:pPr>
        <w:divId w:val="191249988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2. MANAGEMENT’S DISCUSSION AND ANALYSIS OF FINANCIAL CONDITION AND RESULTS OF OPERATIONS</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INTRODUCTION</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discussion and analysis of our financial condition and results of operations is based on and should be read in conjunction with our consolidated financial statements and the accompanying notes included in Part 1. Item 1. </w:t>
      </w:r>
      <w:r>
        <w:rPr>
          <w:rFonts w:ascii="Arial" w:eastAsia="Times New Roman" w:hAnsi="Arial" w:cs="Arial"/>
          <w:i/>
          <w:iCs/>
          <w:sz w:val="20"/>
          <w:szCs w:val="20"/>
        </w:rPr>
        <w:t>Financial Statements</w:t>
      </w:r>
      <w:r>
        <w:rPr>
          <w:rFonts w:ascii="Arial" w:eastAsia="Times New Roman" w:hAnsi="Arial" w:cs="Arial"/>
          <w:sz w:val="20"/>
          <w:szCs w:val="20"/>
        </w:rPr>
        <w:t> </w:t>
      </w:r>
      <w:r>
        <w:rPr>
          <w:rFonts w:ascii="Arial" w:eastAsia="Times New Roman" w:hAnsi="Arial" w:cs="Arial"/>
          <w:sz w:val="20"/>
          <w:szCs w:val="20"/>
        </w:rPr>
        <w:t>of this quarterly report on Form 10-Q and our annual report on Form 10-K for the year ended December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As of the end of the second quarter of 2019, we have qualified as a foreign private issuer for purposes of the U.S. Securities Exchange Act of 1934, as amended (Exchange Act). We intend to continue to file annual reports on Form 10-K, quarterly reports on </w:t>
      </w:r>
      <w:r>
        <w:rPr>
          <w:rFonts w:ascii="Arial" w:eastAsia="Times New Roman" w:hAnsi="Arial" w:cs="Arial"/>
          <w:sz w:val="20"/>
          <w:szCs w:val="20"/>
        </w:rPr>
        <w:t>Form 10-Q and current reports on Form 8-K with the U.S. Securities and Exchange Commission instead of filing the reporting forms available to foreign private issuers. We also intend to maintain our Form S-3 registration statements.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 xml:space="preserve">RECENT DEVELOPMENTS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COVID-19 PANDEMIC, REDUCED CRUDE OIL DEMAND AND COMMODITY PRICES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COVID-19 pandemic and the resulting emergency measures enacted by governments in Canada, the United States and around the world, have caused material disruption to many businesses res</w:t>
      </w:r>
      <w:r>
        <w:rPr>
          <w:rFonts w:ascii="Arial" w:eastAsia="Times New Roman" w:hAnsi="Arial" w:cs="Arial"/>
          <w:sz w:val="20"/>
          <w:szCs w:val="20"/>
        </w:rPr>
        <w:t>ulting in a severe slow down in Canadian, United States and global economies, leading to increased volatility in financial markets worldwide and demand reduction for commodities. These demand effects coincided with decisions by various global producers, in</w:t>
      </w:r>
      <w:r>
        <w:rPr>
          <w:rFonts w:ascii="Arial" w:eastAsia="Times New Roman" w:hAnsi="Arial" w:cs="Arial"/>
          <w:sz w:val="20"/>
          <w:szCs w:val="20"/>
        </w:rPr>
        <w:t>cluding the Organization of Petroleum Exporting Countries and other oil producing nations (OPEC+), to increase global production levels, putting severe downward pressure on prices including, in some instances, negative pricing. As a result, prices of crude</w:t>
      </w:r>
      <w:r>
        <w:rPr>
          <w:rFonts w:ascii="Arial" w:eastAsia="Times New Roman" w:hAnsi="Arial" w:cs="Arial"/>
          <w:sz w:val="20"/>
          <w:szCs w:val="20"/>
        </w:rPr>
        <w:t xml:space="preserve"> oil, natural gas, natural gas liquids and other commodities whose prices are highly correlated to crude oil have decreased substantially.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are taking proactive measures to deliver energy safely and reliably during the COVID-19 pandemic. We activated </w:t>
      </w:r>
      <w:r>
        <w:rPr>
          <w:rFonts w:ascii="Arial" w:eastAsia="Times New Roman" w:hAnsi="Arial" w:cs="Arial"/>
          <w:sz w:val="20"/>
          <w:szCs w:val="20"/>
        </w:rPr>
        <w:t>our crisis management team to focus on a number of priorities, including: (i) the health and safety of our employees and the public; (ii) operational reliability for our customers and markets; (iii) identification of essential personnel and procedures; and</w:t>
      </w:r>
      <w:r>
        <w:rPr>
          <w:rFonts w:ascii="Arial" w:eastAsia="Times New Roman" w:hAnsi="Arial" w:cs="Arial"/>
          <w:sz w:val="20"/>
          <w:szCs w:val="20"/>
        </w:rPr>
        <w:t xml:space="preserve"> (iv) extensive stakeholder communication and outreach including updates to our Board of Directors. We are staying closely connected to recommendations from public health authorities and medical experts and have taken steps to help prevent our employees’ e</w:t>
      </w:r>
      <w:r>
        <w:rPr>
          <w:rFonts w:ascii="Arial" w:eastAsia="Times New Roman" w:hAnsi="Arial" w:cs="Arial"/>
          <w:sz w:val="20"/>
          <w:szCs w:val="20"/>
        </w:rPr>
        <w:t>xposure and the spread of COVID-19, including enacting work-at-home plans across the organization and implementing business continuity plans to enable the integrity of our operations and protect the health of our employees in pipeline control functions and</w:t>
      </w:r>
      <w:r>
        <w:rPr>
          <w:rFonts w:ascii="Arial" w:eastAsia="Times New Roman" w:hAnsi="Arial" w:cs="Arial"/>
          <w:sz w:val="20"/>
          <w:szCs w:val="20"/>
        </w:rPr>
        <w:t xml:space="preserve"> service centers, our field representatives and other essential functions.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safe operation of our facilities has not been impacted. We continue to employ all safety processes and procedures in the normal course. Our business continuity plans are desi</w:t>
      </w:r>
      <w:r>
        <w:rPr>
          <w:rFonts w:ascii="Arial" w:eastAsia="Times New Roman" w:hAnsi="Arial" w:cs="Arial"/>
          <w:sz w:val="20"/>
          <w:szCs w:val="20"/>
        </w:rPr>
        <w:t xml:space="preserve">gned to enable us to manage operational developments related to COVID-19 as they unfold. We provide an essential service across North America. Our customers, and the communities where we operate, depend on us to safely and reliably provide the energy they </w:t>
      </w:r>
      <w:r>
        <w:rPr>
          <w:rFonts w:ascii="Arial" w:eastAsia="Times New Roman" w:hAnsi="Arial" w:cs="Arial"/>
          <w:sz w:val="20"/>
          <w:szCs w:val="20"/>
        </w:rPr>
        <w:t xml:space="preserve">need to heat their homes and fuel their lives.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COVID-19 pandemic has had a deep impact in the communities in which we operate. We are providing support in our communities by advancing funds to respond and provide relief to those who are most vulnera</w:t>
      </w:r>
      <w:r>
        <w:rPr>
          <w:rFonts w:ascii="Arial" w:eastAsia="Times New Roman" w:hAnsi="Arial" w:cs="Arial"/>
          <w:sz w:val="20"/>
          <w:szCs w:val="20"/>
        </w:rPr>
        <w:t xml:space="preserve">ble. Our teams in our operating regions are working closely with our nonprofit community partners, our closest Indigenous and Tribal neighbors, and local governments to identify where resources are needed most. </w:t>
      </w:r>
    </w:p>
    <w:p w:rsidR="00000000" w:rsidRDefault="00E617AE">
      <w:pPr>
        <w:divId w:val="186220855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36</w:t>
      </w:r>
    </w:p>
    <w:p w:rsidR="00000000" w:rsidRDefault="00E617AE">
      <w:pPr>
        <w:divId w:val="118913864"/>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E617AE">
      <w:pPr>
        <w:divId w:val="495725438"/>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COVID-19 pandemic, reduced crude oil demand and reduced commodity prices present potential new or elevated risks to our business. In late March, we began to see impacts both on the supply of, and demand for, crude oil and other liquid hydrocarbons tr</w:t>
      </w:r>
      <w:r>
        <w:rPr>
          <w:rFonts w:ascii="Arial" w:eastAsia="Times New Roman" w:hAnsi="Arial" w:cs="Arial"/>
          <w:sz w:val="20"/>
          <w:szCs w:val="20"/>
        </w:rPr>
        <w:t>ansported on our pipelines. Several shippers on our crude oil pipelines have responded to significantly lower demand caused by the COVID-19 pandemic, declining storage availability and refinery utilization, and commodity price declines by canceling deliver</w:t>
      </w:r>
      <w:r>
        <w:rPr>
          <w:rFonts w:ascii="Arial" w:eastAsia="Times New Roman" w:hAnsi="Arial" w:cs="Arial"/>
          <w:sz w:val="20"/>
          <w:szCs w:val="20"/>
        </w:rPr>
        <w:t>y of previously nominated batches for the month of April. Average volumes for April were 400 thousand barrels per day (kbpd) lower than the 2,842 kbpd average for the first quarter of 2020 and we expect that these lower volumes will likely continue through</w:t>
      </w:r>
      <w:r>
        <w:rPr>
          <w:rFonts w:ascii="Arial" w:eastAsia="Times New Roman" w:hAnsi="Arial" w:cs="Arial"/>
          <w:sz w:val="20"/>
          <w:szCs w:val="20"/>
        </w:rPr>
        <w:t xml:space="preserve"> the end of the second quarter of 2020. We currently expect that volumes will recover in the second half of the year </w:t>
      </w:r>
      <w:r>
        <w:rPr>
          <w:rFonts w:ascii="Arial" w:eastAsia="Times New Roman" w:hAnsi="Arial" w:cs="Arial"/>
          <w:color w:val="1A1A1A"/>
          <w:sz w:val="20"/>
          <w:szCs w:val="20"/>
        </w:rPr>
        <w:t>as COVID-19 related travel restrictions are slowly lifted and mobility gradually returns to North America in the third and fourth quarter o</w:t>
      </w:r>
      <w:r>
        <w:rPr>
          <w:rFonts w:ascii="Arial" w:eastAsia="Times New Roman" w:hAnsi="Arial" w:cs="Arial"/>
          <w:color w:val="1A1A1A"/>
          <w:sz w:val="20"/>
          <w:szCs w:val="20"/>
        </w:rPr>
        <w:t xml:space="preserve">f 2020. This view is supported by our expectation that the refineries operating in our core Mainline System markets (i.e. the United States Midwest, Eastern Canada and the United States Gulf Coast) may be among the first to ramp back up given their scale, </w:t>
      </w:r>
      <w:r>
        <w:rPr>
          <w:rFonts w:ascii="Arial" w:eastAsia="Times New Roman" w:hAnsi="Arial" w:cs="Arial"/>
          <w:color w:val="1A1A1A"/>
          <w:sz w:val="20"/>
          <w:szCs w:val="20"/>
        </w:rPr>
        <w:t xml:space="preserve">complexity and cost competitiveness. </w:t>
      </w:r>
      <w:r>
        <w:rPr>
          <w:rFonts w:ascii="Arial" w:eastAsia="Times New Roman" w:hAnsi="Arial" w:cs="Arial"/>
          <w:sz w:val="20"/>
          <w:szCs w:val="20"/>
        </w:rPr>
        <w:t xml:space="preserve">For every 100 kbpd increase or decrease in volumes, our revenues, net of power savings, are expected to increase or decline by approximately $35 million per quarter.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our US Midstream business, our equity affiliate</w:t>
      </w:r>
      <w:r>
        <w:rPr>
          <w:rFonts w:ascii="Arial" w:eastAsia="Times New Roman" w:hAnsi="Arial" w:cs="Arial"/>
          <w:sz w:val="20"/>
          <w:szCs w:val="20"/>
        </w:rPr>
        <w:t xml:space="preserve"> DCP Midstream, LP, responded to the drastic decline in commodity prices by decreasing their distributions to us by 50 percent (beginning with the first quarter distribution paid in May 2020), thereby modestly reducing our cash flows. As a further outcome </w:t>
      </w:r>
      <w:r>
        <w:rPr>
          <w:rFonts w:ascii="Arial" w:eastAsia="Times New Roman" w:hAnsi="Arial" w:cs="Arial"/>
          <w:sz w:val="20"/>
          <w:szCs w:val="20"/>
        </w:rPr>
        <w:t>of the drastic commodity price decline, we recorded a $1.7 billion impairment on our equity method investment in DCP Midstream, based on the decline in the market price of DCP Midstream, LP publicly-traded units as at March 31, 2020.</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addition, these c</w:t>
      </w:r>
      <w:r>
        <w:rPr>
          <w:rFonts w:ascii="Arial" w:eastAsia="Times New Roman" w:hAnsi="Arial" w:cs="Arial"/>
          <w:sz w:val="20"/>
          <w:szCs w:val="20"/>
        </w:rPr>
        <w:t xml:space="preserve">ircumstances have led to the deterioration of the credit profiles of some of our customers and suppliers. We will continue to monitor this risk and take credit mitigating actions.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 situation around the COVID-19 pandemic, reduced crude oil demand and </w:t>
      </w:r>
      <w:r>
        <w:rPr>
          <w:rFonts w:ascii="Arial" w:eastAsia="Times New Roman" w:hAnsi="Arial" w:cs="Arial"/>
          <w:sz w:val="20"/>
          <w:szCs w:val="20"/>
        </w:rPr>
        <w:t xml:space="preserve">reduced commodity prices is evolving and our assessment of risks is included in Part II, Item 1A. </w:t>
      </w:r>
      <w:r>
        <w:rPr>
          <w:rFonts w:ascii="Arial" w:eastAsia="Times New Roman" w:hAnsi="Arial" w:cs="Arial"/>
          <w:i/>
          <w:iCs/>
          <w:sz w:val="20"/>
          <w:szCs w:val="20"/>
        </w:rPr>
        <w:t>Risk Factors</w:t>
      </w:r>
      <w:r>
        <w:rPr>
          <w:rFonts w:ascii="Arial" w:eastAsia="Times New Roman" w:hAnsi="Arial" w:cs="Arial"/>
          <w:sz w:val="20"/>
          <w:szCs w:val="20"/>
        </w:rPr>
        <w:t xml:space="preserv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While the length and depth of the current energy demand reduction and its impact is challenging to estimate at this time, we have initiated several actions to further strengthen our resiliency and position for the future, while assuring that the safety and</w:t>
      </w:r>
      <w:r>
        <w:rPr>
          <w:rFonts w:ascii="Arial" w:eastAsia="Times New Roman" w:hAnsi="Arial" w:cs="Arial"/>
          <w:sz w:val="20"/>
          <w:szCs w:val="20"/>
        </w:rPr>
        <w:t xml:space="preserve"> reliability of our operations remains our first priority. We will be reducing operating costs by approximately $300 million, including reductions to senior management and Board of Directors compensation. We have also recently executed $0.4 billion of asse</w:t>
      </w:r>
      <w:r>
        <w:rPr>
          <w:rFonts w:ascii="Arial" w:eastAsia="Times New Roman" w:hAnsi="Arial" w:cs="Arial"/>
          <w:sz w:val="20"/>
          <w:szCs w:val="20"/>
        </w:rPr>
        <w:t>t sales and increased our available liquidity to approximately $14 billion. We are experiencing a natural slowing of 2020 capital spending in light of COVID-19 and the health and safety measures put into place by federal and regional governments. After a r</w:t>
      </w:r>
      <w:r>
        <w:rPr>
          <w:rFonts w:ascii="Arial" w:eastAsia="Times New Roman" w:hAnsi="Arial" w:cs="Arial"/>
          <w:sz w:val="20"/>
          <w:szCs w:val="20"/>
        </w:rPr>
        <w:t>eview of capital execution schedules, we expect that 2020 capital expenditures will be approximately $1 billion lower than budgeted and will primarily shift into 2021. In addition, the following factors further demonstrate the resiliency of our low-risk bu</w:t>
      </w:r>
      <w:r>
        <w:rPr>
          <w:rFonts w:ascii="Arial" w:eastAsia="Times New Roman" w:hAnsi="Arial" w:cs="Arial"/>
          <w:sz w:val="20"/>
          <w:szCs w:val="20"/>
        </w:rPr>
        <w:t xml:space="preserve">siness model: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6193158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Our assets are highly contracted and commercially underpinned by long-term take-or-pay and cost-of-service agreements;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8733689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Approximately 95 percent of our revenue in the first quarter of 2020 is from investment grade customers or non-investment grade customers who have provided credit enhancements;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900163818"/>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acquisition of Spectra Energy in 2017 provided us with greater dive</w:t>
            </w:r>
            <w:r>
              <w:rPr>
                <w:rFonts w:ascii="Arial" w:eastAsia="Times New Roman" w:hAnsi="Arial" w:cs="Arial"/>
                <w:sz w:val="20"/>
                <w:szCs w:val="20"/>
              </w:rPr>
              <w:t xml:space="preserve">rsification into natural gas with embedded low risk commercial structures. We currently have approximately 40 different sources of cash flows by geography, and by different types of contract structure;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5211514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A strong financial position with approximately $14 billion of net available liquidity which gives us the capacity to fund all of our capital projects and any debt maturities through 2021 without accessing the capital markets; and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47347501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We limit the maxim</w:t>
            </w:r>
            <w:r>
              <w:rPr>
                <w:rFonts w:ascii="Arial" w:eastAsia="Times New Roman" w:hAnsi="Arial" w:cs="Arial"/>
                <w:sz w:val="20"/>
                <w:szCs w:val="20"/>
              </w:rPr>
              <w:t xml:space="preserve">um cash flow loss that could arise from direct market price risks through a comprehensive long-term economic hedging program. </w:t>
            </w:r>
          </w:p>
        </w:tc>
      </w:tr>
    </w:tbl>
    <w:p w:rsidR="00000000" w:rsidRDefault="00E617AE">
      <w:pPr>
        <w:spacing w:line="288" w:lineRule="auto"/>
        <w:divId w:val="118913864"/>
        <w:rPr>
          <w:rFonts w:eastAsia="Times New Roman"/>
          <w:sz w:val="20"/>
          <w:szCs w:val="20"/>
        </w:rPr>
      </w:pPr>
    </w:p>
    <w:p w:rsidR="00000000" w:rsidRDefault="00E617AE">
      <w:pPr>
        <w:divId w:val="87427053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37</w:t>
      </w:r>
    </w:p>
    <w:p w:rsidR="00000000" w:rsidRDefault="00E617AE">
      <w:pPr>
        <w:divId w:val="118913864"/>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E617AE">
      <w:pPr>
        <w:divId w:val="600718507"/>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will continue to actively monitor the developing situations and may take further actions that we determine are in the best interests of Enbridge, our employees, customers, partners and stakeholders, or as required by federal, state or provincial authori</w:t>
      </w:r>
      <w:r>
        <w:rPr>
          <w:rFonts w:ascii="Arial" w:eastAsia="Times New Roman" w:hAnsi="Arial" w:cs="Arial"/>
          <w:sz w:val="20"/>
          <w:szCs w:val="20"/>
        </w:rPr>
        <w:t>ties. At this time, given the many outstanding questions as to the length and depth of the COVID-19 pandemic and the current low commodity price environment, the impact on us is uncertain; however, it is possible that they may have an adverse impact on our</w:t>
      </w:r>
      <w:r>
        <w:rPr>
          <w:rFonts w:ascii="Arial" w:eastAsia="Times New Roman" w:hAnsi="Arial" w:cs="Arial"/>
          <w:sz w:val="20"/>
          <w:szCs w:val="20"/>
        </w:rPr>
        <w:t xml:space="preserve"> business and results of operations.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TEXAS EASTERN RATE CASE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25, 2020, Texas Eastern Transmission, LP (Texas Eastern) received approval from the Federal Energy Regulatory Commission (FERC) of its uncontested rate case settlement with custo</w:t>
      </w:r>
      <w:r>
        <w:rPr>
          <w:rFonts w:ascii="Arial" w:eastAsia="Times New Roman" w:hAnsi="Arial" w:cs="Arial"/>
          <w:sz w:val="20"/>
          <w:szCs w:val="20"/>
        </w:rPr>
        <w:t>mers. In the first quarter of 2020, Texas Eastern recognized revenues from the settled rates retroactive to June 1, 2019, and put the settled rates into effect on April 1, 2020.</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FINANCING UPDATE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20, 2020, we raised US$750 million of two-yea</w:t>
      </w:r>
      <w:r>
        <w:rPr>
          <w:rFonts w:ascii="Arial" w:eastAsia="Times New Roman" w:hAnsi="Arial" w:cs="Arial"/>
          <w:sz w:val="20"/>
          <w:szCs w:val="20"/>
        </w:rPr>
        <w:t>r floating rate notes in the United States markets and on April 1, 2020, Enbridge Gas completed a $1.2 billion dual tranche offering of 10-year and 30-year notes in the Canadian debt capital markets. Through these capital market activities, we continued to</w:t>
      </w:r>
      <w:r>
        <w:rPr>
          <w:rFonts w:ascii="Arial" w:eastAsia="Times New Roman" w:hAnsi="Arial" w:cs="Arial"/>
          <w:sz w:val="20"/>
          <w:szCs w:val="20"/>
        </w:rPr>
        <w:t xml:space="preserve"> make significant progress on the execution of our funding plan and strengthened our financial position.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In February 2020, we closed three new non-revolving credit facilities totaling US$1.5 billion and on March 31, 2020, we established a new syndicated </w:t>
      </w:r>
      <w:r>
        <w:rPr>
          <w:rFonts w:ascii="Arial" w:eastAsia="Times New Roman" w:hAnsi="Arial" w:cs="Arial"/>
          <w:sz w:val="20"/>
          <w:szCs w:val="20"/>
        </w:rPr>
        <w:t>one-year revolving credit facility in the amount of $1.7 billion. On April 9, 2020, we increased the amount of our new revolving facility by an additional $1.3 billion bringing the total amount to $3.0 billion, significantly enhancing our available liquidi</w:t>
      </w:r>
      <w:r>
        <w:rPr>
          <w:rFonts w:ascii="Arial" w:eastAsia="Times New Roman" w:hAnsi="Arial" w:cs="Arial"/>
          <w:sz w:val="20"/>
          <w:szCs w:val="20"/>
        </w:rPr>
        <w:t xml:space="preserve">ty.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financing activities noted above, in combination with the asset monetization activities noted below, enable us to fund our current portfolio of capital projects without requiring access to the capital markets through 2021 if market access is res</w:t>
      </w:r>
      <w:r>
        <w:rPr>
          <w:rFonts w:ascii="Arial" w:eastAsia="Times New Roman" w:hAnsi="Arial" w:cs="Arial"/>
          <w:sz w:val="20"/>
          <w:szCs w:val="20"/>
        </w:rPr>
        <w:t xml:space="preserve">tricted or pricing is unattractive. Refer to </w:t>
      </w:r>
      <w:r>
        <w:rPr>
          <w:rFonts w:ascii="Arial" w:eastAsia="Times New Roman" w:hAnsi="Arial" w:cs="Arial"/>
          <w:i/>
          <w:iCs/>
          <w:sz w:val="20"/>
          <w:szCs w:val="20"/>
        </w:rPr>
        <w:t>Liquidity and Capital Resources</w:t>
      </w:r>
      <w:r>
        <w:rPr>
          <w:rFonts w:ascii="Arial" w:eastAsia="Times New Roman" w:hAnsi="Arial" w:cs="Arial"/>
          <w:sz w:val="20"/>
          <w:szCs w:val="20"/>
        </w:rPr>
        <w:t xml:space="preserv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ASSET MONETIZATION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Ozark Gas Transmission and Ozark Gas Gathering</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April 1, 2020, we closed the sale of our Ozark assets for proceeds of approximately $60 million.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Éol</w:t>
      </w:r>
      <w:r>
        <w:rPr>
          <w:rFonts w:ascii="Arial" w:eastAsia="Times New Roman" w:hAnsi="Arial" w:cs="Arial"/>
          <w:b/>
          <w:bCs/>
          <w:sz w:val="20"/>
          <w:szCs w:val="20"/>
        </w:rPr>
        <w:t>ien Maritime France SAS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May 1, 2020, we executed agreements to sell 49% of our investment in É</w:t>
      </w:r>
      <w:r>
        <w:rPr>
          <w:rFonts w:ascii="Arial" w:eastAsia="Times New Roman" w:hAnsi="Arial" w:cs="Arial"/>
          <w:sz w:val="20"/>
          <w:szCs w:val="20"/>
        </w:rPr>
        <w:t xml:space="preserve">olien Maritime France SAS (EMF) to the Canada Pension Plan Investment Board (CPP Investments) for initial proceeds in excess of $100 million. Post closing, CPP Investments will fund their 49% share of all ongoing future development capital. Closing of the </w:t>
      </w:r>
      <w:r>
        <w:rPr>
          <w:rFonts w:ascii="Arial" w:eastAsia="Times New Roman" w:hAnsi="Arial" w:cs="Arial"/>
          <w:sz w:val="20"/>
          <w:szCs w:val="20"/>
        </w:rPr>
        <w:t xml:space="preserve">transaction is subject to customary regulatory approvals and is expected to occur in the fourth quarter of 2020. Refer to </w:t>
      </w:r>
      <w:r>
        <w:rPr>
          <w:rFonts w:ascii="Arial" w:eastAsia="Times New Roman" w:hAnsi="Arial" w:cs="Arial"/>
          <w:i/>
          <w:iCs/>
          <w:sz w:val="20"/>
          <w:szCs w:val="20"/>
        </w:rPr>
        <w:t>Growth Projects - Commercially Secured Projects - Renewable Power Generation</w:t>
      </w:r>
      <w:r>
        <w:rPr>
          <w:rFonts w:ascii="Arial" w:eastAsia="Times New Roman" w:hAnsi="Arial" w:cs="Arial"/>
          <w:sz w:val="20"/>
          <w:szCs w:val="20"/>
        </w:rPr>
        <w:t xml:space="preserve"> and </w:t>
      </w:r>
      <w:r>
        <w:rPr>
          <w:rFonts w:ascii="Arial" w:eastAsia="Times New Roman" w:hAnsi="Arial" w:cs="Arial"/>
          <w:i/>
          <w:iCs/>
          <w:sz w:val="20"/>
          <w:szCs w:val="20"/>
        </w:rPr>
        <w:t>Other Announced Projects Under Development</w:t>
      </w:r>
      <w:r>
        <w:rPr>
          <w:rFonts w:ascii="Arial" w:eastAsia="Times New Roman" w:hAnsi="Arial" w:cs="Arial"/>
          <w:sz w:val="20"/>
          <w:szCs w:val="20"/>
        </w:rPr>
        <w:t>.</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Montana</w:t>
      </w:r>
      <w:r>
        <w:rPr>
          <w:rFonts w:ascii="Arial" w:eastAsia="Times New Roman" w:hAnsi="Arial" w:cs="Arial"/>
          <w:b/>
          <w:bCs/>
          <w:sz w:val="20"/>
          <w:szCs w:val="20"/>
        </w:rPr>
        <w:t>-Alberta Tie Line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May 1, 2020, we closed the sale of our Montana-Alberta Tie Line transmission assets for proceeds of approximately $180 million.</w:t>
      </w:r>
    </w:p>
    <w:p w:rsidR="00000000" w:rsidRDefault="00E617AE">
      <w:pPr>
        <w:spacing w:line="288" w:lineRule="auto"/>
        <w:divId w:val="118913864"/>
        <w:rPr>
          <w:rFonts w:eastAsia="Times New Roman"/>
          <w:sz w:val="20"/>
          <w:szCs w:val="20"/>
        </w:rPr>
      </w:pPr>
    </w:p>
    <w:p w:rsidR="00000000" w:rsidRDefault="00E617AE">
      <w:pPr>
        <w:divId w:val="10597211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38</w:t>
      </w:r>
    </w:p>
    <w:p w:rsidR="00000000" w:rsidRDefault="00E617AE">
      <w:pPr>
        <w:divId w:val="118913864"/>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E617AE">
      <w:pPr>
        <w:divId w:val="927690941"/>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TEXAS EASTERN PIPELINE RUPTURE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May 4, 2020, a rupture occurred on Line 10, a 30-inch natural gas pipeline that makes up part of the Texas Eastern natural gas pipeline system in Fleming County, Kentucky. There have</w:t>
      </w:r>
      <w:r>
        <w:rPr>
          <w:rFonts w:ascii="Arial" w:eastAsia="Times New Roman" w:hAnsi="Arial" w:cs="Arial"/>
          <w:sz w:val="20"/>
          <w:szCs w:val="20"/>
        </w:rPr>
        <w:t xml:space="preserve"> been no reported injuries or damaged structures as a result of the rupture. Texas Eastern crews are on site and have secured the area. The impacted section of pipe was shut-in following the incident and remains isolated. The National Transportation Safety</w:t>
      </w:r>
      <w:r>
        <w:rPr>
          <w:rFonts w:ascii="Arial" w:eastAsia="Times New Roman" w:hAnsi="Arial" w:cs="Arial"/>
          <w:sz w:val="20"/>
          <w:szCs w:val="20"/>
        </w:rPr>
        <w:t xml:space="preserve"> Board has assumed control of the site and is working with the Pipeline and Hazardous Materials Safety Administration and Enbridge to investigate. The Texas Eastern natural gas pipeline system extends approximately 1,700 miles from the Gulf Coast region of</w:t>
      </w:r>
      <w:r>
        <w:rPr>
          <w:rFonts w:ascii="Arial" w:eastAsia="Times New Roman" w:hAnsi="Arial" w:cs="Arial"/>
          <w:sz w:val="20"/>
          <w:szCs w:val="20"/>
        </w:rPr>
        <w:t xml:space="preserve"> Texas and Louisiana to Ohio, Pennsylvania, New Jersey and New York.</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RESULTS OF OPERATIONS</w:t>
      </w:r>
    </w:p>
    <w:p w:rsidR="00000000" w:rsidRDefault="00E617AE">
      <w:pPr>
        <w:spacing w:line="288" w:lineRule="auto"/>
        <w:divId w:val="118913864"/>
        <w:rPr>
          <w:rFonts w:eastAsia="Times New Roman"/>
          <w:sz w:val="4"/>
          <w:szCs w:val="4"/>
        </w:rPr>
      </w:pPr>
      <w:r>
        <w:rPr>
          <w:rFonts w:ascii="Arial" w:eastAsia="Times New Roman" w:hAnsi="Arial" w:cs="Arial"/>
          <w:sz w:val="4"/>
          <w:szCs w:val="4"/>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561863298"/>
        </w:trPr>
        <w:tc>
          <w:tcPr>
            <w:tcW w:w="0" w:type="auto"/>
            <w:gridSpan w:val="5"/>
            <w:vAlign w:val="center"/>
            <w:hideMark/>
          </w:tcPr>
          <w:p w:rsidR="00000000" w:rsidRDefault="00E617AE">
            <w:pPr>
              <w:spacing w:line="288" w:lineRule="auto"/>
              <w:rPr>
                <w:rFonts w:eastAsia="Times New Roman"/>
                <w:sz w:val="4"/>
                <w:szCs w:val="4"/>
              </w:rPr>
            </w:pPr>
          </w:p>
        </w:tc>
      </w:tr>
      <w:tr w:rsidR="00000000">
        <w:trPr>
          <w:divId w:val="1561863298"/>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divId w:val="42716521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56186329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496263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399907715"/>
              <w:rPr>
                <w:rFonts w:eastAsia="Times New Roman"/>
                <w:sz w:val="20"/>
                <w:szCs w:val="20"/>
              </w:rPr>
            </w:pPr>
            <w:r>
              <w:rPr>
                <w:rFonts w:ascii="inherit" w:eastAsia="Times New Roman" w:hAnsi="inherit"/>
                <w:sz w:val="20"/>
                <w:szCs w:val="20"/>
              </w:rPr>
              <w:t> </w:t>
            </w: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850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2,072</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(1,054</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1,020</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Gas Distribution and Storage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604</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662</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Renewable Power Generation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120</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124</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248</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divId w:val="21271956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1810126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991596340"/>
              <w:rPr>
                <w:rFonts w:eastAsia="Times New Roman"/>
                <w:sz w:val="20"/>
                <w:szCs w:val="20"/>
              </w:rPr>
            </w:pPr>
            <w:r>
              <w:rPr>
                <w:rFonts w:ascii="inherit" w:eastAsia="Times New Roman" w:hAnsi="inherit"/>
                <w:sz w:val="20"/>
                <w:szCs w:val="20"/>
              </w:rPr>
              <w:t> </w:t>
            </w: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(882</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(840</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(706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(685</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Income tax recovery/(expense)</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549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(584</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61863298"/>
        </w:trPr>
        <w:tc>
          <w:tcPr>
            <w:tcW w:w="0" w:type="auto"/>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 xml:space="preserve">(Earnings)/loss attributable to noncontrolling interests </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31</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(37</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6186329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(95</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156186329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 attributable to common shareholders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(1,429</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1,891</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61863298"/>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Earnings/(loss) per common share attributable to common shareholders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(0.71</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0.94</w:t>
            </w:r>
          </w:p>
        </w:tc>
        <w:tc>
          <w:tcPr>
            <w:tcW w:w="0" w:type="auto"/>
            <w:vAlign w:val="bottom"/>
            <w:hideMark/>
          </w:tcPr>
          <w:p w:rsidR="00000000" w:rsidRDefault="00E617AE">
            <w:pPr>
              <w:rPr>
                <w:rFonts w:eastAsia="Times New Roman"/>
                <w:sz w:val="20"/>
                <w:szCs w:val="20"/>
              </w:rPr>
            </w:pPr>
          </w:p>
        </w:tc>
      </w:tr>
      <w:tr w:rsidR="00000000">
        <w:trPr>
          <w:divId w:val="1561863298"/>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Diluted earnings/(loss) per common share attributable to common shareholders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(0.71</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0.94</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EARNINGS/(LOSS) ATTRIBUTABLE TO COMMON SHAREHOLDERS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Earnings/(loss) attributable to common shareholders were net negatively impacted by $3,348 million due to certain</w:t>
      </w:r>
      <w:r>
        <w:rPr>
          <w:rFonts w:ascii="Arial" w:eastAsia="Times New Roman" w:hAnsi="Arial" w:cs="Arial"/>
          <w:sz w:val="20"/>
          <w:szCs w:val="20"/>
        </w:rPr>
        <w:t xml:space="preserve">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9643697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combined loss of $2,060 million ($1,550 million after-tax) related to our equity method investment in DCP Midstream due to a loss of $1,736 million ($1,306 million after-tax) resulting from an impairment to the carrying value of our investment and a loss</w:t>
            </w:r>
            <w:r>
              <w:rPr>
                <w:rFonts w:ascii="Arial" w:eastAsia="Times New Roman" w:hAnsi="Arial" w:cs="Arial"/>
                <w:sz w:val="20"/>
                <w:szCs w:val="20"/>
              </w:rPr>
              <w:t xml:space="preserve"> of $324 million ($244 million after-tax) resulting from further asset and goodwill impairment losses, refer to </w:t>
            </w:r>
            <w:r>
              <w:rPr>
                <w:rFonts w:ascii="Arial" w:eastAsia="Times New Roman" w:hAnsi="Arial" w:cs="Arial"/>
                <w:i/>
                <w:iCs/>
                <w:sz w:val="20"/>
                <w:szCs w:val="20"/>
              </w:rPr>
              <w:t>Item 1. Financial Statements - Note 9. Impairment of Equity Investments</w:t>
            </w:r>
            <w:r>
              <w:rPr>
                <w:rFonts w:ascii="Arial" w:eastAsia="Times New Roman" w:hAnsi="Arial" w:cs="Arial"/>
                <w:sz w:val="20"/>
                <w:szCs w:val="20"/>
              </w:rPr>
              <w:t>;</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5707986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non-cash, unrealized derivative fair value loss of $1,956 mill</w:t>
            </w:r>
            <w:r>
              <w:rPr>
                <w:rFonts w:ascii="Arial" w:eastAsia="Times New Roman" w:hAnsi="Arial" w:cs="Arial"/>
                <w:sz w:val="20"/>
                <w:szCs w:val="20"/>
              </w:rPr>
              <w:t>ion ($1,461 million after-tax) in 2020, compared with a gain of $600 million ($443 million after-tax) in 2019, reflecting net fair value gains and losses arising from changes in the mark-to-market value of derivative financial instruments used to manage fo</w:t>
            </w:r>
            <w:r>
              <w:rPr>
                <w:rFonts w:ascii="Arial" w:eastAsia="Times New Roman" w:hAnsi="Arial" w:cs="Arial"/>
                <w:sz w:val="20"/>
                <w:szCs w:val="20"/>
              </w:rPr>
              <w:t xml:space="preserve">reign exchange risks;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83284191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non-cash, write-down of crude oil and natural gas inventories to the lower of cost or market in our Energy Services business segment of $417 million ($311 million after-tax) in 2020, compared with $10 million ($8 million aft</w:t>
            </w:r>
            <w:r>
              <w:rPr>
                <w:rFonts w:ascii="Arial" w:eastAsia="Times New Roman" w:hAnsi="Arial" w:cs="Arial"/>
                <w:sz w:val="20"/>
                <w:szCs w:val="20"/>
              </w:rPr>
              <w:t>er-tax) in 2019; and</w:t>
            </w:r>
          </w:p>
        </w:tc>
      </w:tr>
    </w:tbl>
    <w:p w:rsidR="00000000" w:rsidRDefault="00E617AE">
      <w:pPr>
        <w:divId w:val="1817602244"/>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39</w:t>
      </w:r>
    </w:p>
    <w:p w:rsidR="00000000" w:rsidRDefault="00E617AE">
      <w:pPr>
        <w:divId w:val="118913864"/>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E617AE">
      <w:pPr>
        <w:divId w:val="158121028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0631576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$159 million ($119 million after-tax) in 2020 resulting from the recent Texas Eastern rate case settlement that re-established the Excess Accumulated Deferred Income Tax (EDIT) regulated liability that w</w:t>
            </w:r>
            <w:r>
              <w:rPr>
                <w:rFonts w:ascii="Arial" w:eastAsia="Times New Roman" w:hAnsi="Arial" w:cs="Arial"/>
                <w:sz w:val="20"/>
                <w:szCs w:val="20"/>
              </w:rPr>
              <w:t>as previously eliminated in December 2018.</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negative factors above were partially offset by a non-cash, unrealized gain of $551 million ($412 million after-tax) in 2020, compared with a loss of $160 million ($118 million after-tax) in 2019, reflectin</w:t>
      </w:r>
      <w:r>
        <w:rPr>
          <w:rFonts w:ascii="Arial" w:eastAsia="Times New Roman" w:hAnsi="Arial" w:cs="Arial"/>
          <w:sz w:val="20"/>
          <w:szCs w:val="20"/>
        </w:rPr>
        <w:t>g the revaluation of derivatives used to manage the profitability of transportation and storage transactions, as well as manage the exposure to movements in commodity prices.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non-cash, unrealized derivative fair value gains and losses discussed above generally arise as a result of a comprehensive long-term economic hedging program to mitigate foreign exchange and commodity price risks. This program creates volatility in rep</w:t>
      </w:r>
      <w:r>
        <w:rPr>
          <w:rFonts w:ascii="Arial" w:eastAsia="Times New Roman" w:hAnsi="Arial" w:cs="Arial"/>
          <w:sz w:val="20"/>
          <w:szCs w:val="20"/>
        </w:rPr>
        <w:t>orted short-term earnings through the recognition of unrealized non-cash gains and losses on financial derivative instruments used to hedge these risks. Over the long-term, we believe our hedging program supports the reliable cash flows and dividend growth</w:t>
      </w:r>
      <w:r>
        <w:rPr>
          <w:rFonts w:ascii="Arial" w:eastAsia="Times New Roman" w:hAnsi="Arial" w:cs="Arial"/>
          <w:sz w:val="20"/>
          <w:szCs w:val="20"/>
        </w:rPr>
        <w:t xml:space="preserve"> upon which our investor value proposition is based.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After taking into consideration the factors above, the remaining $28 million increase in earnings/(loss) attributable to common shareholders is primarily explained by the following significant business</w:t>
      </w:r>
      <w:r>
        <w:rPr>
          <w:rFonts w:ascii="Arial" w:eastAsia="Times New Roman" w:hAnsi="Arial" w:cs="Arial"/>
          <w:sz w:val="20"/>
          <w:szCs w:val="20"/>
        </w:rPr>
        <w:t xml:space="preserve">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64242274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stronger contributions from our Liquids Pipelines segment due to a higher International Joint Tariff (IJT) Benchmark Toll and higher Mainline System ex-Gretna throughput driven by an increase in supply and continuous capacity optimization;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572357838"/>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increased earnings from our Gas Transmission and Midstream segment due to settled rates on Texas Eastern, retroactive to June 1, 2019, resulting from the recent rate case settlement;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06649585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increased earnings from new Liquids Pipelines and Gas Tran</w:t>
            </w:r>
            <w:r>
              <w:rPr>
                <w:rFonts w:ascii="Arial" w:eastAsia="Times New Roman" w:hAnsi="Arial" w:cs="Arial"/>
                <w:sz w:val="20"/>
                <w:szCs w:val="20"/>
              </w:rPr>
              <w:t>smission and Midstream assets that were placed into service throughout 2019;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66424258"/>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decreased income tax expense due to decreased earnings and the effects of rate-regulated accounting, partially offset by a change in the United States minimum tax.</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5280517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decrease</w:t>
            </w:r>
            <w:r>
              <w:rPr>
                <w:rFonts w:ascii="Arial" w:eastAsia="Times New Roman" w:hAnsi="Arial" w:cs="Arial"/>
                <w:sz w:val="20"/>
                <w:szCs w:val="20"/>
              </w:rPr>
              <w:t>d earnings from our Energy Services segment due to the significant compression of location and quality differentials in certain markets and fewer opportunities to achieve profitable transportation margins on facilities which hold capacity obligations;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77551926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decreased earnings from our Gas Distribution and Storage segment due to warmer weather experienced in our franchise areas;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0928877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portion of our Canadian natural gas gathering and processing businesses which were sold on December 31, 2019;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03809299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higher depreciation and amortization expense as a result of new assets pla</w:t>
            </w:r>
            <w:r>
              <w:rPr>
                <w:rFonts w:ascii="Arial" w:eastAsia="Times New Roman" w:hAnsi="Arial" w:cs="Arial"/>
                <w:sz w:val="20"/>
                <w:szCs w:val="20"/>
              </w:rPr>
              <w:t>ced into service throughout 2019.</w:t>
            </w:r>
          </w:p>
        </w:tc>
      </w:tr>
    </w:tbl>
    <w:p w:rsidR="00000000" w:rsidRDefault="00E617AE">
      <w:pPr>
        <w:spacing w:line="288" w:lineRule="auto"/>
        <w:ind w:hanging="720"/>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BUSINESS SEGMENTS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LIQUIDS PIPELINES</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314266230"/>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314266230"/>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314266230"/>
        </w:trPr>
        <w:tc>
          <w:tcPr>
            <w:tcW w:w="0" w:type="auto"/>
            <w:tcMar>
              <w:top w:w="30" w:type="dxa"/>
              <w:left w:w="30" w:type="dxa"/>
              <w:bottom w:w="30" w:type="dxa"/>
              <w:right w:w="30" w:type="dxa"/>
            </w:tcMar>
            <w:vAlign w:val="bottom"/>
            <w:hideMark/>
          </w:tcPr>
          <w:p w:rsidR="00000000" w:rsidRDefault="00E617AE">
            <w:pPr>
              <w:divId w:val="154366535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31426623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31426623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314266230"/>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850</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2,072</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0"/>
          <w:szCs w:val="20"/>
        </w:rPr>
      </w:pPr>
    </w:p>
    <w:p w:rsidR="00000000" w:rsidRDefault="00E617AE">
      <w:pPr>
        <w:divId w:val="742677071"/>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40</w:t>
      </w:r>
    </w:p>
    <w:p w:rsidR="00000000" w:rsidRDefault="00E617AE">
      <w:pPr>
        <w:divId w:val="118913864"/>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E617AE">
      <w:pPr>
        <w:divId w:val="101757907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EBITDA was negatively impacted by $1,412 million due to certain unusual, infrequent or other non-operating factors, primarily exp</w:t>
      </w:r>
      <w:r>
        <w:rPr>
          <w:rFonts w:ascii="Arial" w:eastAsia="Times New Roman" w:hAnsi="Arial" w:cs="Arial"/>
          <w:sz w:val="20"/>
          <w:szCs w:val="20"/>
        </w:rPr>
        <w:t>lained by a non-cash, unrealized loss of $1,066 million in 2020, compared with a gain of $343 million in 2019, reflecting net fair value gains and losses arising from changes in the mark-to-market value of derivative financial instruments used to manage fo</w:t>
      </w:r>
      <w:r>
        <w:rPr>
          <w:rFonts w:ascii="Arial" w:eastAsia="Times New Roman" w:hAnsi="Arial" w:cs="Arial"/>
          <w:sz w:val="20"/>
          <w:szCs w:val="20"/>
        </w:rPr>
        <w:t>reign exchange risks.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After taking into consideration the factor above, the remaining $190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780303109"/>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higher IJT Benchmark Toll on our Mainline System of US$4.21 in 2020 compared with US$4.15 in 2019;</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3155810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higher Mainline System ex-Gretna throughput of 2,842 kbpd in 2020 compared with 2,717 kbpd in 2019 driven by an increase in supply and continuous ca</w:t>
            </w:r>
            <w:r>
              <w:rPr>
                <w:rFonts w:ascii="Arial" w:eastAsia="Times New Roman" w:hAnsi="Arial" w:cs="Arial"/>
                <w:sz w:val="20"/>
                <w:szCs w:val="20"/>
              </w:rPr>
              <w:t xml:space="preserve">pacity optimization;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17815136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contributions from the Canadian Line 3 Replacement (L3R) Program that was placed into service on December 1, 2019 with an interim surcharge on Mainline System volumes of US$0.20 per barrel for the IJT Benchmark Toll;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90047788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higher Flanagan South Pipeline and Spearhead Pipeline throughput period-over-period driven by the redirection of throughput to the Gulf Coast resulting from refinery outages in the United States Midwest.</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
          <w:szCs w:val="2"/>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GAS TRANSMISSION AND MIDSTREAM</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75"/>
        <w:gridCol w:w="827"/>
        <w:gridCol w:w="97"/>
        <w:gridCol w:w="827"/>
        <w:gridCol w:w="80"/>
      </w:tblGrid>
      <w:tr w:rsidR="00000000">
        <w:trPr>
          <w:divId w:val="847644406"/>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847644406"/>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847644406"/>
        </w:trPr>
        <w:tc>
          <w:tcPr>
            <w:tcW w:w="0" w:type="auto"/>
            <w:tcMar>
              <w:top w:w="30" w:type="dxa"/>
              <w:left w:w="30" w:type="dxa"/>
              <w:bottom w:w="30" w:type="dxa"/>
              <w:right w:w="30" w:type="dxa"/>
            </w:tcMar>
            <w:vAlign w:val="bottom"/>
            <w:hideMark/>
          </w:tcPr>
          <w:p w:rsidR="00000000" w:rsidRDefault="00E617AE">
            <w:pPr>
              <w:divId w:val="209049780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847644406"/>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847644406"/>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r>
      <w:tr w:rsidR="00000000">
        <w:trPr>
          <w:divId w:val="847644406"/>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(1,054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1,020</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EBITDA was negatively impacted by $2,131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2842540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$1,736 million in 2020 resulting from an impairment to the carrying value of our equity method investment in DCP Midstream related to a decline in the market price of DCP Midstream, LP's publicly-traded units;</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471094729"/>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$324 million in 202</w:t>
            </w:r>
            <w:r>
              <w:rPr>
                <w:rFonts w:ascii="Arial" w:eastAsia="Times New Roman" w:hAnsi="Arial" w:cs="Arial"/>
                <w:sz w:val="20"/>
                <w:szCs w:val="20"/>
              </w:rPr>
              <w:t>0 resulting from further asset and goodwill impairment losses at our equity method investee, DCP Midstream;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17449308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$159 million in 2020 resulting from the recent Texas Eastern rate case settlement that re-established the EDIT regulated liabil</w:t>
            </w:r>
            <w:r>
              <w:rPr>
                <w:rFonts w:ascii="Arial" w:eastAsia="Times New Roman" w:hAnsi="Arial" w:cs="Arial"/>
                <w:sz w:val="20"/>
                <w:szCs w:val="20"/>
              </w:rPr>
              <w:t>ity that was previously eliminated in December 2018.</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negative factors above were partially offset by a non-cash, positive equity earnings adjustment of $53 million in 2020 compared with a negative adjustment of $14 million in 2019 related to changes</w:t>
      </w:r>
      <w:r>
        <w:rPr>
          <w:rFonts w:ascii="Arial" w:eastAsia="Times New Roman" w:hAnsi="Arial" w:cs="Arial"/>
          <w:sz w:val="20"/>
          <w:szCs w:val="20"/>
        </w:rPr>
        <w:t xml:space="preserve"> in the mark-to-market value of derivative financial instruments of our equity method investee, DCP Midstream.</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After taking into consideration the factors above, the remaining $57 million increase </w:t>
      </w:r>
      <w:r>
        <w:rPr>
          <w:rFonts w:ascii="Arial" w:eastAsia="Times New Roman" w:hAnsi="Arial" w:cs="Arial"/>
          <w:sz w:val="20"/>
          <w:szCs w:val="20"/>
        </w:rPr>
        <w:t>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36497119"/>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higher revenues from settled rates on Texas Eastern, retroactive to June 1, 2019, resulting from the recent rate case settlement;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1628519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contributions from the Stratton Ridge pr</w:t>
            </w:r>
            <w:r>
              <w:rPr>
                <w:rFonts w:ascii="Arial" w:eastAsia="Times New Roman" w:hAnsi="Arial" w:cs="Arial"/>
                <w:sz w:val="20"/>
                <w:szCs w:val="20"/>
              </w:rPr>
              <w:t>oject and the second phase of the Atlantic Bridge project that were placed into service in the second and fourth quarters of 2019, respectively.</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30890154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absence of earnings in 2020 from the federally-regulated portion of our Canadian natural gas gathering and processing businesses which were sold on December 31, 2019;</w:t>
            </w:r>
          </w:p>
        </w:tc>
      </w:tr>
    </w:tbl>
    <w:p w:rsidR="00000000" w:rsidRDefault="00E617AE">
      <w:pPr>
        <w:divId w:val="739836442"/>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41</w:t>
      </w:r>
    </w:p>
    <w:p w:rsidR="00000000" w:rsidRDefault="00E617AE">
      <w:pPr>
        <w:divId w:val="118913864"/>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E617AE">
      <w:pPr>
        <w:divId w:val="7817242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3097521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higher operating costs on our US Ga</w:t>
            </w:r>
            <w:r>
              <w:rPr>
                <w:rFonts w:ascii="Arial" w:eastAsia="Times New Roman" w:hAnsi="Arial" w:cs="Arial"/>
                <w:sz w:val="20"/>
                <w:szCs w:val="20"/>
              </w:rPr>
              <w:t>s Transmission assets primarily due to higher pipeline integrity costs;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71"/>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936063416"/>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narrowing of the AECO-Chicago basis at our Alliance Pipeline joint venture.</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GAS DISTRIBUTION AND STORAGE</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588776880"/>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588776880"/>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588776880"/>
        </w:trPr>
        <w:tc>
          <w:tcPr>
            <w:tcW w:w="0" w:type="auto"/>
            <w:tcMar>
              <w:top w:w="30" w:type="dxa"/>
              <w:left w:w="30" w:type="dxa"/>
              <w:bottom w:w="30" w:type="dxa"/>
              <w:right w:w="30" w:type="dxa"/>
            </w:tcMar>
            <w:vAlign w:val="bottom"/>
            <w:hideMark/>
          </w:tcPr>
          <w:p w:rsidR="00000000" w:rsidRDefault="00E617AE">
            <w:pPr>
              <w:divId w:val="39435796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588776880"/>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20808613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588776880"/>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77131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79445219"/>
              <w:rPr>
                <w:rFonts w:eastAsia="Times New Roman"/>
                <w:sz w:val="20"/>
                <w:szCs w:val="20"/>
              </w:rPr>
            </w:pPr>
            <w:r>
              <w:rPr>
                <w:rFonts w:ascii="inherit" w:eastAsia="Times New Roman" w:hAnsi="inherit"/>
                <w:sz w:val="20"/>
                <w:szCs w:val="20"/>
              </w:rPr>
              <w:t> </w:t>
            </w:r>
          </w:p>
        </w:tc>
      </w:tr>
      <w:tr w:rsidR="00000000">
        <w:trPr>
          <w:divId w:val="588776880"/>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604</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662</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ind w:hanging="180"/>
        <w:divId w:val="118913864"/>
        <w:rPr>
          <w:rFonts w:eastAsia="Times New Roman"/>
          <w:sz w:val="16"/>
          <w:szCs w:val="16"/>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EBITDA was positively </w:t>
      </w:r>
      <w:r>
        <w:rPr>
          <w:rFonts w:ascii="Arial" w:eastAsia="Times New Roman" w:hAnsi="Arial" w:cs="Arial"/>
          <w:sz w:val="20"/>
          <w:szCs w:val="20"/>
        </w:rPr>
        <w:t>impacted by $26 million due to certain unusual, infrequent and other non-operating factors, primarily explained by employee severance and transition costs of $7 million in 2020 compared with $35 million in 2019 related to the amalgamation of Enbridge Gas D</w:t>
      </w:r>
      <w:r>
        <w:rPr>
          <w:rFonts w:ascii="Arial" w:eastAsia="Times New Roman" w:hAnsi="Arial" w:cs="Arial"/>
          <w:sz w:val="20"/>
          <w:szCs w:val="20"/>
        </w:rPr>
        <w:t xml:space="preserve">istribution Inc. (EGD) and Union Gas Limited (Union Gas).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After taking into consideration the factor above, the remaining $84 million decrease </w:t>
      </w:r>
      <w:r>
        <w:rPr>
          <w:rFonts w:ascii="Arial" w:eastAsia="Times New Roman" w:hAnsi="Arial" w:cs="Arial"/>
          <w:sz w:val="20"/>
          <w:szCs w:val="20"/>
        </w:rPr>
        <w:t>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175652876"/>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warmer weather experienced in our franchise service areas in 2020 when compared with the colder than normal weather experienced in 2019. When compared with the normal weather foreca</w:t>
            </w:r>
            <w:r>
              <w:rPr>
                <w:rFonts w:ascii="Arial" w:eastAsia="Times New Roman" w:hAnsi="Arial" w:cs="Arial"/>
                <w:sz w:val="20"/>
                <w:szCs w:val="20"/>
              </w:rPr>
              <w:t>st embedded in rates, the warmer weather in 2020 negatively impacted 2020 EBITDA by approximately $41 million while the colder weather in 2019 positively impacted 2019 EBITDA by approximately $33 million;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14191965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absence of earnings in 2020 from Enb</w:t>
            </w:r>
            <w:r>
              <w:rPr>
                <w:rFonts w:ascii="Arial" w:eastAsia="Times New Roman" w:hAnsi="Arial" w:cs="Arial"/>
                <w:sz w:val="20"/>
                <w:szCs w:val="20"/>
              </w:rPr>
              <w:t xml:space="preserve">ridge Gas New Brunswick and St. Lawrence Gas Company, Inc. which were sold on October 1, 2019 and November 1, 2019, respectively. </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negative business factors above were partially offset by higher distribution charges resulting from increases in custo</w:t>
      </w:r>
      <w:r>
        <w:rPr>
          <w:rFonts w:ascii="Arial" w:eastAsia="Times New Roman" w:hAnsi="Arial" w:cs="Arial"/>
          <w:sz w:val="20"/>
          <w:szCs w:val="20"/>
        </w:rPr>
        <w:t>mer base, as well as synergy captures realized from the amalgamation of EGD and Union Gas.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RENEWABLE POWER GENERATION</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150760552"/>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150760552"/>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50760552"/>
        </w:trPr>
        <w:tc>
          <w:tcPr>
            <w:tcW w:w="0" w:type="auto"/>
            <w:tcMar>
              <w:top w:w="30" w:type="dxa"/>
              <w:left w:w="30" w:type="dxa"/>
              <w:bottom w:w="30" w:type="dxa"/>
              <w:right w:w="30" w:type="dxa"/>
            </w:tcMar>
            <w:vAlign w:val="bottom"/>
            <w:hideMark/>
          </w:tcPr>
          <w:p w:rsidR="00000000" w:rsidRDefault="00E617AE">
            <w:pPr>
              <w:divId w:val="18475116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5076055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50760552"/>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150760552"/>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120</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124</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EBITDA decreased by $4 million primarily due to lower wind resources at Canadian wind facilities. This negative business factor was partially offset by contributions from the Hohe See Offshore Wind Project, which reached full operating capacity in October </w:t>
      </w:r>
      <w:r>
        <w:rPr>
          <w:rFonts w:ascii="Arial" w:eastAsia="Times New Roman" w:hAnsi="Arial" w:cs="Arial"/>
          <w:sz w:val="20"/>
          <w:szCs w:val="20"/>
        </w:rPr>
        <w:t>2019 and the expansion, which was placed into service in January 2020.</w:t>
      </w:r>
    </w:p>
    <w:p w:rsidR="00000000" w:rsidRDefault="00E617AE">
      <w:pPr>
        <w:spacing w:line="288" w:lineRule="auto"/>
        <w:ind w:hanging="720"/>
        <w:divId w:val="118913864"/>
        <w:rPr>
          <w:rFonts w:eastAsia="Times New Roman"/>
          <w:sz w:val="20"/>
          <w:szCs w:val="20"/>
        </w:rPr>
      </w:pPr>
    </w:p>
    <w:p w:rsidR="00000000" w:rsidRDefault="00E617AE">
      <w:pPr>
        <w:divId w:val="1732607215"/>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42</w:t>
      </w:r>
    </w:p>
    <w:p w:rsidR="00000000" w:rsidRDefault="00E617AE">
      <w:pPr>
        <w:divId w:val="118913864"/>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E617AE">
      <w:pPr>
        <w:divId w:val="201045034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ENERGY SERVICES</w:t>
      </w:r>
    </w:p>
    <w:p w:rsidR="00000000" w:rsidRDefault="00E617AE">
      <w:pPr>
        <w:spacing w:line="288" w:lineRule="auto"/>
        <w:divId w:val="118913864"/>
        <w:rPr>
          <w:rFonts w:eastAsia="Times New Roman"/>
          <w:sz w:val="2"/>
          <w:szCs w:val="2"/>
        </w:rPr>
      </w:pP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trPr>
          <w:divId w:val="1066227327"/>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1066227327"/>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066227327"/>
        </w:trPr>
        <w:tc>
          <w:tcPr>
            <w:tcW w:w="0" w:type="auto"/>
            <w:tcMar>
              <w:top w:w="30" w:type="dxa"/>
              <w:left w:w="30" w:type="dxa"/>
              <w:bottom w:w="30" w:type="dxa"/>
              <w:right w:w="30" w:type="dxa"/>
            </w:tcMar>
            <w:vAlign w:val="bottom"/>
            <w:hideMark/>
          </w:tcPr>
          <w:p w:rsidR="00000000" w:rsidRDefault="00E617AE">
            <w:pPr>
              <w:divId w:val="202894834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066227327"/>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066227327"/>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1066227327"/>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121</w:t>
            </w:r>
          </w:p>
        </w:tc>
        <w:tc>
          <w:tcPr>
            <w:tcW w:w="0" w:type="auto"/>
            <w:tcBorders>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6</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w:t>
      </w:r>
      <w:r>
        <w:rPr>
          <w:rFonts w:ascii="Arial" w:eastAsia="Times New Roman" w:hAnsi="Arial" w:cs="Arial"/>
          <w:sz w:val="20"/>
          <w:szCs w:val="20"/>
        </w:rPr>
        <w:t>BITDA was net positively impacted by $304 million due to certain unusual, infrequent or other non-operating factors, primarily explained by a non-cash, unrealized gain of $551 million in 2020, compared with a loss of $160 million in 2019, reflecting the re</w:t>
      </w:r>
      <w:r>
        <w:rPr>
          <w:rFonts w:ascii="Arial" w:eastAsia="Times New Roman" w:hAnsi="Arial" w:cs="Arial"/>
          <w:sz w:val="20"/>
          <w:szCs w:val="20"/>
        </w:rPr>
        <w:t>valuation of derivatives used to manage the profitability of transportation and storage transactions, as well as manage the exposure to movements in commodity prices. This positive factor was offset by a non-cash, write-down of crude oil and natural gas in</w:t>
      </w:r>
      <w:r>
        <w:rPr>
          <w:rFonts w:ascii="Arial" w:eastAsia="Times New Roman" w:hAnsi="Arial" w:cs="Arial"/>
          <w:sz w:val="20"/>
          <w:szCs w:val="20"/>
        </w:rPr>
        <w:t>ventories to the lower of cost or market of $417 million in 2020 compared with $10 million in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After taking into consideration the factors above, the remaining $189 million decrease reflects the significant compression of location and quality differ</w:t>
      </w:r>
      <w:r>
        <w:rPr>
          <w:rFonts w:ascii="Arial" w:eastAsia="Times New Roman" w:hAnsi="Arial" w:cs="Arial"/>
          <w:sz w:val="20"/>
          <w:szCs w:val="20"/>
        </w:rPr>
        <w:t>entials in certain markets and fewer opportunities to achieve profitable transportation margins on facilities which Energy Services holds capacity obligations. The first quarter of 2019 was exceptionally strong, benefiting from favorable location and quali</w:t>
      </w:r>
      <w:r>
        <w:rPr>
          <w:rFonts w:ascii="Arial" w:eastAsia="Times New Roman" w:hAnsi="Arial" w:cs="Arial"/>
          <w:sz w:val="20"/>
          <w:szCs w:val="20"/>
        </w:rPr>
        <w:t xml:space="preserve">ty differentials, which increased opportunities to realize profitable margins.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ELIMINATIONS AND OTHER</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75"/>
        <w:gridCol w:w="827"/>
        <w:gridCol w:w="97"/>
        <w:gridCol w:w="827"/>
        <w:gridCol w:w="80"/>
      </w:tblGrid>
      <w:tr w:rsidR="00000000">
        <w:trPr>
          <w:divId w:val="114831998"/>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114831998"/>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4831998"/>
        </w:trPr>
        <w:tc>
          <w:tcPr>
            <w:tcW w:w="0" w:type="auto"/>
            <w:tcMar>
              <w:top w:w="30" w:type="dxa"/>
              <w:left w:w="30" w:type="dxa"/>
              <w:bottom w:w="30" w:type="dxa"/>
              <w:right w:w="30" w:type="dxa"/>
            </w:tcMar>
            <w:vAlign w:val="bottom"/>
            <w:hideMark/>
          </w:tcPr>
          <w:p w:rsidR="00000000" w:rsidRDefault="00E617AE">
            <w:pPr>
              <w:divId w:val="152109075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114831998"/>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651790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14831998"/>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E617AE">
            <w:pPr>
              <w:divId w:val="945845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617AE">
            <w:pPr>
              <w:divId w:val="1322393491"/>
              <w:rPr>
                <w:rFonts w:eastAsia="Times New Roman"/>
                <w:sz w:val="20"/>
                <w:szCs w:val="20"/>
              </w:rPr>
            </w:pPr>
            <w:r>
              <w:rPr>
                <w:rFonts w:ascii="inherit" w:eastAsia="Times New Roman" w:hAnsi="inherit"/>
                <w:sz w:val="20"/>
                <w:szCs w:val="20"/>
              </w:rPr>
              <w:t> </w:t>
            </w:r>
          </w:p>
        </w:tc>
      </w:tr>
      <w:tr w:rsidR="00000000">
        <w:trPr>
          <w:divId w:val="114831998"/>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(966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248</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sz w:val="20"/>
          <w:szCs w:val="20"/>
        </w:rPr>
        <w:t>d corporate investments.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Three months ended March 31, 2020, compared with the three months ended March 31, 2019</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EBITDA was negatively impacted by $1,239 million due to certain unusual, infrequent and other non-operating factors, primarily explained by </w:t>
      </w:r>
      <w:r>
        <w:rPr>
          <w:rFonts w:ascii="Arial" w:eastAsia="Times New Roman" w:hAnsi="Arial" w:cs="Arial"/>
          <w:sz w:val="20"/>
          <w:szCs w:val="20"/>
        </w:rPr>
        <w:t>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41478467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non-cash, unrealized loss of $898 million in 2020, compared with a gain of $252 million in 2019</w:t>
            </w:r>
            <w:r>
              <w:rPr>
                <w:rFonts w:ascii="Arial" w:eastAsia="Times New Roman" w:hAnsi="Arial" w:cs="Arial"/>
                <w:sz w:val="20"/>
                <w:szCs w:val="20"/>
              </w:rPr>
              <w:t>, reflecting net fair value gains and losses arising from the change in the mark-to-market value of derivative financial instruments used to manage foreign exchange risk;</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12580253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$74 million in 2020 from non-cash changes in a corporate guarantee o</w:t>
            </w:r>
            <w:r>
              <w:rPr>
                <w:rFonts w:ascii="Arial" w:eastAsia="Times New Roman" w:hAnsi="Arial" w:cs="Arial"/>
                <w:sz w:val="20"/>
                <w:szCs w:val="20"/>
              </w:rPr>
              <w:t>bligation;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889878358"/>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 loss of $43 million in 2020 from the write-down of certain minor investments in emerging energy and other technologies.</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After taking into consideration the factors above, the remaining $25 million increase is primarily explained </w:t>
      </w:r>
      <w:r>
        <w:rPr>
          <w:rFonts w:ascii="Arial" w:eastAsia="Times New Roman" w:hAnsi="Arial" w:cs="Arial"/>
          <w:sz w:val="20"/>
          <w:szCs w:val="20"/>
        </w:rPr>
        <w:t xml:space="preserve">by lower operating and administrative costs in 2020 and the timing of the recovery of certain operating administrative costs allocated to the business segments. </w:t>
      </w:r>
    </w:p>
    <w:p w:rsidR="00000000" w:rsidRDefault="00E617AE">
      <w:pPr>
        <w:spacing w:line="288" w:lineRule="auto"/>
        <w:divId w:val="118913864"/>
        <w:rPr>
          <w:rFonts w:eastAsia="Times New Roman"/>
          <w:sz w:val="20"/>
          <w:szCs w:val="20"/>
        </w:rPr>
      </w:pPr>
    </w:p>
    <w:p w:rsidR="00000000" w:rsidRDefault="00E617AE">
      <w:pPr>
        <w:divId w:val="60962712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43</w:t>
      </w:r>
    </w:p>
    <w:p w:rsidR="00000000" w:rsidRDefault="00E617AE">
      <w:pPr>
        <w:divId w:val="118913864"/>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E617AE">
      <w:pPr>
        <w:divId w:val="420370718"/>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 xml:space="preserve">GROWTH PROJECTS – COMMERCIALLY SECURED PROJECTS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5000" w:type="pct"/>
        <w:tblCellMar>
          <w:left w:w="0" w:type="dxa"/>
          <w:right w:w="0" w:type="dxa"/>
        </w:tblCellMar>
        <w:tblLook w:val="04A0" w:firstRow="1" w:lastRow="0" w:firstColumn="1" w:lastColumn="0" w:noHBand="0" w:noVBand="1"/>
      </w:tblPr>
      <w:tblGrid>
        <w:gridCol w:w="339"/>
        <w:gridCol w:w="2028"/>
        <w:gridCol w:w="1064"/>
        <w:gridCol w:w="208"/>
        <w:gridCol w:w="1225"/>
        <w:gridCol w:w="1327"/>
        <w:gridCol w:w="1139"/>
        <w:gridCol w:w="976"/>
      </w:tblGrid>
      <w:tr w:rsidR="00000000">
        <w:trPr>
          <w:divId w:val="278949811"/>
        </w:trPr>
        <w:tc>
          <w:tcPr>
            <w:tcW w:w="0" w:type="auto"/>
            <w:gridSpan w:val="8"/>
            <w:vAlign w:val="center"/>
            <w:hideMark/>
          </w:tcPr>
          <w:p w:rsidR="00000000" w:rsidRDefault="00E617AE">
            <w:pPr>
              <w:spacing w:line="288" w:lineRule="auto"/>
              <w:rPr>
                <w:rFonts w:eastAsia="Times New Roman"/>
                <w:sz w:val="20"/>
                <w:szCs w:val="20"/>
              </w:rPr>
            </w:pPr>
          </w:p>
        </w:tc>
      </w:tr>
      <w:tr w:rsidR="00000000">
        <w:trPr>
          <w:divId w:val="278949811"/>
        </w:trPr>
        <w:tc>
          <w:tcPr>
            <w:tcW w:w="250" w:type="pct"/>
            <w:vAlign w:val="center"/>
            <w:hideMark/>
          </w:tcPr>
          <w:p w:rsidR="00000000" w:rsidRDefault="00E617AE">
            <w:pPr>
              <w:rPr>
                <w:rFonts w:eastAsia="Times New Roman"/>
                <w:sz w:val="20"/>
                <w:szCs w:val="20"/>
              </w:rPr>
            </w:pPr>
          </w:p>
        </w:tc>
        <w:tc>
          <w:tcPr>
            <w:tcW w:w="130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00" w:type="pct"/>
            <w:vAlign w:val="center"/>
            <w:hideMark/>
          </w:tcPr>
          <w:p w:rsidR="00000000" w:rsidRDefault="00E617AE">
            <w:pPr>
              <w:rPr>
                <w:rFonts w:eastAsia="Times New Roman"/>
                <w:sz w:val="20"/>
                <w:szCs w:val="20"/>
              </w:rPr>
            </w:pPr>
          </w:p>
        </w:tc>
        <w:tc>
          <w:tcPr>
            <w:tcW w:w="75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r>
      <w:tr w:rsidR="00000000">
        <w:trPr>
          <w:divId w:val="27894981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555892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279448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Enbridge's Ownership Interest</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 xml:space="preserve">Capital </w:t>
            </w:r>
          </w:p>
          <w:p w:rsidR="00000000" w:rsidRDefault="00E617AE">
            <w:pPr>
              <w:jc w:val="right"/>
              <w:rPr>
                <w:rFonts w:eastAsia="Times New Roman"/>
                <w:sz w:val="20"/>
                <w:szCs w:val="20"/>
              </w:rPr>
            </w:pPr>
            <w:r>
              <w:rPr>
                <w:rFonts w:ascii="Arial" w:eastAsia="Times New Roman" w:hAnsi="Arial" w:cs="Arial"/>
                <w:b/>
                <w:bCs/>
                <w:sz w:val="20"/>
                <w:szCs w:val="20"/>
              </w:rPr>
              <w:t>Cost</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Expenditures</w:t>
            </w:r>
            <w:r>
              <w:rPr>
                <w:rFonts w:ascii="Arial" w:eastAsia="Times New Roman" w:hAnsi="Arial" w:cs="Arial"/>
                <w:b/>
                <w:bCs/>
                <w:sz w:val="20"/>
                <w:szCs w:val="20"/>
              </w:rPr>
              <w:br/>
              <w:t>to Date</w:t>
            </w:r>
            <w:r>
              <w:rPr>
                <w:rFonts w:ascii="Arial" w:eastAsia="Times New Roman" w:hAnsi="Arial" w:cs="Arial"/>
                <w:b/>
                <w:bCs/>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Status</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Expected</w:t>
            </w:r>
            <w:r>
              <w:rPr>
                <w:rFonts w:ascii="Arial" w:eastAsia="Times New Roman" w:hAnsi="Arial" w:cs="Arial"/>
                <w:b/>
                <w:bCs/>
                <w:sz w:val="20"/>
                <w:szCs w:val="20"/>
              </w:rPr>
              <w:br/>
              <w:t>In-Service</w:t>
            </w:r>
            <w:r>
              <w:rPr>
                <w:rFonts w:ascii="Arial" w:eastAsia="Times New Roman" w:hAnsi="Arial" w:cs="Arial"/>
                <w:b/>
                <w:bCs/>
                <w:sz w:val="20"/>
                <w:szCs w:val="20"/>
              </w:rPr>
              <w:br/>
              <w:t>Date</w:t>
            </w:r>
          </w:p>
        </w:tc>
      </w:tr>
      <w:tr w:rsidR="00000000">
        <w:trPr>
          <w:divId w:val="278949811"/>
        </w:trPr>
        <w:tc>
          <w:tcPr>
            <w:tcW w:w="0" w:type="auto"/>
            <w:gridSpan w:val="4"/>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rsidR="00000000" w:rsidRDefault="00E617AE">
            <w:pPr>
              <w:divId w:val="1207336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62562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60755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347145628"/>
              <w:rPr>
                <w:rFonts w:eastAsia="Times New Roman"/>
                <w:sz w:val="20"/>
                <w:szCs w:val="20"/>
              </w:rPr>
            </w:pPr>
            <w:r>
              <w:rPr>
                <w:rFonts w:ascii="inherit" w:eastAsia="Times New Roman" w:hAnsi="inherit"/>
                <w:sz w:val="20"/>
                <w:szCs w:val="20"/>
              </w:rPr>
              <w:t> </w:t>
            </w:r>
          </w:p>
        </w:tc>
      </w:tr>
      <w:tr w:rsidR="00000000">
        <w:trPr>
          <w:divId w:val="278949811"/>
        </w:trPr>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LIQUIDS PIPELINES</w:t>
            </w:r>
          </w:p>
        </w:tc>
        <w:tc>
          <w:tcPr>
            <w:tcW w:w="0" w:type="auto"/>
            <w:gridSpan w:val="2"/>
            <w:tcMar>
              <w:top w:w="30" w:type="dxa"/>
              <w:left w:w="30" w:type="dxa"/>
              <w:bottom w:w="30" w:type="dxa"/>
              <w:right w:w="30" w:type="dxa"/>
            </w:tcMar>
            <w:vAlign w:val="bottom"/>
            <w:hideMark/>
          </w:tcPr>
          <w:p w:rsidR="00000000" w:rsidRDefault="00E617AE">
            <w:pPr>
              <w:divId w:val="1117025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31853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2032031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57473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514854538"/>
              <w:rPr>
                <w:rFonts w:eastAsia="Times New Roman"/>
                <w:sz w:val="20"/>
                <w:szCs w:val="20"/>
              </w:rPr>
            </w:pPr>
            <w:r>
              <w:rPr>
                <w:rFonts w:ascii="inherit" w:eastAsia="Times New Roman" w:hAnsi="inherit"/>
                <w:sz w:val="20"/>
                <w:szCs w:val="20"/>
              </w:rPr>
              <w:t> </w:t>
            </w:r>
          </w:p>
        </w:tc>
      </w:tr>
      <w:tr w:rsidR="00000000">
        <w:trPr>
          <w:divId w:val="278949811"/>
        </w:trPr>
        <w:tc>
          <w:tcPr>
            <w:tcW w:w="0" w:type="auto"/>
            <w:tcBorders>
              <w:top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1.</w:t>
            </w:r>
          </w:p>
        </w:tc>
        <w:tc>
          <w:tcPr>
            <w:tcW w:w="0" w:type="auto"/>
            <w:tcBorders>
              <w:top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 xml:space="preserve">United States Line 3 Replacement Program </w:t>
            </w:r>
          </w:p>
        </w:tc>
        <w:tc>
          <w:tcPr>
            <w:tcW w:w="0" w:type="auto"/>
            <w:tcBorders>
              <w:top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US$2.9 billion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US$1.4 billion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review</w:t>
            </w:r>
            <w:r>
              <w:rPr>
                <w:rFonts w:ascii="Arial" w:eastAsia="Times New Roman" w:hAnsi="Arial" w:cs="Arial"/>
                <w:sz w:val="10"/>
                <w:szCs w:val="10"/>
                <w:vertAlign w:val="superscript"/>
              </w:rPr>
              <w:t>3</w:t>
            </w:r>
          </w:p>
        </w:tc>
      </w:tr>
      <w:tr w:rsidR="00000000">
        <w:trPr>
          <w:divId w:val="278949811"/>
        </w:trPr>
        <w:tc>
          <w:tcPr>
            <w:tcW w:w="0" w:type="auto"/>
            <w:tcBorders>
              <w:top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2.</w:t>
            </w:r>
          </w:p>
        </w:tc>
        <w:tc>
          <w:tcPr>
            <w:tcW w:w="0" w:type="auto"/>
            <w:tcBorders>
              <w:top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Southern Access Expansion</w:t>
            </w:r>
          </w:p>
        </w:tc>
        <w:tc>
          <w:tcPr>
            <w:tcW w:w="0" w:type="auto"/>
            <w:tcBorders>
              <w:top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review</w:t>
            </w:r>
            <w:r>
              <w:rPr>
                <w:rFonts w:ascii="Arial" w:eastAsia="Times New Roman" w:hAnsi="Arial" w:cs="Arial"/>
                <w:sz w:val="10"/>
                <w:szCs w:val="10"/>
                <w:vertAlign w:val="superscript"/>
              </w:rPr>
              <w:t>4</w:t>
            </w:r>
          </w:p>
        </w:tc>
      </w:tr>
      <w:tr w:rsidR="00000000">
        <w:trPr>
          <w:divId w:val="278949811"/>
        </w:trPr>
        <w:tc>
          <w:tcPr>
            <w:tcW w:w="0" w:type="auto"/>
            <w:tcBorders>
              <w:top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3.</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Other - United States</w:t>
            </w:r>
          </w:p>
        </w:tc>
        <w:tc>
          <w:tcPr>
            <w:tcW w:w="0" w:type="auto"/>
            <w:tcBorders>
              <w:top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US$0.1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1H - 2021</w:t>
            </w:r>
          </w:p>
        </w:tc>
      </w:tr>
      <w:tr w:rsidR="00000000">
        <w:trPr>
          <w:divId w:val="278949811"/>
        </w:trPr>
        <w:tc>
          <w:tcPr>
            <w:tcW w:w="0" w:type="auto"/>
            <w:gridSpan w:val="4"/>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GAS TRANSMISSION AND MIDSTREAM</w:t>
            </w:r>
          </w:p>
        </w:tc>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14698631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20743075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1510177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E617AE">
            <w:pPr>
              <w:divId w:val="2099129927"/>
              <w:rPr>
                <w:rFonts w:eastAsia="Times New Roman"/>
                <w:sz w:val="20"/>
                <w:szCs w:val="20"/>
              </w:rPr>
            </w:pPr>
            <w:r>
              <w:rPr>
                <w:rFonts w:ascii="inherit" w:eastAsia="Times New Roman" w:hAnsi="inherit"/>
                <w:sz w:val="20"/>
                <w:szCs w:val="20"/>
              </w:rPr>
              <w:t> </w:t>
            </w:r>
          </w:p>
        </w:tc>
      </w:tr>
      <w:tr w:rsidR="00000000">
        <w:trPr>
          <w:divId w:val="278949811"/>
        </w:trPr>
        <w:tc>
          <w:tcPr>
            <w:tcW w:w="0" w:type="auto"/>
            <w:tcBorders>
              <w:top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4.</w:t>
            </w:r>
          </w:p>
        </w:tc>
        <w:tc>
          <w:tcPr>
            <w:tcW w:w="0" w:type="auto"/>
            <w:tcBorders>
              <w:top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 xml:space="preserve">T-South Reliability &amp; Expansion Program </w:t>
            </w:r>
          </w:p>
        </w:tc>
        <w:tc>
          <w:tcPr>
            <w:tcW w:w="0" w:type="auto"/>
            <w:tcBorders>
              <w:top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$1.0 billion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2H - 2021</w:t>
            </w:r>
          </w:p>
        </w:tc>
      </w:tr>
      <w:tr w:rsidR="00000000">
        <w:trPr>
          <w:divId w:val="278949811"/>
        </w:trPr>
        <w:tc>
          <w:tcPr>
            <w:tcW w:w="0" w:type="auto"/>
            <w:tcBorders>
              <w:top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5.</w:t>
            </w:r>
          </w:p>
        </w:tc>
        <w:tc>
          <w:tcPr>
            <w:tcW w:w="0" w:type="auto"/>
            <w:tcBorders>
              <w:top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Spruce Ridge Project</w:t>
            </w:r>
          </w:p>
        </w:tc>
        <w:tc>
          <w:tcPr>
            <w:tcW w:w="0" w:type="auto"/>
            <w:tcBorders>
              <w:top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2H - 2021</w:t>
            </w:r>
          </w:p>
        </w:tc>
      </w:tr>
      <w:tr w:rsidR="00000000">
        <w:trPr>
          <w:divId w:val="278949811"/>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6.</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ind w:hanging="180"/>
              <w:divId w:val="1882552569"/>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5</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Various</w:t>
            </w:r>
          </w:p>
        </w:tc>
        <w:tc>
          <w:tcPr>
            <w:tcW w:w="0" w:type="auto"/>
            <w:tcBorders>
              <w:top w:val="single" w:sz="6" w:space="0" w:color="000000"/>
              <w:bottom w:val="single" w:sz="6" w:space="0" w:color="000000"/>
            </w:tcBorders>
            <w:vAlign w:val="bottom"/>
            <w:hideMark/>
          </w:tcPr>
          <w:p w:rsidR="00000000" w:rsidRDefault="00E617AE">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US$1.0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2020 - 2023</w:t>
            </w:r>
          </w:p>
        </w:tc>
      </w:tr>
      <w:tr w:rsidR="00000000">
        <w:trPr>
          <w:divId w:val="278949811"/>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GAS DISTRIBUTION AND STORAGE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470560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152337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1731229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2065835066"/>
              <w:rPr>
                <w:rFonts w:eastAsia="Times New Roman"/>
                <w:sz w:val="20"/>
                <w:szCs w:val="20"/>
              </w:rPr>
            </w:pPr>
            <w:r>
              <w:rPr>
                <w:rFonts w:ascii="inherit" w:eastAsia="Times New Roman" w:hAnsi="inherit"/>
                <w:sz w:val="20"/>
                <w:szCs w:val="20"/>
              </w:rPr>
              <w:t> </w:t>
            </w:r>
          </w:p>
        </w:tc>
      </w:tr>
      <w:tr w:rsidR="00000000">
        <w:trPr>
          <w:divId w:val="278949811"/>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7.</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System Modernization - Windsor &amp; Owen Sound</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Q4 - 2020</w:t>
            </w:r>
          </w:p>
        </w:tc>
      </w:tr>
      <w:tr w:rsidR="00000000">
        <w:trPr>
          <w:divId w:val="278949811"/>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8.</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2H - 2021</w:t>
            </w:r>
          </w:p>
        </w:tc>
      </w:tr>
      <w:tr w:rsidR="00000000">
        <w:trPr>
          <w:divId w:val="278949811"/>
        </w:trPr>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RENEWABLE POWER GENE</w:t>
            </w:r>
            <w:r>
              <w:rPr>
                <w:rFonts w:ascii="Arial" w:eastAsia="Times New Roman" w:hAnsi="Arial" w:cs="Arial"/>
                <w:b/>
                <w:bCs/>
                <w:sz w:val="20"/>
                <w:szCs w:val="20"/>
              </w:rPr>
              <w:t>RATION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1256592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2027826930"/>
              <w:rPr>
                <w:rFonts w:eastAsia="Times New Roman"/>
                <w:sz w:val="20"/>
                <w:szCs w:val="20"/>
              </w:rPr>
            </w:pPr>
            <w:r>
              <w:rPr>
                <w:rFonts w:ascii="inherit" w:eastAsia="Times New Roman" w:hAnsi="inherit"/>
                <w:sz w:val="20"/>
                <w:szCs w:val="20"/>
              </w:rPr>
              <w:t> </w:t>
            </w:r>
          </w:p>
        </w:tc>
      </w:tr>
      <w:tr w:rsidR="00000000">
        <w:trPr>
          <w:divId w:val="278949811"/>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9.</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ind w:hanging="180"/>
              <w:rPr>
                <w:rFonts w:eastAsia="Times New Roman"/>
                <w:sz w:val="20"/>
                <w:szCs w:val="20"/>
              </w:rPr>
            </w:pPr>
            <w:r>
              <w:rPr>
                <w:rFonts w:ascii="Arial" w:eastAsia="Times New Roman" w:hAnsi="Arial" w:cs="Arial"/>
                <w:sz w:val="20"/>
                <w:szCs w:val="20"/>
              </w:rPr>
              <w:t>East-West Tie Line</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$0.2 billion</w:t>
            </w:r>
          </w:p>
        </w:tc>
        <w:tc>
          <w:tcPr>
            <w:tcW w:w="0" w:type="auto"/>
            <w:tcBorders>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2H - 2021</w:t>
            </w:r>
          </w:p>
        </w:tc>
      </w:tr>
      <w:tr w:rsidR="00000000">
        <w:trPr>
          <w:divId w:val="278949811"/>
        </w:trPr>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10.</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E617AE">
            <w:pPr>
              <w:ind w:hanging="180"/>
              <w:divId w:val="2095398404"/>
              <w:rPr>
                <w:rFonts w:eastAsia="Times New Roman"/>
                <w:sz w:val="20"/>
                <w:szCs w:val="20"/>
              </w:rPr>
            </w:pPr>
            <w:r>
              <w:rPr>
                <w:rFonts w:ascii="Arial" w:eastAsia="Times New Roman" w:hAnsi="Arial" w:cs="Arial"/>
                <w:sz w:val="20"/>
                <w:szCs w:val="20"/>
              </w:rPr>
              <w:t>Saint-Nazaire France Offshore Wind Project</w:t>
            </w:r>
            <w:r>
              <w:rPr>
                <w:rFonts w:ascii="Arial" w:eastAsia="Times New Roman" w:hAnsi="Arial" w:cs="Arial"/>
                <w:sz w:val="10"/>
                <w:szCs w:val="10"/>
                <w:vertAlign w:val="superscript"/>
              </w:rPr>
              <w:t>6</w:t>
            </w:r>
          </w:p>
        </w:tc>
        <w:tc>
          <w:tcPr>
            <w:tcW w:w="0" w:type="auto"/>
            <w:vMerge w:val="restart"/>
            <w:tcBorders>
              <w:top w:val="single" w:sz="6" w:space="0" w:color="000000"/>
              <w:bottom w:val="single" w:sz="8" w:space="0" w:color="000000"/>
            </w:tcBorders>
            <w:tcMar>
              <w:top w:w="30" w:type="dxa"/>
              <w:left w:w="30" w:type="dxa"/>
              <w:bottom w:w="30" w:type="dxa"/>
              <w:right w:w="0" w:type="dxa"/>
            </w:tcMar>
            <w:hideMark/>
          </w:tcPr>
          <w:p w:rsidR="00000000" w:rsidRDefault="00E617AE">
            <w:pPr>
              <w:jc w:val="right"/>
              <w:rPr>
                <w:rFonts w:eastAsia="Times New Roman"/>
                <w:sz w:val="20"/>
                <w:szCs w:val="20"/>
              </w:rPr>
            </w:pPr>
            <w:r>
              <w:rPr>
                <w:rFonts w:ascii="Arial" w:eastAsia="Times New Roman" w:hAnsi="Arial" w:cs="Arial"/>
                <w:sz w:val="20"/>
                <w:szCs w:val="20"/>
              </w:rPr>
              <w:t>25.5</w:t>
            </w:r>
          </w:p>
        </w:tc>
        <w:tc>
          <w:tcPr>
            <w:tcW w:w="0" w:type="auto"/>
            <w:vMerge w:val="restart"/>
            <w:tcBorders>
              <w:top w:val="single" w:sz="6" w:space="0" w:color="000000"/>
              <w:bottom w:val="single" w:sz="8" w:space="0" w:color="000000"/>
            </w:tcBorders>
            <w:tcMar>
              <w:top w:w="30" w:type="dxa"/>
              <w:left w:w="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$0.9 billion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$0.1 billion</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2H - 2022</w:t>
            </w:r>
          </w:p>
        </w:tc>
      </w:tr>
      <w:tr w:rsidR="00000000">
        <w:trPr>
          <w:divId w:val="278949811"/>
        </w:trPr>
        <w:tc>
          <w:tcPr>
            <w:tcW w:w="0" w:type="auto"/>
            <w:vMerge/>
            <w:tcBorders>
              <w:top w:val="single" w:sz="6" w:space="0" w:color="000000"/>
              <w:bottom w:val="single" w:sz="8" w:space="0" w:color="000000"/>
            </w:tcBorders>
            <w:vAlign w:val="center"/>
            <w:hideMark/>
          </w:tcPr>
          <w:p w:rsidR="00000000" w:rsidRDefault="00E617AE">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E617AE">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E617AE">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0.6 billion)</w:t>
            </w:r>
          </w:p>
        </w:tc>
        <w:tc>
          <w:tcPr>
            <w:tcW w:w="0" w:type="auto"/>
            <w:tcBorders>
              <w:bottom w:val="single" w:sz="8" w:space="0" w:color="000000"/>
            </w:tcBorders>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(€0.1 billion)</w:t>
            </w:r>
          </w:p>
        </w:tc>
        <w:tc>
          <w:tcPr>
            <w:tcW w:w="0" w:type="auto"/>
            <w:vMerge/>
            <w:tcBorders>
              <w:top w:val="single" w:sz="6" w:space="0" w:color="000000"/>
              <w:bottom w:val="single" w:sz="8" w:space="0" w:color="000000"/>
            </w:tcBorders>
            <w:vAlign w:val="center"/>
            <w:hideMark/>
          </w:tcPr>
          <w:p w:rsidR="00000000" w:rsidRDefault="00E617AE">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018048622"/>
              <w:rPr>
                <w:rFonts w:eastAsia="Times New Roman"/>
                <w:sz w:val="20"/>
                <w:szCs w:val="20"/>
              </w:rPr>
            </w:pPr>
            <w:r>
              <w:rPr>
                <w:rFonts w:ascii="inherit" w:eastAsia="Times New Roman" w:hAnsi="inherit"/>
                <w:sz w:val="20"/>
                <w:szCs w:val="20"/>
              </w:rPr>
              <w:t> </w:t>
            </w:r>
          </w:p>
        </w:tc>
      </w:tr>
    </w:tbl>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 xml:space="preserve">2 Expenditures to date reflect total cumulative expenditures incurred from </w:t>
      </w:r>
      <w:r>
        <w:rPr>
          <w:rFonts w:ascii="Arial" w:eastAsia="Times New Roman" w:hAnsi="Arial" w:cs="Arial"/>
          <w:i/>
          <w:iCs/>
          <w:sz w:val="16"/>
          <w:szCs w:val="16"/>
        </w:rPr>
        <w:t>inception of the project up to March 31, 2020.</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3 Update to in-service date pending receipt of all permits required to complete construction.</w:t>
      </w:r>
    </w:p>
    <w:p w:rsidR="00000000" w:rsidRDefault="00E617AE">
      <w:pPr>
        <w:spacing w:line="288" w:lineRule="auto"/>
        <w:divId w:val="118913864"/>
        <w:rPr>
          <w:rFonts w:eastAsia="Times New Roman"/>
          <w:sz w:val="16"/>
          <w:szCs w:val="16"/>
        </w:rPr>
      </w:pPr>
      <w:r>
        <w:rPr>
          <w:rFonts w:ascii="Arial" w:eastAsia="Times New Roman" w:hAnsi="Arial" w:cs="Arial"/>
          <w:i/>
          <w:iCs/>
          <w:sz w:val="16"/>
          <w:szCs w:val="16"/>
        </w:rPr>
        <w:t>4 Estimated in-service date will be adjusted to coincide with the in-service date of the U.S. L3R Program.</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5 Includ</w:t>
      </w:r>
      <w:r>
        <w:rPr>
          <w:rFonts w:ascii="Arial" w:eastAsia="Times New Roman" w:hAnsi="Arial" w:cs="Arial"/>
          <w:i/>
          <w:iCs/>
          <w:sz w:val="16"/>
          <w:szCs w:val="16"/>
        </w:rPr>
        <w:t>es the US$0.1 billion Sabal Trail Phase II project placed into service on May 1, 2020.</w:t>
      </w:r>
    </w:p>
    <w:p w:rsidR="00000000" w:rsidRDefault="00E617AE">
      <w:pPr>
        <w:spacing w:line="288" w:lineRule="auto"/>
        <w:ind w:hanging="180"/>
        <w:divId w:val="118913864"/>
        <w:rPr>
          <w:rFonts w:eastAsia="Times New Roman"/>
          <w:sz w:val="16"/>
          <w:szCs w:val="16"/>
        </w:rPr>
      </w:pPr>
      <w:r>
        <w:rPr>
          <w:rFonts w:ascii="Arial" w:eastAsia="Times New Roman" w:hAnsi="Arial" w:cs="Arial"/>
          <w:i/>
          <w:iCs/>
          <w:sz w:val="16"/>
          <w:szCs w:val="16"/>
        </w:rPr>
        <w:t>6 Reflects the sale of 49% of our investment in EMF to CPP Investments expected to close in the fourth quarter of 2020. After closing, our equity contribution will be $0</w:t>
      </w:r>
      <w:r>
        <w:rPr>
          <w:rFonts w:ascii="Arial" w:eastAsia="Times New Roman" w:hAnsi="Arial" w:cs="Arial"/>
          <w:i/>
          <w:iCs/>
          <w:sz w:val="16"/>
          <w:szCs w:val="16"/>
        </w:rPr>
        <w:t>.15 billion, with the remainder of the project financed through non-recourse project level debt.</w:t>
      </w:r>
    </w:p>
    <w:p w:rsidR="00000000" w:rsidRDefault="00E617AE">
      <w:pPr>
        <w:spacing w:line="288" w:lineRule="auto"/>
        <w:ind w:hanging="180"/>
        <w:divId w:val="118913864"/>
        <w:rPr>
          <w:rFonts w:eastAsia="Times New Roman"/>
          <w:sz w:val="16"/>
          <w:szCs w:val="16"/>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 full description of each of our projects is provided in our annual report on Form 10-K. Significant updates that have occurred since the date of filing are</w:t>
      </w:r>
      <w:r>
        <w:rPr>
          <w:rFonts w:ascii="Arial" w:eastAsia="Times New Roman" w:hAnsi="Arial" w:cs="Arial"/>
          <w:sz w:val="20"/>
          <w:szCs w:val="20"/>
        </w:rPr>
        <w:t xml:space="preserve"> discussed below.</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GAS TRANSMISSION AND MIDSTREAM</w:t>
      </w:r>
    </w:p>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8913864"/>
          <w:tblCellSpacing w:w="0" w:type="dxa"/>
        </w:trPr>
        <w:tc>
          <w:tcPr>
            <w:tcW w:w="36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33030979"/>
              <w:rPr>
                <w:rFonts w:eastAsia="Times New Roman"/>
                <w:sz w:val="20"/>
                <w:szCs w:val="20"/>
              </w:rPr>
            </w:pPr>
            <w:r>
              <w:rPr>
                <w:rFonts w:ascii="Arial" w:eastAsia="Times New Roman" w:hAnsi="Arial" w:cs="Arial"/>
                <w:b/>
                <w:bCs/>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b/>
                <w:bCs/>
                <w:sz w:val="20"/>
                <w:szCs w:val="20"/>
              </w:rPr>
              <w:t xml:space="preserve">Sabal Trail Phase II - </w:t>
            </w:r>
            <w:r>
              <w:rPr>
                <w:rFonts w:ascii="Arial" w:eastAsia="Times New Roman" w:hAnsi="Arial" w:cs="Arial"/>
                <w:sz w:val="20"/>
                <w:szCs w:val="20"/>
              </w:rPr>
              <w:t>an expansion of our existing Sabal Trail pipeline through the addition of two new greenfield compressor stations in Albany, Georgia and Dunnellon, Florida. The expansion recei</w:t>
            </w:r>
            <w:r>
              <w:rPr>
                <w:rFonts w:ascii="Arial" w:eastAsia="Times New Roman" w:hAnsi="Arial" w:cs="Arial"/>
                <w:sz w:val="20"/>
                <w:szCs w:val="20"/>
              </w:rPr>
              <w:t>ved FERC approval in April 2020 and was placed into service on May 1, 2020.</w:t>
            </w:r>
          </w:p>
        </w:tc>
      </w:tr>
    </w:tbl>
    <w:p w:rsidR="00000000" w:rsidRDefault="00E617AE">
      <w:pPr>
        <w:divId w:val="115737773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44</w:t>
      </w:r>
    </w:p>
    <w:p w:rsidR="00000000" w:rsidRDefault="00E617AE">
      <w:pPr>
        <w:divId w:val="118913864"/>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E617AE">
      <w:pPr>
        <w:divId w:val="1485657867"/>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RENEWABLE POWER GENERATION</w:t>
      </w:r>
    </w:p>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8913864"/>
          <w:tblCellSpacing w:w="0" w:type="dxa"/>
        </w:trPr>
        <w:tc>
          <w:tcPr>
            <w:tcW w:w="36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686056148"/>
              <w:rPr>
                <w:rFonts w:eastAsia="Times New Roman"/>
                <w:sz w:val="20"/>
                <w:szCs w:val="20"/>
              </w:rPr>
            </w:pPr>
            <w:r>
              <w:rPr>
                <w:rFonts w:ascii="Arial" w:eastAsia="Times New Roman" w:hAnsi="Arial" w:cs="Arial"/>
                <w:b/>
                <w:bCs/>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b/>
                <w:bCs/>
                <w:sz w:val="20"/>
                <w:szCs w:val="20"/>
              </w:rPr>
              <w:t xml:space="preserve">Saint-Nazaire France Offshore Wind Project - </w:t>
            </w:r>
            <w:r>
              <w:rPr>
                <w:rFonts w:ascii="Arial" w:eastAsia="Times New Roman" w:hAnsi="Arial" w:cs="Arial"/>
                <w:sz w:val="20"/>
                <w:szCs w:val="20"/>
              </w:rPr>
              <w:t>on May 1, 2020, we executed agreements to sell 49% of our investment in EMF to CPP Investments, inclusive of the Saint-Nazaire France Off</w:t>
            </w:r>
            <w:r>
              <w:rPr>
                <w:rFonts w:ascii="Arial" w:eastAsia="Times New Roman" w:hAnsi="Arial" w:cs="Arial"/>
                <w:sz w:val="20"/>
                <w:szCs w:val="20"/>
              </w:rPr>
              <w:t>shore Wind Project. Post closing, CPP Investments will fund their 49% share of all ongoing future development capital. Closing of the transaction is subject to customary regulatory approvals and is expected to occur in the fourth quarter of 2020.</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GROWTH</w:t>
      </w:r>
      <w:r>
        <w:rPr>
          <w:rFonts w:ascii="Arial" w:eastAsia="Times New Roman" w:hAnsi="Arial" w:cs="Arial"/>
          <w:b/>
          <w:bCs/>
          <w:sz w:val="26"/>
          <w:szCs w:val="26"/>
        </w:rPr>
        <w:t xml:space="preserve"> PROJECTS - REGULATORY MATTERS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United States Line 3 Replacement Program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3, 2020, the Minnesota Public Utilities Commission approved the adequacy of the revised Final Environmental Impact Statement and reinstated the Certificate of Need and Route Permit, allowing for construction of the pipeline to commence followin</w:t>
      </w:r>
      <w:r>
        <w:rPr>
          <w:rFonts w:ascii="Arial" w:eastAsia="Times New Roman" w:hAnsi="Arial" w:cs="Arial"/>
          <w:sz w:val="20"/>
          <w:szCs w:val="20"/>
        </w:rPr>
        <w:t>g the issuance of required permits.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As for environmental permits, the Minnesota Pollution Control Agency (MPCA) released a draft of the revised 401 Water Quality Certification in February 2020, and the public comment period closed on April 10, 2020. According to the MPCA permitting schedule,</w:t>
      </w:r>
      <w:r>
        <w:rPr>
          <w:rFonts w:ascii="Arial" w:eastAsia="Times New Roman" w:hAnsi="Arial" w:cs="Arial"/>
          <w:sz w:val="20"/>
          <w:szCs w:val="20"/>
        </w:rPr>
        <w:t xml:space="preserve"> the next critical phase is focused on the MPCA reviewing and considering public comments before making a certification decision.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At this time, we cannot determine when all necessary permits to commence construction will be issued. Depending on the final</w:t>
      </w:r>
      <w:r>
        <w:rPr>
          <w:rFonts w:ascii="Arial" w:eastAsia="Times New Roman" w:hAnsi="Arial" w:cs="Arial"/>
          <w:sz w:val="20"/>
          <w:szCs w:val="20"/>
        </w:rPr>
        <w:t xml:space="preserve"> in-service date, there is a risk that the project may exceed our total cost estimate of $9 billion for the combined L3R Program. However, at this time, we do not anticipate any capital cost impacts that would be material to our financial position and outl</w:t>
      </w:r>
      <w:r>
        <w:rPr>
          <w:rFonts w:ascii="Arial" w:eastAsia="Times New Roman" w:hAnsi="Arial" w:cs="Arial"/>
          <w:sz w:val="20"/>
          <w:szCs w:val="20"/>
        </w:rPr>
        <w:t>ook.</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OTHER ANNOUNCED PROJECTS UNDER DEVELOPMENT</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following projects have been announced by us, but have not yet met our criteria to be classified as commercially secured: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RENEWABLE POWER GENERATION</w:t>
      </w:r>
    </w:p>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18913864"/>
          <w:tblCellSpacing w:w="0" w:type="dxa"/>
        </w:trPr>
        <w:tc>
          <w:tcPr>
            <w:tcW w:w="36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994874721"/>
              <w:rPr>
                <w:rFonts w:eastAsia="Times New Roman"/>
                <w:sz w:val="20"/>
                <w:szCs w:val="20"/>
              </w:rPr>
            </w:pPr>
            <w:r>
              <w:rPr>
                <w:rFonts w:ascii="Arial" w:eastAsia="Times New Roman" w:hAnsi="Arial" w:cs="Arial"/>
                <w:b/>
                <w:bCs/>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b/>
                <w:bCs/>
                <w:sz w:val="20"/>
                <w:szCs w:val="20"/>
              </w:rPr>
              <w:t>Éolien Maritime France SAS -</w:t>
            </w:r>
            <w:r>
              <w:rPr>
                <w:rFonts w:ascii="Arial" w:eastAsia="Times New Roman" w:hAnsi="Arial" w:cs="Arial"/>
                <w:sz w:val="20"/>
                <w:szCs w:val="20"/>
              </w:rPr>
              <w:t xml:space="preserve"> on May 1, 202</w:t>
            </w:r>
            <w:r>
              <w:rPr>
                <w:rFonts w:ascii="Arial" w:eastAsia="Times New Roman" w:hAnsi="Arial" w:cs="Arial"/>
                <w:sz w:val="20"/>
                <w:szCs w:val="20"/>
              </w:rPr>
              <w:t>0, we executed agreements to sell 49% of our investment in EMF to CPP Investments. Post closing, CPP Investments will fund their 49% share of all ongoing future development capital. Closing of the transaction is subject to customary regulatory approvals an</w:t>
            </w:r>
            <w:r>
              <w:rPr>
                <w:rFonts w:ascii="Arial" w:eastAsia="Times New Roman" w:hAnsi="Arial" w:cs="Arial"/>
                <w:sz w:val="20"/>
                <w:szCs w:val="20"/>
              </w:rPr>
              <w:t>d is expected to occur in the fourth quarter of 2020. After the transaction closes, through our investment in EMF, we will own equity interests in three French offshore wind projects, including Saint-Nazaire (25.5%), Fecamp (17.9%), and Courseulles (21.7%)</w:t>
            </w:r>
            <w:r>
              <w:rPr>
                <w:rFonts w:ascii="Arial" w:eastAsia="Times New Roman" w:hAnsi="Arial" w:cs="Arial"/>
                <w:sz w:val="20"/>
                <w:szCs w:val="20"/>
              </w:rPr>
              <w:t>. In 2019, the Saint-Nazaire France Offshore Wind Project reached a positive final investment decision and the remaining two projects are expected to reach a final investment decision by next year.</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also have a large portfolio of additional projects u</w:t>
      </w:r>
      <w:r>
        <w:rPr>
          <w:rFonts w:ascii="Arial" w:eastAsia="Times New Roman" w:hAnsi="Arial" w:cs="Arial"/>
          <w:sz w:val="20"/>
          <w:szCs w:val="20"/>
        </w:rPr>
        <w:t>nder development that have not yet progressed to the point of public announcement.</w:t>
      </w:r>
    </w:p>
    <w:p w:rsidR="00000000" w:rsidRDefault="00E617AE">
      <w:pPr>
        <w:spacing w:line="288" w:lineRule="auto"/>
        <w:divId w:val="118913864"/>
        <w:rPr>
          <w:rFonts w:eastAsia="Times New Roman"/>
          <w:sz w:val="20"/>
          <w:szCs w:val="20"/>
        </w:rPr>
      </w:pPr>
    </w:p>
    <w:p w:rsidR="00000000" w:rsidRDefault="00E617AE">
      <w:pPr>
        <w:divId w:val="52266946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45</w:t>
      </w:r>
    </w:p>
    <w:p w:rsidR="00000000" w:rsidRDefault="00E617AE">
      <w:pPr>
        <w:divId w:val="118913864"/>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E617AE">
      <w:pPr>
        <w:divId w:val="610432266"/>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 xml:space="preserve">LIQUIDITY AND CAPITAL RESOURCES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maintenance of financial strength and flexibility is fundamental to our growth strategy, particularly in light of the significant number and size of capital projects currently sec</w:t>
      </w:r>
      <w:r>
        <w:rPr>
          <w:rFonts w:ascii="Arial" w:eastAsia="Times New Roman" w:hAnsi="Arial" w:cs="Arial"/>
          <w:sz w:val="20"/>
          <w:szCs w:val="20"/>
        </w:rPr>
        <w:t>ured or under development. Access to timely funding from capital markets could be limited by factors outside our control, including but not limited to financial market volatility resulting from economic and political events both inside and outside North Am</w:t>
      </w:r>
      <w:r>
        <w:rPr>
          <w:rFonts w:ascii="Arial" w:eastAsia="Times New Roman" w:hAnsi="Arial" w:cs="Arial"/>
          <w:sz w:val="20"/>
          <w:szCs w:val="20"/>
        </w:rPr>
        <w:t>erica. To mitigate such risks, we actively manage financial plans and strategies to ensure we maintain sufficient liquidity to meet routine operating and future capital requirements. In the near term, we generally expect to utilize cash from operations tog</w:t>
      </w:r>
      <w:r>
        <w:rPr>
          <w:rFonts w:ascii="Arial" w:eastAsia="Times New Roman" w:hAnsi="Arial" w:cs="Arial"/>
          <w:sz w:val="20"/>
          <w:szCs w:val="20"/>
        </w:rPr>
        <w:t>ether with commercial paper issuance and/or credit facility draws and the proceeds of capital market offerings to fund liabilities as they become due, finance capital expenditures, fund debt retirements and pay common and preference share dividends. We tar</w:t>
      </w:r>
      <w:r>
        <w:rPr>
          <w:rFonts w:ascii="Arial" w:eastAsia="Times New Roman" w:hAnsi="Arial" w:cs="Arial"/>
          <w:sz w:val="20"/>
          <w:szCs w:val="20"/>
        </w:rPr>
        <w:t>get to maintain sufficient liquidity through securement of committed credit facilities with a diversified group of banks and financial institutions to enable us to fund all anticipated requirements for approximately one year without accessing the capital m</w:t>
      </w:r>
      <w:r>
        <w:rPr>
          <w:rFonts w:ascii="Arial" w:eastAsia="Times New Roman" w:hAnsi="Arial" w:cs="Arial"/>
          <w:sz w:val="20"/>
          <w:szCs w:val="20"/>
        </w:rPr>
        <w:t>arkets.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financing plan is regularly updated to reflect evolving capital requirements and financial market conditions and identifies a variety of potential sources of debt and equity funding alternatives. Our current financing plan does not include an</w:t>
      </w:r>
      <w:r>
        <w:rPr>
          <w:rFonts w:ascii="Arial" w:eastAsia="Times New Roman" w:hAnsi="Arial" w:cs="Arial"/>
          <w:sz w:val="20"/>
          <w:szCs w:val="20"/>
        </w:rPr>
        <w:t>y issuances of additional common equity and was the primary consideration for the suspension of our Dividend Reinvestment and Share Purchase Plan in November 2018.</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As discussed within </w:t>
      </w:r>
      <w:r>
        <w:rPr>
          <w:rFonts w:ascii="Arial" w:eastAsia="Times New Roman" w:hAnsi="Arial" w:cs="Arial"/>
          <w:i/>
          <w:iCs/>
          <w:sz w:val="20"/>
          <w:szCs w:val="20"/>
        </w:rPr>
        <w:t>Recent Developments - Financing Update</w:t>
      </w:r>
      <w:r>
        <w:rPr>
          <w:rFonts w:ascii="Arial" w:eastAsia="Times New Roman" w:hAnsi="Arial" w:cs="Arial"/>
          <w:sz w:val="20"/>
          <w:szCs w:val="20"/>
        </w:rPr>
        <w:t>, as a result of the COVID-19 pa</w:t>
      </w:r>
      <w:r>
        <w:rPr>
          <w:rFonts w:ascii="Arial" w:eastAsia="Times New Roman" w:hAnsi="Arial" w:cs="Arial"/>
          <w:sz w:val="20"/>
          <w:szCs w:val="20"/>
        </w:rPr>
        <w:t>ndemic and the corresponding impact on the capital markets, we have elected to increase our liquidity through additional credit facilities to ensure we will not have to access the capital markets through 2021 to fund our current portfolio of capital projec</w:t>
      </w:r>
      <w:r>
        <w:rPr>
          <w:rFonts w:ascii="Arial" w:eastAsia="Times New Roman" w:hAnsi="Arial" w:cs="Arial"/>
          <w:sz w:val="20"/>
          <w:szCs w:val="20"/>
        </w:rPr>
        <w:t xml:space="preserve">ts if market access is restricted or pricing is unattractive.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CAPITAL MARKET ACCESS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ensure ready access to capital markets, subject to market conditions, through maintenance of shelf prospectuses that allow for issuance of long-term debt, equity and </w:t>
      </w:r>
      <w:r>
        <w:rPr>
          <w:rFonts w:ascii="Arial" w:eastAsia="Times New Roman" w:hAnsi="Arial" w:cs="Arial"/>
          <w:sz w:val="20"/>
          <w:szCs w:val="20"/>
        </w:rPr>
        <w:t>other forms of long-term capital when market conditions are attractive.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Credit Facilities and Liquidity</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To ensure ongoing liquidity and to mitigate the risk of capital market disruption, we maintain ready access to funds through committed bank credit facilities and actively manage our bank funding sources to optimize pricing and other terms. The following ta</w:t>
      </w:r>
      <w:r>
        <w:rPr>
          <w:rFonts w:ascii="Arial" w:eastAsia="Times New Roman" w:hAnsi="Arial" w:cs="Arial"/>
          <w:sz w:val="20"/>
          <w:szCs w:val="20"/>
        </w:rPr>
        <w:t>ble provides details of our committed credit facilities as at March 31, 2020:</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1777404201"/>
        </w:trPr>
        <w:tc>
          <w:tcPr>
            <w:tcW w:w="0" w:type="auto"/>
            <w:gridSpan w:val="8"/>
            <w:vAlign w:val="center"/>
            <w:hideMark/>
          </w:tcPr>
          <w:p w:rsidR="00000000" w:rsidRDefault="00E617AE">
            <w:pPr>
              <w:spacing w:line="288" w:lineRule="auto"/>
              <w:rPr>
                <w:rFonts w:eastAsia="Times New Roman"/>
                <w:sz w:val="20"/>
                <w:szCs w:val="20"/>
              </w:rPr>
            </w:pPr>
          </w:p>
        </w:tc>
      </w:tr>
      <w:tr w:rsidR="00000000">
        <w:trPr>
          <w:divId w:val="1777404201"/>
        </w:trPr>
        <w:tc>
          <w:tcPr>
            <w:tcW w:w="26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77740420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6168348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Maturity</w:t>
            </w:r>
          </w:p>
          <w:p w:rsidR="00000000" w:rsidRDefault="00E617AE">
            <w:pPr>
              <w:jc w:val="right"/>
              <w:rPr>
                <w:rFonts w:eastAsia="Times New Roman"/>
                <w:sz w:val="20"/>
                <w:szCs w:val="20"/>
              </w:rPr>
            </w:pPr>
            <w:r>
              <w:rPr>
                <w:rFonts w:ascii="Arial" w:eastAsia="Times New Roman" w:hAnsi="Arial" w:cs="Arial"/>
                <w:sz w:val="20"/>
                <w:szCs w:val="20"/>
              </w:rPr>
              <w:t>Dates</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Total</w:t>
            </w:r>
          </w:p>
          <w:p w:rsidR="00000000" w:rsidRDefault="00E617AE">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1777404201"/>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w:t>
            </w:r>
          </w:p>
        </w:tc>
      </w:tr>
      <w:tr w:rsidR="00000000">
        <w:trPr>
          <w:divId w:val="1777404201"/>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10,959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6,250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4,709</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777404201"/>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7,829</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2,162</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5,667</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777404201"/>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2,155</w:t>
            </w:r>
          </w:p>
        </w:tc>
        <w:tc>
          <w:tcPr>
            <w:tcW w:w="0" w:type="auto"/>
            <w:shd w:val="clear" w:color="auto" w:fill="D9D9D9"/>
            <w:vAlign w:val="bottom"/>
            <w:hideMark/>
          </w:tcPr>
          <w:p w:rsidR="00000000" w:rsidRDefault="00E617AE">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845</w:t>
            </w:r>
          </w:p>
        </w:tc>
        <w:tc>
          <w:tcPr>
            <w:tcW w:w="0" w:type="auto"/>
            <w:shd w:val="clear" w:color="auto" w:fill="D9D9D9"/>
            <w:vAlign w:val="bottom"/>
            <w:hideMark/>
          </w:tcPr>
          <w:p w:rsidR="00000000" w:rsidRDefault="00E617AE">
            <w:pPr>
              <w:rPr>
                <w:rFonts w:eastAsia="Times New Roman"/>
                <w:sz w:val="20"/>
                <w:szCs w:val="20"/>
              </w:rPr>
            </w:pPr>
          </w:p>
        </w:tc>
      </w:tr>
      <w:tr w:rsidR="00000000">
        <w:trPr>
          <w:divId w:val="1777404201"/>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2021</w:t>
            </w:r>
            <w:r>
              <w:rPr>
                <w:rFonts w:ascii="Arial" w:eastAsia="Times New Roman" w:hAnsi="Arial" w:cs="Arial"/>
                <w:sz w:val="10"/>
                <w:szCs w:val="10"/>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2,000</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835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1,165</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r>
      <w:tr w:rsidR="00000000">
        <w:trPr>
          <w:divId w:val="1777404201"/>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373432700"/>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23,788</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11,402</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12,386</w:t>
            </w:r>
          </w:p>
        </w:tc>
        <w:tc>
          <w:tcPr>
            <w:tcW w:w="0" w:type="auto"/>
            <w:tcBorders>
              <w:bottom w:val="single" w:sz="8" w:space="0" w:color="000000"/>
            </w:tcBorders>
            <w:shd w:val="clear" w:color="auto" w:fill="D9D9D9"/>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6715"/>
      </w:tblGrid>
      <w:tr w:rsidR="00000000">
        <w:trPr>
          <w:divId w:val="118913864"/>
          <w:tblCellSpacing w:w="0" w:type="dxa"/>
        </w:trPr>
        <w:tc>
          <w:tcPr>
            <w:tcW w:w="18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3672577"/>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Includes facility draws and commercial paper issuances that are back-stopped by credit facility.</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11"/>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98388748"/>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 xml:space="preserve">Maturity date is inclusive of the one year term out option. </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24, 2020, Enbridge Inc. entered into a two year, non-revolving credit facility for US$1 billion with a syndicate of lenders.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February 25, 2020, Enbridge Inc. entered into two, one year, non-revolving, bilateral credit facilities for a tota</w:t>
      </w:r>
      <w:r>
        <w:rPr>
          <w:rFonts w:ascii="Arial" w:eastAsia="Times New Roman" w:hAnsi="Arial" w:cs="Arial"/>
          <w:sz w:val="20"/>
          <w:szCs w:val="20"/>
        </w:rPr>
        <w:t xml:space="preserve">l of US$500 million. </w:t>
      </w:r>
    </w:p>
    <w:p w:rsidR="00000000" w:rsidRDefault="00E617AE">
      <w:pPr>
        <w:spacing w:line="288" w:lineRule="auto"/>
        <w:divId w:val="118913864"/>
        <w:rPr>
          <w:rFonts w:eastAsia="Times New Roman"/>
          <w:sz w:val="20"/>
          <w:szCs w:val="20"/>
        </w:rPr>
      </w:pPr>
    </w:p>
    <w:p w:rsidR="00000000" w:rsidRDefault="00E617AE">
      <w:pPr>
        <w:divId w:val="1098674381"/>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46</w:t>
      </w:r>
    </w:p>
    <w:p w:rsidR="00000000" w:rsidRDefault="00E617AE">
      <w:pPr>
        <w:divId w:val="118913864"/>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E617AE">
      <w:pPr>
        <w:divId w:val="378478666"/>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March 31, 2020, Enbridge Inc. entered into a one year, revolving, syndicated credit facility for $1.7 billion</w:t>
      </w:r>
      <w:r>
        <w:rPr>
          <w:rFonts w:ascii="Arial" w:eastAsia="Times New Roman" w:hAnsi="Arial" w:cs="Arial"/>
          <w:sz w:val="20"/>
          <w:szCs w:val="20"/>
        </w:rPr>
        <w:t xml:space="preserve">. On April 9, 2020, Enbridge Inc. exercised an accordion provision and increased the facility to $3.0 billion.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addition to the committed credit facilities noted above, we maintain $806 million of uncommitted demand credit facilities, of which $523 mi</w:t>
      </w:r>
      <w:r>
        <w:rPr>
          <w:rFonts w:ascii="Arial" w:eastAsia="Times New Roman" w:hAnsi="Arial" w:cs="Arial"/>
          <w:sz w:val="20"/>
          <w:szCs w:val="20"/>
        </w:rPr>
        <w:t xml:space="preserve">llion were unutilized as at March 31, 2020. As at December 31, 2019, we had $916 million of uncommitted credit facilities, of which $476 million were unutilized.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Our net available liquidity of $13,185 million as at March 31, 2020, was inclusive of $799 </w:t>
      </w:r>
      <w:r>
        <w:rPr>
          <w:rFonts w:ascii="Arial" w:eastAsia="Times New Roman" w:hAnsi="Arial" w:cs="Arial"/>
          <w:sz w:val="20"/>
          <w:szCs w:val="20"/>
        </w:rPr>
        <w:t>million of unrestricted cash and cash equivalents as reported in the Consolidated Statements of Financial Position.</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w:t>
      </w:r>
      <w:r>
        <w:rPr>
          <w:rFonts w:ascii="Arial" w:eastAsia="Times New Roman" w:hAnsi="Arial" w:cs="Arial"/>
          <w:sz w:val="20"/>
          <w:szCs w:val="20"/>
        </w:rPr>
        <w:t>ayment and/or termination of the agreements may result if we were to default on payment or violate certain covenants. As at March 31, 2020, we were in compliance with all debt covenants and we expect to continue to comply with such covenants.</w:t>
      </w:r>
    </w:p>
    <w:p w:rsidR="00000000" w:rsidRDefault="00E617AE">
      <w:pPr>
        <w:spacing w:line="288" w:lineRule="auto"/>
        <w:ind w:hanging="180"/>
        <w:divId w:val="118913864"/>
        <w:rPr>
          <w:rFonts w:eastAsia="Times New Roman"/>
          <w:sz w:val="16"/>
          <w:szCs w:val="16"/>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LONG-TERM D</w:t>
      </w:r>
      <w:r>
        <w:rPr>
          <w:rFonts w:ascii="Arial" w:eastAsia="Times New Roman" w:hAnsi="Arial" w:cs="Arial"/>
          <w:b/>
          <w:bCs/>
          <w:sz w:val="20"/>
          <w:szCs w:val="20"/>
        </w:rPr>
        <w:t xml:space="preserve">EBT ISSUANCES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During the three months ended March 31, 2020, we completed the following long-term debt issuances:</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77755789"/>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77755789"/>
        </w:trPr>
        <w:tc>
          <w:tcPr>
            <w:tcW w:w="550" w:type="pct"/>
            <w:vAlign w:val="center"/>
            <w:hideMark/>
          </w:tcPr>
          <w:p w:rsidR="00000000" w:rsidRDefault="00E617AE">
            <w:pPr>
              <w:rPr>
                <w:rFonts w:eastAsia="Times New Roman"/>
                <w:sz w:val="20"/>
                <w:szCs w:val="20"/>
              </w:rPr>
            </w:pPr>
          </w:p>
        </w:tc>
        <w:tc>
          <w:tcPr>
            <w:tcW w:w="900" w:type="pct"/>
            <w:vAlign w:val="center"/>
            <w:hideMark/>
          </w:tcPr>
          <w:p w:rsidR="00000000" w:rsidRDefault="00E617AE">
            <w:pPr>
              <w:rPr>
                <w:rFonts w:eastAsia="Times New Roman"/>
                <w:sz w:val="20"/>
                <w:szCs w:val="20"/>
              </w:rPr>
            </w:pPr>
          </w:p>
        </w:tc>
        <w:tc>
          <w:tcPr>
            <w:tcW w:w="23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r>
      <w:tr w:rsidR="00000000">
        <w:trPr>
          <w:divId w:val="77755789"/>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2622964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041638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Principal Amount</w:t>
            </w:r>
          </w:p>
        </w:tc>
      </w:tr>
      <w:tr w:rsidR="00000000">
        <w:trPr>
          <w:divId w:val="77755789"/>
        </w:trPr>
        <w:tc>
          <w:tcPr>
            <w:tcW w:w="0" w:type="auto"/>
            <w:gridSpan w:val="3"/>
            <w:tcMar>
              <w:top w:w="30" w:type="dxa"/>
              <w:left w:w="30" w:type="dxa"/>
              <w:bottom w:w="30" w:type="dxa"/>
              <w:right w:w="30" w:type="dxa"/>
            </w:tcMar>
            <w:hideMark/>
          </w:tcPr>
          <w:p w:rsidR="00000000" w:rsidRDefault="00E617AE">
            <w:pPr>
              <w:divId w:val="1099519992"/>
              <w:rPr>
                <w:rFonts w:eastAsia="Times New Roman"/>
                <w:sz w:val="16"/>
                <w:szCs w:val="16"/>
              </w:rPr>
            </w:pPr>
            <w:r>
              <w:rPr>
                <w:rFonts w:ascii="Arial" w:eastAsia="Times New Roman" w:hAnsi="Arial" w:cs="Arial"/>
                <w:i/>
                <w:iCs/>
                <w:sz w:val="16"/>
                <w:szCs w:val="16"/>
              </w:rPr>
              <w:t>(millions of Canadian dollars)</w:t>
            </w:r>
          </w:p>
          <w:p w:rsidR="00000000" w:rsidRDefault="00E617AE">
            <w:pPr>
              <w:divId w:val="1895039536"/>
              <w:rPr>
                <w:rFonts w:eastAsia="Times New Roman"/>
                <w:sz w:val="16"/>
                <w:szCs w:val="16"/>
              </w:rPr>
            </w:pPr>
          </w:p>
        </w:tc>
        <w:tc>
          <w:tcPr>
            <w:tcW w:w="0" w:type="auto"/>
            <w:tcMar>
              <w:top w:w="30" w:type="dxa"/>
              <w:left w:w="30" w:type="dxa"/>
              <w:bottom w:w="30" w:type="dxa"/>
              <w:right w:w="30" w:type="dxa"/>
            </w:tcMar>
            <w:vAlign w:val="bottom"/>
            <w:hideMark/>
          </w:tcPr>
          <w:p w:rsidR="00000000" w:rsidRDefault="00E617AE">
            <w:pPr>
              <w:divId w:val="2126341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2144156818"/>
              <w:rPr>
                <w:rFonts w:eastAsia="Times New Roman"/>
                <w:sz w:val="20"/>
                <w:szCs w:val="20"/>
              </w:rPr>
            </w:pPr>
            <w:r>
              <w:rPr>
                <w:rFonts w:ascii="inherit" w:eastAsia="Times New Roman" w:hAnsi="inherit"/>
                <w:sz w:val="20"/>
                <w:szCs w:val="20"/>
              </w:rPr>
              <w:t> </w:t>
            </w:r>
          </w:p>
        </w:tc>
      </w:tr>
      <w:tr w:rsidR="00000000">
        <w:trPr>
          <w:divId w:val="77755789"/>
        </w:trPr>
        <w:tc>
          <w:tcPr>
            <w:tcW w:w="0" w:type="auto"/>
            <w:gridSpan w:val="3"/>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E617AE">
            <w:pPr>
              <w:divId w:val="116465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40344278"/>
              <w:rPr>
                <w:rFonts w:eastAsia="Times New Roman"/>
                <w:sz w:val="20"/>
                <w:szCs w:val="20"/>
              </w:rPr>
            </w:pPr>
            <w:r>
              <w:rPr>
                <w:rFonts w:ascii="inherit" w:eastAsia="Times New Roman" w:hAnsi="inherit"/>
                <w:sz w:val="20"/>
                <w:szCs w:val="20"/>
              </w:rPr>
              <w:t> </w:t>
            </w:r>
          </w:p>
        </w:tc>
      </w:tr>
      <w:tr w:rsidR="00000000">
        <w:trPr>
          <w:divId w:val="77755789"/>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62064926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February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notes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83699275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US$750</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April 1, 2020, Enbridge Gas Inc. (Enbridge Gas) issued $600 million of 2.90% 10-year medium-term notes and $600 million of 3.65% 30-year medium term notes payable semi-annually in arrears. The notes mature on April 1, 2030 and April 1, 2050, respectivel</w:t>
      </w:r>
      <w:r>
        <w:rPr>
          <w:rFonts w:ascii="Arial" w:eastAsia="Times New Roman" w:hAnsi="Arial" w:cs="Arial"/>
          <w:sz w:val="20"/>
          <w:szCs w:val="20"/>
        </w:rPr>
        <w:t>y.</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LONG-TERM DEBT REPAYMENTS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During the three months ended March 31, 2020, we completed the following long-term debt repayments:</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255898812"/>
        </w:trPr>
        <w:tc>
          <w:tcPr>
            <w:tcW w:w="0" w:type="auto"/>
            <w:gridSpan w:val="5"/>
            <w:vAlign w:val="center"/>
            <w:hideMark/>
          </w:tcPr>
          <w:p w:rsidR="00000000" w:rsidRDefault="00E617AE">
            <w:pPr>
              <w:spacing w:line="288" w:lineRule="auto"/>
              <w:rPr>
                <w:rFonts w:eastAsia="Times New Roman"/>
                <w:sz w:val="20"/>
                <w:szCs w:val="20"/>
              </w:rPr>
            </w:pPr>
          </w:p>
        </w:tc>
      </w:tr>
      <w:tr w:rsidR="00000000">
        <w:trPr>
          <w:divId w:val="1255898812"/>
        </w:trPr>
        <w:tc>
          <w:tcPr>
            <w:tcW w:w="550" w:type="pct"/>
            <w:vAlign w:val="center"/>
            <w:hideMark/>
          </w:tcPr>
          <w:p w:rsidR="00000000" w:rsidRDefault="00E617AE">
            <w:pPr>
              <w:rPr>
                <w:rFonts w:eastAsia="Times New Roman"/>
                <w:sz w:val="20"/>
                <w:szCs w:val="20"/>
              </w:rPr>
            </w:pPr>
          </w:p>
        </w:tc>
        <w:tc>
          <w:tcPr>
            <w:tcW w:w="900" w:type="pct"/>
            <w:vAlign w:val="center"/>
            <w:hideMark/>
          </w:tcPr>
          <w:p w:rsidR="00000000" w:rsidRDefault="00E617AE">
            <w:pPr>
              <w:rPr>
                <w:rFonts w:eastAsia="Times New Roman"/>
                <w:sz w:val="20"/>
                <w:szCs w:val="20"/>
              </w:rPr>
            </w:pPr>
          </w:p>
        </w:tc>
        <w:tc>
          <w:tcPr>
            <w:tcW w:w="2300" w:type="pct"/>
            <w:vAlign w:val="center"/>
            <w:hideMark/>
          </w:tcPr>
          <w:p w:rsidR="00000000" w:rsidRDefault="00E617AE">
            <w:pPr>
              <w:rPr>
                <w:rFonts w:eastAsia="Times New Roman"/>
                <w:sz w:val="20"/>
                <w:szCs w:val="20"/>
              </w:rPr>
            </w:pPr>
          </w:p>
        </w:tc>
        <w:tc>
          <w:tcPr>
            <w:tcW w:w="600" w:type="pct"/>
            <w:vAlign w:val="center"/>
            <w:hideMark/>
          </w:tcPr>
          <w:p w:rsidR="00000000" w:rsidRDefault="00E617AE">
            <w:pPr>
              <w:rPr>
                <w:rFonts w:eastAsia="Times New Roman"/>
                <w:sz w:val="20"/>
                <w:szCs w:val="20"/>
              </w:rPr>
            </w:pPr>
          </w:p>
        </w:tc>
        <w:tc>
          <w:tcPr>
            <w:tcW w:w="650" w:type="pct"/>
            <w:vAlign w:val="center"/>
            <w:hideMark/>
          </w:tcPr>
          <w:p w:rsidR="00000000" w:rsidRDefault="00E617AE">
            <w:pPr>
              <w:rPr>
                <w:rFonts w:eastAsia="Times New Roman"/>
                <w:sz w:val="20"/>
                <w:szCs w:val="20"/>
              </w:rPr>
            </w:pPr>
          </w:p>
        </w:tc>
      </w:tr>
      <w:tr w:rsidR="00000000">
        <w:trPr>
          <w:divId w:val="1255898812"/>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4340144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9555539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Principal Amount</w:t>
            </w:r>
          </w:p>
        </w:tc>
      </w:tr>
      <w:tr w:rsidR="00000000">
        <w:trPr>
          <w:divId w:val="1255898812"/>
        </w:trPr>
        <w:tc>
          <w:tcPr>
            <w:tcW w:w="0" w:type="auto"/>
            <w:gridSpan w:val="3"/>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E617AE">
            <w:pPr>
              <w:divId w:val="103280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496187570"/>
              <w:rPr>
                <w:rFonts w:eastAsia="Times New Roman"/>
                <w:sz w:val="20"/>
                <w:szCs w:val="20"/>
              </w:rPr>
            </w:pPr>
            <w:r>
              <w:rPr>
                <w:rFonts w:ascii="inherit" w:eastAsia="Times New Roman" w:hAnsi="inherit"/>
                <w:sz w:val="20"/>
                <w:szCs w:val="20"/>
              </w:rPr>
              <w:t> </w:t>
            </w:r>
          </w:p>
        </w:tc>
      </w:tr>
      <w:tr w:rsidR="00000000">
        <w:trPr>
          <w:divId w:val="1255898812"/>
        </w:trPr>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rsidR="00000000" w:rsidRDefault="00E617AE">
            <w:pPr>
              <w:divId w:val="1562446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220442050"/>
              <w:rPr>
                <w:rFonts w:eastAsia="Times New Roman"/>
                <w:sz w:val="20"/>
                <w:szCs w:val="20"/>
              </w:rPr>
            </w:pPr>
            <w:r>
              <w:rPr>
                <w:rFonts w:ascii="inherit" w:eastAsia="Times New Roman" w:hAnsi="inherit"/>
                <w:sz w:val="20"/>
                <w:szCs w:val="20"/>
              </w:rPr>
              <w:t> </w:t>
            </w:r>
          </w:p>
        </w:tc>
      </w:tr>
      <w:tr w:rsidR="00000000">
        <w:trPr>
          <w:divId w:val="1255898812"/>
        </w:trPr>
        <w:tc>
          <w:tcPr>
            <w:tcW w:w="0" w:type="auto"/>
            <w:tcMar>
              <w:top w:w="30" w:type="dxa"/>
              <w:left w:w="30" w:type="dxa"/>
              <w:bottom w:w="30" w:type="dxa"/>
              <w:right w:w="30" w:type="dxa"/>
            </w:tcMar>
            <w:vAlign w:val="bottom"/>
            <w:hideMark/>
          </w:tcPr>
          <w:p w:rsidR="00000000" w:rsidRDefault="00E617AE">
            <w:pPr>
              <w:divId w:val="1946497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US$700</w:t>
            </w:r>
          </w:p>
        </w:tc>
      </w:tr>
      <w:tr w:rsidR="00000000">
        <w:trPr>
          <w:divId w:val="1255898812"/>
        </w:trPr>
        <w:tc>
          <w:tcPr>
            <w:tcW w:w="0" w:type="auto"/>
            <w:tcMar>
              <w:top w:w="30" w:type="dxa"/>
              <w:left w:w="30" w:type="dxa"/>
              <w:bottom w:w="30" w:type="dxa"/>
              <w:right w:w="30" w:type="dxa"/>
            </w:tcMar>
            <w:vAlign w:val="bottom"/>
            <w:hideMark/>
          </w:tcPr>
          <w:p w:rsidR="00000000" w:rsidRDefault="00E617AE">
            <w:pPr>
              <w:divId w:val="1677339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March 2020</w:t>
            </w:r>
          </w:p>
        </w:tc>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4.53% medium-term notes</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$500</w:t>
            </w:r>
          </w:p>
        </w:tc>
      </w:tr>
      <w:tr w:rsidR="00000000">
        <w:trPr>
          <w:divId w:val="1255898812"/>
        </w:trPr>
        <w:tc>
          <w:tcPr>
            <w:tcW w:w="0" w:type="auto"/>
            <w:gridSpan w:val="3"/>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Spectra Energy Partners, LP</w:t>
            </w:r>
          </w:p>
        </w:tc>
        <w:tc>
          <w:tcPr>
            <w:tcW w:w="0" w:type="auto"/>
            <w:tcMar>
              <w:top w:w="30" w:type="dxa"/>
              <w:left w:w="30" w:type="dxa"/>
              <w:bottom w:w="30" w:type="dxa"/>
              <w:right w:w="30" w:type="dxa"/>
            </w:tcMar>
            <w:vAlign w:val="bottom"/>
            <w:hideMark/>
          </w:tcPr>
          <w:p w:rsidR="00000000" w:rsidRDefault="00E617AE">
            <w:pPr>
              <w:divId w:val="725104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194540518"/>
              <w:rPr>
                <w:rFonts w:eastAsia="Times New Roman"/>
                <w:sz w:val="20"/>
                <w:szCs w:val="20"/>
              </w:rPr>
            </w:pPr>
            <w:r>
              <w:rPr>
                <w:rFonts w:ascii="inherit" w:eastAsia="Times New Roman" w:hAnsi="inherit"/>
                <w:sz w:val="20"/>
                <w:szCs w:val="20"/>
              </w:rPr>
              <w:t> </w:t>
            </w:r>
          </w:p>
        </w:tc>
      </w:tr>
      <w:tr w:rsidR="00000000">
        <w:trPr>
          <w:divId w:val="1255898812"/>
        </w:trPr>
        <w:tc>
          <w:tcPr>
            <w:tcW w:w="0" w:type="auto"/>
            <w:tcMar>
              <w:top w:w="30" w:type="dxa"/>
              <w:left w:w="30" w:type="dxa"/>
              <w:bottom w:w="30" w:type="dxa"/>
              <w:right w:w="30" w:type="dxa"/>
            </w:tcMar>
            <w:vAlign w:val="bottom"/>
            <w:hideMark/>
          </w:tcPr>
          <w:p w:rsidR="00000000" w:rsidRDefault="00E617AE">
            <w:pPr>
              <w:divId w:val="104563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6.09% senior secured notes</w:t>
            </w:r>
          </w:p>
        </w:tc>
        <w:tc>
          <w:tcPr>
            <w:tcW w:w="0" w:type="auto"/>
            <w:tcMar>
              <w:top w:w="30" w:type="dxa"/>
              <w:left w:w="30" w:type="dxa"/>
              <w:bottom w:w="30" w:type="dxa"/>
              <w:right w:w="30" w:type="dxa"/>
            </w:tcMar>
            <w:vAlign w:val="bottom"/>
            <w:hideMark/>
          </w:tcPr>
          <w:p w:rsidR="00000000" w:rsidRDefault="00E617AE">
            <w:pPr>
              <w:divId w:val="1262835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US$111</w:t>
            </w:r>
          </w:p>
        </w:tc>
      </w:tr>
      <w:tr w:rsidR="00000000">
        <w:trPr>
          <w:divId w:val="1255898812"/>
        </w:trPr>
        <w:tc>
          <w:tcPr>
            <w:tcW w:w="0" w:type="auto"/>
            <w:gridSpan w:val="2"/>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E617AE">
            <w:pPr>
              <w:divId w:val="927467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88344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097559288"/>
              <w:rPr>
                <w:rFonts w:eastAsia="Times New Roman"/>
                <w:sz w:val="20"/>
                <w:szCs w:val="20"/>
              </w:rPr>
            </w:pPr>
            <w:r>
              <w:rPr>
                <w:rFonts w:ascii="inherit" w:eastAsia="Times New Roman" w:hAnsi="inherit"/>
                <w:sz w:val="20"/>
                <w:szCs w:val="20"/>
              </w:rPr>
              <w:t> </w:t>
            </w:r>
          </w:p>
        </w:tc>
      </w:tr>
      <w:tr w:rsidR="00000000">
        <w:trPr>
          <w:divId w:val="1255898812"/>
        </w:trPr>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318316591"/>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January 2020</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9.90% debentures</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divId w:val="1176773228"/>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$100</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Strong internal cash flow, proceeds from non-core asset dispositions, ready access to liquidity from diversified sources and a stable business model have enabled us to manage our credit profile. We actively monitor and manage key financial metrics with the</w:t>
      </w:r>
      <w:r>
        <w:rPr>
          <w:rFonts w:ascii="Arial" w:eastAsia="Times New Roman" w:hAnsi="Arial" w:cs="Arial"/>
          <w:sz w:val="20"/>
          <w:szCs w:val="20"/>
        </w:rPr>
        <w:t xml:space="preserve"> objective of sustaining investment grade credit ratings from the major credit rating agencies and ongoing access to bank funding and term debt capital on attractive terms. Key measures of financial strength that are closely managed include the ability to </w:t>
      </w:r>
      <w:r>
        <w:rPr>
          <w:rFonts w:ascii="Arial" w:eastAsia="Times New Roman" w:hAnsi="Arial" w:cs="Arial"/>
          <w:sz w:val="20"/>
          <w:szCs w:val="20"/>
        </w:rPr>
        <w:t>service debt obligations from operating cash flow and the ratio of debt to EBITDA.</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There are no material restrictions on our cash. Total restricted cash of $41 million, as reported on the Consolidated Statements of Financial Position, primarily includes </w:t>
      </w:r>
      <w:r>
        <w:rPr>
          <w:rFonts w:ascii="Arial" w:eastAsia="Times New Roman" w:hAnsi="Arial" w:cs="Arial"/>
          <w:sz w:val="20"/>
          <w:szCs w:val="20"/>
        </w:rPr>
        <w:t>cash collateral and amounts received in respect of specific shipper commitments. Cash and cash equivalents held by certain subsidiaries may not be readily accessible for alternative uses by us.</w:t>
      </w:r>
    </w:p>
    <w:p w:rsidR="00000000" w:rsidRDefault="00E617AE">
      <w:pPr>
        <w:spacing w:line="288" w:lineRule="auto"/>
        <w:divId w:val="118913864"/>
        <w:rPr>
          <w:rFonts w:eastAsia="Times New Roman"/>
          <w:sz w:val="20"/>
          <w:szCs w:val="20"/>
        </w:rPr>
      </w:pPr>
    </w:p>
    <w:p w:rsidR="00000000" w:rsidRDefault="00E617AE">
      <w:pPr>
        <w:divId w:val="464355075"/>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47</w:t>
      </w:r>
    </w:p>
    <w:p w:rsidR="00000000" w:rsidRDefault="00E617AE">
      <w:pPr>
        <w:divId w:val="118913864"/>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E617AE">
      <w:pPr>
        <w:divId w:val="1054543712"/>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Excluding curren</w:t>
      </w:r>
      <w:r>
        <w:rPr>
          <w:rFonts w:ascii="Arial" w:eastAsia="Times New Roman" w:hAnsi="Arial" w:cs="Arial"/>
          <w:sz w:val="20"/>
          <w:szCs w:val="20"/>
        </w:rPr>
        <w:t>t maturities of long-term debt, we had a negative working capital position as at March 31, 2020. The major contributing factor to the negative working capital position was the ongoing funding of our growth capital program.</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To address this negative workin</w:t>
      </w:r>
      <w:r>
        <w:rPr>
          <w:rFonts w:ascii="Arial" w:eastAsia="Times New Roman" w:hAnsi="Arial" w:cs="Arial"/>
          <w:sz w:val="20"/>
          <w:szCs w:val="20"/>
        </w:rPr>
        <w:t xml:space="preserve">g capital position, we maintain significant liquidity in the form of committed credit facilities and other sources as previously discussed, which enable the funding of liabilities as they become due.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SOURCES AND USES OF CASH</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72433843"/>
        </w:trPr>
        <w:tc>
          <w:tcPr>
            <w:tcW w:w="0" w:type="auto"/>
            <w:gridSpan w:val="5"/>
            <w:vAlign w:val="center"/>
            <w:hideMark/>
          </w:tcPr>
          <w:p w:rsidR="00000000" w:rsidRDefault="00E617AE">
            <w:pPr>
              <w:spacing w:line="288" w:lineRule="auto"/>
              <w:rPr>
                <w:rFonts w:eastAsia="Times New Roman"/>
                <w:sz w:val="2"/>
                <w:szCs w:val="2"/>
              </w:rPr>
            </w:pPr>
          </w:p>
        </w:tc>
      </w:tr>
      <w:tr w:rsidR="00000000">
        <w:trPr>
          <w:divId w:val="72433843"/>
        </w:trPr>
        <w:tc>
          <w:tcPr>
            <w:tcW w:w="390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72433843"/>
        </w:trPr>
        <w:tc>
          <w:tcPr>
            <w:tcW w:w="0" w:type="auto"/>
            <w:tcMar>
              <w:top w:w="30" w:type="dxa"/>
              <w:left w:w="30" w:type="dxa"/>
              <w:bottom w:w="30" w:type="dxa"/>
              <w:right w:w="30" w:type="dxa"/>
            </w:tcMar>
            <w:vAlign w:val="bottom"/>
            <w:hideMark/>
          </w:tcPr>
          <w:p w:rsidR="00000000" w:rsidRDefault="00E617AE">
            <w:pPr>
              <w:divId w:val="187827052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E617AE">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trPr>
          <w:divId w:val="7243384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6" w:space="0" w:color="000000"/>
            </w:tcBorders>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E617AE">
            <w:pPr>
              <w:rPr>
                <w:rFonts w:eastAsia="Times New Roman"/>
                <w:sz w:val="20"/>
                <w:szCs w:val="20"/>
              </w:rPr>
            </w:pPr>
          </w:p>
        </w:tc>
      </w:tr>
      <w:tr w:rsidR="00000000">
        <w:trPr>
          <w:divId w:val="72433843"/>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E617AE">
            <w:pPr>
              <w:rPr>
                <w:rFonts w:eastAsia="Times New Roman"/>
                <w:sz w:val="20"/>
                <w:szCs w:val="20"/>
              </w:rPr>
            </w:pPr>
          </w:p>
        </w:tc>
      </w:tr>
      <w:tr w:rsidR="00000000">
        <w:trPr>
          <w:divId w:val="7243384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2,809</w:t>
            </w:r>
          </w:p>
        </w:tc>
        <w:tc>
          <w:tcPr>
            <w:tcW w:w="0" w:type="auto"/>
            <w:shd w:val="clear" w:color="auto" w:fill="D9D9D9"/>
            <w:vAlign w:val="bottom"/>
            <w:hideMark/>
          </w:tcPr>
          <w:p w:rsidR="00000000" w:rsidRDefault="00E617AE">
            <w:pPr>
              <w:rPr>
                <w:rFonts w:eastAsia="Times New Roman"/>
                <w:sz w:val="20"/>
                <w:szCs w:val="20"/>
              </w:rPr>
            </w:pP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2,176</w:t>
            </w:r>
          </w:p>
        </w:tc>
        <w:tc>
          <w:tcPr>
            <w:tcW w:w="0" w:type="auto"/>
            <w:vAlign w:val="bottom"/>
            <w:hideMark/>
          </w:tcPr>
          <w:p w:rsidR="00000000" w:rsidRDefault="00E617AE">
            <w:pPr>
              <w:rPr>
                <w:rFonts w:eastAsia="Times New Roman"/>
                <w:sz w:val="20"/>
                <w:szCs w:val="20"/>
              </w:rPr>
            </w:pPr>
          </w:p>
        </w:tc>
      </w:tr>
      <w:tr w:rsidR="00000000">
        <w:trPr>
          <w:divId w:val="7243384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(1,270</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(2,148</w:t>
            </w:r>
          </w:p>
        </w:tc>
        <w:tc>
          <w:tcPr>
            <w:tcW w:w="0" w:type="auto"/>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72433843"/>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(1,386</w:t>
            </w:r>
          </w:p>
        </w:tc>
        <w:tc>
          <w:tcPr>
            <w:tcW w:w="0" w:type="auto"/>
            <w:shd w:val="clear" w:color="auto" w:fill="D9D9D9"/>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99</w:t>
            </w:r>
          </w:p>
        </w:tc>
        <w:tc>
          <w:tcPr>
            <w:tcW w:w="0" w:type="auto"/>
            <w:vAlign w:val="bottom"/>
            <w:hideMark/>
          </w:tcPr>
          <w:p w:rsidR="00000000" w:rsidRDefault="00E617AE">
            <w:pPr>
              <w:rPr>
                <w:rFonts w:eastAsia="Times New Roman"/>
                <w:sz w:val="20"/>
                <w:szCs w:val="20"/>
              </w:rPr>
            </w:pPr>
          </w:p>
        </w:tc>
      </w:tr>
      <w:tr w:rsidR="00000000">
        <w:trPr>
          <w:divId w:val="72433843"/>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11</w:t>
            </w:r>
          </w:p>
        </w:tc>
        <w:tc>
          <w:tcPr>
            <w:tcW w:w="0" w:type="auto"/>
            <w:tcBorders>
              <w:bottom w:val="single" w:sz="6"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w:t>
            </w:r>
          </w:p>
        </w:tc>
      </w:tr>
      <w:tr w:rsidR="00000000">
        <w:trPr>
          <w:divId w:val="72433843"/>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Increase in cash and cash equivalents and restricted cash</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b/>
                <w:bCs/>
                <w:sz w:val="20"/>
                <w:szCs w:val="20"/>
              </w:rPr>
              <w:t>164</w:t>
            </w:r>
          </w:p>
        </w:tc>
        <w:tc>
          <w:tcPr>
            <w:tcW w:w="0" w:type="auto"/>
            <w:tcBorders>
              <w:top w:val="single" w:sz="6" w:space="0" w:color="000000"/>
              <w:bottom w:val="single" w:sz="12" w:space="0" w:color="000000"/>
            </w:tcBorders>
            <w:shd w:val="clear" w:color="auto" w:fill="D9D9D9"/>
            <w:vAlign w:val="bottom"/>
            <w:hideMark/>
          </w:tcPr>
          <w:p w:rsidR="00000000" w:rsidRDefault="00E617AE">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120</w:t>
            </w:r>
          </w:p>
        </w:tc>
        <w:tc>
          <w:tcPr>
            <w:tcW w:w="0" w:type="auto"/>
            <w:tcBorders>
              <w:bottom w:val="single" w:sz="12" w:space="0" w:color="000000"/>
            </w:tcBorders>
            <w:vAlign w:val="bottom"/>
            <w:hideMark/>
          </w:tcPr>
          <w:p w:rsidR="00000000" w:rsidRDefault="00E617AE">
            <w:pPr>
              <w:rPr>
                <w:rFonts w:eastAsia="Times New Roman"/>
                <w:sz w:val="20"/>
                <w:szCs w:val="20"/>
              </w:rPr>
            </w:pP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Significant sources and uses of cash for the three months ended March 31, 2020 and March 31, 2019 are summarized below:</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xml:space="preserve">Operating Activities </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56029339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The increase in cash provided by operating activities was primarily attributable to changes in operating </w:t>
            </w:r>
            <w:r>
              <w:rPr>
                <w:rFonts w:ascii="Arial" w:eastAsia="Times New Roman" w:hAnsi="Arial" w:cs="Arial"/>
                <w:sz w:val="20"/>
                <w:szCs w:val="20"/>
              </w:rPr>
              <w:t xml:space="preserve">assets and liabilities. Our operating assets and liabilities fluctuate in the normal course due to various factors, including the impact of fluctuations in commodity prices and activity levels on working capital within our business segments, the timing of </w:t>
            </w:r>
            <w:r>
              <w:rPr>
                <w:rFonts w:ascii="Arial" w:eastAsia="Times New Roman" w:hAnsi="Arial" w:cs="Arial"/>
                <w:sz w:val="20"/>
                <w:szCs w:val="20"/>
              </w:rPr>
              <w:t xml:space="preserve">tax payments, as well as timing of cash receipts and payments generally.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89235119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The factor above was partially offset by the impact of certain unusual, infrequent or other non-operating factors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Investing Activities</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36464409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decrease in cash used in investing activities was primarily attri</w:t>
            </w:r>
            <w:r>
              <w:rPr>
                <w:rFonts w:ascii="Arial" w:eastAsia="Times New Roman" w:hAnsi="Arial" w:cs="Arial"/>
                <w:sz w:val="20"/>
                <w:szCs w:val="20"/>
              </w:rPr>
              <w:t>butable to lower contributions to the Gray Oak Holdings LLC equity investment in 2020 when compared with the corresponding period in 2019.</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473527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We are continuing with the execution of our growth capital program which is further described in </w:t>
            </w:r>
            <w:r>
              <w:rPr>
                <w:rFonts w:ascii="Arial" w:eastAsia="Times New Roman" w:hAnsi="Arial" w:cs="Arial"/>
                <w:i/>
                <w:iCs/>
                <w:sz w:val="20"/>
                <w:szCs w:val="20"/>
              </w:rPr>
              <w:t>Growth Projec</w:t>
            </w:r>
            <w:r>
              <w:rPr>
                <w:rFonts w:ascii="Arial" w:eastAsia="Times New Roman" w:hAnsi="Arial" w:cs="Arial"/>
                <w:i/>
                <w:iCs/>
                <w:sz w:val="20"/>
                <w:szCs w:val="20"/>
              </w:rPr>
              <w:t>ts - Commercially Secured Projects</w:t>
            </w:r>
            <w:r>
              <w:rPr>
                <w:rFonts w:ascii="Arial" w:eastAsia="Times New Roman" w:hAnsi="Arial" w:cs="Arial"/>
                <w:sz w:val="20"/>
                <w:szCs w:val="20"/>
              </w:rPr>
              <w:t>.</w:t>
            </w:r>
            <w:r>
              <w:rPr>
                <w:rFonts w:ascii="Arial" w:eastAsia="Times New Roman" w:hAnsi="Arial" w:cs="Arial"/>
                <w:i/>
                <w:iCs/>
                <w:sz w:val="20"/>
                <w:szCs w:val="20"/>
              </w:rPr>
              <w:t xml:space="preserve"> </w:t>
            </w:r>
            <w:r>
              <w:rPr>
                <w:rFonts w:ascii="Arial" w:eastAsia="Times New Roman" w:hAnsi="Arial" w:cs="Arial"/>
                <w:sz w:val="20"/>
                <w:szCs w:val="20"/>
              </w:rPr>
              <w:t>The timing of project approval, construction and in-service dates impacts the timing of cash requirements.</w:t>
            </w:r>
          </w:p>
        </w:tc>
      </w:tr>
    </w:tbl>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Financing Activities</w:t>
      </w:r>
    </w:p>
    <w:p w:rsidR="00000000" w:rsidRDefault="00E617AE">
      <w:pPr>
        <w:spacing w:line="288" w:lineRule="auto"/>
        <w:divId w:val="118913864"/>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
                <w:szCs w:val="2"/>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5873332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The increase in cash used in financing activities was primarily attributable to a decrease in commercial paper and credit facility draws and issuances of long-term debt in 2020 when compared with the corresponding period in 2019.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711608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factor above w</w:t>
            </w:r>
            <w:r>
              <w:rPr>
                <w:rFonts w:ascii="Arial" w:eastAsia="Times New Roman" w:hAnsi="Arial" w:cs="Arial"/>
                <w:sz w:val="20"/>
                <w:szCs w:val="20"/>
              </w:rPr>
              <w:t>as partially offset by the absence of Westcoast Energy Inc.'s redemption of all of its outstanding Series 7 and Series 8 preference shares in 2020 when compared with the corresponding period in 2019.</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956832929"/>
              <w:rPr>
                <w:rFonts w:eastAsia="Times New Roman"/>
                <w:sz w:val="20"/>
                <w:szCs w:val="20"/>
              </w:rPr>
            </w:pPr>
            <w:r>
              <w:rPr>
                <w:rFonts w:ascii="Arial" w:eastAsia="Times New Roman" w:hAnsi="Arial" w:cs="Arial"/>
                <w:i/>
                <w:iCs/>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Our common share dividend payments increased period-over-period primarily due to the increase in our common share dividend rate.</w:t>
            </w:r>
          </w:p>
        </w:tc>
      </w:tr>
    </w:tbl>
    <w:p w:rsidR="00000000" w:rsidRDefault="00E617AE">
      <w:pPr>
        <w:spacing w:line="288" w:lineRule="auto"/>
        <w:divId w:val="118913864"/>
        <w:rPr>
          <w:rFonts w:eastAsia="Times New Roman"/>
          <w:sz w:val="20"/>
          <w:szCs w:val="20"/>
        </w:rPr>
      </w:pPr>
    </w:p>
    <w:p w:rsidR="00000000" w:rsidRDefault="00E617AE">
      <w:pPr>
        <w:divId w:val="119866184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48</w:t>
      </w:r>
    </w:p>
    <w:p w:rsidR="00000000" w:rsidRDefault="00E617AE">
      <w:pPr>
        <w:divId w:val="118913864"/>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E617AE">
      <w:pPr>
        <w:divId w:val="1355226478"/>
        <w:rPr>
          <w:rFonts w:eastAsia="Times New Roman"/>
          <w:sz w:val="20"/>
          <w:szCs w:val="20"/>
        </w:rPr>
      </w:pPr>
    </w:p>
    <w:p w:rsidR="00000000" w:rsidRDefault="00E617AE">
      <w:pPr>
        <w:spacing w:line="417" w:lineRule="auto"/>
        <w:jc w:val="both"/>
        <w:divId w:val="118913864"/>
        <w:rPr>
          <w:rFonts w:eastAsia="Times New Roman"/>
          <w:sz w:val="26"/>
          <w:szCs w:val="26"/>
        </w:rPr>
      </w:pPr>
      <w:r>
        <w:rPr>
          <w:rFonts w:ascii="Arial" w:eastAsia="Times New Roman" w:hAnsi="Arial" w:cs="Arial"/>
          <w:b/>
          <w:bCs/>
          <w:sz w:val="26"/>
          <w:szCs w:val="26"/>
        </w:rPr>
        <w:t>SUMMARIZED FINANCIAL INFORMATION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On January 22, 2019, Enbridge entered into supplemental indentures with its wholly-owned subsidiaries, Spectra Energy Partners, LP (SEP) and Enbridge Energy Partners, L.P. (EEP) (the </w:t>
      </w:r>
      <w:r>
        <w:rPr>
          <w:rFonts w:ascii="Arial" w:eastAsia="Times New Roman" w:hAnsi="Arial" w:cs="Arial"/>
          <w:sz w:val="20"/>
          <w:szCs w:val="20"/>
        </w:rPr>
        <w:t>Partnerships), pursuant to which Enbridge fully and unconditionally guaranteed, on a senior unsecured basis, the payment obligations of the Partnerships with respect to the outstanding series of notes issued under the respective indentures of the Partnersh</w:t>
      </w:r>
      <w:r>
        <w:rPr>
          <w:rFonts w:ascii="Arial" w:eastAsia="Times New Roman" w:hAnsi="Arial" w:cs="Arial"/>
          <w:sz w:val="20"/>
          <w:szCs w:val="20"/>
        </w:rPr>
        <w:t>ips. Concurrently, the Partnerships entered into a subsidiary guarantee agreement pursuant to which they fully and unconditionally guaranteed, on a senior unsecured basis, the outstanding series of senior notes of Enbridge. The Partnerships have also enter</w:t>
      </w:r>
      <w:r>
        <w:rPr>
          <w:rFonts w:ascii="Arial" w:eastAsia="Times New Roman" w:hAnsi="Arial" w:cs="Arial"/>
          <w:sz w:val="20"/>
          <w:szCs w:val="20"/>
        </w:rPr>
        <w:t>ed into supplemental indentures with Enbridge pursuant to which the Partnerships have issued full and unconditional guarantees, on a senior unsecured basis, of senior notes issued by Enbridge subsequent to January 22, 2019. As a result of the guarantees, h</w:t>
      </w:r>
      <w:r>
        <w:rPr>
          <w:rFonts w:ascii="Arial" w:eastAsia="Times New Roman" w:hAnsi="Arial" w:cs="Arial"/>
          <w:sz w:val="20"/>
          <w:szCs w:val="20"/>
        </w:rPr>
        <w:t>olders of any of the outstanding guaranteed notes of the Partnerships (the Guaranteed Partnership Notes) are in the same position with respect to the net assets, income and cash flows of Enbridge as holders of Enbridge's outstanding guaranteed notes (the G</w:t>
      </w:r>
      <w:r>
        <w:rPr>
          <w:rFonts w:ascii="Arial" w:eastAsia="Times New Roman" w:hAnsi="Arial" w:cs="Arial"/>
          <w:sz w:val="20"/>
          <w:szCs w:val="20"/>
        </w:rPr>
        <w:t xml:space="preserve">uaranteed Enbridge Notes), and vice versa. Other than the Partnerships, Enbridge subsidiaries (including the subsidiaries of the Partnerships, collectively, the Subsidiary Non-Guarantors), are not parties to the subsidiary guarantee agreement and have not </w:t>
      </w:r>
      <w:r>
        <w:rPr>
          <w:rFonts w:ascii="Arial" w:eastAsia="Times New Roman" w:hAnsi="Arial" w:cs="Arial"/>
          <w:sz w:val="20"/>
          <w:szCs w:val="20"/>
        </w:rPr>
        <w:t>otherwise guaranteed any of Enbridge's outstanding series of senior notes.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Consenting SEP notes and EEP notes under Guarantee</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336546182"/>
          <w:jc w:val="center"/>
        </w:trPr>
        <w:tc>
          <w:tcPr>
            <w:tcW w:w="0" w:type="auto"/>
            <w:gridSpan w:val="2"/>
            <w:vAlign w:val="center"/>
            <w:hideMark/>
          </w:tcPr>
          <w:p w:rsidR="00000000" w:rsidRDefault="00E617AE">
            <w:pPr>
              <w:spacing w:line="288" w:lineRule="auto"/>
              <w:rPr>
                <w:rFonts w:eastAsia="Times New Roman"/>
                <w:sz w:val="20"/>
                <w:szCs w:val="20"/>
              </w:rPr>
            </w:pPr>
          </w:p>
        </w:tc>
      </w:tr>
      <w:tr w:rsidR="00000000">
        <w:trPr>
          <w:divId w:val="336546182"/>
          <w:jc w:val="center"/>
        </w:trPr>
        <w:tc>
          <w:tcPr>
            <w:tcW w:w="2500" w:type="pct"/>
            <w:vAlign w:val="center"/>
            <w:hideMark/>
          </w:tcPr>
          <w:p w:rsidR="00000000" w:rsidRDefault="00E617AE">
            <w:pPr>
              <w:rPr>
                <w:rFonts w:eastAsia="Times New Roman"/>
                <w:sz w:val="20"/>
                <w:szCs w:val="20"/>
              </w:rPr>
            </w:pPr>
          </w:p>
        </w:tc>
        <w:tc>
          <w:tcPr>
            <w:tcW w:w="2500" w:type="pct"/>
            <w:vAlign w:val="center"/>
            <w:hideMark/>
          </w:tcPr>
          <w:p w:rsidR="00000000" w:rsidRDefault="00E617AE">
            <w:pPr>
              <w:rPr>
                <w:rFonts w:eastAsia="Times New Roman"/>
                <w:sz w:val="20"/>
                <w:szCs w:val="20"/>
              </w:rPr>
            </w:pPr>
          </w:p>
        </w:tc>
      </w:tr>
      <w:tr w:rsidR="00000000">
        <w:trPr>
          <w:divId w:val="33654618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73163589"/>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649558180"/>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0"/>
                <w:szCs w:val="10"/>
                <w:vertAlign w:val="superscript"/>
              </w:rPr>
              <w:t>2</w:t>
            </w:r>
          </w:p>
        </w:tc>
      </w:tr>
      <w:tr w:rsidR="00000000">
        <w:trPr>
          <w:divId w:val="336546182"/>
          <w:jc w:val="center"/>
        </w:trPr>
        <w:tc>
          <w:tcPr>
            <w:tcW w:w="0" w:type="auto"/>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Senior Notes due 2020</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4.200% Notes due 2021</w:t>
            </w:r>
          </w:p>
        </w:tc>
      </w:tr>
      <w:tr w:rsidR="00000000">
        <w:trPr>
          <w:divId w:val="336546182"/>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5.875% Notes due 2025</w:t>
            </w:r>
          </w:p>
        </w:tc>
      </w:tr>
      <w:tr w:rsidR="00000000">
        <w:trPr>
          <w:divId w:val="336546182"/>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5.950% Notes due 2033</w:t>
            </w:r>
          </w:p>
        </w:tc>
      </w:tr>
      <w:tr w:rsidR="00000000">
        <w:trPr>
          <w:divId w:val="336546182"/>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6.300% Notes due 2034</w:t>
            </w:r>
          </w:p>
        </w:tc>
      </w:tr>
      <w:tr w:rsidR="00000000">
        <w:trPr>
          <w:divId w:val="336546182"/>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7.500% Notes due 2038</w:t>
            </w:r>
          </w:p>
        </w:tc>
      </w:tr>
      <w:tr w:rsidR="00000000">
        <w:trPr>
          <w:divId w:val="336546182"/>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5.500% Notes due 20</w:t>
            </w:r>
            <w:r>
              <w:rPr>
                <w:rFonts w:ascii="Arial" w:eastAsia="Times New Roman" w:hAnsi="Arial" w:cs="Arial"/>
                <w:sz w:val="20"/>
                <w:szCs w:val="20"/>
              </w:rPr>
              <w:t>40</w:t>
            </w:r>
          </w:p>
        </w:tc>
      </w:tr>
      <w:tr w:rsidR="00000000">
        <w:trPr>
          <w:divId w:val="336546182"/>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4.500% Senior Notes due 2045</w:t>
            </w:r>
          </w:p>
        </w:tc>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jc w:val="cente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49196845"/>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As at March 31, 2020</w:t>
            </w:r>
            <w:r>
              <w:rPr>
                <w:rFonts w:ascii="Arial" w:eastAsia="Times New Roman" w:hAnsi="Arial" w:cs="Arial"/>
                <w:i/>
                <w:iCs/>
                <w:sz w:val="16"/>
                <w:szCs w:val="16"/>
              </w:rPr>
              <w:t>, the aggregate outstanding principal amount of SEP notes was approximately US$3.9 billion.</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12"/>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800029979"/>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As at March 31, 2020</w:t>
            </w:r>
            <w:r>
              <w:rPr>
                <w:rFonts w:ascii="Arial" w:eastAsia="Times New Roman" w:hAnsi="Arial" w:cs="Arial"/>
                <w:i/>
                <w:iCs/>
                <w:sz w:val="16"/>
                <w:szCs w:val="16"/>
              </w:rPr>
              <w:t>, the aggregate outstanding principal amount of EEP notes was approximately US$3.0 billion.</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divId w:val="22514239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49</w:t>
      </w:r>
    </w:p>
    <w:p w:rsidR="00000000" w:rsidRDefault="00E617AE">
      <w:pPr>
        <w:divId w:val="118913864"/>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E617AE">
      <w:pPr>
        <w:divId w:val="1857234148"/>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2041591668"/>
          <w:jc w:val="center"/>
        </w:trPr>
        <w:tc>
          <w:tcPr>
            <w:tcW w:w="0" w:type="auto"/>
            <w:gridSpan w:val="2"/>
            <w:vAlign w:val="center"/>
            <w:hideMark/>
          </w:tcPr>
          <w:p w:rsidR="00000000" w:rsidRDefault="00E617AE">
            <w:pPr>
              <w:spacing w:line="288" w:lineRule="auto"/>
              <w:rPr>
                <w:rFonts w:eastAsia="Times New Roman"/>
                <w:sz w:val="20"/>
                <w:szCs w:val="20"/>
              </w:rPr>
            </w:pPr>
          </w:p>
        </w:tc>
      </w:tr>
      <w:tr w:rsidR="00000000">
        <w:trPr>
          <w:divId w:val="2041591668"/>
          <w:jc w:val="center"/>
        </w:trPr>
        <w:tc>
          <w:tcPr>
            <w:tcW w:w="2500" w:type="pct"/>
            <w:vAlign w:val="center"/>
            <w:hideMark/>
          </w:tcPr>
          <w:p w:rsidR="00000000" w:rsidRDefault="00E617AE">
            <w:pPr>
              <w:rPr>
                <w:rFonts w:eastAsia="Times New Roman"/>
                <w:sz w:val="20"/>
                <w:szCs w:val="20"/>
              </w:rPr>
            </w:pPr>
          </w:p>
        </w:tc>
        <w:tc>
          <w:tcPr>
            <w:tcW w:w="2500" w:type="pct"/>
            <w:vAlign w:val="center"/>
            <w:hideMark/>
          </w:tcPr>
          <w:p w:rsidR="00000000" w:rsidRDefault="00E617AE">
            <w:pPr>
              <w:rPr>
                <w:rFonts w:eastAsia="Times New Roman"/>
                <w:sz w:val="20"/>
                <w:szCs w:val="20"/>
              </w:rPr>
            </w:pPr>
          </w:p>
        </w:tc>
      </w:tr>
      <w:tr w:rsidR="00000000">
        <w:trPr>
          <w:divId w:val="204159166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1500269604"/>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E617AE">
            <w:pPr>
              <w:divId w:val="656110589"/>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0"/>
                <w:szCs w:val="10"/>
                <w:vertAlign w:val="superscript"/>
              </w:rPr>
              <w:t>2</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4.850% Senior Notes due 2020</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Floating Rate Note due 2022</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4.260% Senior Notes due 2021</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3.160% Senior Notes due 2021</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4.850% Senior Notes due 2022</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3.500% Senior Notes due 2024</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3.190% Senior Notes due 2022</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2.500% Senior Notes due 2025</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 xml:space="preserve">3.940% Senior Notes </w:t>
            </w:r>
            <w:r>
              <w:rPr>
                <w:rFonts w:ascii="Arial" w:eastAsia="Times New Roman" w:hAnsi="Arial" w:cs="Arial"/>
                <w:sz w:val="20"/>
                <w:szCs w:val="20"/>
              </w:rPr>
              <w:t>due 2023</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3.940% Senior Notes due 2023</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3.950% Senior Notes due 2024</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3.125% Senior Notes due 2029</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3.200% Senior Notes due 2027</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4.500% Senior Notes due 2044</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6.100% Senior Notes due 2028</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2.990% Senior Notes due 2029</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4.000% Senior Notes due 2049</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7.220% Senior Notes due 2030</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1615818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7.200% Senior Notes due 2032</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2108193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5.570% Senior Notes due 2035</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59999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5.750% Senior Notes due 2039</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845170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5.120% Senior Notes due 2040</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43891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4.240% S</w:t>
            </w:r>
            <w:r>
              <w:rPr>
                <w:rFonts w:ascii="Arial" w:eastAsia="Times New Roman" w:hAnsi="Arial" w:cs="Arial"/>
                <w:sz w:val="20"/>
                <w:szCs w:val="20"/>
              </w:rPr>
              <w:t>enior Notes due 2042</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543979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4.570% Senior Notes due 2044</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119809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4.870% Senior Notes due 2044</w:t>
            </w:r>
          </w:p>
        </w:tc>
      </w:tr>
      <w:tr w:rsidR="00000000">
        <w:trPr>
          <w:divId w:val="2041591668"/>
          <w:jc w:val="center"/>
        </w:trPr>
        <w:tc>
          <w:tcPr>
            <w:tcW w:w="0" w:type="auto"/>
            <w:tcMar>
              <w:top w:w="30" w:type="dxa"/>
              <w:left w:w="30" w:type="dxa"/>
              <w:bottom w:w="30" w:type="dxa"/>
              <w:right w:w="30" w:type="dxa"/>
            </w:tcMar>
            <w:vAlign w:val="bottom"/>
            <w:hideMark/>
          </w:tcPr>
          <w:p w:rsidR="00000000" w:rsidRDefault="00E617AE">
            <w:pPr>
              <w:divId w:val="211539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4.560% Senior Notes due 2064</w:t>
            </w:r>
          </w:p>
        </w:tc>
      </w:tr>
      <w:tr w:rsidR="00000000">
        <w:trPr>
          <w:divId w:val="2041591668"/>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70144225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E617AE">
            <w:pPr>
              <w:divId w:val="423308055"/>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divId w:val="118913864"/>
          <w:tblCellSpacing w:w="0" w:type="dxa"/>
        </w:trPr>
        <w:tc>
          <w:tcPr>
            <w:tcW w:w="180" w:type="dxa"/>
            <w:vAlign w:val="center"/>
            <w:hideMark/>
          </w:tcPr>
          <w:p w:rsidR="00000000" w:rsidRDefault="00E617AE">
            <w:pPr>
              <w:jc w:val="cente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108576262"/>
              <w:rPr>
                <w:rFonts w:eastAsia="Times New Roman"/>
                <w:sz w:val="16"/>
                <w:szCs w:val="16"/>
              </w:rPr>
            </w:pPr>
            <w:r>
              <w:rPr>
                <w:rFonts w:ascii="Arial" w:eastAsia="Times New Roman" w:hAnsi="Arial" w:cs="Arial"/>
                <w:i/>
                <w:iCs/>
                <w:sz w:val="16"/>
                <w:szCs w:val="16"/>
              </w:rPr>
              <w:t>1</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As at March 31, 2020</w:t>
            </w:r>
            <w:r>
              <w:rPr>
                <w:rFonts w:ascii="Arial" w:eastAsia="Times New Roman" w:hAnsi="Arial" w:cs="Arial"/>
                <w:i/>
                <w:iCs/>
                <w:sz w:val="16"/>
                <w:szCs w:val="16"/>
              </w:rPr>
              <w:t>, the aggregate outstanding principal amount of the Enbridge United States dollar denominated notes was approximately US$8.0 billion.</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divId w:val="118913864"/>
          <w:tblCellSpacing w:w="0" w:type="dxa"/>
        </w:trPr>
        <w:tc>
          <w:tcPr>
            <w:tcW w:w="18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595790127"/>
              <w:rPr>
                <w:rFonts w:eastAsia="Times New Roman"/>
                <w:sz w:val="16"/>
                <w:szCs w:val="16"/>
              </w:rPr>
            </w:pPr>
            <w:r>
              <w:rPr>
                <w:rFonts w:ascii="Arial" w:eastAsia="Times New Roman" w:hAnsi="Arial" w:cs="Arial"/>
                <w:i/>
                <w:iCs/>
                <w:sz w:val="16"/>
                <w:szCs w:val="16"/>
              </w:rPr>
              <w:t>2</w:t>
            </w:r>
          </w:p>
        </w:tc>
        <w:tc>
          <w:tcPr>
            <w:tcW w:w="0" w:type="auto"/>
            <w:hideMark/>
          </w:tcPr>
          <w:p w:rsidR="00000000" w:rsidRDefault="00E617AE">
            <w:pPr>
              <w:spacing w:line="288" w:lineRule="auto"/>
              <w:rPr>
                <w:rFonts w:eastAsia="Times New Roman"/>
                <w:sz w:val="16"/>
                <w:szCs w:val="16"/>
              </w:rPr>
            </w:pPr>
            <w:r>
              <w:rPr>
                <w:rFonts w:ascii="Arial" w:eastAsia="Times New Roman" w:hAnsi="Arial" w:cs="Arial"/>
                <w:i/>
                <w:iCs/>
                <w:sz w:val="16"/>
                <w:szCs w:val="16"/>
              </w:rPr>
              <w:t>As at March 31, 2020</w:t>
            </w:r>
            <w:r>
              <w:rPr>
                <w:rFonts w:ascii="Arial" w:eastAsia="Times New Roman" w:hAnsi="Arial" w:cs="Arial"/>
                <w:i/>
                <w:iCs/>
                <w:sz w:val="16"/>
                <w:szCs w:val="16"/>
              </w:rPr>
              <w:t>, the aggregate outstanding principal amount of the Enbridge Canadian dollar denominated notes was approximately $7.1 billion.</w:t>
            </w:r>
          </w:p>
        </w:tc>
      </w:tr>
    </w:tbl>
    <w:p w:rsidR="00000000" w:rsidRDefault="00E617AE">
      <w:pPr>
        <w:spacing w:line="288" w:lineRule="auto"/>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accordance with Rule 3-10 of the United States Securities and Exchange Commission's Regulation S-X, which provides an exemp</w:t>
      </w:r>
      <w:r>
        <w:rPr>
          <w:rFonts w:ascii="Arial" w:eastAsia="Times New Roman" w:hAnsi="Arial" w:cs="Arial"/>
          <w:sz w:val="20"/>
          <w:szCs w:val="20"/>
        </w:rPr>
        <w:t>tion from the reporting requirements of the Exchange Act for fully consolidated subsidiary issuers of guaranteed securities and subsidiary guarantors, in lieu of filing separate financial statements for each of the Partnerships, we have included the accomp</w:t>
      </w:r>
      <w:r>
        <w:rPr>
          <w:rFonts w:ascii="Arial" w:eastAsia="Times New Roman" w:hAnsi="Arial" w:cs="Arial"/>
          <w:sz w:val="20"/>
          <w:szCs w:val="20"/>
        </w:rPr>
        <w:t>anying summarized financial information with separate columns representing the following:</w:t>
      </w:r>
    </w:p>
    <w:p w:rsidR="00000000" w:rsidRDefault="00E617AE">
      <w:pPr>
        <w:spacing w:line="288" w:lineRule="auto"/>
        <w:divId w:val="1189138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421753051"/>
              <w:rPr>
                <w:rFonts w:eastAsia="Times New Roman"/>
                <w:sz w:val="20"/>
                <w:szCs w:val="20"/>
              </w:rPr>
            </w:pPr>
            <w:r>
              <w:rPr>
                <w:rFonts w:ascii="Arial" w:eastAsia="Times New Roman" w:hAnsi="Arial" w:cs="Arial"/>
                <w:sz w:val="20"/>
                <w:szCs w:val="20"/>
              </w:rPr>
              <w:t>1.</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Enbridge Inc., the Parent Issuer and Guarantor;</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03"/>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62834417"/>
              <w:rPr>
                <w:rFonts w:eastAsia="Times New Roman"/>
                <w:sz w:val="20"/>
                <w:szCs w:val="20"/>
              </w:rPr>
            </w:pPr>
            <w:r>
              <w:rPr>
                <w:rFonts w:ascii="Arial" w:eastAsia="Times New Roman" w:hAnsi="Arial" w:cs="Arial"/>
                <w:sz w:val="20"/>
                <w:szCs w:val="20"/>
              </w:rPr>
              <w:t>2.</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SEP, a Subsidiary Issuer and Guarantor, and</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58"/>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27792225"/>
              <w:rPr>
                <w:rFonts w:eastAsia="Times New Roman"/>
                <w:sz w:val="20"/>
                <w:szCs w:val="20"/>
              </w:rPr>
            </w:pPr>
            <w:r>
              <w:rPr>
                <w:rFonts w:ascii="Arial" w:eastAsia="Times New Roman" w:hAnsi="Arial" w:cs="Arial"/>
                <w:sz w:val="20"/>
                <w:szCs w:val="20"/>
              </w:rPr>
              <w:t>3.</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EEP, a Subsidiary Issuer and Guarantor</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provided summarized financial information for each of the Guarantors in line with the requirements of Rule 13-01, which requires that Guarantors with investment balances in Subsidiary Non-Guarantors be excl</w:t>
      </w:r>
      <w:r>
        <w:rPr>
          <w:rFonts w:ascii="Arial" w:eastAsia="Times New Roman" w:hAnsi="Arial" w:cs="Arial"/>
          <w:sz w:val="20"/>
          <w:szCs w:val="20"/>
        </w:rPr>
        <w:t xml:space="preserve">uded and transactions and amounts with Non-Guarantors and other related parties be presented separately. </w:t>
      </w:r>
    </w:p>
    <w:p w:rsidR="00000000" w:rsidRDefault="00E617AE">
      <w:pPr>
        <w:spacing w:line="417"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p>
    <w:p w:rsidR="00000000" w:rsidRDefault="00E617AE">
      <w:pPr>
        <w:spacing w:line="417" w:lineRule="auto"/>
        <w:jc w:val="center"/>
        <w:divId w:val="118913864"/>
        <w:rPr>
          <w:rFonts w:eastAsia="Times New Roman"/>
          <w:sz w:val="20"/>
          <w:szCs w:val="20"/>
        </w:rPr>
      </w:pPr>
    </w:p>
    <w:p w:rsidR="00000000" w:rsidRDefault="00E617AE">
      <w:pPr>
        <w:divId w:val="82250673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50</w:t>
      </w:r>
    </w:p>
    <w:p w:rsidR="00000000" w:rsidRDefault="00E617AE">
      <w:pPr>
        <w:divId w:val="118913864"/>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E617AE">
      <w:pPr>
        <w:divId w:val="1062560636"/>
        <w:rPr>
          <w:rFonts w:eastAsia="Times New Roman"/>
          <w:sz w:val="20"/>
          <w:szCs w:val="20"/>
        </w:rPr>
      </w:pPr>
    </w:p>
    <w:p w:rsidR="00000000" w:rsidRDefault="00E617AE">
      <w:pPr>
        <w:spacing w:line="417" w:lineRule="auto"/>
        <w:jc w:val="center"/>
        <w:divId w:val="118913864"/>
        <w:rPr>
          <w:rFonts w:eastAsia="Times New Roman"/>
          <w:sz w:val="20"/>
          <w:szCs w:val="20"/>
        </w:rPr>
      </w:pPr>
      <w:r>
        <w:rPr>
          <w:rFonts w:ascii="Arial" w:eastAsia="Times New Roman" w:hAnsi="Arial" w:cs="Arial"/>
          <w:b/>
          <w:bCs/>
          <w:sz w:val="20"/>
          <w:szCs w:val="20"/>
        </w:rPr>
        <w:t xml:space="preserve">Summarized Financial Information as at and for the three months ended March 31, 2020 </w:t>
      </w:r>
    </w:p>
    <w:tbl>
      <w:tblPr>
        <w:tblW w:w="4914" w:type="pct"/>
        <w:jc w:val="center"/>
        <w:tblCellMar>
          <w:left w:w="0" w:type="dxa"/>
          <w:right w:w="0" w:type="dxa"/>
        </w:tblCellMar>
        <w:tblLook w:val="04A0" w:firstRow="1" w:lastRow="0" w:firstColumn="1" w:lastColumn="0" w:noHBand="0" w:noVBand="1"/>
      </w:tblPr>
      <w:tblGrid>
        <w:gridCol w:w="3508"/>
        <w:gridCol w:w="80"/>
        <w:gridCol w:w="1387"/>
        <w:gridCol w:w="84"/>
        <w:gridCol w:w="81"/>
        <w:gridCol w:w="1387"/>
        <w:gridCol w:w="84"/>
        <w:gridCol w:w="81"/>
        <w:gridCol w:w="1387"/>
        <w:gridCol w:w="84"/>
      </w:tblGrid>
      <w:tr w:rsidR="00000000">
        <w:trPr>
          <w:divId w:val="758058638"/>
          <w:jc w:val="center"/>
        </w:trPr>
        <w:tc>
          <w:tcPr>
            <w:tcW w:w="0" w:type="auto"/>
            <w:gridSpan w:val="10"/>
            <w:vAlign w:val="center"/>
            <w:hideMark/>
          </w:tcPr>
          <w:p w:rsidR="00000000" w:rsidRDefault="00E617AE">
            <w:pPr>
              <w:spacing w:line="417" w:lineRule="auto"/>
              <w:jc w:val="center"/>
              <w:rPr>
                <w:rFonts w:eastAsia="Times New Roman"/>
                <w:sz w:val="20"/>
                <w:szCs w:val="20"/>
              </w:rPr>
            </w:pPr>
          </w:p>
        </w:tc>
      </w:tr>
      <w:tr w:rsidR="00000000">
        <w:trPr>
          <w:divId w:val="758058638"/>
          <w:jc w:val="center"/>
        </w:trPr>
        <w:tc>
          <w:tcPr>
            <w:tcW w:w="21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758058638"/>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divId w:val="901908538"/>
              <w:rPr>
                <w:rFonts w:eastAsia="Times New Roman"/>
                <w:sz w:val="20"/>
                <w:szCs w:val="20"/>
              </w:rPr>
            </w:pPr>
            <w:r>
              <w:rPr>
                <w:rFonts w:ascii="inherit" w:eastAsia="Times New Roman" w:hAnsi="inherit"/>
                <w:sz w:val="20"/>
                <w:szCs w:val="20"/>
              </w:rPr>
              <w:t> </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Subsidiary Issuer and Guarantor - EEP</w:t>
            </w:r>
          </w:p>
        </w:tc>
      </w:tr>
      <w:tr w:rsidR="00000000">
        <w:trPr>
          <w:divId w:val="758058638"/>
          <w:jc w:val="center"/>
        </w:trPr>
        <w:tc>
          <w:tcPr>
            <w:tcW w:w="0" w:type="auto"/>
            <w:tcMar>
              <w:top w:w="30" w:type="dxa"/>
              <w:left w:w="30" w:type="dxa"/>
              <w:bottom w:w="30" w:type="dxa"/>
              <w:right w:w="30" w:type="dxa"/>
            </w:tcMar>
            <w:vAlign w:val="bottom"/>
            <w:hideMark/>
          </w:tcPr>
          <w:p w:rsidR="00000000" w:rsidRDefault="00E617AE">
            <w:pPr>
              <w:rPr>
                <w:rFonts w:eastAsia="Times New Roman"/>
                <w:sz w:val="15"/>
                <w:szCs w:val="15"/>
              </w:rPr>
            </w:pPr>
            <w:r>
              <w:rPr>
                <w:rFonts w:ascii="Arial" w:eastAsia="Times New Roman" w:hAnsi="Arial" w:cs="Arial"/>
                <w:i/>
                <w:iCs/>
                <w:sz w:val="15"/>
                <w:szCs w:val="15"/>
              </w:rPr>
              <w:t>(millions of Canadian dollars)</w:t>
            </w:r>
          </w:p>
        </w:tc>
        <w:tc>
          <w:tcPr>
            <w:tcW w:w="0" w:type="auto"/>
            <w:gridSpan w:val="9"/>
            <w:tcMar>
              <w:top w:w="30" w:type="dxa"/>
              <w:left w:w="30" w:type="dxa"/>
              <w:bottom w:w="30" w:type="dxa"/>
              <w:right w:w="30" w:type="dxa"/>
            </w:tcMar>
            <w:vAlign w:val="bottom"/>
            <w:hideMark/>
          </w:tcPr>
          <w:p w:rsidR="00000000" w:rsidRDefault="00E617AE">
            <w:pPr>
              <w:divId w:val="501941059"/>
              <w:rPr>
                <w:rFonts w:eastAsia="Times New Roman"/>
                <w:sz w:val="20"/>
                <w:szCs w:val="20"/>
              </w:rPr>
            </w:pPr>
            <w:r>
              <w:rPr>
                <w:rFonts w:ascii="inherit" w:eastAsia="Times New Roman" w:hAnsi="inherit"/>
                <w:sz w:val="20"/>
                <w:szCs w:val="20"/>
              </w:rPr>
              <w:t> </w:t>
            </w:r>
          </w:p>
        </w:tc>
      </w:tr>
      <w:tr w:rsidR="00000000">
        <w:trPr>
          <w:divId w:val="758058638"/>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Operating revenues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854078474"/>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1824855119"/>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915749546"/>
              <w:rPr>
                <w:rFonts w:eastAsia="Times New Roman"/>
                <w:sz w:val="20"/>
                <w:szCs w:val="20"/>
              </w:rPr>
            </w:pPr>
            <w:r>
              <w:rPr>
                <w:rFonts w:ascii="inherit" w:eastAsia="Times New Roman" w:hAnsi="inherit"/>
                <w:sz w:val="20"/>
                <w:szCs w:val="20"/>
              </w:rPr>
              <w:t> </w:t>
            </w:r>
          </w:p>
        </w:tc>
      </w:tr>
      <w:tr w:rsidR="00000000">
        <w:trPr>
          <w:divId w:val="758058638"/>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Operating income/(loss)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56</w:t>
            </w:r>
          </w:p>
        </w:tc>
        <w:tc>
          <w:tcPr>
            <w:tcW w:w="0" w:type="auto"/>
            <w:shd w:val="clear" w:color="auto" w:fill="D6D6D6"/>
            <w:vAlign w:val="bottom"/>
            <w:hideMark/>
          </w:tcPr>
          <w:p w:rsidR="00000000" w:rsidRDefault="00E617AE">
            <w:pPr>
              <w:divId w:val="605697504"/>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1820267745"/>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6D6D6"/>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r>
      <w:tr w:rsidR="00000000">
        <w:trPr>
          <w:divId w:val="758058638"/>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Earnings/(loss)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(1,195</w:t>
            </w:r>
          </w:p>
        </w:tc>
        <w:tc>
          <w:tcPr>
            <w:tcW w:w="0" w:type="auto"/>
            <w:shd w:val="clear" w:color="auto" w:fill="D6D6D6"/>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6D6D6"/>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6D6D6"/>
            <w:vAlign w:val="bottom"/>
            <w:hideMark/>
          </w:tcPr>
          <w:p w:rsidR="00000000" w:rsidRDefault="00E617AE">
            <w:pPr>
              <w:divId w:val="50352544"/>
              <w:rPr>
                <w:rFonts w:eastAsia="Times New Roman"/>
                <w:sz w:val="20"/>
                <w:szCs w:val="20"/>
              </w:rPr>
            </w:pPr>
            <w:r>
              <w:rPr>
                <w:rFonts w:ascii="inherit" w:eastAsia="Times New Roman" w:hAnsi="inherit"/>
                <w:sz w:val="20"/>
                <w:szCs w:val="20"/>
              </w:rPr>
              <w:t> </w:t>
            </w:r>
          </w:p>
        </w:tc>
      </w:tr>
      <w:tr w:rsidR="00000000">
        <w:trPr>
          <w:divId w:val="758058638"/>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Earnings/(loss) attributable to common shareholders</w:t>
            </w:r>
          </w:p>
        </w:tc>
        <w:tc>
          <w:tcPr>
            <w:tcW w:w="0" w:type="auto"/>
            <w:gridSpan w:val="2"/>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(1,291</w:t>
            </w:r>
          </w:p>
        </w:tc>
        <w:tc>
          <w:tcPr>
            <w:tcW w:w="0" w:type="auto"/>
            <w:tcBorders>
              <w:bottom w:val="single" w:sz="12" w:space="0" w:color="000000"/>
            </w:tcBorders>
            <w:shd w:val="clear" w:color="auto" w:fill="D6D6D6"/>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gridSpan w:val="2"/>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(27</w:t>
            </w:r>
          </w:p>
        </w:tc>
        <w:tc>
          <w:tcPr>
            <w:tcW w:w="0" w:type="auto"/>
            <w:tcBorders>
              <w:bottom w:val="single" w:sz="12" w:space="0" w:color="000000"/>
            </w:tcBorders>
            <w:shd w:val="clear" w:color="auto" w:fill="D6D6D6"/>
            <w:tcMar>
              <w:top w:w="30" w:type="dxa"/>
              <w:left w:w="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b/>
                <w:bCs/>
                <w:sz w:val="16"/>
                <w:szCs w:val="16"/>
              </w:rPr>
              <w:t>)</w:t>
            </w:r>
          </w:p>
        </w:tc>
        <w:tc>
          <w:tcPr>
            <w:tcW w:w="0" w:type="auto"/>
            <w:gridSpan w:val="2"/>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121</w:t>
            </w:r>
          </w:p>
        </w:tc>
        <w:tc>
          <w:tcPr>
            <w:tcW w:w="0" w:type="auto"/>
            <w:tcBorders>
              <w:bottom w:val="single" w:sz="12" w:space="0" w:color="000000"/>
            </w:tcBorders>
            <w:shd w:val="clear" w:color="auto" w:fill="D6D6D6"/>
            <w:vAlign w:val="bottom"/>
            <w:hideMark/>
          </w:tcPr>
          <w:p w:rsidR="00000000" w:rsidRDefault="00E617AE">
            <w:pPr>
              <w:divId w:val="90904158"/>
              <w:rPr>
                <w:rFonts w:eastAsia="Times New Roman"/>
                <w:sz w:val="20"/>
                <w:szCs w:val="20"/>
              </w:rPr>
            </w:pPr>
            <w:r>
              <w:rPr>
                <w:rFonts w:ascii="inherit" w:eastAsia="Times New Roman" w:hAnsi="inherit"/>
                <w:sz w:val="20"/>
                <w:szCs w:val="20"/>
              </w:rPr>
              <w:t> </w:t>
            </w:r>
          </w:p>
        </w:tc>
      </w:tr>
    </w:tbl>
    <w:tbl>
      <w:tblPr>
        <w:tblW w:w="4914" w:type="pct"/>
        <w:jc w:val="center"/>
        <w:tblCellMar>
          <w:left w:w="0" w:type="dxa"/>
          <w:right w:w="0" w:type="dxa"/>
        </w:tblCellMar>
        <w:tblLook w:val="04A0" w:firstRow="1" w:lastRow="0" w:firstColumn="1" w:lastColumn="0" w:noHBand="0" w:noVBand="1"/>
      </w:tblPr>
      <w:tblGrid>
        <w:gridCol w:w="3428"/>
        <w:gridCol w:w="144"/>
        <w:gridCol w:w="1387"/>
        <w:gridCol w:w="144"/>
        <w:gridCol w:w="144"/>
        <w:gridCol w:w="1387"/>
        <w:gridCol w:w="144"/>
        <w:gridCol w:w="1550"/>
        <w:gridCol w:w="778"/>
      </w:tblGrid>
      <w:tr w:rsidR="00000000">
        <w:trPr>
          <w:divId w:val="118913864"/>
          <w:jc w:val="center"/>
        </w:trPr>
        <w:tc>
          <w:tcPr>
            <w:tcW w:w="0" w:type="auto"/>
            <w:gridSpan w:val="9"/>
            <w:vAlign w:val="center"/>
            <w:hideMark/>
          </w:tcPr>
          <w:p w:rsidR="00000000" w:rsidRDefault="00E617AE">
            <w:pPr>
              <w:jc w:val="center"/>
              <w:rPr>
                <w:rFonts w:eastAsia="Times New Roman"/>
                <w:sz w:val="20"/>
                <w:szCs w:val="20"/>
              </w:rPr>
            </w:pPr>
          </w:p>
        </w:tc>
      </w:tr>
      <w:tr w:rsidR="00000000">
        <w:trPr>
          <w:divId w:val="118913864"/>
          <w:jc w:val="center"/>
        </w:trPr>
        <w:tc>
          <w:tcPr>
            <w:tcW w:w="21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9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18913864"/>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divId w:val="2022971346"/>
              <w:rPr>
                <w:rFonts w:eastAsia="Times New Roman"/>
                <w:sz w:val="20"/>
                <w:szCs w:val="20"/>
              </w:rPr>
            </w:pPr>
            <w:r>
              <w:rPr>
                <w:rFonts w:ascii="inherit" w:eastAsia="Times New Roman" w:hAnsi="inherit"/>
                <w:sz w:val="20"/>
                <w:szCs w:val="20"/>
              </w:rPr>
              <w:t> </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3"/>
            <w:tcBorders>
              <w:top w:val="single" w:sz="12"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top w:val="single" w:sz="12" w:space="0" w:color="000000"/>
              <w:bottom w:val="single" w:sz="6" w:space="0" w:color="000000"/>
            </w:tcBorders>
            <w:tcMar>
              <w:top w:w="30" w:type="dxa"/>
              <w:left w:w="30" w:type="dxa"/>
              <w:bottom w:w="30" w:type="dxa"/>
              <w:right w:w="30" w:type="dxa"/>
            </w:tcMar>
            <w:hideMark/>
          </w:tcPr>
          <w:p w:rsidR="00000000" w:rsidRDefault="00E617AE">
            <w:pPr>
              <w:rPr>
                <w:rFonts w:eastAsia="Times New Roman"/>
                <w:sz w:val="16"/>
                <w:szCs w:val="16"/>
              </w:rPr>
            </w:pPr>
            <w:r>
              <w:rPr>
                <w:rFonts w:ascii="Arial" w:eastAsia="Times New Roman" w:hAnsi="Arial" w:cs="Arial"/>
                <w:b/>
                <w:bCs/>
                <w:sz w:val="16"/>
                <w:szCs w:val="16"/>
              </w:rPr>
              <w:t>Subsidiary Issuer and Guarantor - EEP</w:t>
            </w: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5"/>
                <w:szCs w:val="15"/>
              </w:rPr>
            </w:pPr>
            <w:r>
              <w:rPr>
                <w:rFonts w:ascii="Arial" w:eastAsia="Times New Roman" w:hAnsi="Arial" w:cs="Arial"/>
                <w:i/>
                <w:iCs/>
                <w:sz w:val="15"/>
                <w:szCs w:val="15"/>
              </w:rPr>
              <w:t>(millions of Canadian dollars)</w:t>
            </w:r>
          </w:p>
        </w:tc>
        <w:tc>
          <w:tcPr>
            <w:tcW w:w="0" w:type="auto"/>
            <w:gridSpan w:val="8"/>
            <w:tcBorders>
              <w:top w:val="single" w:sz="6" w:space="0" w:color="000000"/>
            </w:tcBorders>
            <w:tcMar>
              <w:top w:w="30" w:type="dxa"/>
              <w:left w:w="30" w:type="dxa"/>
              <w:bottom w:w="30" w:type="dxa"/>
              <w:right w:w="30" w:type="dxa"/>
            </w:tcMar>
            <w:vAlign w:val="bottom"/>
            <w:hideMark/>
          </w:tcPr>
          <w:p w:rsidR="00000000" w:rsidRDefault="00E617AE">
            <w:pPr>
              <w:divId w:val="1949661085"/>
              <w:rPr>
                <w:rFonts w:eastAsia="Times New Roman"/>
                <w:sz w:val="20"/>
                <w:szCs w:val="20"/>
              </w:rPr>
            </w:pPr>
            <w:r>
              <w:rPr>
                <w:rFonts w:ascii="inherit" w:eastAsia="Times New Roman" w:hAnsi="inherit"/>
                <w:sz w:val="20"/>
                <w:szCs w:val="20"/>
              </w:rPr>
              <w:t> </w:t>
            </w: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receivable from affiliates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1,065</w:t>
            </w:r>
          </w:p>
        </w:tc>
        <w:tc>
          <w:tcPr>
            <w:tcW w:w="0" w:type="auto"/>
            <w:shd w:val="clear" w:color="auto" w:fill="D6D6D6"/>
            <w:vAlign w:val="bottom"/>
            <w:hideMark/>
          </w:tcPr>
          <w:p w:rsidR="00000000" w:rsidRDefault="00E617AE">
            <w:pPr>
              <w:divId w:val="2018344693"/>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491986881"/>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Short-term loans receivable from affiliates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907</w:t>
            </w:r>
          </w:p>
        </w:tc>
        <w:tc>
          <w:tcPr>
            <w:tcW w:w="0" w:type="auto"/>
            <w:shd w:val="clear" w:color="auto" w:fill="D6D6D6"/>
            <w:vAlign w:val="bottom"/>
            <w:hideMark/>
          </w:tcPr>
          <w:p w:rsidR="00000000" w:rsidRDefault="00E617AE">
            <w:pPr>
              <w:divId w:val="1389499689"/>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1575505845"/>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4,674</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current assets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207</w:t>
            </w:r>
          </w:p>
        </w:tc>
        <w:tc>
          <w:tcPr>
            <w:tcW w:w="0" w:type="auto"/>
            <w:shd w:val="clear" w:color="auto" w:fill="D6D6D6"/>
            <w:vAlign w:val="bottom"/>
            <w:hideMark/>
          </w:tcPr>
          <w:p w:rsidR="00000000" w:rsidRDefault="00E617AE">
            <w:pPr>
              <w:divId w:val="1868366996"/>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6D6D6"/>
            <w:vAlign w:val="bottom"/>
            <w:hideMark/>
          </w:tcPr>
          <w:p w:rsidR="00000000" w:rsidRDefault="00E617AE">
            <w:pPr>
              <w:divId w:val="584457782"/>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Long-term loans receivable from affiliates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47,939</w:t>
            </w:r>
          </w:p>
        </w:tc>
        <w:tc>
          <w:tcPr>
            <w:tcW w:w="0" w:type="auto"/>
            <w:shd w:val="clear" w:color="auto" w:fill="D6D6D6"/>
            <w:vAlign w:val="bottom"/>
            <w:hideMark/>
          </w:tcPr>
          <w:p w:rsidR="00000000" w:rsidRDefault="00E617AE">
            <w:pPr>
              <w:divId w:val="352151574"/>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73</w:t>
            </w:r>
          </w:p>
        </w:tc>
        <w:tc>
          <w:tcPr>
            <w:tcW w:w="0" w:type="auto"/>
            <w:shd w:val="clear" w:color="auto" w:fill="D6D6D6"/>
            <w:vAlign w:val="bottom"/>
            <w:hideMark/>
          </w:tcPr>
          <w:p w:rsidR="00000000" w:rsidRDefault="00E617AE">
            <w:pPr>
              <w:divId w:val="1175416261"/>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2,095</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assets</w:t>
            </w:r>
          </w:p>
        </w:tc>
        <w:tc>
          <w:tcPr>
            <w:tcW w:w="0" w:type="auto"/>
            <w:gridSpan w:val="2"/>
            <w:tcBorders>
              <w:bottom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5,027</w:t>
            </w:r>
          </w:p>
        </w:tc>
        <w:tc>
          <w:tcPr>
            <w:tcW w:w="0" w:type="auto"/>
            <w:tcBorders>
              <w:bottom w:val="single" w:sz="6" w:space="0" w:color="000000"/>
            </w:tcBorders>
            <w:shd w:val="clear" w:color="auto" w:fill="D6D6D6"/>
            <w:vAlign w:val="bottom"/>
            <w:hideMark/>
          </w:tcPr>
          <w:p w:rsidR="00000000" w:rsidRDefault="00E617AE">
            <w:pPr>
              <w:divId w:val="1366708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1,012</w:t>
            </w:r>
          </w:p>
        </w:tc>
        <w:tc>
          <w:tcPr>
            <w:tcW w:w="0" w:type="auto"/>
            <w:tcBorders>
              <w:bottom w:val="single" w:sz="6" w:space="0" w:color="000000"/>
            </w:tcBorders>
            <w:shd w:val="clear" w:color="auto" w:fill="D6D6D6"/>
            <w:vAlign w:val="bottom"/>
            <w:hideMark/>
          </w:tcPr>
          <w:p w:rsidR="00000000" w:rsidRDefault="00E617AE">
            <w:pPr>
              <w:divId w:val="17308790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payable to affiliates</w:t>
            </w:r>
          </w:p>
        </w:tc>
        <w:tc>
          <w:tcPr>
            <w:tcW w:w="0" w:type="auto"/>
            <w:gridSpan w:val="2"/>
            <w:tcBorders>
              <w:top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808</w:t>
            </w:r>
          </w:p>
        </w:tc>
        <w:tc>
          <w:tcPr>
            <w:tcW w:w="0" w:type="auto"/>
            <w:tcBorders>
              <w:top w:val="single" w:sz="6" w:space="0" w:color="000000"/>
            </w:tcBorders>
            <w:shd w:val="clear" w:color="auto" w:fill="D6D6D6"/>
            <w:vAlign w:val="bottom"/>
            <w:hideMark/>
          </w:tcPr>
          <w:p w:rsidR="00000000" w:rsidRDefault="00E617AE">
            <w:pPr>
              <w:divId w:val="15204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698</w:t>
            </w:r>
          </w:p>
        </w:tc>
        <w:tc>
          <w:tcPr>
            <w:tcW w:w="0" w:type="auto"/>
            <w:tcBorders>
              <w:top w:val="single" w:sz="6" w:space="0" w:color="000000"/>
            </w:tcBorders>
            <w:shd w:val="clear" w:color="auto" w:fill="D6D6D6"/>
            <w:vAlign w:val="bottom"/>
            <w:hideMark/>
          </w:tcPr>
          <w:p w:rsidR="00000000" w:rsidRDefault="00E617AE">
            <w:pPr>
              <w:divId w:val="19896740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Short-term loans payable to affiliates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367</w:t>
            </w:r>
          </w:p>
        </w:tc>
        <w:tc>
          <w:tcPr>
            <w:tcW w:w="0" w:type="auto"/>
            <w:shd w:val="clear" w:color="auto" w:fill="D6D6D6"/>
            <w:vAlign w:val="bottom"/>
            <w:hideMark/>
          </w:tcPr>
          <w:p w:rsidR="00000000" w:rsidRDefault="00E617AE">
            <w:pPr>
              <w:divId w:val="2063139443"/>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1,992</w:t>
            </w:r>
          </w:p>
        </w:tc>
        <w:tc>
          <w:tcPr>
            <w:tcW w:w="0" w:type="auto"/>
            <w:shd w:val="clear" w:color="auto" w:fill="D6D6D6"/>
            <w:vAlign w:val="bottom"/>
            <w:hideMark/>
          </w:tcPr>
          <w:p w:rsidR="00000000" w:rsidRDefault="00E617AE">
            <w:pPr>
              <w:divId w:val="228077584"/>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2,112</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current liabilities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4,289</w:t>
            </w:r>
          </w:p>
        </w:tc>
        <w:tc>
          <w:tcPr>
            <w:tcW w:w="0" w:type="auto"/>
            <w:shd w:val="clear" w:color="auto" w:fill="D6D6D6"/>
            <w:vAlign w:val="bottom"/>
            <w:hideMark/>
          </w:tcPr>
          <w:p w:rsidR="00000000" w:rsidRDefault="00E617AE">
            <w:pPr>
              <w:divId w:val="1765760733"/>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679</w:t>
            </w:r>
          </w:p>
        </w:tc>
        <w:tc>
          <w:tcPr>
            <w:tcW w:w="0" w:type="auto"/>
            <w:shd w:val="clear" w:color="auto" w:fill="D6D6D6"/>
            <w:vAlign w:val="bottom"/>
            <w:hideMark/>
          </w:tcPr>
          <w:p w:rsidR="00000000" w:rsidRDefault="00E617AE">
            <w:pPr>
              <w:divId w:val="1993560668"/>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Long-term loans payable to affiliates</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33,610</w:t>
            </w:r>
          </w:p>
        </w:tc>
        <w:tc>
          <w:tcPr>
            <w:tcW w:w="0" w:type="auto"/>
            <w:shd w:val="clear" w:color="auto" w:fill="D6D6D6"/>
            <w:vAlign w:val="bottom"/>
            <w:hideMark/>
          </w:tcPr>
          <w:p w:rsidR="00000000" w:rsidRDefault="00E617AE">
            <w:pPr>
              <w:divId w:val="579562064"/>
              <w:rPr>
                <w:rFonts w:eastAsia="Times New Roman"/>
                <w:sz w:val="20"/>
                <w:szCs w:val="20"/>
              </w:rPr>
            </w:pPr>
            <w:r>
              <w:rPr>
                <w:rFonts w:ascii="inherit" w:eastAsia="Times New Roman" w:hAnsi="inherit"/>
                <w:sz w:val="20"/>
                <w:szCs w:val="20"/>
              </w:rPr>
              <w:t> </w:t>
            </w:r>
          </w:p>
        </w:tc>
        <w:tc>
          <w:tcPr>
            <w:tcW w:w="0" w:type="auto"/>
            <w:gridSpan w:val="2"/>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w:t>
            </w:r>
          </w:p>
        </w:tc>
        <w:tc>
          <w:tcPr>
            <w:tcW w:w="0" w:type="auto"/>
            <w:shd w:val="clear" w:color="auto" w:fill="D6D6D6"/>
            <w:vAlign w:val="bottom"/>
            <w:hideMark/>
          </w:tcPr>
          <w:p w:rsidR="00000000" w:rsidRDefault="00E617AE">
            <w:pPr>
              <w:divId w:val="488526114"/>
              <w:rPr>
                <w:rFonts w:eastAsia="Times New Roman"/>
                <w:sz w:val="20"/>
                <w:szCs w:val="20"/>
              </w:rPr>
            </w:pPr>
            <w:r>
              <w:rPr>
                <w:rFonts w:ascii="inherit" w:eastAsia="Times New Roman" w:hAnsi="inherit"/>
                <w:sz w:val="20"/>
                <w:szCs w:val="20"/>
              </w:rPr>
              <w:t> </w:t>
            </w:r>
          </w:p>
        </w:tc>
        <w:tc>
          <w:tcPr>
            <w:tcW w:w="0" w:type="auto"/>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3,416</w:t>
            </w:r>
          </w:p>
        </w:tc>
        <w:tc>
          <w:tcPr>
            <w:tcW w:w="0" w:type="auto"/>
            <w:shd w:val="clear" w:color="auto" w:fill="D6D6D6"/>
            <w:vAlign w:val="bottom"/>
            <w:hideMark/>
          </w:tcPr>
          <w:p w:rsidR="00000000" w:rsidRDefault="00E617AE">
            <w:pPr>
              <w:rPr>
                <w:rFonts w:eastAsia="Times New Roman"/>
                <w:sz w:val="20"/>
                <w:szCs w:val="20"/>
              </w:rPr>
            </w:pPr>
          </w:p>
        </w:tc>
      </w:tr>
      <w:tr w:rsidR="00000000">
        <w:trPr>
          <w:divId w:val="118913864"/>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liabilities</w:t>
            </w:r>
          </w:p>
        </w:tc>
        <w:tc>
          <w:tcPr>
            <w:tcW w:w="0" w:type="auto"/>
            <w:gridSpan w:val="2"/>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32,225</w:t>
            </w:r>
          </w:p>
        </w:tc>
        <w:tc>
          <w:tcPr>
            <w:tcW w:w="0" w:type="auto"/>
            <w:tcBorders>
              <w:bottom w:val="single" w:sz="12" w:space="0" w:color="000000"/>
            </w:tcBorders>
            <w:shd w:val="clear" w:color="auto" w:fill="D6D6D6"/>
            <w:vAlign w:val="bottom"/>
            <w:hideMark/>
          </w:tcPr>
          <w:p w:rsidR="00000000" w:rsidRDefault="00E617AE">
            <w:pPr>
              <w:divId w:val="379285399"/>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5,160</w:t>
            </w:r>
          </w:p>
        </w:tc>
        <w:tc>
          <w:tcPr>
            <w:tcW w:w="0" w:type="auto"/>
            <w:tcBorders>
              <w:bottom w:val="single" w:sz="12" w:space="0" w:color="000000"/>
            </w:tcBorders>
            <w:shd w:val="clear" w:color="auto" w:fill="D6D6D6"/>
            <w:vAlign w:val="bottom"/>
            <w:hideMark/>
          </w:tcPr>
          <w:p w:rsidR="00000000" w:rsidRDefault="00E617AE">
            <w:pPr>
              <w:divId w:val="50039473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6D6D6"/>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b/>
                <w:bCs/>
                <w:sz w:val="16"/>
                <w:szCs w:val="16"/>
              </w:rPr>
              <w:t>4,172</w:t>
            </w:r>
          </w:p>
        </w:tc>
        <w:tc>
          <w:tcPr>
            <w:tcW w:w="0" w:type="auto"/>
            <w:tcBorders>
              <w:bottom w:val="single" w:sz="12" w:space="0" w:color="000000"/>
            </w:tcBorders>
            <w:shd w:val="clear" w:color="auto" w:fill="D6D6D6"/>
            <w:vAlign w:val="bottom"/>
            <w:hideMark/>
          </w:tcPr>
          <w:p w:rsidR="00000000" w:rsidRDefault="00E617AE">
            <w:pPr>
              <w:rPr>
                <w:rFonts w:eastAsia="Times New Roman"/>
                <w:sz w:val="20"/>
                <w:szCs w:val="20"/>
              </w:rPr>
            </w:pPr>
          </w:p>
        </w:tc>
      </w:tr>
    </w:tbl>
    <w:p w:rsidR="00000000" w:rsidRDefault="00E617AE">
      <w:pPr>
        <w:spacing w:line="417" w:lineRule="auto"/>
        <w:divId w:val="118913864"/>
        <w:rPr>
          <w:rFonts w:eastAsia="Times New Roman"/>
          <w:sz w:val="16"/>
          <w:szCs w:val="16"/>
        </w:rPr>
      </w:pPr>
      <w:r>
        <w:rPr>
          <w:rFonts w:ascii="Arial" w:eastAsia="Times New Roman" w:hAnsi="Arial" w:cs="Arial"/>
          <w:sz w:val="16"/>
          <w:szCs w:val="16"/>
        </w:rPr>
        <w:t> </w:t>
      </w:r>
    </w:p>
    <w:p w:rsidR="00000000" w:rsidRDefault="00E617AE">
      <w:pPr>
        <w:spacing w:line="417" w:lineRule="auto"/>
        <w:jc w:val="center"/>
        <w:divId w:val="118913864"/>
        <w:rPr>
          <w:rFonts w:eastAsia="Times New Roman"/>
          <w:sz w:val="20"/>
          <w:szCs w:val="20"/>
        </w:rPr>
      </w:pPr>
      <w:r>
        <w:rPr>
          <w:rFonts w:ascii="Arial" w:eastAsia="Times New Roman" w:hAnsi="Arial" w:cs="Arial"/>
          <w:b/>
          <w:bCs/>
          <w:sz w:val="20"/>
          <w:szCs w:val="20"/>
        </w:rPr>
        <w:t xml:space="preserve">Summarized Financial Information as at December 31, 2019 </w:t>
      </w:r>
    </w:p>
    <w:tbl>
      <w:tblPr>
        <w:tblW w:w="4914" w:type="pct"/>
        <w:jc w:val="center"/>
        <w:tblCellMar>
          <w:left w:w="0" w:type="dxa"/>
          <w:right w:w="0" w:type="dxa"/>
        </w:tblCellMar>
        <w:tblLook w:val="04A0" w:firstRow="1" w:lastRow="0" w:firstColumn="1" w:lastColumn="0" w:noHBand="0" w:noVBand="1"/>
      </w:tblPr>
      <w:tblGrid>
        <w:gridCol w:w="3509"/>
        <w:gridCol w:w="81"/>
        <w:gridCol w:w="1387"/>
        <w:gridCol w:w="82"/>
        <w:gridCol w:w="82"/>
        <w:gridCol w:w="1388"/>
        <w:gridCol w:w="82"/>
        <w:gridCol w:w="82"/>
        <w:gridCol w:w="1388"/>
        <w:gridCol w:w="82"/>
      </w:tblGrid>
      <w:tr w:rsidR="00000000">
        <w:trPr>
          <w:divId w:val="1530023079"/>
          <w:jc w:val="center"/>
        </w:trPr>
        <w:tc>
          <w:tcPr>
            <w:tcW w:w="0" w:type="auto"/>
            <w:gridSpan w:val="10"/>
            <w:vAlign w:val="center"/>
            <w:hideMark/>
          </w:tcPr>
          <w:p w:rsidR="00000000" w:rsidRDefault="00E617AE">
            <w:pPr>
              <w:spacing w:line="417" w:lineRule="auto"/>
              <w:jc w:val="center"/>
              <w:rPr>
                <w:rFonts w:eastAsia="Times New Roman"/>
                <w:sz w:val="20"/>
                <w:szCs w:val="20"/>
              </w:rPr>
            </w:pPr>
          </w:p>
        </w:tc>
      </w:tr>
      <w:tr w:rsidR="00000000">
        <w:trPr>
          <w:divId w:val="1530023079"/>
          <w:jc w:val="center"/>
        </w:trPr>
        <w:tc>
          <w:tcPr>
            <w:tcW w:w="21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85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r>
      <w:tr w:rsidR="00000000">
        <w:trPr>
          <w:divId w:val="1530023079"/>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divId w:val="1828355425"/>
              <w:rPr>
                <w:rFonts w:eastAsia="Times New Roman"/>
                <w:sz w:val="20"/>
                <w:szCs w:val="20"/>
              </w:rPr>
            </w:pPr>
            <w:r>
              <w:rPr>
                <w:rFonts w:ascii="inherit" w:eastAsia="Times New Roman" w:hAnsi="inherit"/>
                <w:sz w:val="20"/>
                <w:szCs w:val="20"/>
              </w:rPr>
              <w:t> </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3"/>
            <w:tcBorders>
              <w:top w:val="single" w:sz="12" w:space="0" w:color="000000"/>
              <w:bottom w:val="single" w:sz="6" w:space="0" w:color="000000"/>
            </w:tcBorders>
            <w:tcMar>
              <w:top w:w="30" w:type="dxa"/>
              <w:left w:w="30" w:type="dxa"/>
              <w:bottom w:w="30" w:type="dxa"/>
              <w:right w:w="30" w:type="dxa"/>
            </w:tcMar>
            <w:vAlign w:val="bottom"/>
            <w:hideMark/>
          </w:tcPr>
          <w:p w:rsidR="00000000" w:rsidRDefault="00E617AE">
            <w:pPr>
              <w:jc w:val="center"/>
              <w:rPr>
                <w:rFonts w:eastAsia="Times New Roman"/>
                <w:sz w:val="16"/>
                <w:szCs w:val="16"/>
              </w:rPr>
            </w:pPr>
            <w:r>
              <w:rPr>
                <w:rFonts w:ascii="Arial" w:eastAsia="Times New Roman" w:hAnsi="Arial" w:cs="Arial"/>
                <w:b/>
                <w:bCs/>
                <w:sz w:val="16"/>
                <w:szCs w:val="16"/>
              </w:rPr>
              <w:t>Subsidiary Issuer and Guarantor - EEP</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5"/>
                <w:szCs w:val="15"/>
              </w:rPr>
            </w:pPr>
            <w:r>
              <w:rPr>
                <w:rFonts w:ascii="Arial" w:eastAsia="Times New Roman" w:hAnsi="Arial" w:cs="Arial"/>
                <w:i/>
                <w:iCs/>
                <w:sz w:val="15"/>
                <w:szCs w:val="15"/>
              </w:rPr>
              <w:t>(millions of Canadian dollars)</w:t>
            </w:r>
          </w:p>
        </w:tc>
        <w:tc>
          <w:tcPr>
            <w:tcW w:w="0" w:type="auto"/>
            <w:gridSpan w:val="9"/>
            <w:tcBorders>
              <w:top w:val="single" w:sz="6" w:space="0" w:color="000000"/>
            </w:tcBorders>
            <w:tcMar>
              <w:top w:w="30" w:type="dxa"/>
              <w:left w:w="30" w:type="dxa"/>
              <w:bottom w:w="30" w:type="dxa"/>
              <w:right w:w="30" w:type="dxa"/>
            </w:tcMar>
            <w:vAlign w:val="bottom"/>
            <w:hideMark/>
          </w:tcPr>
          <w:p w:rsidR="00000000" w:rsidRDefault="00E617AE">
            <w:pPr>
              <w:divId w:val="648293938"/>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receivable from affiliates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729</w:t>
            </w:r>
          </w:p>
        </w:tc>
        <w:tc>
          <w:tcPr>
            <w:tcW w:w="0" w:type="auto"/>
            <w:vAlign w:val="bottom"/>
            <w:hideMark/>
          </w:tcPr>
          <w:p w:rsidR="00000000" w:rsidRDefault="00E617AE">
            <w:pPr>
              <w:divId w:val="1440640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divId w:val="76345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rsidR="00000000" w:rsidRDefault="00E617AE">
            <w:pPr>
              <w:divId w:val="918634550"/>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Short-term loans receivable from affiliates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1,691</w:t>
            </w:r>
          </w:p>
        </w:tc>
        <w:tc>
          <w:tcPr>
            <w:tcW w:w="0" w:type="auto"/>
            <w:vAlign w:val="bottom"/>
            <w:hideMark/>
          </w:tcPr>
          <w:p w:rsidR="00000000" w:rsidRDefault="00E617AE">
            <w:pPr>
              <w:divId w:val="1763602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divId w:val="1730567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3,961</w:t>
            </w:r>
          </w:p>
        </w:tc>
        <w:tc>
          <w:tcPr>
            <w:tcW w:w="0" w:type="auto"/>
            <w:vAlign w:val="bottom"/>
            <w:hideMark/>
          </w:tcPr>
          <w:p w:rsidR="00000000" w:rsidRDefault="00E617AE">
            <w:pPr>
              <w:divId w:val="742876226"/>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current assets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438</w:t>
            </w:r>
          </w:p>
        </w:tc>
        <w:tc>
          <w:tcPr>
            <w:tcW w:w="0" w:type="auto"/>
            <w:vAlign w:val="bottom"/>
            <w:hideMark/>
          </w:tcPr>
          <w:p w:rsidR="00000000" w:rsidRDefault="00E617AE">
            <w:pPr>
              <w:divId w:val="133788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E617AE">
            <w:pPr>
              <w:divId w:val="95374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E617AE">
            <w:pPr>
              <w:divId w:val="99691930"/>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Long-term loans receivable from affiliates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47,285</w:t>
            </w:r>
          </w:p>
        </w:tc>
        <w:tc>
          <w:tcPr>
            <w:tcW w:w="0" w:type="auto"/>
            <w:vAlign w:val="bottom"/>
            <w:hideMark/>
          </w:tcPr>
          <w:p w:rsidR="00000000" w:rsidRDefault="00E617AE">
            <w:pPr>
              <w:divId w:val="1898005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E617AE">
            <w:pPr>
              <w:divId w:val="1948845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2,387</w:t>
            </w:r>
          </w:p>
        </w:tc>
        <w:tc>
          <w:tcPr>
            <w:tcW w:w="0" w:type="auto"/>
            <w:vAlign w:val="bottom"/>
            <w:hideMark/>
          </w:tcPr>
          <w:p w:rsidR="00000000" w:rsidRDefault="00E617AE">
            <w:pPr>
              <w:divId w:val="244726215"/>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3,681</w:t>
            </w:r>
          </w:p>
        </w:tc>
        <w:tc>
          <w:tcPr>
            <w:tcW w:w="0" w:type="auto"/>
            <w:tcBorders>
              <w:bottom w:val="single" w:sz="6" w:space="0" w:color="000000"/>
            </w:tcBorders>
            <w:vAlign w:val="bottom"/>
            <w:hideMark/>
          </w:tcPr>
          <w:p w:rsidR="00000000" w:rsidRDefault="00E617AE">
            <w:pPr>
              <w:divId w:val="246500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933</w:t>
            </w:r>
          </w:p>
        </w:tc>
        <w:tc>
          <w:tcPr>
            <w:tcW w:w="0" w:type="auto"/>
            <w:tcBorders>
              <w:bottom w:val="single" w:sz="6" w:space="0" w:color="000000"/>
            </w:tcBorders>
            <w:vAlign w:val="bottom"/>
            <w:hideMark/>
          </w:tcPr>
          <w:p w:rsidR="00000000" w:rsidRDefault="00E617AE">
            <w:pPr>
              <w:divId w:val="1321815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E617AE">
            <w:pPr>
              <w:divId w:val="574704165"/>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Borders>
              <w:top w:val="single" w:sz="6"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Accounts payable to affiliates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736</w:t>
            </w:r>
          </w:p>
        </w:tc>
        <w:tc>
          <w:tcPr>
            <w:tcW w:w="0" w:type="auto"/>
            <w:tcBorders>
              <w:top w:val="single" w:sz="6" w:space="0" w:color="000000"/>
            </w:tcBorders>
            <w:vAlign w:val="bottom"/>
            <w:hideMark/>
          </w:tcPr>
          <w:p w:rsidR="00000000" w:rsidRDefault="00E617AE">
            <w:pPr>
              <w:divId w:val="292181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367</w:t>
            </w:r>
          </w:p>
        </w:tc>
        <w:tc>
          <w:tcPr>
            <w:tcW w:w="0" w:type="auto"/>
            <w:tcBorders>
              <w:top w:val="single" w:sz="6" w:space="0" w:color="000000"/>
            </w:tcBorders>
            <w:vAlign w:val="bottom"/>
            <w:hideMark/>
          </w:tcPr>
          <w:p w:rsidR="00000000" w:rsidRDefault="00E617AE">
            <w:pPr>
              <w:divId w:val="331377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68</w:t>
            </w:r>
          </w:p>
        </w:tc>
        <w:tc>
          <w:tcPr>
            <w:tcW w:w="0" w:type="auto"/>
            <w:tcBorders>
              <w:top w:val="single" w:sz="6" w:space="0" w:color="000000"/>
            </w:tcBorders>
            <w:vAlign w:val="bottom"/>
            <w:hideMark/>
          </w:tcPr>
          <w:p w:rsidR="00000000" w:rsidRDefault="00E617AE">
            <w:pPr>
              <w:divId w:val="535124049"/>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Short-term loans payable to affiliates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rsidR="00000000" w:rsidRDefault="00E617AE">
            <w:pPr>
              <w:divId w:val="129991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2,058</w:t>
            </w:r>
          </w:p>
        </w:tc>
        <w:tc>
          <w:tcPr>
            <w:tcW w:w="0" w:type="auto"/>
            <w:vAlign w:val="bottom"/>
            <w:hideMark/>
          </w:tcPr>
          <w:p w:rsidR="00000000" w:rsidRDefault="00E617AE">
            <w:pPr>
              <w:divId w:val="812797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1,991</w:t>
            </w:r>
          </w:p>
        </w:tc>
        <w:tc>
          <w:tcPr>
            <w:tcW w:w="0" w:type="auto"/>
            <w:vAlign w:val="bottom"/>
            <w:hideMark/>
          </w:tcPr>
          <w:p w:rsidR="00000000" w:rsidRDefault="00E617AE">
            <w:pPr>
              <w:divId w:val="249430540"/>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current liabilities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5,204</w:t>
            </w:r>
          </w:p>
        </w:tc>
        <w:tc>
          <w:tcPr>
            <w:tcW w:w="0" w:type="auto"/>
            <w:vAlign w:val="bottom"/>
            <w:hideMark/>
          </w:tcPr>
          <w:p w:rsidR="00000000" w:rsidRDefault="00E617AE">
            <w:pPr>
              <w:divId w:val="172838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598</w:t>
            </w:r>
          </w:p>
        </w:tc>
        <w:tc>
          <w:tcPr>
            <w:tcW w:w="0" w:type="auto"/>
            <w:vAlign w:val="bottom"/>
            <w:hideMark/>
          </w:tcPr>
          <w:p w:rsidR="00000000" w:rsidRDefault="00E617AE">
            <w:pPr>
              <w:divId w:val="1942058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E617AE">
            <w:pPr>
              <w:divId w:val="1970355726"/>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Long-term loans payable to affiliates</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33,686</w:t>
            </w:r>
          </w:p>
        </w:tc>
        <w:tc>
          <w:tcPr>
            <w:tcW w:w="0" w:type="auto"/>
            <w:vAlign w:val="bottom"/>
            <w:hideMark/>
          </w:tcPr>
          <w:p w:rsidR="00000000" w:rsidRDefault="00E617AE">
            <w:pPr>
              <w:divId w:val="976765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E617AE">
            <w:pPr>
              <w:divId w:val="1404254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3,112</w:t>
            </w:r>
          </w:p>
        </w:tc>
        <w:tc>
          <w:tcPr>
            <w:tcW w:w="0" w:type="auto"/>
            <w:vAlign w:val="bottom"/>
            <w:hideMark/>
          </w:tcPr>
          <w:p w:rsidR="00000000" w:rsidRDefault="00E617AE">
            <w:pPr>
              <w:divId w:val="1241987208"/>
              <w:rPr>
                <w:rFonts w:eastAsia="Times New Roman"/>
                <w:sz w:val="20"/>
                <w:szCs w:val="20"/>
              </w:rPr>
            </w:pPr>
            <w:r>
              <w:rPr>
                <w:rFonts w:ascii="inherit" w:eastAsia="Times New Roman" w:hAnsi="inherit"/>
                <w:sz w:val="20"/>
                <w:szCs w:val="20"/>
              </w:rPr>
              <w:t> </w:t>
            </w:r>
          </w:p>
        </w:tc>
      </w:tr>
      <w:tr w:rsidR="00000000">
        <w:trPr>
          <w:divId w:val="153002307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E617AE">
            <w:pPr>
              <w:rPr>
                <w:rFonts w:eastAsia="Times New Roman"/>
                <w:sz w:val="16"/>
                <w:szCs w:val="16"/>
              </w:rPr>
            </w:pPr>
            <w:r>
              <w:rPr>
                <w:rFonts w:ascii="Arial" w:eastAsia="Times New Roman" w:hAnsi="Arial" w:cs="Arial"/>
                <w:sz w:val="16"/>
                <w:szCs w:val="16"/>
              </w:rPr>
              <w:t>Other long-term liabilities</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28,585</w:t>
            </w:r>
          </w:p>
        </w:tc>
        <w:tc>
          <w:tcPr>
            <w:tcW w:w="0" w:type="auto"/>
            <w:tcBorders>
              <w:bottom w:val="single" w:sz="12" w:space="0" w:color="000000"/>
            </w:tcBorders>
            <w:vAlign w:val="bottom"/>
            <w:hideMark/>
          </w:tcPr>
          <w:p w:rsidR="00000000" w:rsidRDefault="00E617AE">
            <w:pPr>
              <w:divId w:val="106649282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4,708</w:t>
            </w:r>
          </w:p>
        </w:tc>
        <w:tc>
          <w:tcPr>
            <w:tcW w:w="0" w:type="auto"/>
            <w:tcBorders>
              <w:bottom w:val="single" w:sz="12" w:space="0" w:color="000000"/>
            </w:tcBorders>
            <w:vAlign w:val="bottom"/>
            <w:hideMark/>
          </w:tcPr>
          <w:p w:rsidR="00000000" w:rsidRDefault="00E617AE">
            <w:pPr>
              <w:divId w:val="135341149"/>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rsidR="00000000" w:rsidRDefault="00E617AE">
            <w:pPr>
              <w:jc w:val="right"/>
              <w:rPr>
                <w:rFonts w:eastAsia="Times New Roman"/>
                <w:sz w:val="16"/>
                <w:szCs w:val="16"/>
              </w:rPr>
            </w:pPr>
            <w:r>
              <w:rPr>
                <w:rFonts w:ascii="Arial" w:eastAsia="Times New Roman" w:hAnsi="Arial" w:cs="Arial"/>
                <w:sz w:val="16"/>
                <w:szCs w:val="16"/>
              </w:rPr>
              <w:t>3,801</w:t>
            </w:r>
          </w:p>
        </w:tc>
        <w:tc>
          <w:tcPr>
            <w:tcW w:w="0" w:type="auto"/>
            <w:tcBorders>
              <w:bottom w:val="single" w:sz="12" w:space="0" w:color="000000"/>
            </w:tcBorders>
            <w:vAlign w:val="bottom"/>
            <w:hideMark/>
          </w:tcPr>
          <w:p w:rsidR="00000000" w:rsidRDefault="00E617AE">
            <w:pPr>
              <w:divId w:val="403727923"/>
              <w:rPr>
                <w:rFonts w:eastAsia="Times New Roman"/>
                <w:sz w:val="20"/>
                <w:szCs w:val="20"/>
              </w:rPr>
            </w:pPr>
            <w:r>
              <w:rPr>
                <w:rFonts w:ascii="inherit" w:eastAsia="Times New Roman" w:hAnsi="inherit"/>
                <w:sz w:val="20"/>
                <w:szCs w:val="20"/>
              </w:rPr>
              <w:t> </w:t>
            </w:r>
          </w:p>
        </w:tc>
      </w:tr>
    </w:tbl>
    <w:p w:rsidR="00000000" w:rsidRDefault="00E617AE">
      <w:pPr>
        <w:spacing w:line="417" w:lineRule="auto"/>
        <w:ind w:hanging="180"/>
        <w:divId w:val="118913864"/>
        <w:rPr>
          <w:rFonts w:eastAsia="Times New Roman"/>
          <w:sz w:val="16"/>
          <w:szCs w:val="16"/>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Under United States bankruptcy law and comp</w:t>
      </w:r>
      <w:r>
        <w:rPr>
          <w:rFonts w:ascii="Arial" w:eastAsia="Times New Roman" w:hAnsi="Arial" w:cs="Arial"/>
          <w:sz w:val="20"/>
          <w:szCs w:val="20"/>
        </w:rPr>
        <w:t>arable provisions of state fraudulent transfer laws, a guarantee can be voided, or claims may be subordinated to all other debts of that guarantor if, among other things, the guarantor, at the time the indebtedness evidenced by its guarantee or, in some st</w:t>
      </w:r>
      <w:r>
        <w:rPr>
          <w:rFonts w:ascii="Arial" w:eastAsia="Times New Roman" w:hAnsi="Arial" w:cs="Arial"/>
          <w:sz w:val="20"/>
          <w:szCs w:val="20"/>
        </w:rPr>
        <w:t xml:space="preserve">ates, when payments become due under the guarantee: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87126714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received less than reasonably equivalent value or fair consideration for the incurrence of the guarantee and was insolvent or rendered insolvent by reason of such incurrence;</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76179660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was engaged in a business or transaction for which the guarantor’s remaining assets constituted unreasonably small capital; or</w:t>
            </w:r>
          </w:p>
        </w:tc>
      </w:tr>
    </w:tbl>
    <w:p w:rsidR="00000000" w:rsidRDefault="00E617AE">
      <w:pPr>
        <w:divId w:val="102166701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51</w:t>
      </w:r>
    </w:p>
    <w:p w:rsidR="00000000" w:rsidRDefault="00E617AE">
      <w:pPr>
        <w:divId w:val="118913864"/>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E617AE">
      <w:pPr>
        <w:divId w:val="142071760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62392513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intended to incur, or believed that it would incur, debts beyond its ability to pay those debts as they mature.</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guarantees of the Guaranteed Enbridge Notes contain provisions to limit the maximum amount of liability that the Partnerships could incur</w:t>
      </w:r>
      <w:r>
        <w:rPr>
          <w:rFonts w:ascii="Arial" w:eastAsia="Times New Roman" w:hAnsi="Arial" w:cs="Arial"/>
          <w:sz w:val="20"/>
          <w:szCs w:val="20"/>
        </w:rPr>
        <w:t xml:space="preserve"> without causing the incurrence of obligations under the guarantee to be a fraudulent conveyance or fraudulent transfer under United States federal or state law.</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Each of the Partnerships is entitled to a right of contribution from the other Partnership for 50% of all payments, damages and expenses incurred by that Partnership in discharging its obligations under the guarantees for the Guaranteed Enbridge Notes.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Under the terms of the guarantee agreement and applicable supplemental indentures, the guarantees of either of the Partnerships of any Guaranteed Enbridge Notes will be unconditionally released and discharged automatically upon the occurrence of any of the</w:t>
      </w:r>
      <w:r>
        <w:rPr>
          <w:rFonts w:ascii="Arial" w:eastAsia="Times New Roman" w:hAnsi="Arial" w:cs="Arial"/>
          <w:sz w:val="20"/>
          <w:szCs w:val="20"/>
        </w:rPr>
        <w:t xml:space="preserve"> following events: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196265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any direct or indirect sale, exchange or transfer, whether by way of merger, sale or transfer of equity interests or otherwise, to any person that is not an affiliate of Enbridge, of any of Enbridge’s direct or indirect limited part</w:t>
            </w:r>
            <w:r>
              <w:rPr>
                <w:rFonts w:ascii="Arial" w:eastAsia="Times New Roman" w:hAnsi="Arial" w:cs="Arial"/>
                <w:sz w:val="20"/>
                <w:szCs w:val="20"/>
              </w:rPr>
              <w:t>nership of other equity interests in that Partnership as a result of which the Partnership ceases to be a consolidated subsidiary of Enbridge;</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793865644"/>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merger of that Partnership into Enbridge or the other Partnership or the liquidation and dissolution o</w:t>
            </w:r>
            <w:r>
              <w:rPr>
                <w:rFonts w:ascii="Arial" w:eastAsia="Times New Roman" w:hAnsi="Arial" w:cs="Arial"/>
                <w:sz w:val="20"/>
                <w:szCs w:val="20"/>
              </w:rPr>
              <w:t>f that Partnership;</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40321297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the repayment in full or discharge or defeasance of those Guaranteed Enbridge Notes, as contemplated by the applicable indenture or guarantee agreement</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525053282"/>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with respect to EEP, the repayment in full or discharge or defeasance of each of the consenting E</w:t>
            </w:r>
            <w:r>
              <w:rPr>
                <w:rFonts w:ascii="Arial" w:eastAsia="Times New Roman" w:hAnsi="Arial" w:cs="Arial"/>
                <w:sz w:val="20"/>
                <w:szCs w:val="20"/>
              </w:rPr>
              <w:t xml:space="preserve">EP notes listed above;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69495758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with respect to SEP, the repayment in full or discharge or defeasance of each of the consenting SEP notes listed above; or</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189640769"/>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with respect to any series of Guaranteed Enbridge Notes, with the consent of holders of at least a majority of the outstanding principal amount of that series of Guaranteed Enbridge Notes.</w:t>
            </w:r>
          </w:p>
        </w:tc>
      </w:tr>
    </w:tbl>
    <w:p w:rsidR="00000000" w:rsidRDefault="00E617AE">
      <w:pPr>
        <w:spacing w:line="288" w:lineRule="auto"/>
        <w:ind w:hanging="360"/>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guarantee obligations of Enbridge of the Guaranteed Partners</w:t>
      </w:r>
      <w:r>
        <w:rPr>
          <w:rFonts w:ascii="Arial" w:eastAsia="Times New Roman" w:hAnsi="Arial" w:cs="Arial"/>
          <w:sz w:val="20"/>
          <w:szCs w:val="20"/>
        </w:rPr>
        <w:t>hip Notes will terminate with respect to any series of Guaranteed Partnership Notes if that series is discharged or defeased.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LEGAL AND OTHER UPDATES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LIQUIDS PIPELINES</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Dakota Access Pipeline</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In August 2018, the United States Army Corps of Engineers (Ar</w:t>
      </w:r>
      <w:r>
        <w:rPr>
          <w:rFonts w:ascii="Arial" w:eastAsia="Times New Roman" w:hAnsi="Arial" w:cs="Arial"/>
          <w:sz w:val="20"/>
          <w:szCs w:val="20"/>
        </w:rPr>
        <w:t>my Corps) completed the environmental analysis required on remand by the June 2017 order of the United States Court for the District of Columbia and reaffirmed the issuance of the permit for the Dakota Access Pipeline. All four plaintiff Tribes subsequentl</w:t>
      </w:r>
      <w:r>
        <w:rPr>
          <w:rFonts w:ascii="Arial" w:eastAsia="Times New Roman" w:hAnsi="Arial" w:cs="Arial"/>
          <w:sz w:val="20"/>
          <w:szCs w:val="20"/>
        </w:rPr>
        <w:t xml:space="preserve">y amended their complaints to include claims challenging the adequacy of the Army Corps’ August 2018 decision, and the parties filed cross-motions for summary judgment on the merits of the plaintiffs’ amended claims. Briefing on the parties’ cross-motions </w:t>
      </w:r>
      <w:r>
        <w:rPr>
          <w:rFonts w:ascii="Arial" w:eastAsia="Times New Roman" w:hAnsi="Arial" w:cs="Arial"/>
          <w:sz w:val="20"/>
          <w:szCs w:val="20"/>
        </w:rPr>
        <w:t>for summary judgment was completed on November 25, 2019. On March 25, 2020, the Court issued an opinion, granting and denying in part the parties’ cross-motions for summary judgment. The Court ordered the Army Corps to prepare an Environmental Impact State</w:t>
      </w:r>
      <w:r>
        <w:rPr>
          <w:rFonts w:ascii="Arial" w:eastAsia="Times New Roman" w:hAnsi="Arial" w:cs="Arial"/>
          <w:sz w:val="20"/>
          <w:szCs w:val="20"/>
        </w:rPr>
        <w:t xml:space="preserve">ment to address unresolved controversy pertaining to potential spill impacts resulting from the Dakota Access Pipeline. The Court deferred a decision on remedy, ordering the parties to conduct further briefing, scheduled to be complete by May 27, 2020, on </w:t>
      </w:r>
      <w:r>
        <w:rPr>
          <w:rFonts w:ascii="Arial" w:eastAsia="Times New Roman" w:hAnsi="Arial" w:cs="Arial"/>
          <w:sz w:val="20"/>
          <w:szCs w:val="20"/>
        </w:rPr>
        <w:t>whether the Army Corps' permit for the Dakota Access Pipeline should be vacated during the remand process. The Court will issue a decision on remedy thereafter.</w:t>
      </w:r>
    </w:p>
    <w:p w:rsidR="00000000" w:rsidRDefault="00E617AE">
      <w:pPr>
        <w:spacing w:line="288" w:lineRule="auto"/>
        <w:divId w:val="118913864"/>
        <w:rPr>
          <w:rFonts w:eastAsia="Times New Roman"/>
          <w:sz w:val="22"/>
          <w:szCs w:val="22"/>
        </w:rPr>
      </w:pPr>
    </w:p>
    <w:p w:rsidR="00000000" w:rsidRDefault="00E617AE">
      <w:pPr>
        <w:divId w:val="57173955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52</w:t>
      </w:r>
    </w:p>
    <w:p w:rsidR="00000000" w:rsidRDefault="00E617AE">
      <w:pPr>
        <w:divId w:val="118913864"/>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E617AE">
      <w:pPr>
        <w:divId w:val="2015380022"/>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Line 5 Dual Pipelines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June 6, 2019, we filed a complaint with the Michigan Court of Claims to establish the constitutional validity of Michigan law PA 359 and enforceability of various agreements entered into between us and the State of Michigan related to the construction o</w:t>
      </w:r>
      <w:r>
        <w:rPr>
          <w:rFonts w:ascii="Arial" w:eastAsia="Times New Roman" w:hAnsi="Arial" w:cs="Arial"/>
          <w:sz w:val="20"/>
          <w:szCs w:val="20"/>
        </w:rPr>
        <w:t>f the Line 5 Dual Pipelines Tunnel Project (Tunnel Project). On October 31, 2019, the Court determined that Michigan law PA 359 is valid and is not unconstitutional. On November 5, 2019, the Michigan Attorney General filed an appeal with the Michigan Court</w:t>
      </w:r>
      <w:r>
        <w:rPr>
          <w:rFonts w:ascii="Arial" w:eastAsia="Times New Roman" w:hAnsi="Arial" w:cs="Arial"/>
          <w:sz w:val="20"/>
          <w:szCs w:val="20"/>
        </w:rPr>
        <w:t xml:space="preserve"> of Appeals and briefing for that appeal is now complete. A decision by the Michigan Court of Appeals is expected later in 2020. Both the Michigan Court of Claims and the Michigan Court of Appeals denied the Michigan Attorney General’s motion for a stay pe</w:t>
      </w:r>
      <w:r>
        <w:rPr>
          <w:rFonts w:ascii="Arial" w:eastAsia="Times New Roman" w:hAnsi="Arial" w:cs="Arial"/>
          <w:sz w:val="20"/>
          <w:szCs w:val="20"/>
        </w:rPr>
        <w:t>nding an appeal.</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June 27, 2019, the Michigan Attorney General filed a complaint in the Michigan Ingham County Circuit Court that requests the Court to declare the easement that we have for the operation of the dual pipelines in the Straits of Mackinac</w:t>
      </w:r>
      <w:r>
        <w:rPr>
          <w:rFonts w:ascii="Arial" w:eastAsia="Times New Roman" w:hAnsi="Arial" w:cs="Arial"/>
          <w:sz w:val="20"/>
          <w:szCs w:val="20"/>
        </w:rPr>
        <w:t xml:space="preserve"> (the Straits) to be invalid and to prohibit continued operation of the dual pipelines in the Straits “as soon as possible after a reasonable notice period to allow orderly adjustments by affected parties”. On September 16, 2019, we filed our motion for su</w:t>
      </w:r>
      <w:r>
        <w:rPr>
          <w:rFonts w:ascii="Arial" w:eastAsia="Times New Roman" w:hAnsi="Arial" w:cs="Arial"/>
          <w:sz w:val="20"/>
          <w:szCs w:val="20"/>
        </w:rPr>
        <w:t>mmary disposition and requested dismissal of the State’s Complaint in its entirety. On that same date, the State filed a motion for partial summary disposition and judgment in its favor on its claim that the easement was void from inception. The case is fu</w:t>
      </w:r>
      <w:r>
        <w:rPr>
          <w:rFonts w:ascii="Arial" w:eastAsia="Times New Roman" w:hAnsi="Arial" w:cs="Arial"/>
          <w:sz w:val="20"/>
          <w:szCs w:val="20"/>
        </w:rPr>
        <w:t>lly briefed and oral argument on the parties' motions remains scheduled for May 22, 2020.</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On March 6, 2020, the Mackinac Straits Corridor Authority (Corridor Authority) held its first meeting since December 2018. At the meeting the Corridor Authority rev</w:t>
      </w:r>
      <w:r>
        <w:rPr>
          <w:rFonts w:ascii="Arial" w:eastAsia="Times New Roman" w:hAnsi="Arial" w:cs="Arial"/>
          <w:sz w:val="20"/>
          <w:szCs w:val="20"/>
        </w:rPr>
        <w:t>iewed the actions that we have taken in accordance with the Tunnel Project agreement, and on formal motions approved those actions.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During the first quarter of 2020, we filed all major environmental permits, including the joint permit application with th</w:t>
      </w:r>
      <w:r>
        <w:rPr>
          <w:rFonts w:ascii="Arial" w:eastAsia="Times New Roman" w:hAnsi="Arial" w:cs="Arial"/>
          <w:sz w:val="20"/>
          <w:szCs w:val="20"/>
        </w:rPr>
        <w:t>e Michigan Department of Environment, Great Lakes and Energy and the Army Corps, as well as an independent application to the Michigan Public Service Commission.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Upon receipt of all required permits, we expect to begin construction of the Tunnel Project,</w:t>
      </w:r>
      <w:r>
        <w:rPr>
          <w:rFonts w:ascii="Arial" w:eastAsia="Times New Roman" w:hAnsi="Arial" w:cs="Arial"/>
          <w:sz w:val="20"/>
          <w:szCs w:val="20"/>
        </w:rPr>
        <w:t xml:space="preserve"> with the expected completion of construction, testing and commissioning sometime in 2024.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OTHER LITIGATION</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and our subsidiaries are involved in various other legal and regulatory actions and proceedings which arise in the normal course of business, </w:t>
      </w:r>
      <w:r>
        <w:rPr>
          <w:rFonts w:ascii="Arial" w:eastAsia="Times New Roman" w:hAnsi="Arial" w:cs="Arial"/>
          <w:sz w:val="20"/>
          <w:szCs w:val="20"/>
        </w:rPr>
        <w:t>including interventions in regulatory proceedings and challenges to regulatory approvals and permits. While the final outcome of such actions and proceedings cannot be predicted with certainty, management believes that the resolution of such actions and pr</w:t>
      </w:r>
      <w:r>
        <w:rPr>
          <w:rFonts w:ascii="Arial" w:eastAsia="Times New Roman" w:hAnsi="Arial" w:cs="Arial"/>
          <w:sz w:val="20"/>
          <w:szCs w:val="20"/>
        </w:rPr>
        <w:t>oceedings will not have a material impact on our consolidated financial position or results of operations.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CAPITAL EXPENDITURE COMMITMENTS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have signed contracts for the purchase of services, pipe and other materials totaling approximately $2.3 billion</w:t>
      </w:r>
      <w:r>
        <w:rPr>
          <w:rFonts w:ascii="Arial" w:eastAsia="Times New Roman" w:hAnsi="Arial" w:cs="Arial"/>
          <w:sz w:val="20"/>
          <w:szCs w:val="20"/>
        </w:rPr>
        <w:t xml:space="preserve"> which are expected to be paid over the next five years.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TAX MATTERS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We and our subsidiaries maintain tax liabilities related to uncertain tax positions. While fully supportable in our view, these tax positions, if challenged by tax authorities, may not </w:t>
      </w:r>
      <w:r>
        <w:rPr>
          <w:rFonts w:ascii="Arial" w:eastAsia="Times New Roman" w:hAnsi="Arial" w:cs="Arial"/>
          <w:sz w:val="20"/>
          <w:szCs w:val="20"/>
        </w:rPr>
        <w:t>be fully sustained on review.</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6"/>
          <w:szCs w:val="26"/>
        </w:rPr>
      </w:pPr>
      <w:r>
        <w:rPr>
          <w:rFonts w:ascii="Arial" w:eastAsia="Times New Roman" w:hAnsi="Arial" w:cs="Arial"/>
          <w:b/>
          <w:bCs/>
          <w:sz w:val="26"/>
          <w:szCs w:val="26"/>
        </w:rPr>
        <w:t>CHANGES IN ACCOUNTING POLICIES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Refer to Part I. Item 1.</w:t>
      </w:r>
      <w:r>
        <w:rPr>
          <w:rFonts w:ascii="Arial" w:eastAsia="Times New Roman" w:hAnsi="Arial" w:cs="Arial"/>
          <w:i/>
          <w:iCs/>
          <w:sz w:val="20"/>
          <w:szCs w:val="20"/>
        </w:rPr>
        <w:t xml:space="preserve"> Financial Statements - Note 2. Changes in Accounting Policies.</w:t>
      </w:r>
    </w:p>
    <w:p w:rsidR="00000000" w:rsidRDefault="00E617AE">
      <w:pPr>
        <w:spacing w:line="288" w:lineRule="auto"/>
        <w:divId w:val="118913864"/>
        <w:rPr>
          <w:rFonts w:eastAsia="Times New Roman"/>
          <w:sz w:val="20"/>
          <w:szCs w:val="20"/>
        </w:rPr>
      </w:pPr>
    </w:p>
    <w:p w:rsidR="00000000" w:rsidRDefault="00E617AE">
      <w:pPr>
        <w:divId w:val="846024509"/>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53</w:t>
      </w:r>
    </w:p>
    <w:p w:rsidR="00000000" w:rsidRDefault="00E617AE">
      <w:pPr>
        <w:divId w:val="118913864"/>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E617AE">
      <w:pPr>
        <w:divId w:val="13001740"/>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3. QUANTITATIVE AND QUALITATIVE DISCLOSURES ABOUT MARKET RISK</w:t>
      </w:r>
    </w:p>
    <w:p w:rsidR="00000000" w:rsidRDefault="00E617AE">
      <w:pPr>
        <w:spacing w:line="288" w:lineRule="auto"/>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Our exposure to market risk is described in Part II. Item 7A. </w:t>
      </w:r>
      <w:r>
        <w:rPr>
          <w:rFonts w:ascii="Arial" w:eastAsia="Times New Roman" w:hAnsi="Arial" w:cs="Arial"/>
          <w:i/>
          <w:iCs/>
          <w:sz w:val="20"/>
          <w:szCs w:val="20"/>
        </w:rPr>
        <w:t>Quantitative and Qualitative Disclosures About Market Risk</w:t>
      </w:r>
      <w:r>
        <w:rPr>
          <w:rFonts w:ascii="Arial" w:eastAsia="Times New Roman" w:hAnsi="Arial" w:cs="Arial"/>
          <w:sz w:val="20"/>
          <w:szCs w:val="20"/>
        </w:rPr>
        <w:t xml:space="preserve"> </w:t>
      </w:r>
      <w:r>
        <w:rPr>
          <w:rFonts w:ascii="Arial" w:eastAsia="Times New Roman" w:hAnsi="Arial" w:cs="Arial"/>
          <w:sz w:val="20"/>
          <w:szCs w:val="20"/>
        </w:rPr>
        <w:t>of our Annual Report on Form 10-K for the year ended December 31, 2019. We believe our exposure to market risk has not changed materially since then.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4. CONTROLS AND PROCEDURES</w:t>
      </w:r>
    </w:p>
    <w:p w:rsidR="00000000" w:rsidRDefault="00E617AE">
      <w:pPr>
        <w:spacing w:line="288" w:lineRule="auto"/>
        <w:jc w:val="both"/>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Evaluation of Disclosure Controls and Procedures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Disclosure controls a</w:t>
      </w:r>
      <w:r>
        <w:rPr>
          <w:rFonts w:ascii="Arial" w:eastAsia="Times New Roman" w:hAnsi="Arial" w:cs="Arial"/>
          <w:sz w:val="20"/>
          <w:szCs w:val="20"/>
        </w:rPr>
        <w:t>nd procedures are controls and other procedures that are designed to ensure that information required to be disclosed by us in the reports we file or submit under the Exchange Act is recorded, processed, summarized and reported within the time periods spec</w:t>
      </w:r>
      <w:r>
        <w:rPr>
          <w:rFonts w:ascii="Arial" w:eastAsia="Times New Roman" w:hAnsi="Arial" w:cs="Arial"/>
          <w:sz w:val="20"/>
          <w:szCs w:val="20"/>
        </w:rPr>
        <w:t xml:space="preserve">ified by the U.S. Securities and Exchange Commission's rules and forms. Disclosure controls and procedures include, without limitation, controls and procedures designed to provide reasonable assurance that information required to be disclosed by us in the </w:t>
      </w:r>
      <w:r>
        <w:rPr>
          <w:rFonts w:ascii="Arial" w:eastAsia="Times New Roman" w:hAnsi="Arial" w:cs="Arial"/>
          <w:sz w:val="20"/>
          <w:szCs w:val="20"/>
        </w:rPr>
        <w:t xml:space="preserve">reports we file or submit under the Exchange Act is accumulated and communicated to management, including the Chief Executive Officer and Chief Financial Officer, as appropriate, to allow timely decisions regarding required disclosure.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Under the supervi</w:t>
      </w:r>
      <w:r>
        <w:rPr>
          <w:rFonts w:ascii="Arial" w:eastAsia="Times New Roman" w:hAnsi="Arial" w:cs="Arial"/>
          <w:sz w:val="20"/>
          <w:szCs w:val="20"/>
        </w:rPr>
        <w:t xml:space="preserve">sion and with the participation of management, including the Chief Executive Officer and Chief Financial Officer, we have evaluated the effectiveness of our disclosure controls and procedures (as such term is defined in Rules 13a-15(e) and 15d-15(e) under </w:t>
      </w:r>
      <w:r>
        <w:rPr>
          <w:rFonts w:ascii="Arial" w:eastAsia="Times New Roman" w:hAnsi="Arial" w:cs="Arial"/>
          <w:sz w:val="20"/>
          <w:szCs w:val="20"/>
        </w:rPr>
        <w:t>the Exchange Act) as at March 31, 2020, and based upon this evaluation, the Chief Executive Officer and Chief Financial Officer have concluded that these controls and procedures are effective in ensuring that information required to be disclosed by us in r</w:t>
      </w:r>
      <w:r>
        <w:rPr>
          <w:rFonts w:ascii="Arial" w:eastAsia="Times New Roman" w:hAnsi="Arial" w:cs="Arial"/>
          <w:sz w:val="20"/>
          <w:szCs w:val="20"/>
        </w:rPr>
        <w:t>eports that we file with or submit to the U.S. Securities and Exchange Commission and the Canadian Securities Administrators is recorded, processed, summarized and reported within the time periods required.</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Changes in Internal Control over Financial Repo</w:t>
      </w:r>
      <w:r>
        <w:rPr>
          <w:rFonts w:ascii="Arial" w:eastAsia="Times New Roman" w:hAnsi="Arial" w:cs="Arial"/>
          <w:b/>
          <w:bCs/>
          <w:sz w:val="20"/>
          <w:szCs w:val="20"/>
        </w:rPr>
        <w:t>rting</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Under the supervision and with the participation of management, including the Chief Executive Officer and Chief Financial Officer, we have evaluated changes in internal control over financial reporting (as such term is defined in Rules 13a-15(f) and </w:t>
      </w:r>
      <w:r>
        <w:rPr>
          <w:rFonts w:ascii="Arial" w:eastAsia="Times New Roman" w:hAnsi="Arial" w:cs="Arial"/>
          <w:sz w:val="20"/>
          <w:szCs w:val="20"/>
        </w:rPr>
        <w:t>15d-15(f) under the Exchange Act) that occurred during the fiscal quarter ended March 31, 2020 and found no change that has materially affected, or is reasonably likely to materially affect, internal control over financial reporting.</w:t>
      </w:r>
    </w:p>
    <w:p w:rsidR="00000000" w:rsidRDefault="00E617AE">
      <w:pPr>
        <w:spacing w:line="288" w:lineRule="auto"/>
        <w:divId w:val="118913864"/>
        <w:rPr>
          <w:rFonts w:eastAsia="Times New Roman"/>
          <w:sz w:val="20"/>
          <w:szCs w:val="20"/>
        </w:rPr>
      </w:pPr>
    </w:p>
    <w:p w:rsidR="00000000" w:rsidRDefault="00E617AE">
      <w:pPr>
        <w:spacing w:line="288" w:lineRule="auto"/>
        <w:jc w:val="center"/>
        <w:divId w:val="118913864"/>
        <w:rPr>
          <w:rFonts w:eastAsia="Times New Roman"/>
          <w:sz w:val="30"/>
          <w:szCs w:val="30"/>
        </w:rPr>
      </w:pPr>
    </w:p>
    <w:p w:rsidR="00000000" w:rsidRDefault="00E617AE">
      <w:pPr>
        <w:divId w:val="86455632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54</w:t>
      </w:r>
    </w:p>
    <w:p w:rsidR="00000000" w:rsidRDefault="00E617AE">
      <w:pPr>
        <w:divId w:val="118913864"/>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E617AE">
      <w:pPr>
        <w:divId w:val="1807157777"/>
        <w:rPr>
          <w:rFonts w:eastAsia="Times New Roman"/>
          <w:sz w:val="20"/>
          <w:szCs w:val="20"/>
        </w:rPr>
      </w:pPr>
    </w:p>
    <w:p w:rsidR="00000000" w:rsidRDefault="00E617AE">
      <w:pPr>
        <w:spacing w:line="288" w:lineRule="auto"/>
        <w:jc w:val="center"/>
        <w:divId w:val="118913864"/>
        <w:rPr>
          <w:rFonts w:eastAsia="Times New Roman"/>
          <w:sz w:val="30"/>
          <w:szCs w:val="30"/>
        </w:rPr>
      </w:pPr>
      <w:r>
        <w:rPr>
          <w:rFonts w:ascii="Arial" w:eastAsia="Times New Roman" w:hAnsi="Arial" w:cs="Arial"/>
          <w:b/>
          <w:bCs/>
          <w:sz w:val="30"/>
          <w:szCs w:val="30"/>
        </w:rPr>
        <w:t>PART II - OTHER INFORMATION</w:t>
      </w:r>
    </w:p>
    <w:p w:rsidR="00000000" w:rsidRDefault="00E617AE">
      <w:pPr>
        <w:spacing w:line="288" w:lineRule="auto"/>
        <w:jc w:val="center"/>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 xml:space="preserve">ITEM 1. LEGAL PROCEEDINGS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We are involved in various legal and regulatory actions and proceedings which arise in the ordinary course of business. While the final outcome of such actions and proceed</w:t>
      </w:r>
      <w:r>
        <w:rPr>
          <w:rFonts w:ascii="Arial" w:eastAsia="Times New Roman" w:hAnsi="Arial" w:cs="Arial"/>
          <w:sz w:val="20"/>
          <w:szCs w:val="20"/>
        </w:rPr>
        <w:t xml:space="preserve">ings cannot be predicted with certainty, management believes that the resolution of such actions and proceedings will not have a material impact on our consolidated financial position or results of operations. Refer to Part I. Item 2. </w:t>
      </w:r>
      <w:r>
        <w:rPr>
          <w:rFonts w:ascii="Arial" w:eastAsia="Times New Roman" w:hAnsi="Arial" w:cs="Arial"/>
          <w:i/>
          <w:iCs/>
          <w:sz w:val="20"/>
          <w:szCs w:val="20"/>
        </w:rPr>
        <w:t>Management's Discussi</w:t>
      </w:r>
      <w:r>
        <w:rPr>
          <w:rFonts w:ascii="Arial" w:eastAsia="Times New Roman" w:hAnsi="Arial" w:cs="Arial"/>
          <w:i/>
          <w:iCs/>
          <w:sz w:val="20"/>
          <w:szCs w:val="20"/>
        </w:rPr>
        <w:t>on and Analysis of Financial Condition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and</w:t>
      </w:r>
      <w:r>
        <w:rPr>
          <w:rFonts w:ascii="Arial" w:eastAsia="Times New Roman" w:hAnsi="Arial" w:cs="Arial"/>
          <w:sz w:val="20"/>
          <w:szCs w:val="20"/>
        </w:rPr>
        <w:t xml:space="preserve"> </w:t>
      </w:r>
      <w:r>
        <w:rPr>
          <w:rFonts w:ascii="Arial" w:eastAsia="Times New Roman" w:hAnsi="Arial" w:cs="Arial"/>
          <w:i/>
          <w:iCs/>
          <w:sz w:val="20"/>
          <w:szCs w:val="20"/>
          <w:shd w:val="clear" w:color="auto" w:fill="FFFFFF"/>
        </w:rPr>
        <w:t xml:space="preserve">Growth Projects - Regulatory Matters </w:t>
      </w:r>
      <w:r>
        <w:rPr>
          <w:rFonts w:ascii="Arial" w:eastAsia="Times New Roman" w:hAnsi="Arial" w:cs="Arial"/>
          <w:sz w:val="20"/>
          <w:szCs w:val="20"/>
          <w:shd w:val="clear" w:color="auto" w:fill="FFFFFF"/>
        </w:rPr>
        <w:t>for discussion of other legal proceedings.</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 xml:space="preserve">ITEM 1A. RISK FACTORS </w:t>
      </w:r>
    </w:p>
    <w:p w:rsidR="00000000" w:rsidRDefault="00E617AE">
      <w:pPr>
        <w:spacing w:line="288" w:lineRule="auto"/>
        <w:jc w:val="both"/>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In addition to the other information set forth in this report, careful consideration should be given to the factors discussed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of our Annual Report on Form 10-K for the year ended December 31, 2019, which could materially af</w:t>
      </w:r>
      <w:r>
        <w:rPr>
          <w:rFonts w:ascii="Arial" w:eastAsia="Times New Roman" w:hAnsi="Arial" w:cs="Arial"/>
          <w:sz w:val="20"/>
          <w:szCs w:val="20"/>
        </w:rPr>
        <w:t xml:space="preserve">fect our financial condition or future results. Other than as set out below, there have been no material modifications to those risk factors.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i/>
          <w:iCs/>
          <w:sz w:val="20"/>
          <w:szCs w:val="20"/>
        </w:rPr>
        <w:t>The COVID-19 pandemic has adversely affected local and global economies and could negatively impact our busines</w:t>
      </w:r>
      <w:r>
        <w:rPr>
          <w:rFonts w:ascii="Arial" w:eastAsia="Times New Roman" w:hAnsi="Arial" w:cs="Arial"/>
          <w:b/>
          <w:bCs/>
          <w:i/>
          <w:iCs/>
          <w:sz w:val="20"/>
          <w:szCs w:val="20"/>
        </w:rPr>
        <w:t xml:space="preserve">s, financial position, results of operations and cash flows.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 World Health Organization declared COVID-19 to be a pandemic on March 11, 2020. In response to the rapid global spread of COVID-19, governments have enacted emergency measures to combat th</w:t>
      </w:r>
      <w:r>
        <w:rPr>
          <w:rFonts w:ascii="Arial" w:eastAsia="Times New Roman" w:hAnsi="Arial" w:cs="Arial"/>
          <w:sz w:val="20"/>
          <w:szCs w:val="20"/>
        </w:rPr>
        <w:t>e spread of the virus. These measures include restrictions on business activity and travel, as well as requirements to isolate or quarantine, which could continue or expand. Certain of our operations and projects have been deemed essential services in crit</w:t>
      </w:r>
      <w:r>
        <w:rPr>
          <w:rFonts w:ascii="Arial" w:eastAsia="Times New Roman" w:hAnsi="Arial" w:cs="Arial"/>
          <w:sz w:val="20"/>
          <w:szCs w:val="20"/>
        </w:rPr>
        <w:t>ical infrastructure sectors and are currently exempt from certain business activity restrictions; however, there is no guarantee that this exemption will continue. These actions have interrupted business activities and supply chains; disrupted travel; cont</w:t>
      </w:r>
      <w:r>
        <w:rPr>
          <w:rFonts w:ascii="Arial" w:eastAsia="Times New Roman" w:hAnsi="Arial" w:cs="Arial"/>
          <w:sz w:val="20"/>
          <w:szCs w:val="20"/>
        </w:rPr>
        <w:t xml:space="preserve">ributed to significant volatility in the financial and commodity markets, resulting in a general decline in equity prices and lower interest rates; impacted social conditions; and adversely impacted national and international economic conditions, </w:t>
      </w:r>
      <w:r>
        <w:rPr>
          <w:rFonts w:ascii="Arial" w:eastAsia="Times New Roman" w:hAnsi="Arial" w:cs="Arial"/>
          <w:color w:val="2B2B2B"/>
          <w:sz w:val="20"/>
          <w:szCs w:val="20"/>
        </w:rPr>
        <w:t>including</w:t>
      </w:r>
      <w:r>
        <w:rPr>
          <w:rFonts w:ascii="Arial" w:eastAsia="Times New Roman" w:hAnsi="Arial" w:cs="Arial"/>
          <w:color w:val="2B2B2B"/>
          <w:sz w:val="20"/>
          <w:szCs w:val="20"/>
        </w:rPr>
        <w:t xml:space="preserve"> commodity prices and demand for energy, </w:t>
      </w:r>
      <w:r>
        <w:rPr>
          <w:rFonts w:ascii="Arial" w:eastAsia="Times New Roman" w:hAnsi="Arial" w:cs="Arial"/>
          <w:sz w:val="20"/>
          <w:szCs w:val="20"/>
        </w:rPr>
        <w:t xml:space="preserve">as well as the labor market.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Given the ongoing and dynamic nature of the circumstances surrounding the COVID-19 pandemic, it is difficult to predict how significant the impact of this pandemic, including any resp</w:t>
      </w:r>
      <w:r>
        <w:rPr>
          <w:rFonts w:ascii="Arial" w:eastAsia="Times New Roman" w:hAnsi="Arial" w:cs="Arial"/>
          <w:sz w:val="20"/>
          <w:szCs w:val="20"/>
        </w:rPr>
        <w:t>onses to it, will be on North American or global economies or our business, or for how long disruptions are likely to continue. The extent of such impact will depend on future developments and factors outside of our control, which are highly uncertain, rap</w:t>
      </w:r>
      <w:r>
        <w:rPr>
          <w:rFonts w:ascii="Arial" w:eastAsia="Times New Roman" w:hAnsi="Arial" w:cs="Arial"/>
          <w:sz w:val="20"/>
          <w:szCs w:val="20"/>
        </w:rPr>
        <w:t>idly evolving and cannot be predicted, including new information which may emerge concerning the severity or duration of this pandemic and actions taken by governments and others to contain the COVID-19 pandemic or its impact. Such developments, which coul</w:t>
      </w:r>
      <w:r>
        <w:rPr>
          <w:rFonts w:ascii="Arial" w:eastAsia="Times New Roman" w:hAnsi="Arial" w:cs="Arial"/>
          <w:sz w:val="20"/>
          <w:szCs w:val="20"/>
        </w:rPr>
        <w:t xml:space="preserve">d have a material adverse effect on our customers, suppliers, regulators, business, financial position, results of operations and cash flows, include disruptions that, among other things: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spacing w:line="288" w:lineRule="auto"/>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057701527"/>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adversely impacted market fundamentals, such as commodity pric</w:t>
            </w:r>
            <w:r>
              <w:rPr>
                <w:rFonts w:ascii="Arial" w:eastAsia="Times New Roman" w:hAnsi="Arial" w:cs="Arial"/>
                <w:sz w:val="20"/>
                <w:szCs w:val="20"/>
              </w:rPr>
              <w:t xml:space="preserve">es and supply and demand for energy, decreasing volumes transported on our systems, increasing our exposure to asset utilization risks and adversely affecting our results;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54456725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could adversely impact our Liquids Pipelines growth rate and results; howeve</w:t>
            </w:r>
            <w:r>
              <w:rPr>
                <w:rFonts w:ascii="Arial" w:eastAsia="Times New Roman" w:hAnsi="Arial" w:cs="Arial"/>
                <w:sz w:val="20"/>
                <w:szCs w:val="20"/>
              </w:rPr>
              <w:t xml:space="preserve">r, the extent of such adverse impact is still uncertain;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82130805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could prevent one or more of our secured capital projects from proceeding, delay its completion or increase its anticipated cost;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83461019"/>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adversely impacted the operations or financial position of our third-party suppliers, service providers or customers a</w:t>
            </w:r>
            <w:r>
              <w:rPr>
                <w:rFonts w:ascii="Arial" w:eastAsia="Times New Roman" w:hAnsi="Arial" w:cs="Arial"/>
                <w:sz w:val="20"/>
                <w:szCs w:val="20"/>
              </w:rPr>
              <w:t xml:space="preserve">nd increase our exposure to contract-related risks or customer credit risk; </w:t>
            </w:r>
          </w:p>
        </w:tc>
      </w:tr>
    </w:tbl>
    <w:p w:rsidR="00000000" w:rsidRDefault="00E617AE">
      <w:pPr>
        <w:divId w:val="1519082754"/>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55</w:t>
      </w:r>
    </w:p>
    <w:p w:rsidR="00000000" w:rsidRDefault="00E617AE">
      <w:pPr>
        <w:divId w:val="118913864"/>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E617AE">
      <w:pPr>
        <w:divId w:val="127836893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947853603"/>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adversely impacted the global capital markets, which could adversely impact our ability to access capital markets at effective rates, the ratings assigned to our securities or our credit facilities;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479351668"/>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increased our risks associated with emergency mea</w:t>
            </w:r>
            <w:r>
              <w:rPr>
                <w:rFonts w:ascii="Arial" w:eastAsia="Times New Roman" w:hAnsi="Arial" w:cs="Arial"/>
                <w:sz w:val="20"/>
                <w:szCs w:val="20"/>
              </w:rPr>
              <w:t>sures taken (including remote working, distancing and additional personal protective equipment), including increased cyber security risks, increased costs and the potential for reduced availability or productivity of our employees or third-party contractor</w:t>
            </w:r>
            <w:r>
              <w:rPr>
                <w:rFonts w:ascii="Arial" w:eastAsia="Times New Roman" w:hAnsi="Arial" w:cs="Arial"/>
                <w:sz w:val="20"/>
                <w:szCs w:val="20"/>
              </w:rPr>
              <w:t xml:space="preserve">s or service providers;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79983580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adversely impacted our ability to accurately forecast assumptions used to evaluate expansion projects, acquisitions and divestitures on an ongoing basis or for our financial guidance;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1268125915"/>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adversely impacted the carrying value of our equity method investment in DCP Midstream and could adversely impact the outcome of future asset impairment tests, indicating that the carrying value of such assets might be impaired;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2107115541"/>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could adversely imp</w:t>
            </w:r>
            <w:r>
              <w:rPr>
                <w:rFonts w:ascii="Arial" w:eastAsia="Times New Roman" w:hAnsi="Arial" w:cs="Arial"/>
                <w:sz w:val="20"/>
                <w:szCs w:val="20"/>
              </w:rPr>
              <w:t xml:space="preserve">act the execution of current and future trade policies between Canada and the United States; and </w:t>
            </w:r>
          </w:p>
        </w:tc>
      </w:tr>
    </w:tbl>
    <w:p w:rsidR="00000000" w:rsidRDefault="00E617AE">
      <w:pPr>
        <w:divId w:val="11891386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18913864"/>
          <w:tblCellSpacing w:w="0" w:type="dxa"/>
        </w:trPr>
        <w:tc>
          <w:tcPr>
            <w:tcW w:w="720" w:type="dxa"/>
            <w:vAlign w:val="center"/>
            <w:hideMark/>
          </w:tcPr>
          <w:p w:rsidR="00000000" w:rsidRDefault="00E617AE">
            <w:pPr>
              <w:rPr>
                <w:rFonts w:eastAsia="Times New Roman"/>
                <w:sz w:val="20"/>
                <w:szCs w:val="20"/>
              </w:rPr>
            </w:pPr>
          </w:p>
        </w:tc>
        <w:tc>
          <w:tcPr>
            <w:tcW w:w="0" w:type="auto"/>
            <w:vAlign w:val="center"/>
            <w:hideMark/>
          </w:tcPr>
          <w:p w:rsidR="00000000" w:rsidRDefault="00E617AE">
            <w:pPr>
              <w:rPr>
                <w:rFonts w:eastAsia="Times New Roman"/>
                <w:sz w:val="20"/>
                <w:szCs w:val="20"/>
              </w:rPr>
            </w:pPr>
          </w:p>
        </w:tc>
      </w:tr>
      <w:tr w:rsidR="00000000">
        <w:trPr>
          <w:divId w:val="118913864"/>
          <w:tblCellSpacing w:w="0" w:type="dxa"/>
        </w:trPr>
        <w:tc>
          <w:tcPr>
            <w:tcW w:w="0" w:type="auto"/>
            <w:hideMark/>
          </w:tcPr>
          <w:p w:rsidR="00000000" w:rsidRDefault="00E617AE">
            <w:pPr>
              <w:spacing w:line="288" w:lineRule="auto"/>
              <w:divId w:val="602229790"/>
              <w:rPr>
                <w:rFonts w:eastAsia="Times New Roman"/>
                <w:sz w:val="20"/>
                <w:szCs w:val="20"/>
              </w:rPr>
            </w:pPr>
            <w:r>
              <w:rPr>
                <w:rFonts w:ascii="Arial" w:eastAsia="Times New Roman" w:hAnsi="Arial" w:cs="Arial"/>
                <w:sz w:val="20"/>
                <w:szCs w:val="20"/>
              </w:rPr>
              <w:t>•</w:t>
            </w:r>
          </w:p>
        </w:tc>
        <w:tc>
          <w:tcPr>
            <w:tcW w:w="0" w:type="auto"/>
            <w:hideMark/>
          </w:tcPr>
          <w:p w:rsidR="00000000" w:rsidRDefault="00E617AE">
            <w:pPr>
              <w:spacing w:line="288" w:lineRule="auto"/>
              <w:rPr>
                <w:rFonts w:eastAsia="Times New Roman"/>
                <w:sz w:val="20"/>
                <w:szCs w:val="20"/>
              </w:rPr>
            </w:pPr>
            <w:r>
              <w:rPr>
                <w:rFonts w:ascii="Arial" w:eastAsia="Times New Roman" w:hAnsi="Arial" w:cs="Arial"/>
                <w:sz w:val="20"/>
                <w:szCs w:val="20"/>
              </w:rPr>
              <w:t xml:space="preserve">could result in future business interruption losses that our insurance coverage may not be sufficient to cover. </w:t>
            </w:r>
          </w:p>
        </w:tc>
      </w:tr>
    </w:tbl>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There can be no assurance that our strategies to address potential disruptions will mitigate these risks or the adverse impacts to our business, financial position, results of operations and cash flows. Future adverse impacts may materialize that are not y</w:t>
      </w:r>
      <w:r>
        <w:rPr>
          <w:rFonts w:ascii="Arial" w:eastAsia="Times New Roman" w:hAnsi="Arial" w:cs="Arial"/>
          <w:sz w:val="20"/>
          <w:szCs w:val="20"/>
        </w:rPr>
        <w:t>et known, and adverse impacts to our business, financial position, results of operations and cash flows are expected to be more significant in upcoming periods as compared with the first quarter of 2020. In addition, disruptions related to the COVID-19 pan</w:t>
      </w:r>
      <w:r>
        <w:rPr>
          <w:rFonts w:ascii="Arial" w:eastAsia="Times New Roman" w:hAnsi="Arial" w:cs="Arial"/>
          <w:sz w:val="20"/>
          <w:szCs w:val="20"/>
        </w:rPr>
        <w:t xml:space="preserve">demic may also have the effect of heightening many of the other risks described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included in our Annual Report on Form 10-K. The risk that is most significantly heightened by the COVID-19 pandemic is the impact of commodity </w:t>
      </w:r>
      <w:r>
        <w:rPr>
          <w:rFonts w:ascii="Arial" w:eastAsia="Times New Roman" w:hAnsi="Arial" w:cs="Arial"/>
          <w:sz w:val="20"/>
          <w:szCs w:val="20"/>
        </w:rPr>
        <w:t>price weakness and volatility on our Liquids Pipelines, Gas Transmission and Midstream and Energy Services businesses, as detailed in the risk factor below. Even after the COVID-19 pandemic has subsided, we may continue to experience adverse impacts to our</w:t>
      </w:r>
      <w:r>
        <w:rPr>
          <w:rFonts w:ascii="Arial" w:eastAsia="Times New Roman" w:hAnsi="Arial" w:cs="Arial"/>
          <w:sz w:val="20"/>
          <w:szCs w:val="20"/>
        </w:rPr>
        <w:t xml:space="preserve"> business as a result of its global impact, including any related recession, as well as lingering impacts on supply of, demand for and prices of crude oil, natural gas, natural gas liquids, liquefied natural gas and renewable energy</w:t>
      </w:r>
      <w:r>
        <w:rPr>
          <w:rFonts w:eastAsia="Times New Roman"/>
          <w:sz w:val="20"/>
          <w:szCs w:val="20"/>
        </w:rPr>
        <w:t>.</w:t>
      </w:r>
      <w:r>
        <w:rPr>
          <w:rFonts w:ascii="Arial" w:eastAsia="Times New Roman" w:hAnsi="Arial" w:cs="Arial"/>
          <w:sz w:val="20"/>
          <w:szCs w:val="20"/>
        </w:rPr>
        <w:t xml:space="preserve">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b/>
          <w:bCs/>
          <w:i/>
          <w:iCs/>
          <w:sz w:val="20"/>
          <w:szCs w:val="20"/>
        </w:rPr>
        <w:t>Weakness and volati</w:t>
      </w:r>
      <w:r>
        <w:rPr>
          <w:rFonts w:ascii="Arial" w:eastAsia="Times New Roman" w:hAnsi="Arial" w:cs="Arial"/>
          <w:b/>
          <w:bCs/>
          <w:i/>
          <w:iCs/>
          <w:sz w:val="20"/>
          <w:szCs w:val="20"/>
        </w:rPr>
        <w:t xml:space="preserve">lity in commodity prices increase </w:t>
      </w:r>
      <w:r>
        <w:rPr>
          <w:rFonts w:ascii="Arial" w:eastAsia="Times New Roman" w:hAnsi="Arial" w:cs="Arial"/>
          <w:b/>
          <w:bCs/>
          <w:i/>
          <w:iCs/>
          <w:color w:val="212529"/>
          <w:sz w:val="20"/>
          <w:szCs w:val="20"/>
        </w:rPr>
        <w:t xml:space="preserve">utilization risks in respect to our assets and may have an adverse effect on our results of operations.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The COVID-19 pandemic and concerns about global economic growth have caused considerable uncertainty in the market </w:t>
      </w:r>
      <w:r>
        <w:rPr>
          <w:rFonts w:ascii="Arial" w:eastAsia="Times New Roman" w:hAnsi="Arial" w:cs="Arial"/>
          <w:sz w:val="20"/>
          <w:szCs w:val="20"/>
        </w:rPr>
        <w:t>for crude oil, natural gas and other commodities, lowering demand forecasts. This, and the changing relationship dynamic among OPEC+ members, has put severe downward pressure on prices. The economic climate in Canada, the United States and abroad has deter</w:t>
      </w:r>
      <w:r>
        <w:rPr>
          <w:rFonts w:ascii="Arial" w:eastAsia="Times New Roman" w:hAnsi="Arial" w:cs="Arial"/>
          <w:sz w:val="20"/>
          <w:szCs w:val="20"/>
        </w:rPr>
        <w:t>iorated and worldwide demand for petroleum products has diminished. 2020 has seen a dramatic decline in the price of crude oil, natural gas and NGL and other commodities whose prices are highly correlated to crude oil. The West Texas Intermediate benchmark</w:t>
      </w:r>
      <w:r>
        <w:rPr>
          <w:rFonts w:ascii="Arial" w:eastAsia="Times New Roman" w:hAnsi="Arial" w:cs="Arial"/>
          <w:sz w:val="20"/>
          <w:szCs w:val="20"/>
        </w:rPr>
        <w:t xml:space="preserve"> prices for crude oil had been trading around US$60 per barrel in December 2019 and fell to as low as US$14 per barrel in March 2020 and into negative values in April 2020. </w:t>
      </w:r>
    </w:p>
    <w:p w:rsidR="00000000" w:rsidRDefault="00E617AE">
      <w:pPr>
        <w:divId w:val="724991336"/>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56</w:t>
      </w:r>
    </w:p>
    <w:p w:rsidR="00000000" w:rsidRDefault="00E617AE">
      <w:pPr>
        <w:divId w:val="118913864"/>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E617AE">
      <w:pPr>
        <w:divId w:val="1008629811"/>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color w:val="212529"/>
          <w:sz w:val="20"/>
          <w:szCs w:val="20"/>
        </w:rPr>
        <w:t xml:space="preserve">In respect to our Liquids Pipeline assets, we are exposed to throughput risk under the Competitive Tolling Settlement on the Canadian Mainline and under certain tolling agreements applicable to other Liquids Pipelines </w:t>
      </w:r>
      <w:r>
        <w:rPr>
          <w:rFonts w:ascii="Arial" w:eastAsia="Times New Roman" w:hAnsi="Arial" w:cs="Arial"/>
          <w:color w:val="212529"/>
          <w:sz w:val="20"/>
          <w:szCs w:val="20"/>
        </w:rPr>
        <w:t xml:space="preserve">assets, such as the </w:t>
      </w:r>
      <w:r>
        <w:rPr>
          <w:rFonts w:ascii="Arial" w:eastAsia="Times New Roman" w:hAnsi="Arial" w:cs="Arial"/>
          <w:sz w:val="20"/>
          <w:szCs w:val="20"/>
        </w:rPr>
        <w:t>Lakehead System. A decrease in volumes transported can directly and adversely affect our revenues and earnings. The current commodity price environment has impacted both the supply of and demand for crude oil and other liquid hydrocarbo</w:t>
      </w:r>
      <w:r>
        <w:rPr>
          <w:rFonts w:ascii="Arial" w:eastAsia="Times New Roman" w:hAnsi="Arial" w:cs="Arial"/>
          <w:sz w:val="20"/>
          <w:szCs w:val="20"/>
        </w:rPr>
        <w:t xml:space="preserve">ns transported on our pipelines. Several shippers on our pipelines have responded to commodity price declines and significantly lower demand caused by COVID-19 by canceling delivery of previously nominated batches for the month of April 2020. This has led </w:t>
      </w:r>
      <w:r>
        <w:rPr>
          <w:rFonts w:ascii="Arial" w:eastAsia="Times New Roman" w:hAnsi="Arial" w:cs="Arial"/>
          <w:sz w:val="20"/>
          <w:szCs w:val="20"/>
        </w:rPr>
        <w:t>to a reduction in Mainline System throughputs of approximately 400 kbpd for the month of April 2020 compared to first quarter 2020 average Mainline System throughputs of 2,842 kbpd, which were aligned with or stronger than budget expectations. At this time</w:t>
      </w:r>
      <w:r>
        <w:rPr>
          <w:rFonts w:ascii="Arial" w:eastAsia="Times New Roman" w:hAnsi="Arial" w:cs="Arial"/>
          <w:sz w:val="20"/>
          <w:szCs w:val="20"/>
        </w:rPr>
        <w:t>, it is difficult to predict the quantum of the impact on Mainline System throughput for the month of May 2020 due to the unpredictability of the market currently as well as the projected duration of demand impacts caused by COVID-19, but it is estimated t</w:t>
      </w:r>
      <w:r>
        <w:rPr>
          <w:rFonts w:ascii="Arial" w:eastAsia="Times New Roman" w:hAnsi="Arial" w:cs="Arial"/>
          <w:sz w:val="20"/>
          <w:szCs w:val="20"/>
        </w:rPr>
        <w:t>hat the impact for the second quarter of 2020 could be in the range of 400 to 600 kbpd lower than the average volumes over the first quarter. For every 100 kbpd increase or decrease in volumes, our revenues, net of power savings, are expected to increase o</w:t>
      </w:r>
      <w:r>
        <w:rPr>
          <w:rFonts w:ascii="Arial" w:eastAsia="Times New Roman" w:hAnsi="Arial" w:cs="Arial"/>
          <w:sz w:val="20"/>
          <w:szCs w:val="20"/>
        </w:rPr>
        <w:t xml:space="preserve">r decline by approximately $35 million per quarter.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While reduced demand has impacted throughput and revenue on the Mainline System, the financial impact of reduced throughput on our upstream regional pipelines and our downstream market extension pipeli</w:t>
      </w:r>
      <w:r>
        <w:rPr>
          <w:rFonts w:ascii="Arial" w:eastAsia="Times New Roman" w:hAnsi="Arial" w:cs="Arial"/>
          <w:sz w:val="20"/>
          <w:szCs w:val="20"/>
        </w:rPr>
        <w:t>nes is largely mitigated by the presence of take-or-pay contracts. The financial impact is also mitigated through cost of service arrangements with credit-worthy counterparties or parties that are not investment grade but have instead provided credit suppo</w:t>
      </w:r>
      <w:r>
        <w:rPr>
          <w:rFonts w:ascii="Arial" w:eastAsia="Times New Roman" w:hAnsi="Arial" w:cs="Arial"/>
          <w:sz w:val="20"/>
          <w:szCs w:val="20"/>
        </w:rPr>
        <w:t>rt in the form of letters of credit or other instruments. The existing market circumstances will stress the creditworthiness of many of these counterparties and we continue to evaluate the situation on an ongoing basis. To date, we have not had any counter</w:t>
      </w:r>
      <w:r>
        <w:rPr>
          <w:rFonts w:ascii="Arial" w:eastAsia="Times New Roman" w:hAnsi="Arial" w:cs="Arial"/>
          <w:sz w:val="20"/>
          <w:szCs w:val="20"/>
        </w:rPr>
        <w:t xml:space="preserve">party default on its obligations to maintain credit support or pay its tolls under these contracts and at this time, we do not foresee a material impact to our financial results.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Shippers have also reduced investment in exploration and development progr</w:t>
      </w:r>
      <w:r>
        <w:rPr>
          <w:rFonts w:ascii="Arial" w:eastAsia="Times New Roman" w:hAnsi="Arial" w:cs="Arial"/>
          <w:sz w:val="20"/>
          <w:szCs w:val="20"/>
        </w:rPr>
        <w:t>ams for 2020. The decline in oil prices is also causing some sponsors of oil sands development programs to reconsider the timing of previously announced upstream development projects. Cancellation or deferral of these projects would affect longer-term supp</w:t>
      </w:r>
      <w:r>
        <w:rPr>
          <w:rFonts w:ascii="Arial" w:eastAsia="Times New Roman" w:hAnsi="Arial" w:cs="Arial"/>
          <w:sz w:val="20"/>
          <w:szCs w:val="20"/>
        </w:rPr>
        <w:t xml:space="preserve">ly growth from the Western Canadian Sedimentary Basin (WCSB).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With respect to our Gas Transmission and Midstream assets, the low commodity prices have had limited impact on demand for natural gas shipped within our long-haul Gas Transmission assets in t</w:t>
      </w:r>
      <w:r>
        <w:rPr>
          <w:rFonts w:ascii="Arial" w:eastAsia="Times New Roman" w:hAnsi="Arial" w:cs="Arial"/>
          <w:sz w:val="20"/>
          <w:szCs w:val="20"/>
        </w:rPr>
        <w:t xml:space="preserve">he United States and Canada. These assets are comprised of primarily cost-of-service and take-or-pay contract arrangements which are not directly impacted by fluctuations in commodity prices.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Within our US Midstream assets, our investment in DCP Midstre</w:t>
      </w:r>
      <w:r>
        <w:rPr>
          <w:rFonts w:ascii="Arial" w:eastAsia="Times New Roman" w:hAnsi="Arial" w:cs="Arial"/>
          <w:sz w:val="20"/>
          <w:szCs w:val="20"/>
        </w:rPr>
        <w:t>am and to a lesser extent the Aux Sable liquids product plant are engaged in the businesses of gathering, treating and processing natural gas and natural gas liquids. Given the drastic decline in commodity prices, DCP Midstream made the decision to decreas</w:t>
      </w:r>
      <w:r>
        <w:rPr>
          <w:rFonts w:ascii="Arial" w:eastAsia="Times New Roman" w:hAnsi="Arial" w:cs="Arial"/>
          <w:sz w:val="20"/>
          <w:szCs w:val="20"/>
        </w:rPr>
        <w:t xml:space="preserve">e its distribution to us by 50 percent (beginning with the first quarter distribution paid in May 2020), thereby reducing our cash flows. Aux Sable results will also be negatively impacted by these lower commodity prices.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color w:val="212529"/>
          <w:sz w:val="20"/>
          <w:szCs w:val="20"/>
        </w:rPr>
        <w:t>With respect to our Energy Serv</w:t>
      </w:r>
      <w:r>
        <w:rPr>
          <w:rFonts w:ascii="Arial" w:eastAsia="Times New Roman" w:hAnsi="Arial" w:cs="Arial"/>
          <w:color w:val="212529"/>
          <w:sz w:val="20"/>
          <w:szCs w:val="20"/>
        </w:rPr>
        <w:t xml:space="preserve">ices business, we generate margins by capitalizing on quality, time and location differentials when opportunities arise. The recent volatility in commodity prices could limit margin opportunities and impede our ability to cover capacity commitments. </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xml:space="preserve">At </w:t>
      </w:r>
      <w:r>
        <w:rPr>
          <w:rFonts w:ascii="Arial" w:eastAsia="Times New Roman" w:hAnsi="Arial" w:cs="Arial"/>
          <w:sz w:val="20"/>
          <w:szCs w:val="20"/>
        </w:rPr>
        <w:t>this point, given the many outstanding questions as to the length and depth of the current low commodity price environment, the impact on us is uncertain; however, it is possible that it may have an adverse impact on our business and our results of operati</w:t>
      </w:r>
      <w:r>
        <w:rPr>
          <w:rFonts w:ascii="Arial" w:eastAsia="Times New Roman" w:hAnsi="Arial" w:cs="Arial"/>
          <w:sz w:val="20"/>
          <w:szCs w:val="20"/>
        </w:rPr>
        <w:t xml:space="preserve">ons. </w:t>
      </w:r>
    </w:p>
    <w:p w:rsidR="00000000" w:rsidRDefault="00E617AE">
      <w:pPr>
        <w:spacing w:line="288" w:lineRule="auto"/>
        <w:divId w:val="118913864"/>
        <w:rPr>
          <w:rFonts w:eastAsia="Times New Roman"/>
          <w:sz w:val="20"/>
          <w:szCs w:val="20"/>
        </w:rPr>
      </w:pPr>
    </w:p>
    <w:p w:rsidR="00000000" w:rsidRDefault="00E617AE">
      <w:pPr>
        <w:divId w:val="1618026092"/>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57</w:t>
      </w:r>
    </w:p>
    <w:p w:rsidR="00000000" w:rsidRDefault="00E617AE">
      <w:pPr>
        <w:divId w:val="118913864"/>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E617AE">
      <w:pPr>
        <w:divId w:val="553393677"/>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2. UNREGISTERED SALES OF EQUITY SECURITIES AND USE OF PROCEEDS</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None.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3. DEFAULTS UPON SENIOR SECURITIES</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None.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4. MINE SAFETY DISCLOSURES</w:t>
      </w:r>
    </w:p>
    <w:p w:rsidR="00000000" w:rsidRDefault="00E617AE">
      <w:pPr>
        <w:spacing w:line="288" w:lineRule="auto"/>
        <w:divId w:val="118913864"/>
        <w:rPr>
          <w:rFonts w:eastAsia="Times New Roman"/>
          <w:sz w:val="20"/>
          <w:szCs w:val="20"/>
        </w:rPr>
      </w:pPr>
      <w:r>
        <w:rPr>
          <w:rFonts w:ascii="Arial" w:eastAsia="Times New Roman" w:hAnsi="Arial" w:cs="Arial"/>
          <w:b/>
          <w:bCs/>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Not applicable.</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5. OTHER INFORMATION</w:t>
      </w:r>
    </w:p>
    <w:p w:rsidR="00000000" w:rsidRDefault="00E617AE">
      <w:pPr>
        <w:spacing w:line="288" w:lineRule="auto"/>
        <w:divId w:val="118913864"/>
        <w:rPr>
          <w:rFonts w:eastAsia="Times New Roman"/>
          <w:sz w:val="20"/>
          <w:szCs w:val="20"/>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None.</w:t>
      </w:r>
    </w:p>
    <w:p w:rsidR="00000000" w:rsidRDefault="00E617AE">
      <w:pPr>
        <w:spacing w:line="288" w:lineRule="auto"/>
        <w:divId w:val="118913864"/>
        <w:rPr>
          <w:rFonts w:eastAsia="Times New Roman"/>
          <w:sz w:val="20"/>
          <w:szCs w:val="20"/>
        </w:rPr>
      </w:pPr>
    </w:p>
    <w:p w:rsidR="00000000" w:rsidRDefault="00E617AE">
      <w:pPr>
        <w:divId w:val="1972201027"/>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58</w:t>
      </w:r>
    </w:p>
    <w:p w:rsidR="00000000" w:rsidRDefault="00E617AE">
      <w:pPr>
        <w:divId w:val="118913864"/>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E617AE">
      <w:pPr>
        <w:divId w:val="1065418987"/>
        <w:rPr>
          <w:rFonts w:eastAsia="Times New Roman"/>
          <w:sz w:val="20"/>
          <w:szCs w:val="20"/>
        </w:rPr>
      </w:pPr>
    </w:p>
    <w:p w:rsidR="00000000" w:rsidRDefault="00E617AE">
      <w:pPr>
        <w:spacing w:line="288" w:lineRule="auto"/>
        <w:divId w:val="118913864"/>
        <w:rPr>
          <w:rFonts w:eastAsia="Times New Roman"/>
          <w:sz w:val="28"/>
          <w:szCs w:val="28"/>
        </w:rPr>
      </w:pPr>
      <w:r>
        <w:rPr>
          <w:rFonts w:ascii="Arial" w:eastAsia="Times New Roman" w:hAnsi="Arial" w:cs="Arial"/>
          <w:b/>
          <w:bCs/>
          <w:sz w:val="28"/>
          <w:szCs w:val="28"/>
        </w:rPr>
        <w:t>ITEM 6. EXHIBITS</w:t>
      </w:r>
    </w:p>
    <w:p w:rsidR="00000000" w:rsidRDefault="00E617AE">
      <w:pPr>
        <w:spacing w:line="288" w:lineRule="auto"/>
        <w:divId w:val="118913864"/>
        <w:rPr>
          <w:rFonts w:eastAsia="Times New Roman"/>
          <w:sz w:val="28"/>
          <w:szCs w:val="28"/>
        </w:rPr>
      </w:pP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Each exhibit identified below is included as a part of this quarterly report. Exhibits included in this filing are designated by an asterisk (“*”); all exhibits not so designated are incorporated</w:t>
      </w:r>
      <w:r>
        <w:rPr>
          <w:rFonts w:ascii="Arial" w:eastAsia="Times New Roman" w:hAnsi="Arial" w:cs="Arial"/>
          <w:sz w:val="20"/>
          <w:szCs w:val="20"/>
        </w:rPr>
        <w:t xml:space="preserve"> by reference to a prior filing as indicated.</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trPr>
          <w:divId w:val="800656237"/>
        </w:trPr>
        <w:tc>
          <w:tcPr>
            <w:tcW w:w="0" w:type="auto"/>
            <w:gridSpan w:val="3"/>
            <w:vAlign w:val="center"/>
            <w:hideMark/>
          </w:tcPr>
          <w:p w:rsidR="00000000" w:rsidRDefault="00E617AE">
            <w:pPr>
              <w:spacing w:line="288" w:lineRule="auto"/>
              <w:rPr>
                <w:rFonts w:eastAsia="Times New Roman"/>
                <w:sz w:val="20"/>
                <w:szCs w:val="20"/>
              </w:rPr>
            </w:pPr>
          </w:p>
        </w:tc>
      </w:tr>
      <w:tr w:rsidR="00000000">
        <w:trPr>
          <w:divId w:val="800656237"/>
        </w:trPr>
        <w:tc>
          <w:tcPr>
            <w:tcW w:w="600" w:type="pct"/>
            <w:vAlign w:val="center"/>
            <w:hideMark/>
          </w:tcPr>
          <w:p w:rsidR="00000000" w:rsidRDefault="00E617AE">
            <w:pPr>
              <w:rPr>
                <w:rFonts w:eastAsia="Times New Roman"/>
                <w:sz w:val="20"/>
                <w:szCs w:val="20"/>
              </w:rPr>
            </w:pPr>
          </w:p>
        </w:tc>
        <w:tc>
          <w:tcPr>
            <w:tcW w:w="50" w:type="pct"/>
            <w:vAlign w:val="center"/>
            <w:hideMark/>
          </w:tcPr>
          <w:p w:rsidR="00000000" w:rsidRDefault="00E617AE">
            <w:pPr>
              <w:rPr>
                <w:rFonts w:eastAsia="Times New Roman"/>
                <w:sz w:val="20"/>
                <w:szCs w:val="20"/>
              </w:rPr>
            </w:pPr>
          </w:p>
        </w:tc>
        <w:tc>
          <w:tcPr>
            <w:tcW w:w="4350" w:type="pct"/>
            <w:vAlign w:val="center"/>
            <w:hideMark/>
          </w:tcPr>
          <w:p w:rsidR="00000000" w:rsidRDefault="00E617AE">
            <w:pPr>
              <w:rPr>
                <w:rFonts w:eastAsia="Times New Roman"/>
                <w:sz w:val="20"/>
                <w:szCs w:val="20"/>
              </w:rPr>
            </w:pP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Exhibit 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21007179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b/>
                <w:bCs/>
                <w:sz w:val="20"/>
                <w:szCs w:val="20"/>
              </w:rPr>
              <w:t>Description</w:t>
            </w: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5" w:history="1">
              <w:r>
                <w:rPr>
                  <w:rStyle w:val="a3"/>
                  <w:rFonts w:ascii="Arial" w:eastAsia="Times New Roman" w:hAnsi="Arial" w:cs="Arial"/>
                  <w:sz w:val="20"/>
                  <w:szCs w:val="20"/>
                </w:rPr>
                <w:t>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77398493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divId w:val="691146687"/>
              <w:rPr>
                <w:rFonts w:eastAsia="Times New Roman"/>
                <w:sz w:val="20"/>
                <w:szCs w:val="20"/>
              </w:rPr>
            </w:pPr>
            <w:hyperlink r:id="rId6" w:history="1">
              <w:r>
                <w:rPr>
                  <w:rStyle w:val="a3"/>
                  <w:rFonts w:ascii="Arial" w:eastAsia="Times New Roman" w:hAnsi="Arial" w:cs="Arial"/>
                  <w:sz w:val="20"/>
                  <w:szCs w:val="20"/>
                </w:rPr>
                <w:t xml:space="preserve">Agreement and Plan of Merger, dated as of September </w:t>
              </w:r>
              <w:r>
                <w:rPr>
                  <w:rStyle w:val="a3"/>
                  <w:rFonts w:ascii="Arial" w:eastAsia="Times New Roman" w:hAnsi="Arial" w:cs="Arial"/>
                  <w:sz w:val="20"/>
                  <w:szCs w:val="20"/>
                </w:rPr>
                <w:t>5, 2016, by and among Spectra Energy Corp, Enbridge Inc. and Sand Merger Sub, Inc. (incorporated by reference to Exhibit 2.1 to Enbridge’s Registration Statement on Form F-4 filed September 23, 2017)</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7" w:history="1">
              <w:r>
                <w:rPr>
                  <w:rStyle w:val="a3"/>
                  <w:rFonts w:ascii="Arial" w:eastAsia="Times New Roman" w:hAnsi="Arial" w:cs="Arial"/>
                  <w:sz w:val="20"/>
                  <w:szCs w:val="20"/>
                </w:rPr>
                <w:t>10.1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78003277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hyperlink r:id="rId8" w:history="1">
              <w:r>
                <w:rPr>
                  <w:rStyle w:val="a3"/>
                  <w:rFonts w:ascii="Arial" w:eastAsia="Times New Roman" w:hAnsi="Arial" w:cs="Arial"/>
                  <w:sz w:val="20"/>
                  <w:szCs w:val="20"/>
                </w:rPr>
                <w:t>Form of Enbridge Inc. 2019 Long Term Incentive Plan Stock Option Grant Notice and Stock Option Award Agreement (2020)</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9" w:history="1">
              <w:r>
                <w:rPr>
                  <w:rStyle w:val="a3"/>
                  <w:rFonts w:ascii="Arial" w:eastAsia="Times New Roman" w:hAnsi="Arial" w:cs="Arial"/>
                  <w:sz w:val="20"/>
                  <w:szCs w:val="20"/>
                </w:rPr>
                <w:t>10.2</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80219060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hyperlink r:id="rId10" w:history="1">
              <w:r>
                <w:rPr>
                  <w:rStyle w:val="a3"/>
                  <w:rFonts w:ascii="Arial" w:eastAsia="Times New Roman" w:hAnsi="Arial" w:cs="Arial"/>
                  <w:sz w:val="20"/>
                  <w:szCs w:val="20"/>
                </w:rPr>
                <w:t>Form of Enbridge Inc. 2019 Long Term Incentive Plan Performance Stock Unit Grant Notice and Performance Stock Unit Award Agreement (2020)</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11" w:history="1">
              <w:r>
                <w:rPr>
                  <w:rStyle w:val="a3"/>
                  <w:rFonts w:ascii="Arial" w:eastAsia="Times New Roman" w:hAnsi="Arial" w:cs="Arial"/>
                  <w:sz w:val="20"/>
                  <w:szCs w:val="20"/>
                </w:rPr>
                <w:t>10.3</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51604285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hyperlink r:id="rId12" w:history="1">
              <w:r>
                <w:rPr>
                  <w:rStyle w:val="a3"/>
                  <w:rFonts w:ascii="Arial" w:eastAsia="Times New Roman" w:hAnsi="Arial" w:cs="Arial"/>
                  <w:sz w:val="20"/>
                  <w:szCs w:val="20"/>
                </w:rPr>
                <w:t>Form of Enbridge Inc. 2019 Long Term Incentive Plan Restricted Stock Unit Grant Notice and Restricted Stock Unit Award Agreement (2020 Share-settled)</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13" w:history="1">
              <w:r>
                <w:rPr>
                  <w:rStyle w:val="a3"/>
                  <w:rFonts w:ascii="Arial" w:eastAsia="Times New Roman" w:hAnsi="Arial" w:cs="Arial"/>
                  <w:sz w:val="20"/>
                  <w:szCs w:val="20"/>
                </w:rPr>
                <w:t>10.4</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03527272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hyperlink r:id="rId14" w:history="1">
              <w:r>
                <w:rPr>
                  <w:rStyle w:val="a3"/>
                  <w:rFonts w:ascii="Arial" w:eastAsia="Times New Roman" w:hAnsi="Arial" w:cs="Arial"/>
                  <w:sz w:val="20"/>
                  <w:szCs w:val="20"/>
                </w:rPr>
                <w:t>Form of Enbridge Inc. 2019 Long Term Incentive Plan Restricted Stock Unit Grant Notice and Restricted Stock Unit Award Agreement (2020 Cash-settled)</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15" w:history="1">
              <w:r>
                <w:rPr>
                  <w:rStyle w:val="a3"/>
                  <w:rFonts w:ascii="Arial" w:eastAsia="Times New Roman" w:hAnsi="Arial" w:cs="Arial"/>
                  <w:sz w:val="20"/>
                  <w:szCs w:val="20"/>
                </w:rPr>
                <w:t>31.1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24271917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divId w:val="1209027785"/>
              <w:rPr>
                <w:rFonts w:eastAsia="Times New Roman"/>
                <w:sz w:val="20"/>
                <w:szCs w:val="20"/>
              </w:rPr>
            </w:pPr>
            <w:hyperlink r:id="rId16" w:history="1">
              <w:r>
                <w:rPr>
                  <w:rStyle w:val="a3"/>
                  <w:rFonts w:ascii="Arial" w:eastAsia="Times New Roman" w:hAnsi="Arial" w:cs="Arial"/>
                  <w:sz w:val="20"/>
                  <w:szCs w:val="20"/>
                </w:rPr>
                <w:t>Cer</w:t>
              </w:r>
              <w:r>
                <w:rPr>
                  <w:rStyle w:val="a3"/>
                  <w:rFonts w:ascii="Arial" w:eastAsia="Times New Roman" w:hAnsi="Arial" w:cs="Arial"/>
                  <w:sz w:val="20"/>
                  <w:szCs w:val="20"/>
                </w:rPr>
                <w:t>tification Pursuant to Section 302 of the Sarbanes-Oxley Act of 2002.</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17" w:history="1">
              <w:r>
                <w:rPr>
                  <w:rStyle w:val="a3"/>
                  <w:rFonts w:ascii="Arial" w:eastAsia="Times New Roman" w:hAnsi="Arial" w:cs="Arial"/>
                  <w:sz w:val="20"/>
                  <w:szCs w:val="20"/>
                </w:rPr>
                <w:t>31.2</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68034913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divId w:val="2027125525"/>
              <w:rPr>
                <w:rFonts w:eastAsia="Times New Roman"/>
                <w:sz w:val="20"/>
                <w:szCs w:val="20"/>
              </w:rPr>
            </w:pPr>
            <w:hyperlink r:id="rId18" w:history="1">
              <w:r>
                <w:rPr>
                  <w:rStyle w:val="a3"/>
                  <w:rFonts w:ascii="Arial" w:eastAsia="Times New Roman" w:hAnsi="Arial" w:cs="Arial"/>
                  <w:sz w:val="20"/>
                  <w:szCs w:val="20"/>
                </w:rPr>
                <w:t>Certification Pursuant to Section 302 of the Sarbanes-Oxley Act of 2002.</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19" w:history="1">
              <w:r>
                <w:rPr>
                  <w:rStyle w:val="a3"/>
                  <w:rFonts w:ascii="Arial" w:eastAsia="Times New Roman" w:hAnsi="Arial" w:cs="Arial"/>
                  <w:sz w:val="20"/>
                  <w:szCs w:val="20"/>
                </w:rPr>
                <w:t>32.1</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278143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divId w:val="1600672876"/>
              <w:rPr>
                <w:rFonts w:eastAsia="Times New Roman"/>
                <w:sz w:val="20"/>
                <w:szCs w:val="20"/>
              </w:rPr>
            </w:pPr>
            <w:hyperlink r:id="rId20" w:history="1">
              <w:r>
                <w:rPr>
                  <w:rStyle w:val="a3"/>
                  <w:rFonts w:ascii="Arial" w:eastAsia="Times New Roman" w:hAnsi="Arial" w:cs="Arial"/>
                  <w:sz w:val="20"/>
                  <w:szCs w:val="20"/>
                </w:rPr>
                <w:t>Certification Pursuant to Section 906 of the Sarbanes-Oxley Act of 2002.</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hyperlink r:id="rId21" w:history="1">
              <w:r>
                <w:rPr>
                  <w:rStyle w:val="a3"/>
                  <w:rFonts w:ascii="Arial" w:eastAsia="Times New Roman" w:hAnsi="Arial" w:cs="Arial"/>
                  <w:sz w:val="20"/>
                  <w:szCs w:val="20"/>
                </w:rPr>
                <w:t>32.2</w:t>
              </w:r>
            </w:hyperlink>
            <w:r>
              <w:rPr>
                <w:rFonts w:ascii="Arial" w:eastAsia="Times New Roman" w:hAnsi="Arial" w:cs="Arial"/>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62981765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divId w:val="573004851"/>
              <w:rPr>
                <w:rFonts w:eastAsia="Times New Roman"/>
                <w:sz w:val="20"/>
                <w:szCs w:val="20"/>
              </w:rPr>
            </w:pPr>
            <w:hyperlink r:id="rId22" w:history="1">
              <w:r>
                <w:rPr>
                  <w:rStyle w:val="a3"/>
                  <w:rFonts w:ascii="Arial" w:eastAsia="Times New Roman" w:hAnsi="Arial" w:cs="Arial"/>
                  <w:sz w:val="20"/>
                  <w:szCs w:val="20"/>
                </w:rPr>
                <w:t>Certification Pursuant to Section 906 of the Sarbanes-Oxley Act of 2002.</w:t>
              </w:r>
            </w:hyperlink>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101.INS*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87091897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XBRL Instance Document.</w:t>
            </w: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83973457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Inline XBRL Taxonomy Extension Schema Document.</w:t>
            </w: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204409101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Inline XBRL Taxonomy Extension C</w:t>
            </w:r>
            <w:r>
              <w:rPr>
                <w:rFonts w:ascii="Arial" w:eastAsia="Times New Roman" w:hAnsi="Arial" w:cs="Arial"/>
                <w:sz w:val="20"/>
                <w:szCs w:val="20"/>
              </w:rPr>
              <w:t>alculation Linkbase Document.</w:t>
            </w: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137450013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Inline XBRL Taxonomy Extension Definition Linkbase Document.</w:t>
            </w:r>
          </w:p>
        </w:tc>
      </w:tr>
      <w:tr w:rsidR="00000000">
        <w:trPr>
          <w:divId w:val="80065623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E617AE">
            <w:pPr>
              <w:divId w:val="64770701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Inline XBRL Taxonomy Extension Label Linkbase Document.</w:t>
            </w:r>
          </w:p>
        </w:tc>
      </w:tr>
      <w:tr w:rsidR="00000000">
        <w:trPr>
          <w:divId w:val="80065623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188070330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Inline XBRL Taxonomy Extension Presentation Linkbase Document.</w:t>
            </w:r>
          </w:p>
        </w:tc>
      </w:tr>
      <w:tr w:rsidR="00000000">
        <w:trPr>
          <w:divId w:val="80065623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104</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E617AE">
            <w:pPr>
              <w:divId w:val="61606591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617AE">
            <w:pPr>
              <w:rPr>
                <w:rFonts w:eastAsia="Times New Roman"/>
                <w:sz w:val="20"/>
                <w:szCs w:val="20"/>
              </w:rPr>
            </w:pPr>
            <w:r>
              <w:rPr>
                <w:rFonts w:ascii="Arial" w:eastAsia="Times New Roman" w:hAnsi="Arial" w:cs="Arial"/>
                <w:sz w:val="20"/>
                <w:szCs w:val="20"/>
              </w:rPr>
              <w:t>Cover Page Interactive Data File - the cover page XBRL tags are embedded within the Inline XBRL document (included in Exhibit 101)</w:t>
            </w:r>
          </w:p>
        </w:tc>
      </w:tr>
    </w:tbl>
    <w:p w:rsidR="00000000" w:rsidRDefault="00E617AE">
      <w:pPr>
        <w:spacing w:line="288" w:lineRule="auto"/>
        <w:divId w:val="118913864"/>
        <w:rPr>
          <w:rFonts w:eastAsia="Times New Roman"/>
          <w:sz w:val="20"/>
          <w:szCs w:val="20"/>
        </w:rPr>
      </w:pPr>
    </w:p>
    <w:p w:rsidR="00000000" w:rsidRDefault="00E617AE">
      <w:pPr>
        <w:divId w:val="1598951640"/>
        <w:rPr>
          <w:rFonts w:eastAsia="Times New Roman"/>
          <w:sz w:val="20"/>
          <w:szCs w:val="20"/>
        </w:rPr>
      </w:pPr>
    </w:p>
    <w:p w:rsidR="00000000" w:rsidRDefault="00E617AE">
      <w:pPr>
        <w:spacing w:line="288" w:lineRule="auto"/>
        <w:jc w:val="center"/>
        <w:divId w:val="118913864"/>
        <w:rPr>
          <w:rFonts w:eastAsia="Times New Roman"/>
          <w:sz w:val="20"/>
          <w:szCs w:val="20"/>
        </w:rPr>
      </w:pPr>
      <w:r>
        <w:rPr>
          <w:rFonts w:ascii="Arial" w:eastAsia="Times New Roman" w:hAnsi="Arial" w:cs="Arial"/>
          <w:sz w:val="20"/>
          <w:szCs w:val="20"/>
        </w:rPr>
        <w:t>59</w:t>
      </w:r>
    </w:p>
    <w:p w:rsidR="00000000" w:rsidRDefault="00E617AE">
      <w:pPr>
        <w:divId w:val="118913864"/>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E617AE">
      <w:pPr>
        <w:divId w:val="1032223741"/>
        <w:rPr>
          <w:rFonts w:eastAsia="Times New Roman"/>
          <w:sz w:val="20"/>
          <w:szCs w:val="20"/>
        </w:rPr>
      </w:pPr>
    </w:p>
    <w:p w:rsidR="00000000" w:rsidRDefault="00E617AE">
      <w:pPr>
        <w:spacing w:line="288" w:lineRule="auto"/>
        <w:jc w:val="center"/>
        <w:divId w:val="118913864"/>
        <w:rPr>
          <w:rFonts w:eastAsia="Times New Roman"/>
          <w:sz w:val="26"/>
          <w:szCs w:val="26"/>
        </w:rPr>
      </w:pPr>
      <w:r>
        <w:rPr>
          <w:rFonts w:ascii="Arial" w:eastAsia="Times New Roman" w:hAnsi="Arial" w:cs="Arial"/>
          <w:b/>
          <w:bCs/>
          <w:sz w:val="26"/>
          <w:szCs w:val="26"/>
        </w:rPr>
        <w:t>SIGNATUR</w:t>
      </w:r>
      <w:r>
        <w:rPr>
          <w:rFonts w:ascii="Arial" w:eastAsia="Times New Roman" w:hAnsi="Arial" w:cs="Arial"/>
          <w:b/>
          <w:bCs/>
          <w:sz w:val="26"/>
          <w:szCs w:val="26"/>
        </w:rPr>
        <w:t>ES</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p w:rsidR="00000000" w:rsidRDefault="00E617AE">
      <w:pPr>
        <w:spacing w:line="288" w:lineRule="auto"/>
        <w:divId w:val="118913864"/>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748"/>
        <w:gridCol w:w="2990"/>
        <w:gridCol w:w="664"/>
        <w:gridCol w:w="3904"/>
      </w:tblGrid>
      <w:tr w:rsidR="00000000">
        <w:trPr>
          <w:divId w:val="2046712627"/>
        </w:trPr>
        <w:tc>
          <w:tcPr>
            <w:tcW w:w="0" w:type="auto"/>
            <w:gridSpan w:val="4"/>
            <w:vAlign w:val="center"/>
            <w:hideMark/>
          </w:tcPr>
          <w:p w:rsidR="00000000" w:rsidRDefault="00E617AE">
            <w:pPr>
              <w:spacing w:line="288" w:lineRule="auto"/>
              <w:rPr>
                <w:rFonts w:eastAsia="Times New Roman"/>
                <w:sz w:val="20"/>
                <w:szCs w:val="20"/>
              </w:rPr>
            </w:pPr>
          </w:p>
        </w:tc>
      </w:tr>
      <w:tr w:rsidR="00000000">
        <w:trPr>
          <w:divId w:val="2046712627"/>
        </w:trPr>
        <w:tc>
          <w:tcPr>
            <w:tcW w:w="450" w:type="pct"/>
            <w:vAlign w:val="center"/>
            <w:hideMark/>
          </w:tcPr>
          <w:p w:rsidR="00000000" w:rsidRDefault="00E617AE">
            <w:pPr>
              <w:rPr>
                <w:rFonts w:eastAsia="Times New Roman"/>
                <w:sz w:val="20"/>
                <w:szCs w:val="20"/>
              </w:rPr>
            </w:pPr>
          </w:p>
        </w:tc>
        <w:tc>
          <w:tcPr>
            <w:tcW w:w="1800" w:type="pct"/>
            <w:vAlign w:val="center"/>
            <w:hideMark/>
          </w:tcPr>
          <w:p w:rsidR="00000000" w:rsidRDefault="00E617AE">
            <w:pPr>
              <w:rPr>
                <w:rFonts w:eastAsia="Times New Roman"/>
                <w:sz w:val="20"/>
                <w:szCs w:val="20"/>
              </w:rPr>
            </w:pPr>
          </w:p>
        </w:tc>
        <w:tc>
          <w:tcPr>
            <w:tcW w:w="400" w:type="pct"/>
            <w:vAlign w:val="center"/>
            <w:hideMark/>
          </w:tcPr>
          <w:p w:rsidR="00000000" w:rsidRDefault="00E617AE">
            <w:pPr>
              <w:rPr>
                <w:rFonts w:eastAsia="Times New Roman"/>
                <w:sz w:val="20"/>
                <w:szCs w:val="20"/>
              </w:rPr>
            </w:pPr>
          </w:p>
        </w:tc>
        <w:tc>
          <w:tcPr>
            <w:tcW w:w="2350" w:type="pct"/>
            <w:vAlign w:val="center"/>
            <w:hideMark/>
          </w:tcPr>
          <w:p w:rsidR="00000000" w:rsidRDefault="00E617AE">
            <w:pPr>
              <w:rPr>
                <w:rFonts w:eastAsia="Times New Roman"/>
                <w:sz w:val="20"/>
                <w:szCs w:val="20"/>
              </w:rPr>
            </w:pPr>
          </w:p>
        </w:tc>
      </w:tr>
      <w:tr w:rsidR="00000000">
        <w:trPr>
          <w:divId w:val="2046712627"/>
        </w:trPr>
        <w:tc>
          <w:tcPr>
            <w:tcW w:w="0" w:type="auto"/>
            <w:gridSpan w:val="2"/>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b/>
                <w:bCs/>
                <w:sz w:val="20"/>
                <w:szCs w:val="20"/>
              </w:rPr>
              <w:t>ENBRIDGE INC.</w:t>
            </w:r>
          </w:p>
        </w:tc>
      </w:tr>
      <w:tr w:rsidR="00000000">
        <w:trPr>
          <w:divId w:val="2046712627"/>
        </w:trPr>
        <w:tc>
          <w:tcPr>
            <w:tcW w:w="0" w:type="auto"/>
            <w:gridSpan w:val="2"/>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(Registrant)</w:t>
            </w:r>
          </w:p>
        </w:tc>
      </w:tr>
      <w:tr w:rsidR="00000000">
        <w:trPr>
          <w:divId w:val="2046712627"/>
        </w:trPr>
        <w:tc>
          <w:tcPr>
            <w:tcW w:w="0" w:type="auto"/>
            <w:gridSpan w:val="2"/>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r>
      <w:tr w:rsidR="00000000">
        <w:trPr>
          <w:divId w:val="2046712627"/>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E617AE">
            <w:pPr>
              <w:rPr>
                <w:rFonts w:eastAsia="Times New Roman"/>
                <w:sz w:val="20"/>
                <w:szCs w:val="20"/>
              </w:rPr>
            </w:pPr>
            <w:r>
              <w:rPr>
                <w:rFonts w:ascii="Arial" w:eastAsia="Times New Roman" w:hAnsi="Arial" w:cs="Arial"/>
                <w:sz w:val="20"/>
                <w:szCs w:val="20"/>
              </w:rPr>
              <w:t>May 7, 2020</w:t>
            </w:r>
          </w:p>
        </w:tc>
        <w:tc>
          <w:tcPr>
            <w:tcW w:w="0" w:type="auto"/>
            <w:tcMar>
              <w:top w:w="30" w:type="dxa"/>
              <w:left w:w="30" w:type="dxa"/>
              <w:bottom w:w="30" w:type="dxa"/>
              <w:right w:w="30" w:type="dxa"/>
            </w:tcMar>
            <w:hideMark/>
          </w:tcPr>
          <w:p w:rsidR="00000000" w:rsidRDefault="00E617AE">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/s/ Al Monaco</w:t>
            </w:r>
          </w:p>
        </w:tc>
      </w:tr>
      <w:tr w:rsidR="00000000">
        <w:trPr>
          <w:divId w:val="2046712627"/>
        </w:trPr>
        <w:tc>
          <w:tcPr>
            <w:tcW w:w="0" w:type="auto"/>
            <w:gridSpan w:val="2"/>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E617AE">
            <w:pPr>
              <w:divId w:val="1391807583"/>
              <w:rPr>
                <w:rFonts w:eastAsia="Times New Roman"/>
                <w:sz w:val="20"/>
                <w:szCs w:val="20"/>
              </w:rPr>
            </w:pPr>
            <w:r>
              <w:rPr>
                <w:rFonts w:ascii="Arial" w:eastAsia="Times New Roman" w:hAnsi="Arial" w:cs="Arial"/>
                <w:sz w:val="20"/>
                <w:szCs w:val="20"/>
              </w:rPr>
              <w:t>Al Monaco</w:t>
            </w:r>
          </w:p>
          <w:p w:rsidR="00000000" w:rsidRDefault="00E617AE">
            <w:pPr>
              <w:divId w:val="1724206928"/>
              <w:rPr>
                <w:rFonts w:eastAsia="Times New Roman"/>
                <w:sz w:val="20"/>
                <w:szCs w:val="20"/>
              </w:rPr>
            </w:pPr>
            <w:r>
              <w:rPr>
                <w:rFonts w:ascii="Arial" w:eastAsia="Times New Roman" w:hAnsi="Arial" w:cs="Arial"/>
                <w:sz w:val="20"/>
                <w:szCs w:val="20"/>
              </w:rPr>
              <w:t>President and Chief Executive Officer</w:t>
            </w:r>
          </w:p>
        </w:tc>
      </w:tr>
      <w:tr w:rsidR="00000000">
        <w:trPr>
          <w:divId w:val="2046712627"/>
        </w:trPr>
        <w:tc>
          <w:tcPr>
            <w:tcW w:w="0" w:type="auto"/>
            <w:tcMar>
              <w:top w:w="30" w:type="dxa"/>
              <w:left w:w="30" w:type="dxa"/>
              <w:bottom w:w="30" w:type="dxa"/>
              <w:right w:w="30" w:type="dxa"/>
            </w:tcMar>
            <w:vAlign w:val="bottom"/>
            <w:hideMark/>
          </w:tcPr>
          <w:p w:rsidR="00000000" w:rsidRDefault="00E617AE">
            <w:pPr>
              <w:divId w:val="1196776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6995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32985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145313057"/>
              <w:rPr>
                <w:rFonts w:eastAsia="Times New Roman"/>
                <w:sz w:val="20"/>
                <w:szCs w:val="20"/>
              </w:rPr>
            </w:pPr>
            <w:r>
              <w:rPr>
                <w:rFonts w:ascii="inherit" w:eastAsia="Times New Roman" w:hAnsi="inherit"/>
                <w:sz w:val="20"/>
                <w:szCs w:val="20"/>
              </w:rPr>
              <w:t> </w:t>
            </w:r>
          </w:p>
        </w:tc>
      </w:tr>
      <w:tr w:rsidR="00000000">
        <w:trPr>
          <w:divId w:val="2046712627"/>
        </w:trPr>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E617AE">
            <w:pPr>
              <w:rPr>
                <w:rFonts w:eastAsia="Times New Roman"/>
                <w:sz w:val="20"/>
                <w:szCs w:val="20"/>
              </w:rPr>
            </w:pPr>
            <w:r>
              <w:rPr>
                <w:rFonts w:ascii="Arial" w:eastAsia="Times New Roman" w:hAnsi="Arial" w:cs="Arial"/>
                <w:sz w:val="20"/>
                <w:szCs w:val="20"/>
              </w:rPr>
              <w:t>May 7, 2020</w:t>
            </w:r>
          </w:p>
        </w:tc>
        <w:tc>
          <w:tcPr>
            <w:tcW w:w="0" w:type="auto"/>
            <w:tcMar>
              <w:top w:w="30" w:type="dxa"/>
              <w:left w:w="30" w:type="dxa"/>
              <w:bottom w:w="30" w:type="dxa"/>
              <w:right w:w="30" w:type="dxa"/>
            </w:tcMar>
            <w:vAlign w:val="bottom"/>
            <w:hideMark/>
          </w:tcPr>
          <w:p w:rsidR="00000000" w:rsidRDefault="00E617AE">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/s/ Colin K. Gruending</w:t>
            </w:r>
          </w:p>
        </w:tc>
      </w:tr>
      <w:tr w:rsidR="00000000">
        <w:trPr>
          <w:divId w:val="2046712627"/>
        </w:trPr>
        <w:tc>
          <w:tcPr>
            <w:tcW w:w="0" w:type="auto"/>
            <w:tcMar>
              <w:top w:w="30" w:type="dxa"/>
              <w:left w:w="30" w:type="dxa"/>
              <w:bottom w:w="30" w:type="dxa"/>
              <w:right w:w="30" w:type="dxa"/>
            </w:tcMar>
            <w:vAlign w:val="bottom"/>
            <w:hideMark/>
          </w:tcPr>
          <w:p w:rsidR="00000000" w:rsidRDefault="00E617AE">
            <w:pPr>
              <w:divId w:val="1311472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76129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617AE">
            <w:pPr>
              <w:divId w:val="112495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617AE">
            <w:pPr>
              <w:rPr>
                <w:rFonts w:eastAsia="Times New Roman"/>
                <w:sz w:val="20"/>
                <w:szCs w:val="20"/>
              </w:rPr>
            </w:pPr>
            <w:r>
              <w:rPr>
                <w:rFonts w:ascii="Arial" w:eastAsia="Times New Roman" w:hAnsi="Arial" w:cs="Arial"/>
                <w:sz w:val="20"/>
                <w:szCs w:val="20"/>
              </w:rPr>
              <w:t>Colin K. Gruending</w:t>
            </w:r>
            <w:r>
              <w:rPr>
                <w:rFonts w:ascii="Arial" w:eastAsia="Times New Roman" w:hAnsi="Arial" w:cs="Arial"/>
                <w:sz w:val="20"/>
                <w:szCs w:val="20"/>
              </w:rPr>
              <w:br/>
              <w:t>Executive Vice President and Chief Financial Officer</w:t>
            </w:r>
            <w:r>
              <w:rPr>
                <w:rFonts w:ascii="Arial" w:eastAsia="Times New Roman" w:hAnsi="Arial" w:cs="Arial"/>
                <w:sz w:val="20"/>
                <w:szCs w:val="20"/>
              </w:rPr>
              <w:br/>
            </w:r>
            <w:r>
              <w:rPr>
                <w:rFonts w:ascii="Arial" w:eastAsia="Times New Roman" w:hAnsi="Arial" w:cs="Arial"/>
                <w:sz w:val="20"/>
                <w:szCs w:val="20"/>
              </w:rPr>
              <w:t>(Principal Financial Officer)</w:t>
            </w:r>
          </w:p>
        </w:tc>
      </w:tr>
    </w:tbl>
    <w:p w:rsidR="00000000" w:rsidRDefault="00E617AE">
      <w:pPr>
        <w:divId w:val="1294945816"/>
        <w:rPr>
          <w:rFonts w:eastAsia="Times New Roman"/>
          <w:sz w:val="20"/>
          <w:szCs w:val="20"/>
        </w:rPr>
      </w:pPr>
    </w:p>
    <w:p w:rsidR="00E617AE" w:rsidRDefault="00E617AE">
      <w:pPr>
        <w:spacing w:line="288" w:lineRule="auto"/>
        <w:jc w:val="center"/>
        <w:divId w:val="118913864"/>
        <w:rPr>
          <w:rFonts w:eastAsia="Times New Roman"/>
          <w:sz w:val="20"/>
          <w:szCs w:val="20"/>
        </w:rPr>
      </w:pPr>
      <w:r>
        <w:rPr>
          <w:rFonts w:ascii="Arial" w:eastAsia="Times New Roman" w:hAnsi="Arial" w:cs="Arial"/>
          <w:sz w:val="20"/>
          <w:szCs w:val="20"/>
        </w:rPr>
        <w:t>60</w:t>
      </w:r>
    </w:p>
    <w:sectPr w:rsidR="00E617A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17AE"/>
    <w:rsid w:val="00E617AE"/>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www.enbridge.com/20200331"/>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3864">
      <w:marLeft w:val="0"/>
      <w:marRight w:val="0"/>
      <w:marTop w:val="0"/>
      <w:marBottom w:val="0"/>
      <w:divBdr>
        <w:top w:val="none" w:sz="0" w:space="0" w:color="auto"/>
        <w:left w:val="none" w:sz="0" w:space="0" w:color="auto"/>
        <w:bottom w:val="none" w:sz="0" w:space="0" w:color="auto"/>
        <w:right w:val="none" w:sz="0" w:space="0" w:color="auto"/>
      </w:divBdr>
      <w:divsChild>
        <w:div w:id="1970236479">
          <w:marLeft w:val="0"/>
          <w:marRight w:val="0"/>
          <w:marTop w:val="0"/>
          <w:marBottom w:val="0"/>
          <w:divBdr>
            <w:top w:val="none" w:sz="0" w:space="0" w:color="auto"/>
            <w:left w:val="none" w:sz="0" w:space="0" w:color="auto"/>
            <w:bottom w:val="none" w:sz="0" w:space="0" w:color="auto"/>
            <w:right w:val="none" w:sz="0" w:space="0" w:color="auto"/>
          </w:divBdr>
        </w:div>
        <w:div w:id="1226187675">
          <w:marLeft w:val="0"/>
          <w:marRight w:val="0"/>
          <w:marTop w:val="0"/>
          <w:marBottom w:val="0"/>
          <w:divBdr>
            <w:top w:val="none" w:sz="0" w:space="0" w:color="auto"/>
            <w:left w:val="none" w:sz="0" w:space="0" w:color="auto"/>
            <w:bottom w:val="none" w:sz="0" w:space="0" w:color="auto"/>
            <w:right w:val="none" w:sz="0" w:space="0" w:color="auto"/>
          </w:divBdr>
        </w:div>
        <w:div w:id="1956014560">
          <w:marLeft w:val="0"/>
          <w:marRight w:val="0"/>
          <w:marTop w:val="0"/>
          <w:marBottom w:val="0"/>
          <w:divBdr>
            <w:top w:val="none" w:sz="0" w:space="0" w:color="auto"/>
            <w:left w:val="none" w:sz="0" w:space="0" w:color="auto"/>
            <w:bottom w:val="none" w:sz="0" w:space="0" w:color="auto"/>
            <w:right w:val="none" w:sz="0" w:space="0" w:color="auto"/>
          </w:divBdr>
          <w:divsChild>
            <w:div w:id="1982032341">
              <w:marLeft w:val="0"/>
              <w:marRight w:val="0"/>
              <w:marTop w:val="0"/>
              <w:marBottom w:val="0"/>
              <w:divBdr>
                <w:top w:val="none" w:sz="0" w:space="0" w:color="auto"/>
                <w:left w:val="none" w:sz="0" w:space="0" w:color="auto"/>
                <w:bottom w:val="none" w:sz="0" w:space="0" w:color="auto"/>
                <w:right w:val="none" w:sz="0" w:space="0" w:color="auto"/>
              </w:divBdr>
            </w:div>
          </w:divsChild>
        </w:div>
        <w:div w:id="633104605">
          <w:marLeft w:val="0"/>
          <w:marRight w:val="0"/>
          <w:marTop w:val="0"/>
          <w:marBottom w:val="0"/>
          <w:divBdr>
            <w:top w:val="none" w:sz="0" w:space="0" w:color="auto"/>
            <w:left w:val="none" w:sz="0" w:space="0" w:color="auto"/>
            <w:bottom w:val="none" w:sz="0" w:space="0" w:color="auto"/>
            <w:right w:val="none" w:sz="0" w:space="0" w:color="auto"/>
          </w:divBdr>
        </w:div>
        <w:div w:id="608854732">
          <w:marLeft w:val="0"/>
          <w:marRight w:val="0"/>
          <w:marTop w:val="0"/>
          <w:marBottom w:val="0"/>
          <w:divBdr>
            <w:top w:val="none" w:sz="0" w:space="0" w:color="auto"/>
            <w:left w:val="none" w:sz="0" w:space="0" w:color="auto"/>
            <w:bottom w:val="none" w:sz="0" w:space="0" w:color="auto"/>
            <w:right w:val="none" w:sz="0" w:space="0" w:color="auto"/>
          </w:divBdr>
        </w:div>
        <w:div w:id="15153559">
          <w:marLeft w:val="0"/>
          <w:marRight w:val="0"/>
          <w:marTop w:val="0"/>
          <w:marBottom w:val="0"/>
          <w:divBdr>
            <w:top w:val="none" w:sz="0" w:space="0" w:color="auto"/>
            <w:left w:val="none" w:sz="0" w:space="0" w:color="auto"/>
            <w:bottom w:val="none" w:sz="0" w:space="0" w:color="auto"/>
            <w:right w:val="none" w:sz="0" w:space="0" w:color="auto"/>
          </w:divBdr>
          <w:divsChild>
            <w:div w:id="1470828379">
              <w:marLeft w:val="0"/>
              <w:marRight w:val="0"/>
              <w:marTop w:val="0"/>
              <w:marBottom w:val="0"/>
              <w:divBdr>
                <w:top w:val="none" w:sz="0" w:space="0" w:color="auto"/>
                <w:left w:val="none" w:sz="0" w:space="0" w:color="auto"/>
                <w:bottom w:val="none" w:sz="0" w:space="0" w:color="auto"/>
                <w:right w:val="none" w:sz="0" w:space="0" w:color="auto"/>
              </w:divBdr>
            </w:div>
            <w:div w:id="572206746">
              <w:marLeft w:val="0"/>
              <w:marRight w:val="0"/>
              <w:marTop w:val="0"/>
              <w:marBottom w:val="0"/>
              <w:divBdr>
                <w:top w:val="none" w:sz="0" w:space="0" w:color="auto"/>
                <w:left w:val="none" w:sz="0" w:space="0" w:color="auto"/>
                <w:bottom w:val="none" w:sz="0" w:space="0" w:color="auto"/>
                <w:right w:val="none" w:sz="0" w:space="0" w:color="auto"/>
              </w:divBdr>
            </w:div>
          </w:divsChild>
        </w:div>
        <w:div w:id="1065881568">
          <w:marLeft w:val="0"/>
          <w:marRight w:val="0"/>
          <w:marTop w:val="0"/>
          <w:marBottom w:val="0"/>
          <w:divBdr>
            <w:top w:val="none" w:sz="0" w:space="0" w:color="auto"/>
            <w:left w:val="none" w:sz="0" w:space="0" w:color="auto"/>
            <w:bottom w:val="none" w:sz="0" w:space="0" w:color="auto"/>
            <w:right w:val="none" w:sz="0" w:space="0" w:color="auto"/>
          </w:divBdr>
          <w:divsChild>
            <w:div w:id="544098010">
              <w:marLeft w:val="0"/>
              <w:marRight w:val="0"/>
              <w:marTop w:val="0"/>
              <w:marBottom w:val="0"/>
              <w:divBdr>
                <w:top w:val="none" w:sz="0" w:space="0" w:color="auto"/>
                <w:left w:val="none" w:sz="0" w:space="0" w:color="auto"/>
                <w:bottom w:val="none" w:sz="0" w:space="0" w:color="auto"/>
                <w:right w:val="none" w:sz="0" w:space="0" w:color="auto"/>
              </w:divBdr>
            </w:div>
            <w:div w:id="651638386">
              <w:marLeft w:val="0"/>
              <w:marRight w:val="0"/>
              <w:marTop w:val="0"/>
              <w:marBottom w:val="0"/>
              <w:divBdr>
                <w:top w:val="none" w:sz="0" w:space="0" w:color="auto"/>
                <w:left w:val="none" w:sz="0" w:space="0" w:color="auto"/>
                <w:bottom w:val="none" w:sz="0" w:space="0" w:color="auto"/>
                <w:right w:val="none" w:sz="0" w:space="0" w:color="auto"/>
              </w:divBdr>
            </w:div>
            <w:div w:id="1410342707">
              <w:marLeft w:val="0"/>
              <w:marRight w:val="0"/>
              <w:marTop w:val="0"/>
              <w:marBottom w:val="0"/>
              <w:divBdr>
                <w:top w:val="none" w:sz="0" w:space="0" w:color="auto"/>
                <w:left w:val="none" w:sz="0" w:space="0" w:color="auto"/>
                <w:bottom w:val="none" w:sz="0" w:space="0" w:color="auto"/>
                <w:right w:val="none" w:sz="0" w:space="0" w:color="auto"/>
              </w:divBdr>
            </w:div>
            <w:div w:id="1998724377">
              <w:marLeft w:val="0"/>
              <w:marRight w:val="0"/>
              <w:marTop w:val="0"/>
              <w:marBottom w:val="0"/>
              <w:divBdr>
                <w:top w:val="none" w:sz="0" w:space="0" w:color="auto"/>
                <w:left w:val="none" w:sz="0" w:space="0" w:color="auto"/>
                <w:bottom w:val="none" w:sz="0" w:space="0" w:color="auto"/>
                <w:right w:val="none" w:sz="0" w:space="0" w:color="auto"/>
              </w:divBdr>
            </w:div>
          </w:divsChild>
        </w:div>
        <w:div w:id="1855146479">
          <w:marLeft w:val="0"/>
          <w:marRight w:val="0"/>
          <w:marTop w:val="0"/>
          <w:marBottom w:val="0"/>
          <w:divBdr>
            <w:top w:val="none" w:sz="0" w:space="0" w:color="auto"/>
            <w:left w:val="none" w:sz="0" w:space="0" w:color="auto"/>
            <w:bottom w:val="none" w:sz="0" w:space="0" w:color="auto"/>
            <w:right w:val="none" w:sz="0" w:space="0" w:color="auto"/>
          </w:divBdr>
          <w:divsChild>
            <w:div w:id="200824917">
              <w:marLeft w:val="0"/>
              <w:marRight w:val="0"/>
              <w:marTop w:val="0"/>
              <w:marBottom w:val="0"/>
              <w:divBdr>
                <w:top w:val="none" w:sz="0" w:space="0" w:color="auto"/>
                <w:left w:val="none" w:sz="0" w:space="0" w:color="auto"/>
                <w:bottom w:val="none" w:sz="0" w:space="0" w:color="auto"/>
                <w:right w:val="none" w:sz="0" w:space="0" w:color="auto"/>
              </w:divBdr>
            </w:div>
            <w:div w:id="1509782898">
              <w:marLeft w:val="0"/>
              <w:marRight w:val="0"/>
              <w:marTop w:val="0"/>
              <w:marBottom w:val="0"/>
              <w:divBdr>
                <w:top w:val="none" w:sz="0" w:space="0" w:color="auto"/>
                <w:left w:val="none" w:sz="0" w:space="0" w:color="auto"/>
                <w:bottom w:val="none" w:sz="0" w:space="0" w:color="auto"/>
                <w:right w:val="none" w:sz="0" w:space="0" w:color="auto"/>
              </w:divBdr>
            </w:div>
            <w:div w:id="870648882">
              <w:marLeft w:val="0"/>
              <w:marRight w:val="0"/>
              <w:marTop w:val="0"/>
              <w:marBottom w:val="0"/>
              <w:divBdr>
                <w:top w:val="none" w:sz="0" w:space="0" w:color="auto"/>
                <w:left w:val="none" w:sz="0" w:space="0" w:color="auto"/>
                <w:bottom w:val="none" w:sz="0" w:space="0" w:color="auto"/>
                <w:right w:val="none" w:sz="0" w:space="0" w:color="auto"/>
              </w:divBdr>
            </w:div>
            <w:div w:id="1835295361">
              <w:marLeft w:val="0"/>
              <w:marRight w:val="0"/>
              <w:marTop w:val="0"/>
              <w:marBottom w:val="0"/>
              <w:divBdr>
                <w:top w:val="none" w:sz="0" w:space="0" w:color="auto"/>
                <w:left w:val="none" w:sz="0" w:space="0" w:color="auto"/>
                <w:bottom w:val="none" w:sz="0" w:space="0" w:color="auto"/>
                <w:right w:val="none" w:sz="0" w:space="0" w:color="auto"/>
              </w:divBdr>
            </w:div>
            <w:div w:id="263726563">
              <w:marLeft w:val="0"/>
              <w:marRight w:val="0"/>
              <w:marTop w:val="0"/>
              <w:marBottom w:val="0"/>
              <w:divBdr>
                <w:top w:val="none" w:sz="0" w:space="0" w:color="auto"/>
                <w:left w:val="none" w:sz="0" w:space="0" w:color="auto"/>
                <w:bottom w:val="none" w:sz="0" w:space="0" w:color="auto"/>
                <w:right w:val="none" w:sz="0" w:space="0" w:color="auto"/>
              </w:divBdr>
            </w:div>
          </w:divsChild>
        </w:div>
        <w:div w:id="464738181">
          <w:marLeft w:val="0"/>
          <w:marRight w:val="0"/>
          <w:marTop w:val="0"/>
          <w:marBottom w:val="0"/>
          <w:divBdr>
            <w:top w:val="none" w:sz="0" w:space="0" w:color="auto"/>
            <w:left w:val="none" w:sz="0" w:space="0" w:color="auto"/>
            <w:bottom w:val="none" w:sz="0" w:space="0" w:color="auto"/>
            <w:right w:val="none" w:sz="0" w:space="0" w:color="auto"/>
          </w:divBdr>
          <w:divsChild>
            <w:div w:id="2143617622">
              <w:marLeft w:val="0"/>
              <w:marRight w:val="0"/>
              <w:marTop w:val="0"/>
              <w:marBottom w:val="0"/>
              <w:divBdr>
                <w:top w:val="none" w:sz="0" w:space="0" w:color="auto"/>
                <w:left w:val="none" w:sz="0" w:space="0" w:color="auto"/>
                <w:bottom w:val="none" w:sz="0" w:space="0" w:color="auto"/>
                <w:right w:val="none" w:sz="0" w:space="0" w:color="auto"/>
              </w:divBdr>
            </w:div>
          </w:divsChild>
        </w:div>
        <w:div w:id="902256456">
          <w:marLeft w:val="0"/>
          <w:marRight w:val="0"/>
          <w:marTop w:val="0"/>
          <w:marBottom w:val="0"/>
          <w:divBdr>
            <w:top w:val="none" w:sz="0" w:space="0" w:color="auto"/>
            <w:left w:val="none" w:sz="0" w:space="0" w:color="auto"/>
            <w:bottom w:val="none" w:sz="0" w:space="0" w:color="auto"/>
            <w:right w:val="none" w:sz="0" w:space="0" w:color="auto"/>
          </w:divBdr>
        </w:div>
        <w:div w:id="90317642">
          <w:marLeft w:val="0"/>
          <w:marRight w:val="0"/>
          <w:marTop w:val="0"/>
          <w:marBottom w:val="0"/>
          <w:divBdr>
            <w:top w:val="none" w:sz="0" w:space="0" w:color="auto"/>
            <w:left w:val="none" w:sz="0" w:space="0" w:color="auto"/>
            <w:bottom w:val="none" w:sz="0" w:space="0" w:color="auto"/>
            <w:right w:val="none" w:sz="0" w:space="0" w:color="auto"/>
          </w:divBdr>
        </w:div>
        <w:div w:id="2069068203">
          <w:marLeft w:val="0"/>
          <w:marRight w:val="0"/>
          <w:marTop w:val="0"/>
          <w:marBottom w:val="0"/>
          <w:divBdr>
            <w:top w:val="none" w:sz="0" w:space="0" w:color="auto"/>
            <w:left w:val="none" w:sz="0" w:space="0" w:color="auto"/>
            <w:bottom w:val="none" w:sz="0" w:space="0" w:color="auto"/>
            <w:right w:val="none" w:sz="0" w:space="0" w:color="auto"/>
          </w:divBdr>
          <w:divsChild>
            <w:div w:id="1889485595">
              <w:marLeft w:val="0"/>
              <w:marRight w:val="0"/>
              <w:marTop w:val="0"/>
              <w:marBottom w:val="0"/>
              <w:divBdr>
                <w:top w:val="none" w:sz="0" w:space="0" w:color="auto"/>
                <w:left w:val="none" w:sz="0" w:space="0" w:color="auto"/>
                <w:bottom w:val="none" w:sz="0" w:space="0" w:color="auto"/>
                <w:right w:val="none" w:sz="0" w:space="0" w:color="auto"/>
              </w:divBdr>
            </w:div>
            <w:div w:id="2012562174">
              <w:marLeft w:val="0"/>
              <w:marRight w:val="0"/>
              <w:marTop w:val="0"/>
              <w:marBottom w:val="0"/>
              <w:divBdr>
                <w:top w:val="none" w:sz="0" w:space="0" w:color="auto"/>
                <w:left w:val="none" w:sz="0" w:space="0" w:color="auto"/>
                <w:bottom w:val="none" w:sz="0" w:space="0" w:color="auto"/>
                <w:right w:val="none" w:sz="0" w:space="0" w:color="auto"/>
              </w:divBdr>
            </w:div>
            <w:div w:id="893277617">
              <w:marLeft w:val="0"/>
              <w:marRight w:val="0"/>
              <w:marTop w:val="0"/>
              <w:marBottom w:val="0"/>
              <w:divBdr>
                <w:top w:val="none" w:sz="0" w:space="0" w:color="auto"/>
                <w:left w:val="none" w:sz="0" w:space="0" w:color="auto"/>
                <w:bottom w:val="none" w:sz="0" w:space="0" w:color="auto"/>
                <w:right w:val="none" w:sz="0" w:space="0" w:color="auto"/>
              </w:divBdr>
            </w:div>
            <w:div w:id="79446545">
              <w:marLeft w:val="0"/>
              <w:marRight w:val="0"/>
              <w:marTop w:val="0"/>
              <w:marBottom w:val="0"/>
              <w:divBdr>
                <w:top w:val="none" w:sz="0" w:space="0" w:color="auto"/>
                <w:left w:val="none" w:sz="0" w:space="0" w:color="auto"/>
                <w:bottom w:val="none" w:sz="0" w:space="0" w:color="auto"/>
                <w:right w:val="none" w:sz="0" w:space="0" w:color="auto"/>
              </w:divBdr>
            </w:div>
            <w:div w:id="688336915">
              <w:marLeft w:val="0"/>
              <w:marRight w:val="0"/>
              <w:marTop w:val="0"/>
              <w:marBottom w:val="0"/>
              <w:divBdr>
                <w:top w:val="none" w:sz="0" w:space="0" w:color="auto"/>
                <w:left w:val="none" w:sz="0" w:space="0" w:color="auto"/>
                <w:bottom w:val="none" w:sz="0" w:space="0" w:color="auto"/>
                <w:right w:val="none" w:sz="0" w:space="0" w:color="auto"/>
              </w:divBdr>
            </w:div>
            <w:div w:id="1486356970">
              <w:marLeft w:val="0"/>
              <w:marRight w:val="0"/>
              <w:marTop w:val="0"/>
              <w:marBottom w:val="0"/>
              <w:divBdr>
                <w:top w:val="none" w:sz="0" w:space="0" w:color="auto"/>
                <w:left w:val="none" w:sz="0" w:space="0" w:color="auto"/>
                <w:bottom w:val="none" w:sz="0" w:space="0" w:color="auto"/>
                <w:right w:val="none" w:sz="0" w:space="0" w:color="auto"/>
              </w:divBdr>
            </w:div>
          </w:divsChild>
        </w:div>
        <w:div w:id="982320125">
          <w:marLeft w:val="0"/>
          <w:marRight w:val="0"/>
          <w:marTop w:val="0"/>
          <w:marBottom w:val="0"/>
          <w:divBdr>
            <w:top w:val="none" w:sz="0" w:space="0" w:color="auto"/>
            <w:left w:val="none" w:sz="0" w:space="0" w:color="auto"/>
            <w:bottom w:val="none" w:sz="0" w:space="0" w:color="auto"/>
            <w:right w:val="none" w:sz="0" w:space="0" w:color="auto"/>
          </w:divBdr>
        </w:div>
        <w:div w:id="2119058098">
          <w:marLeft w:val="0"/>
          <w:marRight w:val="0"/>
          <w:marTop w:val="0"/>
          <w:marBottom w:val="0"/>
          <w:divBdr>
            <w:top w:val="none" w:sz="0" w:space="0" w:color="auto"/>
            <w:left w:val="none" w:sz="0" w:space="0" w:color="auto"/>
            <w:bottom w:val="none" w:sz="0" w:space="0" w:color="auto"/>
            <w:right w:val="none" w:sz="0" w:space="0" w:color="auto"/>
          </w:divBdr>
        </w:div>
        <w:div w:id="427507524">
          <w:marLeft w:val="0"/>
          <w:marRight w:val="0"/>
          <w:marTop w:val="0"/>
          <w:marBottom w:val="0"/>
          <w:divBdr>
            <w:top w:val="none" w:sz="0" w:space="0" w:color="auto"/>
            <w:left w:val="none" w:sz="0" w:space="0" w:color="auto"/>
            <w:bottom w:val="none" w:sz="0" w:space="0" w:color="auto"/>
            <w:right w:val="none" w:sz="0" w:space="0" w:color="auto"/>
          </w:divBdr>
          <w:divsChild>
            <w:div w:id="1279991897">
              <w:marLeft w:val="0"/>
              <w:marRight w:val="0"/>
              <w:marTop w:val="0"/>
              <w:marBottom w:val="0"/>
              <w:divBdr>
                <w:top w:val="none" w:sz="0" w:space="0" w:color="auto"/>
                <w:left w:val="none" w:sz="0" w:space="0" w:color="auto"/>
                <w:bottom w:val="none" w:sz="0" w:space="0" w:color="auto"/>
                <w:right w:val="none" w:sz="0" w:space="0" w:color="auto"/>
              </w:divBdr>
            </w:div>
            <w:div w:id="2043742284">
              <w:marLeft w:val="0"/>
              <w:marRight w:val="0"/>
              <w:marTop w:val="0"/>
              <w:marBottom w:val="0"/>
              <w:divBdr>
                <w:top w:val="none" w:sz="0" w:space="0" w:color="auto"/>
                <w:left w:val="none" w:sz="0" w:space="0" w:color="auto"/>
                <w:bottom w:val="none" w:sz="0" w:space="0" w:color="auto"/>
                <w:right w:val="none" w:sz="0" w:space="0" w:color="auto"/>
              </w:divBdr>
            </w:div>
          </w:divsChild>
        </w:div>
        <w:div w:id="692070019">
          <w:marLeft w:val="0"/>
          <w:marRight w:val="0"/>
          <w:marTop w:val="0"/>
          <w:marBottom w:val="0"/>
          <w:divBdr>
            <w:top w:val="none" w:sz="0" w:space="0" w:color="auto"/>
            <w:left w:val="none" w:sz="0" w:space="0" w:color="auto"/>
            <w:bottom w:val="none" w:sz="0" w:space="0" w:color="auto"/>
            <w:right w:val="none" w:sz="0" w:space="0" w:color="auto"/>
          </w:divBdr>
        </w:div>
        <w:div w:id="2072344413">
          <w:marLeft w:val="0"/>
          <w:marRight w:val="0"/>
          <w:marTop w:val="0"/>
          <w:marBottom w:val="0"/>
          <w:divBdr>
            <w:top w:val="none" w:sz="0" w:space="0" w:color="auto"/>
            <w:left w:val="none" w:sz="0" w:space="0" w:color="auto"/>
            <w:bottom w:val="none" w:sz="0" w:space="0" w:color="auto"/>
            <w:right w:val="none" w:sz="0" w:space="0" w:color="auto"/>
          </w:divBdr>
        </w:div>
        <w:div w:id="1561868498">
          <w:marLeft w:val="0"/>
          <w:marRight w:val="0"/>
          <w:marTop w:val="0"/>
          <w:marBottom w:val="0"/>
          <w:divBdr>
            <w:top w:val="none" w:sz="0" w:space="0" w:color="auto"/>
            <w:left w:val="none" w:sz="0" w:space="0" w:color="auto"/>
            <w:bottom w:val="none" w:sz="0" w:space="0" w:color="auto"/>
            <w:right w:val="none" w:sz="0" w:space="0" w:color="auto"/>
          </w:divBdr>
        </w:div>
        <w:div w:id="2016573077">
          <w:marLeft w:val="0"/>
          <w:marRight w:val="0"/>
          <w:marTop w:val="0"/>
          <w:marBottom w:val="0"/>
          <w:divBdr>
            <w:top w:val="none" w:sz="0" w:space="0" w:color="auto"/>
            <w:left w:val="none" w:sz="0" w:space="0" w:color="auto"/>
            <w:bottom w:val="none" w:sz="0" w:space="0" w:color="auto"/>
            <w:right w:val="none" w:sz="0" w:space="0" w:color="auto"/>
          </w:divBdr>
        </w:div>
        <w:div w:id="1530603540">
          <w:marLeft w:val="0"/>
          <w:marRight w:val="0"/>
          <w:marTop w:val="0"/>
          <w:marBottom w:val="0"/>
          <w:divBdr>
            <w:top w:val="none" w:sz="0" w:space="0" w:color="auto"/>
            <w:left w:val="none" w:sz="0" w:space="0" w:color="auto"/>
            <w:bottom w:val="none" w:sz="0" w:space="0" w:color="auto"/>
            <w:right w:val="none" w:sz="0" w:space="0" w:color="auto"/>
          </w:divBdr>
        </w:div>
        <w:div w:id="718358473">
          <w:marLeft w:val="0"/>
          <w:marRight w:val="0"/>
          <w:marTop w:val="0"/>
          <w:marBottom w:val="0"/>
          <w:divBdr>
            <w:top w:val="none" w:sz="0" w:space="0" w:color="auto"/>
            <w:left w:val="none" w:sz="0" w:space="0" w:color="auto"/>
            <w:bottom w:val="none" w:sz="0" w:space="0" w:color="auto"/>
            <w:right w:val="none" w:sz="0" w:space="0" w:color="auto"/>
          </w:divBdr>
        </w:div>
        <w:div w:id="261108327">
          <w:marLeft w:val="0"/>
          <w:marRight w:val="0"/>
          <w:marTop w:val="0"/>
          <w:marBottom w:val="0"/>
          <w:divBdr>
            <w:top w:val="none" w:sz="0" w:space="0" w:color="auto"/>
            <w:left w:val="none" w:sz="0" w:space="0" w:color="auto"/>
            <w:bottom w:val="none" w:sz="0" w:space="0" w:color="auto"/>
            <w:right w:val="none" w:sz="0" w:space="0" w:color="auto"/>
          </w:divBdr>
          <w:divsChild>
            <w:div w:id="1978875839">
              <w:marLeft w:val="0"/>
              <w:marRight w:val="0"/>
              <w:marTop w:val="0"/>
              <w:marBottom w:val="0"/>
              <w:divBdr>
                <w:top w:val="none" w:sz="0" w:space="0" w:color="auto"/>
                <w:left w:val="none" w:sz="0" w:space="0" w:color="auto"/>
                <w:bottom w:val="none" w:sz="0" w:space="0" w:color="auto"/>
                <w:right w:val="none" w:sz="0" w:space="0" w:color="auto"/>
              </w:divBdr>
            </w:div>
            <w:div w:id="482551246">
              <w:marLeft w:val="0"/>
              <w:marRight w:val="0"/>
              <w:marTop w:val="0"/>
              <w:marBottom w:val="0"/>
              <w:divBdr>
                <w:top w:val="none" w:sz="0" w:space="0" w:color="auto"/>
                <w:left w:val="none" w:sz="0" w:space="0" w:color="auto"/>
                <w:bottom w:val="none" w:sz="0" w:space="0" w:color="auto"/>
                <w:right w:val="none" w:sz="0" w:space="0" w:color="auto"/>
              </w:divBdr>
            </w:div>
            <w:div w:id="1635063377">
              <w:marLeft w:val="0"/>
              <w:marRight w:val="0"/>
              <w:marTop w:val="0"/>
              <w:marBottom w:val="0"/>
              <w:divBdr>
                <w:top w:val="none" w:sz="0" w:space="0" w:color="auto"/>
                <w:left w:val="none" w:sz="0" w:space="0" w:color="auto"/>
                <w:bottom w:val="none" w:sz="0" w:space="0" w:color="auto"/>
                <w:right w:val="none" w:sz="0" w:space="0" w:color="auto"/>
              </w:divBdr>
            </w:div>
            <w:div w:id="851647650">
              <w:marLeft w:val="0"/>
              <w:marRight w:val="0"/>
              <w:marTop w:val="0"/>
              <w:marBottom w:val="0"/>
              <w:divBdr>
                <w:top w:val="none" w:sz="0" w:space="0" w:color="auto"/>
                <w:left w:val="none" w:sz="0" w:space="0" w:color="auto"/>
                <w:bottom w:val="none" w:sz="0" w:space="0" w:color="auto"/>
                <w:right w:val="none" w:sz="0" w:space="0" w:color="auto"/>
              </w:divBdr>
            </w:div>
            <w:div w:id="2078280208">
              <w:marLeft w:val="0"/>
              <w:marRight w:val="0"/>
              <w:marTop w:val="0"/>
              <w:marBottom w:val="0"/>
              <w:divBdr>
                <w:top w:val="none" w:sz="0" w:space="0" w:color="auto"/>
                <w:left w:val="none" w:sz="0" w:space="0" w:color="auto"/>
                <w:bottom w:val="none" w:sz="0" w:space="0" w:color="auto"/>
                <w:right w:val="none" w:sz="0" w:space="0" w:color="auto"/>
              </w:divBdr>
            </w:div>
            <w:div w:id="252208708">
              <w:marLeft w:val="0"/>
              <w:marRight w:val="0"/>
              <w:marTop w:val="0"/>
              <w:marBottom w:val="0"/>
              <w:divBdr>
                <w:top w:val="none" w:sz="0" w:space="0" w:color="auto"/>
                <w:left w:val="none" w:sz="0" w:space="0" w:color="auto"/>
                <w:bottom w:val="none" w:sz="0" w:space="0" w:color="auto"/>
                <w:right w:val="none" w:sz="0" w:space="0" w:color="auto"/>
              </w:divBdr>
            </w:div>
          </w:divsChild>
        </w:div>
        <w:div w:id="914053879">
          <w:marLeft w:val="0"/>
          <w:marRight w:val="0"/>
          <w:marTop w:val="0"/>
          <w:marBottom w:val="0"/>
          <w:divBdr>
            <w:top w:val="none" w:sz="0" w:space="0" w:color="auto"/>
            <w:left w:val="none" w:sz="0" w:space="0" w:color="auto"/>
            <w:bottom w:val="none" w:sz="0" w:space="0" w:color="auto"/>
            <w:right w:val="none" w:sz="0" w:space="0" w:color="auto"/>
          </w:divBdr>
        </w:div>
        <w:div w:id="1223562576">
          <w:marLeft w:val="0"/>
          <w:marRight w:val="0"/>
          <w:marTop w:val="0"/>
          <w:marBottom w:val="0"/>
          <w:divBdr>
            <w:top w:val="none" w:sz="0" w:space="0" w:color="auto"/>
            <w:left w:val="none" w:sz="0" w:space="0" w:color="auto"/>
            <w:bottom w:val="none" w:sz="0" w:space="0" w:color="auto"/>
            <w:right w:val="none" w:sz="0" w:space="0" w:color="auto"/>
          </w:divBdr>
        </w:div>
        <w:div w:id="32506112">
          <w:marLeft w:val="0"/>
          <w:marRight w:val="0"/>
          <w:marTop w:val="0"/>
          <w:marBottom w:val="0"/>
          <w:divBdr>
            <w:top w:val="none" w:sz="0" w:space="0" w:color="auto"/>
            <w:left w:val="none" w:sz="0" w:space="0" w:color="auto"/>
            <w:bottom w:val="none" w:sz="0" w:space="0" w:color="auto"/>
            <w:right w:val="none" w:sz="0" w:space="0" w:color="auto"/>
          </w:divBdr>
          <w:divsChild>
            <w:div w:id="441925664">
              <w:marLeft w:val="0"/>
              <w:marRight w:val="0"/>
              <w:marTop w:val="0"/>
              <w:marBottom w:val="0"/>
              <w:divBdr>
                <w:top w:val="none" w:sz="0" w:space="0" w:color="auto"/>
                <w:left w:val="none" w:sz="0" w:space="0" w:color="auto"/>
                <w:bottom w:val="none" w:sz="0" w:space="0" w:color="auto"/>
                <w:right w:val="none" w:sz="0" w:space="0" w:color="auto"/>
              </w:divBdr>
            </w:div>
            <w:div w:id="657416545">
              <w:marLeft w:val="0"/>
              <w:marRight w:val="0"/>
              <w:marTop w:val="0"/>
              <w:marBottom w:val="0"/>
              <w:divBdr>
                <w:top w:val="none" w:sz="0" w:space="0" w:color="auto"/>
                <w:left w:val="none" w:sz="0" w:space="0" w:color="auto"/>
                <w:bottom w:val="none" w:sz="0" w:space="0" w:color="auto"/>
                <w:right w:val="none" w:sz="0" w:space="0" w:color="auto"/>
              </w:divBdr>
            </w:div>
            <w:div w:id="1714038091">
              <w:marLeft w:val="0"/>
              <w:marRight w:val="0"/>
              <w:marTop w:val="0"/>
              <w:marBottom w:val="0"/>
              <w:divBdr>
                <w:top w:val="none" w:sz="0" w:space="0" w:color="auto"/>
                <w:left w:val="none" w:sz="0" w:space="0" w:color="auto"/>
                <w:bottom w:val="none" w:sz="0" w:space="0" w:color="auto"/>
                <w:right w:val="none" w:sz="0" w:space="0" w:color="auto"/>
              </w:divBdr>
            </w:div>
          </w:divsChild>
        </w:div>
        <w:div w:id="1782141764">
          <w:marLeft w:val="0"/>
          <w:marRight w:val="0"/>
          <w:marTop w:val="0"/>
          <w:marBottom w:val="0"/>
          <w:divBdr>
            <w:top w:val="none" w:sz="0" w:space="0" w:color="auto"/>
            <w:left w:val="none" w:sz="0" w:space="0" w:color="auto"/>
            <w:bottom w:val="none" w:sz="0" w:space="0" w:color="auto"/>
            <w:right w:val="none" w:sz="0" w:space="0" w:color="auto"/>
          </w:divBdr>
        </w:div>
        <w:div w:id="31082398">
          <w:marLeft w:val="0"/>
          <w:marRight w:val="0"/>
          <w:marTop w:val="0"/>
          <w:marBottom w:val="0"/>
          <w:divBdr>
            <w:top w:val="none" w:sz="0" w:space="0" w:color="auto"/>
            <w:left w:val="none" w:sz="0" w:space="0" w:color="auto"/>
            <w:bottom w:val="none" w:sz="0" w:space="0" w:color="auto"/>
            <w:right w:val="none" w:sz="0" w:space="0" w:color="auto"/>
          </w:divBdr>
        </w:div>
        <w:div w:id="1123497556">
          <w:marLeft w:val="0"/>
          <w:marRight w:val="0"/>
          <w:marTop w:val="0"/>
          <w:marBottom w:val="0"/>
          <w:divBdr>
            <w:top w:val="none" w:sz="0" w:space="0" w:color="auto"/>
            <w:left w:val="none" w:sz="0" w:space="0" w:color="auto"/>
            <w:bottom w:val="none" w:sz="0" w:space="0" w:color="auto"/>
            <w:right w:val="none" w:sz="0" w:space="0" w:color="auto"/>
          </w:divBdr>
          <w:divsChild>
            <w:div w:id="570580281">
              <w:marLeft w:val="0"/>
              <w:marRight w:val="0"/>
              <w:marTop w:val="0"/>
              <w:marBottom w:val="0"/>
              <w:divBdr>
                <w:top w:val="none" w:sz="0" w:space="0" w:color="auto"/>
                <w:left w:val="none" w:sz="0" w:space="0" w:color="auto"/>
                <w:bottom w:val="none" w:sz="0" w:space="0" w:color="auto"/>
                <w:right w:val="none" w:sz="0" w:space="0" w:color="auto"/>
              </w:divBdr>
            </w:div>
            <w:div w:id="1734885696">
              <w:marLeft w:val="0"/>
              <w:marRight w:val="0"/>
              <w:marTop w:val="0"/>
              <w:marBottom w:val="0"/>
              <w:divBdr>
                <w:top w:val="none" w:sz="0" w:space="0" w:color="auto"/>
                <w:left w:val="none" w:sz="0" w:space="0" w:color="auto"/>
                <w:bottom w:val="none" w:sz="0" w:space="0" w:color="auto"/>
                <w:right w:val="none" w:sz="0" w:space="0" w:color="auto"/>
              </w:divBdr>
            </w:div>
            <w:div w:id="1492914142">
              <w:marLeft w:val="0"/>
              <w:marRight w:val="0"/>
              <w:marTop w:val="0"/>
              <w:marBottom w:val="0"/>
              <w:divBdr>
                <w:top w:val="none" w:sz="0" w:space="0" w:color="auto"/>
                <w:left w:val="none" w:sz="0" w:space="0" w:color="auto"/>
                <w:bottom w:val="none" w:sz="0" w:space="0" w:color="auto"/>
                <w:right w:val="none" w:sz="0" w:space="0" w:color="auto"/>
              </w:divBdr>
            </w:div>
            <w:div w:id="1415664202">
              <w:marLeft w:val="0"/>
              <w:marRight w:val="0"/>
              <w:marTop w:val="0"/>
              <w:marBottom w:val="0"/>
              <w:divBdr>
                <w:top w:val="none" w:sz="0" w:space="0" w:color="auto"/>
                <w:left w:val="none" w:sz="0" w:space="0" w:color="auto"/>
                <w:bottom w:val="none" w:sz="0" w:space="0" w:color="auto"/>
                <w:right w:val="none" w:sz="0" w:space="0" w:color="auto"/>
              </w:divBdr>
            </w:div>
            <w:div w:id="2108309825">
              <w:marLeft w:val="0"/>
              <w:marRight w:val="0"/>
              <w:marTop w:val="0"/>
              <w:marBottom w:val="0"/>
              <w:divBdr>
                <w:top w:val="none" w:sz="0" w:space="0" w:color="auto"/>
                <w:left w:val="none" w:sz="0" w:space="0" w:color="auto"/>
                <w:bottom w:val="none" w:sz="0" w:space="0" w:color="auto"/>
                <w:right w:val="none" w:sz="0" w:space="0" w:color="auto"/>
              </w:divBdr>
            </w:div>
            <w:div w:id="2110806342">
              <w:marLeft w:val="0"/>
              <w:marRight w:val="0"/>
              <w:marTop w:val="0"/>
              <w:marBottom w:val="0"/>
              <w:divBdr>
                <w:top w:val="none" w:sz="0" w:space="0" w:color="auto"/>
                <w:left w:val="none" w:sz="0" w:space="0" w:color="auto"/>
                <w:bottom w:val="none" w:sz="0" w:space="0" w:color="auto"/>
                <w:right w:val="none" w:sz="0" w:space="0" w:color="auto"/>
              </w:divBdr>
            </w:div>
            <w:div w:id="2037726557">
              <w:marLeft w:val="0"/>
              <w:marRight w:val="0"/>
              <w:marTop w:val="0"/>
              <w:marBottom w:val="0"/>
              <w:divBdr>
                <w:top w:val="none" w:sz="0" w:space="0" w:color="auto"/>
                <w:left w:val="none" w:sz="0" w:space="0" w:color="auto"/>
                <w:bottom w:val="none" w:sz="0" w:space="0" w:color="auto"/>
                <w:right w:val="none" w:sz="0" w:space="0" w:color="auto"/>
              </w:divBdr>
            </w:div>
            <w:div w:id="583414356">
              <w:marLeft w:val="0"/>
              <w:marRight w:val="0"/>
              <w:marTop w:val="0"/>
              <w:marBottom w:val="0"/>
              <w:divBdr>
                <w:top w:val="none" w:sz="0" w:space="0" w:color="auto"/>
                <w:left w:val="none" w:sz="0" w:space="0" w:color="auto"/>
                <w:bottom w:val="none" w:sz="0" w:space="0" w:color="auto"/>
                <w:right w:val="none" w:sz="0" w:space="0" w:color="auto"/>
              </w:divBdr>
            </w:div>
            <w:div w:id="1523278859">
              <w:marLeft w:val="0"/>
              <w:marRight w:val="0"/>
              <w:marTop w:val="0"/>
              <w:marBottom w:val="0"/>
              <w:divBdr>
                <w:top w:val="none" w:sz="0" w:space="0" w:color="auto"/>
                <w:left w:val="none" w:sz="0" w:space="0" w:color="auto"/>
                <w:bottom w:val="none" w:sz="0" w:space="0" w:color="auto"/>
                <w:right w:val="none" w:sz="0" w:space="0" w:color="auto"/>
              </w:divBdr>
            </w:div>
            <w:div w:id="458770547">
              <w:marLeft w:val="0"/>
              <w:marRight w:val="0"/>
              <w:marTop w:val="0"/>
              <w:marBottom w:val="0"/>
              <w:divBdr>
                <w:top w:val="none" w:sz="0" w:space="0" w:color="auto"/>
                <w:left w:val="none" w:sz="0" w:space="0" w:color="auto"/>
                <w:bottom w:val="none" w:sz="0" w:space="0" w:color="auto"/>
                <w:right w:val="none" w:sz="0" w:space="0" w:color="auto"/>
              </w:divBdr>
            </w:div>
            <w:div w:id="1947300655">
              <w:marLeft w:val="0"/>
              <w:marRight w:val="0"/>
              <w:marTop w:val="0"/>
              <w:marBottom w:val="0"/>
              <w:divBdr>
                <w:top w:val="none" w:sz="0" w:space="0" w:color="auto"/>
                <w:left w:val="none" w:sz="0" w:space="0" w:color="auto"/>
                <w:bottom w:val="none" w:sz="0" w:space="0" w:color="auto"/>
                <w:right w:val="none" w:sz="0" w:space="0" w:color="auto"/>
              </w:divBdr>
            </w:div>
            <w:div w:id="1948073137">
              <w:marLeft w:val="0"/>
              <w:marRight w:val="0"/>
              <w:marTop w:val="0"/>
              <w:marBottom w:val="0"/>
              <w:divBdr>
                <w:top w:val="none" w:sz="0" w:space="0" w:color="auto"/>
                <w:left w:val="none" w:sz="0" w:space="0" w:color="auto"/>
                <w:bottom w:val="none" w:sz="0" w:space="0" w:color="auto"/>
                <w:right w:val="none" w:sz="0" w:space="0" w:color="auto"/>
              </w:divBdr>
            </w:div>
            <w:div w:id="1923448348">
              <w:marLeft w:val="0"/>
              <w:marRight w:val="0"/>
              <w:marTop w:val="0"/>
              <w:marBottom w:val="0"/>
              <w:divBdr>
                <w:top w:val="none" w:sz="0" w:space="0" w:color="auto"/>
                <w:left w:val="none" w:sz="0" w:space="0" w:color="auto"/>
                <w:bottom w:val="none" w:sz="0" w:space="0" w:color="auto"/>
                <w:right w:val="none" w:sz="0" w:space="0" w:color="auto"/>
              </w:divBdr>
            </w:div>
            <w:div w:id="354383177">
              <w:marLeft w:val="0"/>
              <w:marRight w:val="0"/>
              <w:marTop w:val="0"/>
              <w:marBottom w:val="0"/>
              <w:divBdr>
                <w:top w:val="none" w:sz="0" w:space="0" w:color="auto"/>
                <w:left w:val="none" w:sz="0" w:space="0" w:color="auto"/>
                <w:bottom w:val="none" w:sz="0" w:space="0" w:color="auto"/>
                <w:right w:val="none" w:sz="0" w:space="0" w:color="auto"/>
              </w:divBdr>
            </w:div>
            <w:div w:id="455953541">
              <w:marLeft w:val="0"/>
              <w:marRight w:val="0"/>
              <w:marTop w:val="0"/>
              <w:marBottom w:val="0"/>
              <w:divBdr>
                <w:top w:val="none" w:sz="0" w:space="0" w:color="auto"/>
                <w:left w:val="none" w:sz="0" w:space="0" w:color="auto"/>
                <w:bottom w:val="none" w:sz="0" w:space="0" w:color="auto"/>
                <w:right w:val="none" w:sz="0" w:space="0" w:color="auto"/>
              </w:divBdr>
            </w:div>
            <w:div w:id="702094630">
              <w:marLeft w:val="0"/>
              <w:marRight w:val="0"/>
              <w:marTop w:val="0"/>
              <w:marBottom w:val="0"/>
              <w:divBdr>
                <w:top w:val="none" w:sz="0" w:space="0" w:color="auto"/>
                <w:left w:val="none" w:sz="0" w:space="0" w:color="auto"/>
                <w:bottom w:val="none" w:sz="0" w:space="0" w:color="auto"/>
                <w:right w:val="none" w:sz="0" w:space="0" w:color="auto"/>
              </w:divBdr>
            </w:div>
            <w:div w:id="1395007006">
              <w:marLeft w:val="0"/>
              <w:marRight w:val="0"/>
              <w:marTop w:val="0"/>
              <w:marBottom w:val="0"/>
              <w:divBdr>
                <w:top w:val="none" w:sz="0" w:space="0" w:color="auto"/>
                <w:left w:val="none" w:sz="0" w:space="0" w:color="auto"/>
                <w:bottom w:val="none" w:sz="0" w:space="0" w:color="auto"/>
                <w:right w:val="none" w:sz="0" w:space="0" w:color="auto"/>
              </w:divBdr>
            </w:div>
            <w:div w:id="1954287849">
              <w:marLeft w:val="0"/>
              <w:marRight w:val="0"/>
              <w:marTop w:val="0"/>
              <w:marBottom w:val="0"/>
              <w:divBdr>
                <w:top w:val="none" w:sz="0" w:space="0" w:color="auto"/>
                <w:left w:val="none" w:sz="0" w:space="0" w:color="auto"/>
                <w:bottom w:val="none" w:sz="0" w:space="0" w:color="auto"/>
                <w:right w:val="none" w:sz="0" w:space="0" w:color="auto"/>
              </w:divBdr>
            </w:div>
            <w:div w:id="986014642">
              <w:marLeft w:val="0"/>
              <w:marRight w:val="0"/>
              <w:marTop w:val="0"/>
              <w:marBottom w:val="0"/>
              <w:divBdr>
                <w:top w:val="none" w:sz="0" w:space="0" w:color="auto"/>
                <w:left w:val="none" w:sz="0" w:space="0" w:color="auto"/>
                <w:bottom w:val="none" w:sz="0" w:space="0" w:color="auto"/>
                <w:right w:val="none" w:sz="0" w:space="0" w:color="auto"/>
              </w:divBdr>
            </w:div>
            <w:div w:id="1013846141">
              <w:marLeft w:val="0"/>
              <w:marRight w:val="0"/>
              <w:marTop w:val="0"/>
              <w:marBottom w:val="0"/>
              <w:divBdr>
                <w:top w:val="none" w:sz="0" w:space="0" w:color="auto"/>
                <w:left w:val="none" w:sz="0" w:space="0" w:color="auto"/>
                <w:bottom w:val="none" w:sz="0" w:space="0" w:color="auto"/>
                <w:right w:val="none" w:sz="0" w:space="0" w:color="auto"/>
              </w:divBdr>
            </w:div>
            <w:div w:id="178158548">
              <w:marLeft w:val="0"/>
              <w:marRight w:val="0"/>
              <w:marTop w:val="0"/>
              <w:marBottom w:val="0"/>
              <w:divBdr>
                <w:top w:val="none" w:sz="0" w:space="0" w:color="auto"/>
                <w:left w:val="none" w:sz="0" w:space="0" w:color="auto"/>
                <w:bottom w:val="none" w:sz="0" w:space="0" w:color="auto"/>
                <w:right w:val="none" w:sz="0" w:space="0" w:color="auto"/>
              </w:divBdr>
            </w:div>
          </w:divsChild>
        </w:div>
        <w:div w:id="1541017353">
          <w:marLeft w:val="0"/>
          <w:marRight w:val="0"/>
          <w:marTop w:val="0"/>
          <w:marBottom w:val="0"/>
          <w:divBdr>
            <w:top w:val="none" w:sz="0" w:space="0" w:color="auto"/>
            <w:left w:val="none" w:sz="0" w:space="0" w:color="auto"/>
            <w:bottom w:val="none" w:sz="0" w:space="0" w:color="auto"/>
            <w:right w:val="none" w:sz="0" w:space="0" w:color="auto"/>
          </w:divBdr>
        </w:div>
        <w:div w:id="1577398791">
          <w:marLeft w:val="0"/>
          <w:marRight w:val="0"/>
          <w:marTop w:val="0"/>
          <w:marBottom w:val="0"/>
          <w:divBdr>
            <w:top w:val="none" w:sz="0" w:space="0" w:color="auto"/>
            <w:left w:val="none" w:sz="0" w:space="0" w:color="auto"/>
            <w:bottom w:val="none" w:sz="0" w:space="0" w:color="auto"/>
            <w:right w:val="none" w:sz="0" w:space="0" w:color="auto"/>
          </w:divBdr>
        </w:div>
        <w:div w:id="1275789956">
          <w:marLeft w:val="0"/>
          <w:marRight w:val="0"/>
          <w:marTop w:val="0"/>
          <w:marBottom w:val="0"/>
          <w:divBdr>
            <w:top w:val="none" w:sz="0" w:space="0" w:color="auto"/>
            <w:left w:val="none" w:sz="0" w:space="0" w:color="auto"/>
            <w:bottom w:val="none" w:sz="0" w:space="0" w:color="auto"/>
            <w:right w:val="none" w:sz="0" w:space="0" w:color="auto"/>
          </w:divBdr>
          <w:divsChild>
            <w:div w:id="1205405856">
              <w:marLeft w:val="0"/>
              <w:marRight w:val="0"/>
              <w:marTop w:val="0"/>
              <w:marBottom w:val="0"/>
              <w:divBdr>
                <w:top w:val="none" w:sz="0" w:space="0" w:color="auto"/>
                <w:left w:val="none" w:sz="0" w:space="0" w:color="auto"/>
                <w:bottom w:val="none" w:sz="0" w:space="0" w:color="auto"/>
                <w:right w:val="none" w:sz="0" w:space="0" w:color="auto"/>
              </w:divBdr>
            </w:div>
            <w:div w:id="1542134575">
              <w:marLeft w:val="0"/>
              <w:marRight w:val="0"/>
              <w:marTop w:val="0"/>
              <w:marBottom w:val="0"/>
              <w:divBdr>
                <w:top w:val="none" w:sz="0" w:space="0" w:color="auto"/>
                <w:left w:val="none" w:sz="0" w:space="0" w:color="auto"/>
                <w:bottom w:val="none" w:sz="0" w:space="0" w:color="auto"/>
                <w:right w:val="none" w:sz="0" w:space="0" w:color="auto"/>
              </w:divBdr>
            </w:div>
            <w:div w:id="1571307793">
              <w:marLeft w:val="0"/>
              <w:marRight w:val="0"/>
              <w:marTop w:val="0"/>
              <w:marBottom w:val="0"/>
              <w:divBdr>
                <w:top w:val="none" w:sz="0" w:space="0" w:color="auto"/>
                <w:left w:val="none" w:sz="0" w:space="0" w:color="auto"/>
                <w:bottom w:val="none" w:sz="0" w:space="0" w:color="auto"/>
                <w:right w:val="none" w:sz="0" w:space="0" w:color="auto"/>
              </w:divBdr>
            </w:div>
          </w:divsChild>
        </w:div>
        <w:div w:id="282003901">
          <w:marLeft w:val="0"/>
          <w:marRight w:val="0"/>
          <w:marTop w:val="0"/>
          <w:marBottom w:val="0"/>
          <w:divBdr>
            <w:top w:val="none" w:sz="0" w:space="0" w:color="auto"/>
            <w:left w:val="none" w:sz="0" w:space="0" w:color="auto"/>
            <w:bottom w:val="none" w:sz="0" w:space="0" w:color="auto"/>
            <w:right w:val="none" w:sz="0" w:space="0" w:color="auto"/>
          </w:divBdr>
        </w:div>
        <w:div w:id="785465362">
          <w:marLeft w:val="0"/>
          <w:marRight w:val="0"/>
          <w:marTop w:val="0"/>
          <w:marBottom w:val="0"/>
          <w:divBdr>
            <w:top w:val="none" w:sz="0" w:space="0" w:color="auto"/>
            <w:left w:val="none" w:sz="0" w:space="0" w:color="auto"/>
            <w:bottom w:val="none" w:sz="0" w:space="0" w:color="auto"/>
            <w:right w:val="none" w:sz="0" w:space="0" w:color="auto"/>
          </w:divBdr>
        </w:div>
        <w:div w:id="1267932303">
          <w:marLeft w:val="0"/>
          <w:marRight w:val="0"/>
          <w:marTop w:val="0"/>
          <w:marBottom w:val="0"/>
          <w:divBdr>
            <w:top w:val="none" w:sz="0" w:space="0" w:color="auto"/>
            <w:left w:val="none" w:sz="0" w:space="0" w:color="auto"/>
            <w:bottom w:val="none" w:sz="0" w:space="0" w:color="auto"/>
            <w:right w:val="none" w:sz="0" w:space="0" w:color="auto"/>
          </w:divBdr>
          <w:divsChild>
            <w:div w:id="466896740">
              <w:marLeft w:val="0"/>
              <w:marRight w:val="0"/>
              <w:marTop w:val="0"/>
              <w:marBottom w:val="0"/>
              <w:divBdr>
                <w:top w:val="none" w:sz="0" w:space="0" w:color="auto"/>
                <w:left w:val="none" w:sz="0" w:space="0" w:color="auto"/>
                <w:bottom w:val="none" w:sz="0" w:space="0" w:color="auto"/>
                <w:right w:val="none" w:sz="0" w:space="0" w:color="auto"/>
              </w:divBdr>
            </w:div>
            <w:div w:id="1821381116">
              <w:marLeft w:val="0"/>
              <w:marRight w:val="0"/>
              <w:marTop w:val="0"/>
              <w:marBottom w:val="0"/>
              <w:divBdr>
                <w:top w:val="none" w:sz="0" w:space="0" w:color="auto"/>
                <w:left w:val="none" w:sz="0" w:space="0" w:color="auto"/>
                <w:bottom w:val="none" w:sz="0" w:space="0" w:color="auto"/>
                <w:right w:val="none" w:sz="0" w:space="0" w:color="auto"/>
              </w:divBdr>
            </w:div>
            <w:div w:id="165941400">
              <w:marLeft w:val="0"/>
              <w:marRight w:val="0"/>
              <w:marTop w:val="0"/>
              <w:marBottom w:val="0"/>
              <w:divBdr>
                <w:top w:val="none" w:sz="0" w:space="0" w:color="auto"/>
                <w:left w:val="none" w:sz="0" w:space="0" w:color="auto"/>
                <w:bottom w:val="none" w:sz="0" w:space="0" w:color="auto"/>
                <w:right w:val="none" w:sz="0" w:space="0" w:color="auto"/>
              </w:divBdr>
            </w:div>
            <w:div w:id="917792875">
              <w:marLeft w:val="0"/>
              <w:marRight w:val="0"/>
              <w:marTop w:val="0"/>
              <w:marBottom w:val="0"/>
              <w:divBdr>
                <w:top w:val="none" w:sz="0" w:space="0" w:color="auto"/>
                <w:left w:val="none" w:sz="0" w:space="0" w:color="auto"/>
                <w:bottom w:val="none" w:sz="0" w:space="0" w:color="auto"/>
                <w:right w:val="none" w:sz="0" w:space="0" w:color="auto"/>
              </w:divBdr>
            </w:div>
            <w:div w:id="2087074469">
              <w:marLeft w:val="0"/>
              <w:marRight w:val="0"/>
              <w:marTop w:val="0"/>
              <w:marBottom w:val="0"/>
              <w:divBdr>
                <w:top w:val="none" w:sz="0" w:space="0" w:color="auto"/>
                <w:left w:val="none" w:sz="0" w:space="0" w:color="auto"/>
                <w:bottom w:val="none" w:sz="0" w:space="0" w:color="auto"/>
                <w:right w:val="none" w:sz="0" w:space="0" w:color="auto"/>
              </w:divBdr>
            </w:div>
          </w:divsChild>
        </w:div>
        <w:div w:id="722406820">
          <w:marLeft w:val="0"/>
          <w:marRight w:val="0"/>
          <w:marTop w:val="0"/>
          <w:marBottom w:val="0"/>
          <w:divBdr>
            <w:top w:val="none" w:sz="0" w:space="0" w:color="auto"/>
            <w:left w:val="none" w:sz="0" w:space="0" w:color="auto"/>
            <w:bottom w:val="none" w:sz="0" w:space="0" w:color="auto"/>
            <w:right w:val="none" w:sz="0" w:space="0" w:color="auto"/>
          </w:divBdr>
        </w:div>
        <w:div w:id="1410232862">
          <w:marLeft w:val="0"/>
          <w:marRight w:val="0"/>
          <w:marTop w:val="0"/>
          <w:marBottom w:val="0"/>
          <w:divBdr>
            <w:top w:val="none" w:sz="0" w:space="0" w:color="auto"/>
            <w:left w:val="none" w:sz="0" w:space="0" w:color="auto"/>
            <w:bottom w:val="none" w:sz="0" w:space="0" w:color="auto"/>
            <w:right w:val="none" w:sz="0" w:space="0" w:color="auto"/>
          </w:divBdr>
        </w:div>
        <w:div w:id="607935317">
          <w:marLeft w:val="0"/>
          <w:marRight w:val="0"/>
          <w:marTop w:val="0"/>
          <w:marBottom w:val="0"/>
          <w:divBdr>
            <w:top w:val="none" w:sz="0" w:space="0" w:color="auto"/>
            <w:left w:val="none" w:sz="0" w:space="0" w:color="auto"/>
            <w:bottom w:val="none" w:sz="0" w:space="0" w:color="auto"/>
            <w:right w:val="none" w:sz="0" w:space="0" w:color="auto"/>
          </w:divBdr>
        </w:div>
        <w:div w:id="1595433414">
          <w:marLeft w:val="0"/>
          <w:marRight w:val="0"/>
          <w:marTop w:val="0"/>
          <w:marBottom w:val="0"/>
          <w:divBdr>
            <w:top w:val="none" w:sz="0" w:space="0" w:color="auto"/>
            <w:left w:val="none" w:sz="0" w:space="0" w:color="auto"/>
            <w:bottom w:val="none" w:sz="0" w:space="0" w:color="auto"/>
            <w:right w:val="none" w:sz="0" w:space="0" w:color="auto"/>
          </w:divBdr>
        </w:div>
        <w:div w:id="163126769">
          <w:marLeft w:val="0"/>
          <w:marRight w:val="0"/>
          <w:marTop w:val="0"/>
          <w:marBottom w:val="0"/>
          <w:divBdr>
            <w:top w:val="none" w:sz="0" w:space="0" w:color="auto"/>
            <w:left w:val="none" w:sz="0" w:space="0" w:color="auto"/>
            <w:bottom w:val="none" w:sz="0" w:space="0" w:color="auto"/>
            <w:right w:val="none" w:sz="0" w:space="0" w:color="auto"/>
          </w:divBdr>
        </w:div>
        <w:div w:id="1141772238">
          <w:marLeft w:val="0"/>
          <w:marRight w:val="0"/>
          <w:marTop w:val="0"/>
          <w:marBottom w:val="0"/>
          <w:divBdr>
            <w:top w:val="none" w:sz="0" w:space="0" w:color="auto"/>
            <w:left w:val="none" w:sz="0" w:space="0" w:color="auto"/>
            <w:bottom w:val="none" w:sz="0" w:space="0" w:color="auto"/>
            <w:right w:val="none" w:sz="0" w:space="0" w:color="auto"/>
          </w:divBdr>
        </w:div>
        <w:div w:id="1523058361">
          <w:marLeft w:val="0"/>
          <w:marRight w:val="0"/>
          <w:marTop w:val="0"/>
          <w:marBottom w:val="0"/>
          <w:divBdr>
            <w:top w:val="none" w:sz="0" w:space="0" w:color="auto"/>
            <w:left w:val="none" w:sz="0" w:space="0" w:color="auto"/>
            <w:bottom w:val="none" w:sz="0" w:space="0" w:color="auto"/>
            <w:right w:val="none" w:sz="0" w:space="0" w:color="auto"/>
          </w:divBdr>
        </w:div>
        <w:div w:id="70738551">
          <w:marLeft w:val="0"/>
          <w:marRight w:val="0"/>
          <w:marTop w:val="0"/>
          <w:marBottom w:val="0"/>
          <w:divBdr>
            <w:top w:val="none" w:sz="0" w:space="0" w:color="auto"/>
            <w:left w:val="none" w:sz="0" w:space="0" w:color="auto"/>
            <w:bottom w:val="none" w:sz="0" w:space="0" w:color="auto"/>
            <w:right w:val="none" w:sz="0" w:space="0" w:color="auto"/>
          </w:divBdr>
        </w:div>
        <w:div w:id="831214810">
          <w:marLeft w:val="0"/>
          <w:marRight w:val="0"/>
          <w:marTop w:val="0"/>
          <w:marBottom w:val="0"/>
          <w:divBdr>
            <w:top w:val="none" w:sz="0" w:space="0" w:color="auto"/>
            <w:left w:val="none" w:sz="0" w:space="0" w:color="auto"/>
            <w:bottom w:val="none" w:sz="0" w:space="0" w:color="auto"/>
            <w:right w:val="none" w:sz="0" w:space="0" w:color="auto"/>
          </w:divBdr>
          <w:divsChild>
            <w:div w:id="204635760">
              <w:marLeft w:val="0"/>
              <w:marRight w:val="0"/>
              <w:marTop w:val="0"/>
              <w:marBottom w:val="0"/>
              <w:divBdr>
                <w:top w:val="none" w:sz="0" w:space="0" w:color="auto"/>
                <w:left w:val="none" w:sz="0" w:space="0" w:color="auto"/>
                <w:bottom w:val="none" w:sz="0" w:space="0" w:color="auto"/>
                <w:right w:val="none" w:sz="0" w:space="0" w:color="auto"/>
              </w:divBdr>
            </w:div>
            <w:div w:id="915940628">
              <w:marLeft w:val="0"/>
              <w:marRight w:val="0"/>
              <w:marTop w:val="0"/>
              <w:marBottom w:val="0"/>
              <w:divBdr>
                <w:top w:val="none" w:sz="0" w:space="0" w:color="auto"/>
                <w:left w:val="none" w:sz="0" w:space="0" w:color="auto"/>
                <w:bottom w:val="none" w:sz="0" w:space="0" w:color="auto"/>
                <w:right w:val="none" w:sz="0" w:space="0" w:color="auto"/>
              </w:divBdr>
            </w:div>
          </w:divsChild>
        </w:div>
        <w:div w:id="1124153073">
          <w:marLeft w:val="0"/>
          <w:marRight w:val="0"/>
          <w:marTop w:val="0"/>
          <w:marBottom w:val="0"/>
          <w:divBdr>
            <w:top w:val="none" w:sz="0" w:space="0" w:color="auto"/>
            <w:left w:val="none" w:sz="0" w:space="0" w:color="auto"/>
            <w:bottom w:val="none" w:sz="0" w:space="0" w:color="auto"/>
            <w:right w:val="none" w:sz="0" w:space="0" w:color="auto"/>
          </w:divBdr>
        </w:div>
        <w:div w:id="1362628838">
          <w:marLeft w:val="0"/>
          <w:marRight w:val="0"/>
          <w:marTop w:val="0"/>
          <w:marBottom w:val="0"/>
          <w:divBdr>
            <w:top w:val="none" w:sz="0" w:space="0" w:color="auto"/>
            <w:left w:val="none" w:sz="0" w:space="0" w:color="auto"/>
            <w:bottom w:val="none" w:sz="0" w:space="0" w:color="auto"/>
            <w:right w:val="none" w:sz="0" w:space="0" w:color="auto"/>
          </w:divBdr>
        </w:div>
        <w:div w:id="352460982">
          <w:marLeft w:val="0"/>
          <w:marRight w:val="0"/>
          <w:marTop w:val="0"/>
          <w:marBottom w:val="0"/>
          <w:divBdr>
            <w:top w:val="none" w:sz="0" w:space="0" w:color="auto"/>
            <w:left w:val="none" w:sz="0" w:space="0" w:color="auto"/>
            <w:bottom w:val="none" w:sz="0" w:space="0" w:color="auto"/>
            <w:right w:val="none" w:sz="0" w:space="0" w:color="auto"/>
          </w:divBdr>
          <w:divsChild>
            <w:div w:id="400950802">
              <w:marLeft w:val="0"/>
              <w:marRight w:val="0"/>
              <w:marTop w:val="0"/>
              <w:marBottom w:val="0"/>
              <w:divBdr>
                <w:top w:val="none" w:sz="0" w:space="0" w:color="auto"/>
                <w:left w:val="none" w:sz="0" w:space="0" w:color="auto"/>
                <w:bottom w:val="none" w:sz="0" w:space="0" w:color="auto"/>
                <w:right w:val="none" w:sz="0" w:space="0" w:color="auto"/>
              </w:divBdr>
            </w:div>
            <w:div w:id="1896626583">
              <w:marLeft w:val="0"/>
              <w:marRight w:val="0"/>
              <w:marTop w:val="0"/>
              <w:marBottom w:val="0"/>
              <w:divBdr>
                <w:top w:val="none" w:sz="0" w:space="0" w:color="auto"/>
                <w:left w:val="none" w:sz="0" w:space="0" w:color="auto"/>
                <w:bottom w:val="none" w:sz="0" w:space="0" w:color="auto"/>
                <w:right w:val="none" w:sz="0" w:space="0" w:color="auto"/>
              </w:divBdr>
            </w:div>
            <w:div w:id="1708751717">
              <w:marLeft w:val="0"/>
              <w:marRight w:val="0"/>
              <w:marTop w:val="0"/>
              <w:marBottom w:val="0"/>
              <w:divBdr>
                <w:top w:val="none" w:sz="0" w:space="0" w:color="auto"/>
                <w:left w:val="none" w:sz="0" w:space="0" w:color="auto"/>
                <w:bottom w:val="none" w:sz="0" w:space="0" w:color="auto"/>
                <w:right w:val="none" w:sz="0" w:space="0" w:color="auto"/>
              </w:divBdr>
            </w:div>
            <w:div w:id="2141536287">
              <w:marLeft w:val="0"/>
              <w:marRight w:val="0"/>
              <w:marTop w:val="0"/>
              <w:marBottom w:val="0"/>
              <w:divBdr>
                <w:top w:val="none" w:sz="0" w:space="0" w:color="auto"/>
                <w:left w:val="none" w:sz="0" w:space="0" w:color="auto"/>
                <w:bottom w:val="none" w:sz="0" w:space="0" w:color="auto"/>
                <w:right w:val="none" w:sz="0" w:space="0" w:color="auto"/>
              </w:divBdr>
            </w:div>
          </w:divsChild>
        </w:div>
        <w:div w:id="1701201793">
          <w:marLeft w:val="0"/>
          <w:marRight w:val="0"/>
          <w:marTop w:val="0"/>
          <w:marBottom w:val="0"/>
          <w:divBdr>
            <w:top w:val="none" w:sz="0" w:space="0" w:color="auto"/>
            <w:left w:val="none" w:sz="0" w:space="0" w:color="auto"/>
            <w:bottom w:val="none" w:sz="0" w:space="0" w:color="auto"/>
            <w:right w:val="none" w:sz="0" w:space="0" w:color="auto"/>
          </w:divBdr>
        </w:div>
        <w:div w:id="1114593353">
          <w:marLeft w:val="0"/>
          <w:marRight w:val="0"/>
          <w:marTop w:val="0"/>
          <w:marBottom w:val="0"/>
          <w:divBdr>
            <w:top w:val="none" w:sz="0" w:space="0" w:color="auto"/>
            <w:left w:val="none" w:sz="0" w:space="0" w:color="auto"/>
            <w:bottom w:val="none" w:sz="0" w:space="0" w:color="auto"/>
            <w:right w:val="none" w:sz="0" w:space="0" w:color="auto"/>
          </w:divBdr>
        </w:div>
        <w:div w:id="2082946907">
          <w:marLeft w:val="0"/>
          <w:marRight w:val="0"/>
          <w:marTop w:val="0"/>
          <w:marBottom w:val="0"/>
          <w:divBdr>
            <w:top w:val="none" w:sz="0" w:space="0" w:color="auto"/>
            <w:left w:val="none" w:sz="0" w:space="0" w:color="auto"/>
            <w:bottom w:val="none" w:sz="0" w:space="0" w:color="auto"/>
            <w:right w:val="none" w:sz="0" w:space="0" w:color="auto"/>
          </w:divBdr>
          <w:divsChild>
            <w:div w:id="118643525">
              <w:marLeft w:val="0"/>
              <w:marRight w:val="0"/>
              <w:marTop w:val="0"/>
              <w:marBottom w:val="0"/>
              <w:divBdr>
                <w:top w:val="none" w:sz="0" w:space="0" w:color="auto"/>
                <w:left w:val="none" w:sz="0" w:space="0" w:color="auto"/>
                <w:bottom w:val="none" w:sz="0" w:space="0" w:color="auto"/>
                <w:right w:val="none" w:sz="0" w:space="0" w:color="auto"/>
              </w:divBdr>
            </w:div>
            <w:div w:id="179903871">
              <w:marLeft w:val="0"/>
              <w:marRight w:val="0"/>
              <w:marTop w:val="0"/>
              <w:marBottom w:val="0"/>
              <w:divBdr>
                <w:top w:val="none" w:sz="0" w:space="0" w:color="auto"/>
                <w:left w:val="none" w:sz="0" w:space="0" w:color="auto"/>
                <w:bottom w:val="none" w:sz="0" w:space="0" w:color="auto"/>
                <w:right w:val="none" w:sz="0" w:space="0" w:color="auto"/>
              </w:divBdr>
            </w:div>
            <w:div w:id="500042992">
              <w:marLeft w:val="0"/>
              <w:marRight w:val="0"/>
              <w:marTop w:val="0"/>
              <w:marBottom w:val="0"/>
              <w:divBdr>
                <w:top w:val="none" w:sz="0" w:space="0" w:color="auto"/>
                <w:left w:val="none" w:sz="0" w:space="0" w:color="auto"/>
                <w:bottom w:val="none" w:sz="0" w:space="0" w:color="auto"/>
                <w:right w:val="none" w:sz="0" w:space="0" w:color="auto"/>
              </w:divBdr>
            </w:div>
          </w:divsChild>
        </w:div>
        <w:div w:id="571933269">
          <w:marLeft w:val="0"/>
          <w:marRight w:val="0"/>
          <w:marTop w:val="0"/>
          <w:marBottom w:val="0"/>
          <w:divBdr>
            <w:top w:val="none" w:sz="0" w:space="0" w:color="auto"/>
            <w:left w:val="none" w:sz="0" w:space="0" w:color="auto"/>
            <w:bottom w:val="none" w:sz="0" w:space="0" w:color="auto"/>
            <w:right w:val="none" w:sz="0" w:space="0" w:color="auto"/>
          </w:divBdr>
        </w:div>
        <w:div w:id="253560418">
          <w:marLeft w:val="0"/>
          <w:marRight w:val="0"/>
          <w:marTop w:val="0"/>
          <w:marBottom w:val="0"/>
          <w:divBdr>
            <w:top w:val="none" w:sz="0" w:space="0" w:color="auto"/>
            <w:left w:val="none" w:sz="0" w:space="0" w:color="auto"/>
            <w:bottom w:val="none" w:sz="0" w:space="0" w:color="auto"/>
            <w:right w:val="none" w:sz="0" w:space="0" w:color="auto"/>
          </w:divBdr>
        </w:div>
        <w:div w:id="1461067335">
          <w:marLeft w:val="0"/>
          <w:marRight w:val="0"/>
          <w:marTop w:val="0"/>
          <w:marBottom w:val="0"/>
          <w:divBdr>
            <w:top w:val="none" w:sz="0" w:space="0" w:color="auto"/>
            <w:left w:val="none" w:sz="0" w:space="0" w:color="auto"/>
            <w:bottom w:val="none" w:sz="0" w:space="0" w:color="auto"/>
            <w:right w:val="none" w:sz="0" w:space="0" w:color="auto"/>
          </w:divBdr>
        </w:div>
        <w:div w:id="422070094">
          <w:marLeft w:val="0"/>
          <w:marRight w:val="0"/>
          <w:marTop w:val="0"/>
          <w:marBottom w:val="0"/>
          <w:divBdr>
            <w:top w:val="none" w:sz="0" w:space="0" w:color="auto"/>
            <w:left w:val="none" w:sz="0" w:space="0" w:color="auto"/>
            <w:bottom w:val="none" w:sz="0" w:space="0" w:color="auto"/>
            <w:right w:val="none" w:sz="0" w:space="0" w:color="auto"/>
          </w:divBdr>
        </w:div>
        <w:div w:id="570894469">
          <w:marLeft w:val="0"/>
          <w:marRight w:val="0"/>
          <w:marTop w:val="0"/>
          <w:marBottom w:val="0"/>
          <w:divBdr>
            <w:top w:val="none" w:sz="0" w:space="0" w:color="auto"/>
            <w:left w:val="none" w:sz="0" w:space="0" w:color="auto"/>
            <w:bottom w:val="none" w:sz="0" w:space="0" w:color="auto"/>
            <w:right w:val="none" w:sz="0" w:space="0" w:color="auto"/>
          </w:divBdr>
        </w:div>
        <w:div w:id="143670375">
          <w:marLeft w:val="0"/>
          <w:marRight w:val="0"/>
          <w:marTop w:val="0"/>
          <w:marBottom w:val="0"/>
          <w:divBdr>
            <w:top w:val="none" w:sz="0" w:space="0" w:color="auto"/>
            <w:left w:val="none" w:sz="0" w:space="0" w:color="auto"/>
            <w:bottom w:val="none" w:sz="0" w:space="0" w:color="auto"/>
            <w:right w:val="none" w:sz="0" w:space="0" w:color="auto"/>
          </w:divBdr>
        </w:div>
        <w:div w:id="1749840809">
          <w:marLeft w:val="0"/>
          <w:marRight w:val="0"/>
          <w:marTop w:val="0"/>
          <w:marBottom w:val="0"/>
          <w:divBdr>
            <w:top w:val="none" w:sz="0" w:space="0" w:color="auto"/>
            <w:left w:val="none" w:sz="0" w:space="0" w:color="auto"/>
            <w:bottom w:val="none" w:sz="0" w:space="0" w:color="auto"/>
            <w:right w:val="none" w:sz="0" w:space="0" w:color="auto"/>
          </w:divBdr>
        </w:div>
        <w:div w:id="909926777">
          <w:marLeft w:val="0"/>
          <w:marRight w:val="0"/>
          <w:marTop w:val="0"/>
          <w:marBottom w:val="0"/>
          <w:divBdr>
            <w:top w:val="none" w:sz="0" w:space="0" w:color="auto"/>
            <w:left w:val="none" w:sz="0" w:space="0" w:color="auto"/>
            <w:bottom w:val="none" w:sz="0" w:space="0" w:color="auto"/>
            <w:right w:val="none" w:sz="0" w:space="0" w:color="auto"/>
          </w:divBdr>
        </w:div>
        <w:div w:id="1904679856">
          <w:marLeft w:val="0"/>
          <w:marRight w:val="0"/>
          <w:marTop w:val="0"/>
          <w:marBottom w:val="0"/>
          <w:divBdr>
            <w:top w:val="none" w:sz="0" w:space="0" w:color="auto"/>
            <w:left w:val="none" w:sz="0" w:space="0" w:color="auto"/>
            <w:bottom w:val="none" w:sz="0" w:space="0" w:color="auto"/>
            <w:right w:val="none" w:sz="0" w:space="0" w:color="auto"/>
          </w:divBdr>
        </w:div>
        <w:div w:id="810757371">
          <w:marLeft w:val="0"/>
          <w:marRight w:val="0"/>
          <w:marTop w:val="0"/>
          <w:marBottom w:val="0"/>
          <w:divBdr>
            <w:top w:val="none" w:sz="0" w:space="0" w:color="auto"/>
            <w:left w:val="none" w:sz="0" w:space="0" w:color="auto"/>
            <w:bottom w:val="none" w:sz="0" w:space="0" w:color="auto"/>
            <w:right w:val="none" w:sz="0" w:space="0" w:color="auto"/>
          </w:divBdr>
        </w:div>
        <w:div w:id="55128818">
          <w:marLeft w:val="0"/>
          <w:marRight w:val="0"/>
          <w:marTop w:val="0"/>
          <w:marBottom w:val="0"/>
          <w:divBdr>
            <w:top w:val="none" w:sz="0" w:space="0" w:color="auto"/>
            <w:left w:val="none" w:sz="0" w:space="0" w:color="auto"/>
            <w:bottom w:val="none" w:sz="0" w:space="0" w:color="auto"/>
            <w:right w:val="none" w:sz="0" w:space="0" w:color="auto"/>
          </w:divBdr>
          <w:divsChild>
            <w:div w:id="498279152">
              <w:marLeft w:val="0"/>
              <w:marRight w:val="0"/>
              <w:marTop w:val="0"/>
              <w:marBottom w:val="0"/>
              <w:divBdr>
                <w:top w:val="none" w:sz="0" w:space="0" w:color="auto"/>
                <w:left w:val="none" w:sz="0" w:space="0" w:color="auto"/>
                <w:bottom w:val="none" w:sz="0" w:space="0" w:color="auto"/>
                <w:right w:val="none" w:sz="0" w:space="0" w:color="auto"/>
              </w:divBdr>
            </w:div>
            <w:div w:id="1755778344">
              <w:marLeft w:val="0"/>
              <w:marRight w:val="0"/>
              <w:marTop w:val="0"/>
              <w:marBottom w:val="0"/>
              <w:divBdr>
                <w:top w:val="none" w:sz="0" w:space="0" w:color="auto"/>
                <w:left w:val="none" w:sz="0" w:space="0" w:color="auto"/>
                <w:bottom w:val="none" w:sz="0" w:space="0" w:color="auto"/>
                <w:right w:val="none" w:sz="0" w:space="0" w:color="auto"/>
              </w:divBdr>
            </w:div>
            <w:div w:id="891385753">
              <w:marLeft w:val="0"/>
              <w:marRight w:val="0"/>
              <w:marTop w:val="0"/>
              <w:marBottom w:val="0"/>
              <w:divBdr>
                <w:top w:val="none" w:sz="0" w:space="0" w:color="auto"/>
                <w:left w:val="none" w:sz="0" w:space="0" w:color="auto"/>
                <w:bottom w:val="none" w:sz="0" w:space="0" w:color="auto"/>
                <w:right w:val="none" w:sz="0" w:space="0" w:color="auto"/>
              </w:divBdr>
            </w:div>
            <w:div w:id="1294099424">
              <w:marLeft w:val="0"/>
              <w:marRight w:val="0"/>
              <w:marTop w:val="0"/>
              <w:marBottom w:val="0"/>
              <w:divBdr>
                <w:top w:val="none" w:sz="0" w:space="0" w:color="auto"/>
                <w:left w:val="none" w:sz="0" w:space="0" w:color="auto"/>
                <w:bottom w:val="none" w:sz="0" w:space="0" w:color="auto"/>
                <w:right w:val="none" w:sz="0" w:space="0" w:color="auto"/>
              </w:divBdr>
            </w:div>
            <w:div w:id="1074861523">
              <w:marLeft w:val="0"/>
              <w:marRight w:val="0"/>
              <w:marTop w:val="0"/>
              <w:marBottom w:val="0"/>
              <w:divBdr>
                <w:top w:val="none" w:sz="0" w:space="0" w:color="auto"/>
                <w:left w:val="none" w:sz="0" w:space="0" w:color="auto"/>
                <w:bottom w:val="none" w:sz="0" w:space="0" w:color="auto"/>
                <w:right w:val="none" w:sz="0" w:space="0" w:color="auto"/>
              </w:divBdr>
            </w:div>
            <w:div w:id="1453356449">
              <w:marLeft w:val="0"/>
              <w:marRight w:val="0"/>
              <w:marTop w:val="0"/>
              <w:marBottom w:val="0"/>
              <w:divBdr>
                <w:top w:val="none" w:sz="0" w:space="0" w:color="auto"/>
                <w:left w:val="none" w:sz="0" w:space="0" w:color="auto"/>
                <w:bottom w:val="none" w:sz="0" w:space="0" w:color="auto"/>
                <w:right w:val="none" w:sz="0" w:space="0" w:color="auto"/>
              </w:divBdr>
            </w:div>
            <w:div w:id="1097292759">
              <w:marLeft w:val="0"/>
              <w:marRight w:val="0"/>
              <w:marTop w:val="0"/>
              <w:marBottom w:val="0"/>
              <w:divBdr>
                <w:top w:val="none" w:sz="0" w:space="0" w:color="auto"/>
                <w:left w:val="none" w:sz="0" w:space="0" w:color="auto"/>
                <w:bottom w:val="none" w:sz="0" w:space="0" w:color="auto"/>
                <w:right w:val="none" w:sz="0" w:space="0" w:color="auto"/>
              </w:divBdr>
            </w:div>
            <w:div w:id="1818842532">
              <w:marLeft w:val="0"/>
              <w:marRight w:val="0"/>
              <w:marTop w:val="0"/>
              <w:marBottom w:val="0"/>
              <w:divBdr>
                <w:top w:val="none" w:sz="0" w:space="0" w:color="auto"/>
                <w:left w:val="none" w:sz="0" w:space="0" w:color="auto"/>
                <w:bottom w:val="none" w:sz="0" w:space="0" w:color="auto"/>
                <w:right w:val="none" w:sz="0" w:space="0" w:color="auto"/>
              </w:divBdr>
            </w:div>
            <w:div w:id="590889461">
              <w:marLeft w:val="0"/>
              <w:marRight w:val="0"/>
              <w:marTop w:val="0"/>
              <w:marBottom w:val="0"/>
              <w:divBdr>
                <w:top w:val="none" w:sz="0" w:space="0" w:color="auto"/>
                <w:left w:val="none" w:sz="0" w:space="0" w:color="auto"/>
                <w:bottom w:val="none" w:sz="0" w:space="0" w:color="auto"/>
                <w:right w:val="none" w:sz="0" w:space="0" w:color="auto"/>
              </w:divBdr>
            </w:div>
          </w:divsChild>
        </w:div>
        <w:div w:id="1918175792">
          <w:marLeft w:val="0"/>
          <w:marRight w:val="0"/>
          <w:marTop w:val="0"/>
          <w:marBottom w:val="0"/>
          <w:divBdr>
            <w:top w:val="none" w:sz="0" w:space="0" w:color="auto"/>
            <w:left w:val="none" w:sz="0" w:space="0" w:color="auto"/>
            <w:bottom w:val="none" w:sz="0" w:space="0" w:color="auto"/>
            <w:right w:val="none" w:sz="0" w:space="0" w:color="auto"/>
          </w:divBdr>
        </w:div>
        <w:div w:id="1608267019">
          <w:marLeft w:val="0"/>
          <w:marRight w:val="0"/>
          <w:marTop w:val="0"/>
          <w:marBottom w:val="0"/>
          <w:divBdr>
            <w:top w:val="none" w:sz="0" w:space="0" w:color="auto"/>
            <w:left w:val="none" w:sz="0" w:space="0" w:color="auto"/>
            <w:bottom w:val="none" w:sz="0" w:space="0" w:color="auto"/>
            <w:right w:val="none" w:sz="0" w:space="0" w:color="auto"/>
          </w:divBdr>
        </w:div>
        <w:div w:id="1903439204">
          <w:marLeft w:val="0"/>
          <w:marRight w:val="0"/>
          <w:marTop w:val="0"/>
          <w:marBottom w:val="0"/>
          <w:divBdr>
            <w:top w:val="none" w:sz="0" w:space="0" w:color="auto"/>
            <w:left w:val="none" w:sz="0" w:space="0" w:color="auto"/>
            <w:bottom w:val="none" w:sz="0" w:space="0" w:color="auto"/>
            <w:right w:val="none" w:sz="0" w:space="0" w:color="auto"/>
          </w:divBdr>
        </w:div>
        <w:div w:id="2083133747">
          <w:marLeft w:val="0"/>
          <w:marRight w:val="0"/>
          <w:marTop w:val="0"/>
          <w:marBottom w:val="0"/>
          <w:divBdr>
            <w:top w:val="none" w:sz="0" w:space="0" w:color="auto"/>
            <w:left w:val="none" w:sz="0" w:space="0" w:color="auto"/>
            <w:bottom w:val="none" w:sz="0" w:space="0" w:color="auto"/>
            <w:right w:val="none" w:sz="0" w:space="0" w:color="auto"/>
          </w:divBdr>
        </w:div>
        <w:div w:id="1119879771">
          <w:marLeft w:val="0"/>
          <w:marRight w:val="0"/>
          <w:marTop w:val="0"/>
          <w:marBottom w:val="0"/>
          <w:divBdr>
            <w:top w:val="none" w:sz="0" w:space="0" w:color="auto"/>
            <w:left w:val="none" w:sz="0" w:space="0" w:color="auto"/>
            <w:bottom w:val="none" w:sz="0" w:space="0" w:color="auto"/>
            <w:right w:val="none" w:sz="0" w:space="0" w:color="auto"/>
          </w:divBdr>
        </w:div>
        <w:div w:id="1870801496">
          <w:marLeft w:val="0"/>
          <w:marRight w:val="0"/>
          <w:marTop w:val="0"/>
          <w:marBottom w:val="0"/>
          <w:divBdr>
            <w:top w:val="none" w:sz="0" w:space="0" w:color="auto"/>
            <w:left w:val="none" w:sz="0" w:space="0" w:color="auto"/>
            <w:bottom w:val="none" w:sz="0" w:space="0" w:color="auto"/>
            <w:right w:val="none" w:sz="0" w:space="0" w:color="auto"/>
          </w:divBdr>
        </w:div>
        <w:div w:id="2093772546">
          <w:marLeft w:val="0"/>
          <w:marRight w:val="0"/>
          <w:marTop w:val="0"/>
          <w:marBottom w:val="0"/>
          <w:divBdr>
            <w:top w:val="none" w:sz="0" w:space="0" w:color="auto"/>
            <w:left w:val="none" w:sz="0" w:space="0" w:color="auto"/>
            <w:bottom w:val="none" w:sz="0" w:space="0" w:color="auto"/>
            <w:right w:val="none" w:sz="0" w:space="0" w:color="auto"/>
          </w:divBdr>
        </w:div>
        <w:div w:id="1467897149">
          <w:marLeft w:val="0"/>
          <w:marRight w:val="0"/>
          <w:marTop w:val="0"/>
          <w:marBottom w:val="0"/>
          <w:divBdr>
            <w:top w:val="none" w:sz="0" w:space="0" w:color="auto"/>
            <w:left w:val="none" w:sz="0" w:space="0" w:color="auto"/>
            <w:bottom w:val="none" w:sz="0" w:space="0" w:color="auto"/>
            <w:right w:val="none" w:sz="0" w:space="0" w:color="auto"/>
          </w:divBdr>
        </w:div>
        <w:div w:id="1085804103">
          <w:marLeft w:val="0"/>
          <w:marRight w:val="0"/>
          <w:marTop w:val="0"/>
          <w:marBottom w:val="0"/>
          <w:divBdr>
            <w:top w:val="none" w:sz="0" w:space="0" w:color="auto"/>
            <w:left w:val="none" w:sz="0" w:space="0" w:color="auto"/>
            <w:bottom w:val="none" w:sz="0" w:space="0" w:color="auto"/>
            <w:right w:val="none" w:sz="0" w:space="0" w:color="auto"/>
          </w:divBdr>
        </w:div>
        <w:div w:id="1049960418">
          <w:marLeft w:val="0"/>
          <w:marRight w:val="0"/>
          <w:marTop w:val="0"/>
          <w:marBottom w:val="0"/>
          <w:divBdr>
            <w:top w:val="none" w:sz="0" w:space="0" w:color="auto"/>
            <w:left w:val="none" w:sz="0" w:space="0" w:color="auto"/>
            <w:bottom w:val="none" w:sz="0" w:space="0" w:color="auto"/>
            <w:right w:val="none" w:sz="0" w:space="0" w:color="auto"/>
          </w:divBdr>
        </w:div>
        <w:div w:id="505554466">
          <w:marLeft w:val="0"/>
          <w:marRight w:val="0"/>
          <w:marTop w:val="0"/>
          <w:marBottom w:val="0"/>
          <w:divBdr>
            <w:top w:val="none" w:sz="0" w:space="0" w:color="auto"/>
            <w:left w:val="none" w:sz="0" w:space="0" w:color="auto"/>
            <w:bottom w:val="none" w:sz="0" w:space="0" w:color="auto"/>
            <w:right w:val="none" w:sz="0" w:space="0" w:color="auto"/>
          </w:divBdr>
          <w:divsChild>
            <w:div w:id="857237606">
              <w:marLeft w:val="0"/>
              <w:marRight w:val="0"/>
              <w:marTop w:val="0"/>
              <w:marBottom w:val="0"/>
              <w:divBdr>
                <w:top w:val="none" w:sz="0" w:space="0" w:color="auto"/>
                <w:left w:val="none" w:sz="0" w:space="0" w:color="auto"/>
                <w:bottom w:val="none" w:sz="0" w:space="0" w:color="auto"/>
                <w:right w:val="none" w:sz="0" w:space="0" w:color="auto"/>
              </w:divBdr>
            </w:div>
          </w:divsChild>
        </w:div>
        <w:div w:id="1966882734">
          <w:marLeft w:val="0"/>
          <w:marRight w:val="0"/>
          <w:marTop w:val="0"/>
          <w:marBottom w:val="0"/>
          <w:divBdr>
            <w:top w:val="none" w:sz="0" w:space="0" w:color="auto"/>
            <w:left w:val="none" w:sz="0" w:space="0" w:color="auto"/>
            <w:bottom w:val="none" w:sz="0" w:space="0" w:color="auto"/>
            <w:right w:val="none" w:sz="0" w:space="0" w:color="auto"/>
          </w:divBdr>
          <w:divsChild>
            <w:div w:id="72896700">
              <w:marLeft w:val="0"/>
              <w:marRight w:val="0"/>
              <w:marTop w:val="0"/>
              <w:marBottom w:val="0"/>
              <w:divBdr>
                <w:top w:val="none" w:sz="0" w:space="0" w:color="auto"/>
                <w:left w:val="none" w:sz="0" w:space="0" w:color="auto"/>
                <w:bottom w:val="none" w:sz="0" w:space="0" w:color="auto"/>
                <w:right w:val="none" w:sz="0" w:space="0" w:color="auto"/>
              </w:divBdr>
            </w:div>
            <w:div w:id="1315067261">
              <w:marLeft w:val="0"/>
              <w:marRight w:val="0"/>
              <w:marTop w:val="0"/>
              <w:marBottom w:val="0"/>
              <w:divBdr>
                <w:top w:val="none" w:sz="0" w:space="0" w:color="auto"/>
                <w:left w:val="none" w:sz="0" w:space="0" w:color="auto"/>
                <w:bottom w:val="none" w:sz="0" w:space="0" w:color="auto"/>
                <w:right w:val="none" w:sz="0" w:space="0" w:color="auto"/>
              </w:divBdr>
            </w:div>
            <w:div w:id="782457090">
              <w:marLeft w:val="0"/>
              <w:marRight w:val="0"/>
              <w:marTop w:val="0"/>
              <w:marBottom w:val="0"/>
              <w:divBdr>
                <w:top w:val="none" w:sz="0" w:space="0" w:color="auto"/>
                <w:left w:val="none" w:sz="0" w:space="0" w:color="auto"/>
                <w:bottom w:val="none" w:sz="0" w:space="0" w:color="auto"/>
                <w:right w:val="none" w:sz="0" w:space="0" w:color="auto"/>
              </w:divBdr>
            </w:div>
            <w:div w:id="1378815066">
              <w:marLeft w:val="0"/>
              <w:marRight w:val="0"/>
              <w:marTop w:val="0"/>
              <w:marBottom w:val="0"/>
              <w:divBdr>
                <w:top w:val="none" w:sz="0" w:space="0" w:color="auto"/>
                <w:left w:val="none" w:sz="0" w:space="0" w:color="auto"/>
                <w:bottom w:val="none" w:sz="0" w:space="0" w:color="auto"/>
                <w:right w:val="none" w:sz="0" w:space="0" w:color="auto"/>
              </w:divBdr>
            </w:div>
          </w:divsChild>
        </w:div>
        <w:div w:id="312414774">
          <w:marLeft w:val="0"/>
          <w:marRight w:val="0"/>
          <w:marTop w:val="0"/>
          <w:marBottom w:val="0"/>
          <w:divBdr>
            <w:top w:val="none" w:sz="0" w:space="0" w:color="auto"/>
            <w:left w:val="none" w:sz="0" w:space="0" w:color="auto"/>
            <w:bottom w:val="none" w:sz="0" w:space="0" w:color="auto"/>
            <w:right w:val="none" w:sz="0" w:space="0" w:color="auto"/>
          </w:divBdr>
        </w:div>
        <w:div w:id="582684038">
          <w:marLeft w:val="0"/>
          <w:marRight w:val="0"/>
          <w:marTop w:val="0"/>
          <w:marBottom w:val="0"/>
          <w:divBdr>
            <w:top w:val="none" w:sz="0" w:space="0" w:color="auto"/>
            <w:left w:val="none" w:sz="0" w:space="0" w:color="auto"/>
            <w:bottom w:val="none" w:sz="0" w:space="0" w:color="auto"/>
            <w:right w:val="none" w:sz="0" w:space="0" w:color="auto"/>
          </w:divBdr>
        </w:div>
        <w:div w:id="1021780523">
          <w:marLeft w:val="0"/>
          <w:marRight w:val="0"/>
          <w:marTop w:val="0"/>
          <w:marBottom w:val="0"/>
          <w:divBdr>
            <w:top w:val="none" w:sz="0" w:space="0" w:color="auto"/>
            <w:left w:val="none" w:sz="0" w:space="0" w:color="auto"/>
            <w:bottom w:val="none" w:sz="0" w:space="0" w:color="auto"/>
            <w:right w:val="none" w:sz="0" w:space="0" w:color="auto"/>
          </w:divBdr>
          <w:divsChild>
            <w:div w:id="1523862815">
              <w:marLeft w:val="0"/>
              <w:marRight w:val="0"/>
              <w:marTop w:val="0"/>
              <w:marBottom w:val="0"/>
              <w:divBdr>
                <w:top w:val="none" w:sz="0" w:space="0" w:color="auto"/>
                <w:left w:val="none" w:sz="0" w:space="0" w:color="auto"/>
                <w:bottom w:val="none" w:sz="0" w:space="0" w:color="auto"/>
                <w:right w:val="none" w:sz="0" w:space="0" w:color="auto"/>
              </w:divBdr>
            </w:div>
            <w:div w:id="815610284">
              <w:marLeft w:val="0"/>
              <w:marRight w:val="0"/>
              <w:marTop w:val="0"/>
              <w:marBottom w:val="0"/>
              <w:divBdr>
                <w:top w:val="none" w:sz="0" w:space="0" w:color="auto"/>
                <w:left w:val="none" w:sz="0" w:space="0" w:color="auto"/>
                <w:bottom w:val="none" w:sz="0" w:space="0" w:color="auto"/>
                <w:right w:val="none" w:sz="0" w:space="0" w:color="auto"/>
              </w:divBdr>
            </w:div>
            <w:div w:id="618343187">
              <w:marLeft w:val="0"/>
              <w:marRight w:val="0"/>
              <w:marTop w:val="0"/>
              <w:marBottom w:val="0"/>
              <w:divBdr>
                <w:top w:val="none" w:sz="0" w:space="0" w:color="auto"/>
                <w:left w:val="none" w:sz="0" w:space="0" w:color="auto"/>
                <w:bottom w:val="none" w:sz="0" w:space="0" w:color="auto"/>
                <w:right w:val="none" w:sz="0" w:space="0" w:color="auto"/>
              </w:divBdr>
            </w:div>
          </w:divsChild>
        </w:div>
        <w:div w:id="1342512483">
          <w:marLeft w:val="0"/>
          <w:marRight w:val="0"/>
          <w:marTop w:val="0"/>
          <w:marBottom w:val="0"/>
          <w:divBdr>
            <w:top w:val="none" w:sz="0" w:space="0" w:color="auto"/>
            <w:left w:val="none" w:sz="0" w:space="0" w:color="auto"/>
            <w:bottom w:val="none" w:sz="0" w:space="0" w:color="auto"/>
            <w:right w:val="none" w:sz="0" w:space="0" w:color="auto"/>
          </w:divBdr>
        </w:div>
        <w:div w:id="1930305146">
          <w:marLeft w:val="0"/>
          <w:marRight w:val="0"/>
          <w:marTop w:val="0"/>
          <w:marBottom w:val="0"/>
          <w:divBdr>
            <w:top w:val="none" w:sz="0" w:space="0" w:color="auto"/>
            <w:left w:val="none" w:sz="0" w:space="0" w:color="auto"/>
            <w:bottom w:val="none" w:sz="0" w:space="0" w:color="auto"/>
            <w:right w:val="none" w:sz="0" w:space="0" w:color="auto"/>
          </w:divBdr>
        </w:div>
        <w:div w:id="1257520178">
          <w:marLeft w:val="0"/>
          <w:marRight w:val="0"/>
          <w:marTop w:val="0"/>
          <w:marBottom w:val="0"/>
          <w:divBdr>
            <w:top w:val="none" w:sz="0" w:space="0" w:color="auto"/>
            <w:left w:val="none" w:sz="0" w:space="0" w:color="auto"/>
            <w:bottom w:val="none" w:sz="0" w:space="0" w:color="auto"/>
            <w:right w:val="none" w:sz="0" w:space="0" w:color="auto"/>
          </w:divBdr>
        </w:div>
        <w:div w:id="1532375563">
          <w:marLeft w:val="0"/>
          <w:marRight w:val="0"/>
          <w:marTop w:val="0"/>
          <w:marBottom w:val="0"/>
          <w:divBdr>
            <w:top w:val="none" w:sz="0" w:space="0" w:color="auto"/>
            <w:left w:val="none" w:sz="0" w:space="0" w:color="auto"/>
            <w:bottom w:val="none" w:sz="0" w:space="0" w:color="auto"/>
            <w:right w:val="none" w:sz="0" w:space="0" w:color="auto"/>
          </w:divBdr>
        </w:div>
        <w:div w:id="1128553164">
          <w:marLeft w:val="0"/>
          <w:marRight w:val="0"/>
          <w:marTop w:val="0"/>
          <w:marBottom w:val="0"/>
          <w:divBdr>
            <w:top w:val="none" w:sz="0" w:space="0" w:color="auto"/>
            <w:left w:val="none" w:sz="0" w:space="0" w:color="auto"/>
            <w:bottom w:val="none" w:sz="0" w:space="0" w:color="auto"/>
            <w:right w:val="none" w:sz="0" w:space="0" w:color="auto"/>
          </w:divBdr>
          <w:divsChild>
            <w:div w:id="1397048791">
              <w:marLeft w:val="0"/>
              <w:marRight w:val="0"/>
              <w:marTop w:val="0"/>
              <w:marBottom w:val="0"/>
              <w:divBdr>
                <w:top w:val="none" w:sz="0" w:space="0" w:color="auto"/>
                <w:left w:val="none" w:sz="0" w:space="0" w:color="auto"/>
                <w:bottom w:val="none" w:sz="0" w:space="0" w:color="auto"/>
                <w:right w:val="none" w:sz="0" w:space="0" w:color="auto"/>
              </w:divBdr>
            </w:div>
          </w:divsChild>
        </w:div>
        <w:div w:id="1424375961">
          <w:marLeft w:val="0"/>
          <w:marRight w:val="0"/>
          <w:marTop w:val="0"/>
          <w:marBottom w:val="0"/>
          <w:divBdr>
            <w:top w:val="none" w:sz="0" w:space="0" w:color="auto"/>
            <w:left w:val="none" w:sz="0" w:space="0" w:color="auto"/>
            <w:bottom w:val="none" w:sz="0" w:space="0" w:color="auto"/>
            <w:right w:val="none" w:sz="0" w:space="0" w:color="auto"/>
          </w:divBdr>
        </w:div>
        <w:div w:id="369846263">
          <w:marLeft w:val="0"/>
          <w:marRight w:val="0"/>
          <w:marTop w:val="0"/>
          <w:marBottom w:val="0"/>
          <w:divBdr>
            <w:top w:val="none" w:sz="0" w:space="0" w:color="auto"/>
            <w:left w:val="none" w:sz="0" w:space="0" w:color="auto"/>
            <w:bottom w:val="none" w:sz="0" w:space="0" w:color="auto"/>
            <w:right w:val="none" w:sz="0" w:space="0" w:color="auto"/>
          </w:divBdr>
        </w:div>
        <w:div w:id="583300051">
          <w:marLeft w:val="0"/>
          <w:marRight w:val="0"/>
          <w:marTop w:val="0"/>
          <w:marBottom w:val="0"/>
          <w:divBdr>
            <w:top w:val="none" w:sz="0" w:space="0" w:color="auto"/>
            <w:left w:val="none" w:sz="0" w:space="0" w:color="auto"/>
            <w:bottom w:val="none" w:sz="0" w:space="0" w:color="auto"/>
            <w:right w:val="none" w:sz="0" w:space="0" w:color="auto"/>
          </w:divBdr>
          <w:divsChild>
            <w:div w:id="823666023">
              <w:marLeft w:val="0"/>
              <w:marRight w:val="0"/>
              <w:marTop w:val="0"/>
              <w:marBottom w:val="0"/>
              <w:divBdr>
                <w:top w:val="none" w:sz="0" w:space="0" w:color="auto"/>
                <w:left w:val="none" w:sz="0" w:space="0" w:color="auto"/>
                <w:bottom w:val="none" w:sz="0" w:space="0" w:color="auto"/>
                <w:right w:val="none" w:sz="0" w:space="0" w:color="auto"/>
              </w:divBdr>
            </w:div>
            <w:div w:id="1952467487">
              <w:marLeft w:val="0"/>
              <w:marRight w:val="0"/>
              <w:marTop w:val="0"/>
              <w:marBottom w:val="0"/>
              <w:divBdr>
                <w:top w:val="none" w:sz="0" w:space="0" w:color="auto"/>
                <w:left w:val="none" w:sz="0" w:space="0" w:color="auto"/>
                <w:bottom w:val="none" w:sz="0" w:space="0" w:color="auto"/>
                <w:right w:val="none" w:sz="0" w:space="0" w:color="auto"/>
              </w:divBdr>
            </w:div>
            <w:div w:id="792480294">
              <w:marLeft w:val="0"/>
              <w:marRight w:val="0"/>
              <w:marTop w:val="0"/>
              <w:marBottom w:val="0"/>
              <w:divBdr>
                <w:top w:val="none" w:sz="0" w:space="0" w:color="auto"/>
                <w:left w:val="none" w:sz="0" w:space="0" w:color="auto"/>
                <w:bottom w:val="none" w:sz="0" w:space="0" w:color="auto"/>
                <w:right w:val="none" w:sz="0" w:space="0" w:color="auto"/>
              </w:divBdr>
            </w:div>
            <w:div w:id="1048066309">
              <w:marLeft w:val="0"/>
              <w:marRight w:val="0"/>
              <w:marTop w:val="0"/>
              <w:marBottom w:val="0"/>
              <w:divBdr>
                <w:top w:val="none" w:sz="0" w:space="0" w:color="auto"/>
                <w:left w:val="none" w:sz="0" w:space="0" w:color="auto"/>
                <w:bottom w:val="none" w:sz="0" w:space="0" w:color="auto"/>
                <w:right w:val="none" w:sz="0" w:space="0" w:color="auto"/>
              </w:divBdr>
            </w:div>
            <w:div w:id="287400539">
              <w:marLeft w:val="0"/>
              <w:marRight w:val="0"/>
              <w:marTop w:val="0"/>
              <w:marBottom w:val="0"/>
              <w:divBdr>
                <w:top w:val="none" w:sz="0" w:space="0" w:color="auto"/>
                <w:left w:val="none" w:sz="0" w:space="0" w:color="auto"/>
                <w:bottom w:val="none" w:sz="0" w:space="0" w:color="auto"/>
                <w:right w:val="none" w:sz="0" w:space="0" w:color="auto"/>
              </w:divBdr>
            </w:div>
            <w:div w:id="1833718429">
              <w:marLeft w:val="0"/>
              <w:marRight w:val="0"/>
              <w:marTop w:val="0"/>
              <w:marBottom w:val="0"/>
              <w:divBdr>
                <w:top w:val="none" w:sz="0" w:space="0" w:color="auto"/>
                <w:left w:val="none" w:sz="0" w:space="0" w:color="auto"/>
                <w:bottom w:val="none" w:sz="0" w:space="0" w:color="auto"/>
                <w:right w:val="none" w:sz="0" w:space="0" w:color="auto"/>
              </w:divBdr>
            </w:div>
            <w:div w:id="1917546951">
              <w:marLeft w:val="0"/>
              <w:marRight w:val="0"/>
              <w:marTop w:val="0"/>
              <w:marBottom w:val="0"/>
              <w:divBdr>
                <w:top w:val="none" w:sz="0" w:space="0" w:color="auto"/>
                <w:left w:val="none" w:sz="0" w:space="0" w:color="auto"/>
                <w:bottom w:val="none" w:sz="0" w:space="0" w:color="auto"/>
                <w:right w:val="none" w:sz="0" w:space="0" w:color="auto"/>
              </w:divBdr>
            </w:div>
            <w:div w:id="143280441">
              <w:marLeft w:val="0"/>
              <w:marRight w:val="0"/>
              <w:marTop w:val="0"/>
              <w:marBottom w:val="0"/>
              <w:divBdr>
                <w:top w:val="none" w:sz="0" w:space="0" w:color="auto"/>
                <w:left w:val="none" w:sz="0" w:space="0" w:color="auto"/>
                <w:bottom w:val="none" w:sz="0" w:space="0" w:color="auto"/>
                <w:right w:val="none" w:sz="0" w:space="0" w:color="auto"/>
              </w:divBdr>
            </w:div>
          </w:divsChild>
        </w:div>
        <w:div w:id="320818997">
          <w:marLeft w:val="0"/>
          <w:marRight w:val="0"/>
          <w:marTop w:val="0"/>
          <w:marBottom w:val="0"/>
          <w:divBdr>
            <w:top w:val="none" w:sz="0" w:space="0" w:color="auto"/>
            <w:left w:val="none" w:sz="0" w:space="0" w:color="auto"/>
            <w:bottom w:val="none" w:sz="0" w:space="0" w:color="auto"/>
            <w:right w:val="none" w:sz="0" w:space="0" w:color="auto"/>
          </w:divBdr>
        </w:div>
        <w:div w:id="1142505541">
          <w:marLeft w:val="0"/>
          <w:marRight w:val="0"/>
          <w:marTop w:val="0"/>
          <w:marBottom w:val="0"/>
          <w:divBdr>
            <w:top w:val="none" w:sz="0" w:space="0" w:color="auto"/>
            <w:left w:val="none" w:sz="0" w:space="0" w:color="auto"/>
            <w:bottom w:val="none" w:sz="0" w:space="0" w:color="auto"/>
            <w:right w:val="none" w:sz="0" w:space="0" w:color="auto"/>
          </w:divBdr>
        </w:div>
        <w:div w:id="363796134">
          <w:marLeft w:val="0"/>
          <w:marRight w:val="0"/>
          <w:marTop w:val="0"/>
          <w:marBottom w:val="0"/>
          <w:divBdr>
            <w:top w:val="none" w:sz="0" w:space="0" w:color="auto"/>
            <w:left w:val="none" w:sz="0" w:space="0" w:color="auto"/>
            <w:bottom w:val="none" w:sz="0" w:space="0" w:color="auto"/>
            <w:right w:val="none" w:sz="0" w:space="0" w:color="auto"/>
          </w:divBdr>
          <w:divsChild>
            <w:div w:id="638657887">
              <w:marLeft w:val="0"/>
              <w:marRight w:val="0"/>
              <w:marTop w:val="0"/>
              <w:marBottom w:val="0"/>
              <w:divBdr>
                <w:top w:val="none" w:sz="0" w:space="0" w:color="auto"/>
                <w:left w:val="none" w:sz="0" w:space="0" w:color="auto"/>
                <w:bottom w:val="none" w:sz="0" w:space="0" w:color="auto"/>
                <w:right w:val="none" w:sz="0" w:space="0" w:color="auto"/>
              </w:divBdr>
            </w:div>
            <w:div w:id="1228565405">
              <w:marLeft w:val="0"/>
              <w:marRight w:val="0"/>
              <w:marTop w:val="0"/>
              <w:marBottom w:val="0"/>
              <w:divBdr>
                <w:top w:val="none" w:sz="0" w:space="0" w:color="auto"/>
                <w:left w:val="none" w:sz="0" w:space="0" w:color="auto"/>
                <w:bottom w:val="none" w:sz="0" w:space="0" w:color="auto"/>
                <w:right w:val="none" w:sz="0" w:space="0" w:color="auto"/>
              </w:divBdr>
            </w:div>
            <w:div w:id="421532152">
              <w:marLeft w:val="0"/>
              <w:marRight w:val="0"/>
              <w:marTop w:val="0"/>
              <w:marBottom w:val="0"/>
              <w:divBdr>
                <w:top w:val="none" w:sz="0" w:space="0" w:color="auto"/>
                <w:left w:val="none" w:sz="0" w:space="0" w:color="auto"/>
                <w:bottom w:val="none" w:sz="0" w:space="0" w:color="auto"/>
                <w:right w:val="none" w:sz="0" w:space="0" w:color="auto"/>
              </w:divBdr>
            </w:div>
            <w:div w:id="1406416364">
              <w:marLeft w:val="0"/>
              <w:marRight w:val="0"/>
              <w:marTop w:val="0"/>
              <w:marBottom w:val="0"/>
              <w:divBdr>
                <w:top w:val="none" w:sz="0" w:space="0" w:color="auto"/>
                <w:left w:val="none" w:sz="0" w:space="0" w:color="auto"/>
                <w:bottom w:val="none" w:sz="0" w:space="0" w:color="auto"/>
                <w:right w:val="none" w:sz="0" w:space="0" w:color="auto"/>
              </w:divBdr>
            </w:div>
            <w:div w:id="1020551739">
              <w:marLeft w:val="0"/>
              <w:marRight w:val="0"/>
              <w:marTop w:val="0"/>
              <w:marBottom w:val="0"/>
              <w:divBdr>
                <w:top w:val="none" w:sz="0" w:space="0" w:color="auto"/>
                <w:left w:val="none" w:sz="0" w:space="0" w:color="auto"/>
                <w:bottom w:val="none" w:sz="0" w:space="0" w:color="auto"/>
                <w:right w:val="none" w:sz="0" w:space="0" w:color="auto"/>
              </w:divBdr>
            </w:div>
            <w:div w:id="531579326">
              <w:marLeft w:val="0"/>
              <w:marRight w:val="0"/>
              <w:marTop w:val="0"/>
              <w:marBottom w:val="0"/>
              <w:divBdr>
                <w:top w:val="none" w:sz="0" w:space="0" w:color="auto"/>
                <w:left w:val="none" w:sz="0" w:space="0" w:color="auto"/>
                <w:bottom w:val="none" w:sz="0" w:space="0" w:color="auto"/>
                <w:right w:val="none" w:sz="0" w:space="0" w:color="auto"/>
              </w:divBdr>
            </w:div>
            <w:div w:id="872227090">
              <w:marLeft w:val="0"/>
              <w:marRight w:val="0"/>
              <w:marTop w:val="0"/>
              <w:marBottom w:val="0"/>
              <w:divBdr>
                <w:top w:val="none" w:sz="0" w:space="0" w:color="auto"/>
                <w:left w:val="none" w:sz="0" w:space="0" w:color="auto"/>
                <w:bottom w:val="none" w:sz="0" w:space="0" w:color="auto"/>
                <w:right w:val="none" w:sz="0" w:space="0" w:color="auto"/>
              </w:divBdr>
            </w:div>
            <w:div w:id="894659210">
              <w:marLeft w:val="0"/>
              <w:marRight w:val="0"/>
              <w:marTop w:val="0"/>
              <w:marBottom w:val="0"/>
              <w:divBdr>
                <w:top w:val="none" w:sz="0" w:space="0" w:color="auto"/>
                <w:left w:val="none" w:sz="0" w:space="0" w:color="auto"/>
                <w:bottom w:val="none" w:sz="0" w:space="0" w:color="auto"/>
                <w:right w:val="none" w:sz="0" w:space="0" w:color="auto"/>
              </w:divBdr>
            </w:div>
            <w:div w:id="1706295919">
              <w:marLeft w:val="0"/>
              <w:marRight w:val="0"/>
              <w:marTop w:val="0"/>
              <w:marBottom w:val="0"/>
              <w:divBdr>
                <w:top w:val="none" w:sz="0" w:space="0" w:color="auto"/>
                <w:left w:val="none" w:sz="0" w:space="0" w:color="auto"/>
                <w:bottom w:val="none" w:sz="0" w:space="0" w:color="auto"/>
                <w:right w:val="none" w:sz="0" w:space="0" w:color="auto"/>
              </w:divBdr>
            </w:div>
            <w:div w:id="1978022277">
              <w:marLeft w:val="0"/>
              <w:marRight w:val="0"/>
              <w:marTop w:val="0"/>
              <w:marBottom w:val="0"/>
              <w:divBdr>
                <w:top w:val="none" w:sz="0" w:space="0" w:color="auto"/>
                <w:left w:val="none" w:sz="0" w:space="0" w:color="auto"/>
                <w:bottom w:val="none" w:sz="0" w:space="0" w:color="auto"/>
                <w:right w:val="none" w:sz="0" w:space="0" w:color="auto"/>
              </w:divBdr>
            </w:div>
            <w:div w:id="1019505960">
              <w:marLeft w:val="0"/>
              <w:marRight w:val="0"/>
              <w:marTop w:val="0"/>
              <w:marBottom w:val="0"/>
              <w:divBdr>
                <w:top w:val="none" w:sz="0" w:space="0" w:color="auto"/>
                <w:left w:val="none" w:sz="0" w:space="0" w:color="auto"/>
                <w:bottom w:val="none" w:sz="0" w:space="0" w:color="auto"/>
                <w:right w:val="none" w:sz="0" w:space="0" w:color="auto"/>
              </w:divBdr>
            </w:div>
            <w:div w:id="1183667831">
              <w:marLeft w:val="0"/>
              <w:marRight w:val="0"/>
              <w:marTop w:val="0"/>
              <w:marBottom w:val="0"/>
              <w:divBdr>
                <w:top w:val="none" w:sz="0" w:space="0" w:color="auto"/>
                <w:left w:val="none" w:sz="0" w:space="0" w:color="auto"/>
                <w:bottom w:val="none" w:sz="0" w:space="0" w:color="auto"/>
                <w:right w:val="none" w:sz="0" w:space="0" w:color="auto"/>
              </w:divBdr>
            </w:div>
            <w:div w:id="832373591">
              <w:marLeft w:val="0"/>
              <w:marRight w:val="0"/>
              <w:marTop w:val="0"/>
              <w:marBottom w:val="0"/>
              <w:divBdr>
                <w:top w:val="none" w:sz="0" w:space="0" w:color="auto"/>
                <w:left w:val="none" w:sz="0" w:space="0" w:color="auto"/>
                <w:bottom w:val="none" w:sz="0" w:space="0" w:color="auto"/>
                <w:right w:val="none" w:sz="0" w:space="0" w:color="auto"/>
              </w:divBdr>
            </w:div>
            <w:div w:id="552080304">
              <w:marLeft w:val="0"/>
              <w:marRight w:val="0"/>
              <w:marTop w:val="0"/>
              <w:marBottom w:val="0"/>
              <w:divBdr>
                <w:top w:val="none" w:sz="0" w:space="0" w:color="auto"/>
                <w:left w:val="none" w:sz="0" w:space="0" w:color="auto"/>
                <w:bottom w:val="none" w:sz="0" w:space="0" w:color="auto"/>
                <w:right w:val="none" w:sz="0" w:space="0" w:color="auto"/>
              </w:divBdr>
            </w:div>
            <w:div w:id="1603996301">
              <w:marLeft w:val="0"/>
              <w:marRight w:val="0"/>
              <w:marTop w:val="0"/>
              <w:marBottom w:val="0"/>
              <w:divBdr>
                <w:top w:val="none" w:sz="0" w:space="0" w:color="auto"/>
                <w:left w:val="none" w:sz="0" w:space="0" w:color="auto"/>
                <w:bottom w:val="none" w:sz="0" w:space="0" w:color="auto"/>
                <w:right w:val="none" w:sz="0" w:space="0" w:color="auto"/>
              </w:divBdr>
            </w:div>
            <w:div w:id="1315723850">
              <w:marLeft w:val="0"/>
              <w:marRight w:val="0"/>
              <w:marTop w:val="0"/>
              <w:marBottom w:val="0"/>
              <w:divBdr>
                <w:top w:val="none" w:sz="0" w:space="0" w:color="auto"/>
                <w:left w:val="none" w:sz="0" w:space="0" w:color="auto"/>
                <w:bottom w:val="none" w:sz="0" w:space="0" w:color="auto"/>
                <w:right w:val="none" w:sz="0" w:space="0" w:color="auto"/>
              </w:divBdr>
            </w:div>
          </w:divsChild>
        </w:div>
        <w:div w:id="1823277568">
          <w:marLeft w:val="0"/>
          <w:marRight w:val="0"/>
          <w:marTop w:val="0"/>
          <w:marBottom w:val="0"/>
          <w:divBdr>
            <w:top w:val="none" w:sz="0" w:space="0" w:color="auto"/>
            <w:left w:val="none" w:sz="0" w:space="0" w:color="auto"/>
            <w:bottom w:val="none" w:sz="0" w:space="0" w:color="auto"/>
            <w:right w:val="none" w:sz="0" w:space="0" w:color="auto"/>
          </w:divBdr>
        </w:div>
        <w:div w:id="1495604541">
          <w:marLeft w:val="0"/>
          <w:marRight w:val="0"/>
          <w:marTop w:val="0"/>
          <w:marBottom w:val="0"/>
          <w:divBdr>
            <w:top w:val="none" w:sz="0" w:space="0" w:color="auto"/>
            <w:left w:val="none" w:sz="0" w:space="0" w:color="auto"/>
            <w:bottom w:val="none" w:sz="0" w:space="0" w:color="auto"/>
            <w:right w:val="none" w:sz="0" w:space="0" w:color="auto"/>
          </w:divBdr>
          <w:divsChild>
            <w:div w:id="282658157">
              <w:marLeft w:val="0"/>
              <w:marRight w:val="0"/>
              <w:marTop w:val="0"/>
              <w:marBottom w:val="0"/>
              <w:divBdr>
                <w:top w:val="none" w:sz="0" w:space="0" w:color="auto"/>
                <w:left w:val="none" w:sz="0" w:space="0" w:color="auto"/>
                <w:bottom w:val="none" w:sz="0" w:space="0" w:color="auto"/>
                <w:right w:val="none" w:sz="0" w:space="0" w:color="auto"/>
              </w:divBdr>
            </w:div>
            <w:div w:id="760368561">
              <w:marLeft w:val="0"/>
              <w:marRight w:val="0"/>
              <w:marTop w:val="0"/>
              <w:marBottom w:val="0"/>
              <w:divBdr>
                <w:top w:val="none" w:sz="0" w:space="0" w:color="auto"/>
                <w:left w:val="none" w:sz="0" w:space="0" w:color="auto"/>
                <w:bottom w:val="none" w:sz="0" w:space="0" w:color="auto"/>
                <w:right w:val="none" w:sz="0" w:space="0" w:color="auto"/>
              </w:divBdr>
            </w:div>
            <w:div w:id="670135148">
              <w:marLeft w:val="0"/>
              <w:marRight w:val="0"/>
              <w:marTop w:val="0"/>
              <w:marBottom w:val="0"/>
              <w:divBdr>
                <w:top w:val="none" w:sz="0" w:space="0" w:color="auto"/>
                <w:left w:val="none" w:sz="0" w:space="0" w:color="auto"/>
                <w:bottom w:val="none" w:sz="0" w:space="0" w:color="auto"/>
                <w:right w:val="none" w:sz="0" w:space="0" w:color="auto"/>
              </w:divBdr>
            </w:div>
            <w:div w:id="475537565">
              <w:marLeft w:val="0"/>
              <w:marRight w:val="0"/>
              <w:marTop w:val="0"/>
              <w:marBottom w:val="0"/>
              <w:divBdr>
                <w:top w:val="none" w:sz="0" w:space="0" w:color="auto"/>
                <w:left w:val="none" w:sz="0" w:space="0" w:color="auto"/>
                <w:bottom w:val="none" w:sz="0" w:space="0" w:color="auto"/>
                <w:right w:val="none" w:sz="0" w:space="0" w:color="auto"/>
              </w:divBdr>
            </w:div>
            <w:div w:id="673604479">
              <w:marLeft w:val="0"/>
              <w:marRight w:val="0"/>
              <w:marTop w:val="0"/>
              <w:marBottom w:val="0"/>
              <w:divBdr>
                <w:top w:val="none" w:sz="0" w:space="0" w:color="auto"/>
                <w:left w:val="none" w:sz="0" w:space="0" w:color="auto"/>
                <w:bottom w:val="none" w:sz="0" w:space="0" w:color="auto"/>
                <w:right w:val="none" w:sz="0" w:space="0" w:color="auto"/>
              </w:divBdr>
            </w:div>
            <w:div w:id="560334790">
              <w:marLeft w:val="0"/>
              <w:marRight w:val="0"/>
              <w:marTop w:val="0"/>
              <w:marBottom w:val="0"/>
              <w:divBdr>
                <w:top w:val="none" w:sz="0" w:space="0" w:color="auto"/>
                <w:left w:val="none" w:sz="0" w:space="0" w:color="auto"/>
                <w:bottom w:val="none" w:sz="0" w:space="0" w:color="auto"/>
                <w:right w:val="none" w:sz="0" w:space="0" w:color="auto"/>
              </w:divBdr>
            </w:div>
            <w:div w:id="770977567">
              <w:marLeft w:val="0"/>
              <w:marRight w:val="0"/>
              <w:marTop w:val="0"/>
              <w:marBottom w:val="0"/>
              <w:divBdr>
                <w:top w:val="none" w:sz="0" w:space="0" w:color="auto"/>
                <w:left w:val="none" w:sz="0" w:space="0" w:color="auto"/>
                <w:bottom w:val="none" w:sz="0" w:space="0" w:color="auto"/>
                <w:right w:val="none" w:sz="0" w:space="0" w:color="auto"/>
              </w:divBdr>
            </w:div>
            <w:div w:id="1194222490">
              <w:marLeft w:val="0"/>
              <w:marRight w:val="0"/>
              <w:marTop w:val="0"/>
              <w:marBottom w:val="0"/>
              <w:divBdr>
                <w:top w:val="none" w:sz="0" w:space="0" w:color="auto"/>
                <w:left w:val="none" w:sz="0" w:space="0" w:color="auto"/>
                <w:bottom w:val="none" w:sz="0" w:space="0" w:color="auto"/>
                <w:right w:val="none" w:sz="0" w:space="0" w:color="auto"/>
              </w:divBdr>
            </w:div>
            <w:div w:id="838077120">
              <w:marLeft w:val="0"/>
              <w:marRight w:val="0"/>
              <w:marTop w:val="0"/>
              <w:marBottom w:val="0"/>
              <w:divBdr>
                <w:top w:val="none" w:sz="0" w:space="0" w:color="auto"/>
                <w:left w:val="none" w:sz="0" w:space="0" w:color="auto"/>
                <w:bottom w:val="none" w:sz="0" w:space="0" w:color="auto"/>
                <w:right w:val="none" w:sz="0" w:space="0" w:color="auto"/>
              </w:divBdr>
            </w:div>
            <w:div w:id="1649824675">
              <w:marLeft w:val="0"/>
              <w:marRight w:val="0"/>
              <w:marTop w:val="0"/>
              <w:marBottom w:val="0"/>
              <w:divBdr>
                <w:top w:val="none" w:sz="0" w:space="0" w:color="auto"/>
                <w:left w:val="none" w:sz="0" w:space="0" w:color="auto"/>
                <w:bottom w:val="none" w:sz="0" w:space="0" w:color="auto"/>
                <w:right w:val="none" w:sz="0" w:space="0" w:color="auto"/>
              </w:divBdr>
            </w:div>
            <w:div w:id="834802844">
              <w:marLeft w:val="0"/>
              <w:marRight w:val="0"/>
              <w:marTop w:val="0"/>
              <w:marBottom w:val="0"/>
              <w:divBdr>
                <w:top w:val="none" w:sz="0" w:space="0" w:color="auto"/>
                <w:left w:val="none" w:sz="0" w:space="0" w:color="auto"/>
                <w:bottom w:val="none" w:sz="0" w:space="0" w:color="auto"/>
                <w:right w:val="none" w:sz="0" w:space="0" w:color="auto"/>
              </w:divBdr>
            </w:div>
            <w:div w:id="669716272">
              <w:marLeft w:val="0"/>
              <w:marRight w:val="0"/>
              <w:marTop w:val="0"/>
              <w:marBottom w:val="0"/>
              <w:divBdr>
                <w:top w:val="none" w:sz="0" w:space="0" w:color="auto"/>
                <w:left w:val="none" w:sz="0" w:space="0" w:color="auto"/>
                <w:bottom w:val="none" w:sz="0" w:space="0" w:color="auto"/>
                <w:right w:val="none" w:sz="0" w:space="0" w:color="auto"/>
              </w:divBdr>
            </w:div>
            <w:div w:id="1003359591">
              <w:marLeft w:val="0"/>
              <w:marRight w:val="0"/>
              <w:marTop w:val="0"/>
              <w:marBottom w:val="0"/>
              <w:divBdr>
                <w:top w:val="none" w:sz="0" w:space="0" w:color="auto"/>
                <w:left w:val="none" w:sz="0" w:space="0" w:color="auto"/>
                <w:bottom w:val="none" w:sz="0" w:space="0" w:color="auto"/>
                <w:right w:val="none" w:sz="0" w:space="0" w:color="auto"/>
              </w:divBdr>
            </w:div>
            <w:div w:id="622618971">
              <w:marLeft w:val="0"/>
              <w:marRight w:val="0"/>
              <w:marTop w:val="0"/>
              <w:marBottom w:val="0"/>
              <w:divBdr>
                <w:top w:val="none" w:sz="0" w:space="0" w:color="auto"/>
                <w:left w:val="none" w:sz="0" w:space="0" w:color="auto"/>
                <w:bottom w:val="none" w:sz="0" w:space="0" w:color="auto"/>
                <w:right w:val="none" w:sz="0" w:space="0" w:color="auto"/>
              </w:divBdr>
            </w:div>
            <w:div w:id="1973443772">
              <w:marLeft w:val="0"/>
              <w:marRight w:val="0"/>
              <w:marTop w:val="0"/>
              <w:marBottom w:val="0"/>
              <w:divBdr>
                <w:top w:val="none" w:sz="0" w:space="0" w:color="auto"/>
                <w:left w:val="none" w:sz="0" w:space="0" w:color="auto"/>
                <w:bottom w:val="none" w:sz="0" w:space="0" w:color="auto"/>
                <w:right w:val="none" w:sz="0" w:space="0" w:color="auto"/>
              </w:divBdr>
            </w:div>
          </w:divsChild>
        </w:div>
        <w:div w:id="1012025791">
          <w:marLeft w:val="0"/>
          <w:marRight w:val="0"/>
          <w:marTop w:val="0"/>
          <w:marBottom w:val="0"/>
          <w:divBdr>
            <w:top w:val="none" w:sz="0" w:space="0" w:color="auto"/>
            <w:left w:val="none" w:sz="0" w:space="0" w:color="auto"/>
            <w:bottom w:val="none" w:sz="0" w:space="0" w:color="auto"/>
            <w:right w:val="none" w:sz="0" w:space="0" w:color="auto"/>
          </w:divBdr>
        </w:div>
        <w:div w:id="1014112256">
          <w:marLeft w:val="0"/>
          <w:marRight w:val="0"/>
          <w:marTop w:val="0"/>
          <w:marBottom w:val="0"/>
          <w:divBdr>
            <w:top w:val="none" w:sz="0" w:space="0" w:color="auto"/>
            <w:left w:val="none" w:sz="0" w:space="0" w:color="auto"/>
            <w:bottom w:val="none" w:sz="0" w:space="0" w:color="auto"/>
            <w:right w:val="none" w:sz="0" w:space="0" w:color="auto"/>
          </w:divBdr>
        </w:div>
        <w:div w:id="708720154">
          <w:marLeft w:val="0"/>
          <w:marRight w:val="0"/>
          <w:marTop w:val="0"/>
          <w:marBottom w:val="0"/>
          <w:divBdr>
            <w:top w:val="none" w:sz="0" w:space="0" w:color="auto"/>
            <w:left w:val="none" w:sz="0" w:space="0" w:color="auto"/>
            <w:bottom w:val="none" w:sz="0" w:space="0" w:color="auto"/>
            <w:right w:val="none" w:sz="0" w:space="0" w:color="auto"/>
          </w:divBdr>
          <w:divsChild>
            <w:div w:id="589436887">
              <w:marLeft w:val="0"/>
              <w:marRight w:val="0"/>
              <w:marTop w:val="0"/>
              <w:marBottom w:val="0"/>
              <w:divBdr>
                <w:top w:val="none" w:sz="0" w:space="0" w:color="auto"/>
                <w:left w:val="none" w:sz="0" w:space="0" w:color="auto"/>
                <w:bottom w:val="none" w:sz="0" w:space="0" w:color="auto"/>
                <w:right w:val="none" w:sz="0" w:space="0" w:color="auto"/>
              </w:divBdr>
            </w:div>
            <w:div w:id="670063009">
              <w:marLeft w:val="0"/>
              <w:marRight w:val="0"/>
              <w:marTop w:val="0"/>
              <w:marBottom w:val="0"/>
              <w:divBdr>
                <w:top w:val="none" w:sz="0" w:space="0" w:color="auto"/>
                <w:left w:val="none" w:sz="0" w:space="0" w:color="auto"/>
                <w:bottom w:val="none" w:sz="0" w:space="0" w:color="auto"/>
                <w:right w:val="none" w:sz="0" w:space="0" w:color="auto"/>
              </w:divBdr>
            </w:div>
            <w:div w:id="193887142">
              <w:marLeft w:val="0"/>
              <w:marRight w:val="0"/>
              <w:marTop w:val="0"/>
              <w:marBottom w:val="0"/>
              <w:divBdr>
                <w:top w:val="none" w:sz="0" w:space="0" w:color="auto"/>
                <w:left w:val="none" w:sz="0" w:space="0" w:color="auto"/>
                <w:bottom w:val="none" w:sz="0" w:space="0" w:color="auto"/>
                <w:right w:val="none" w:sz="0" w:space="0" w:color="auto"/>
              </w:divBdr>
            </w:div>
            <w:div w:id="911738763">
              <w:marLeft w:val="0"/>
              <w:marRight w:val="0"/>
              <w:marTop w:val="0"/>
              <w:marBottom w:val="0"/>
              <w:divBdr>
                <w:top w:val="none" w:sz="0" w:space="0" w:color="auto"/>
                <w:left w:val="none" w:sz="0" w:space="0" w:color="auto"/>
                <w:bottom w:val="none" w:sz="0" w:space="0" w:color="auto"/>
                <w:right w:val="none" w:sz="0" w:space="0" w:color="auto"/>
              </w:divBdr>
            </w:div>
            <w:div w:id="1676421001">
              <w:marLeft w:val="0"/>
              <w:marRight w:val="0"/>
              <w:marTop w:val="0"/>
              <w:marBottom w:val="0"/>
              <w:divBdr>
                <w:top w:val="none" w:sz="0" w:space="0" w:color="auto"/>
                <w:left w:val="none" w:sz="0" w:space="0" w:color="auto"/>
                <w:bottom w:val="none" w:sz="0" w:space="0" w:color="auto"/>
                <w:right w:val="none" w:sz="0" w:space="0" w:color="auto"/>
              </w:divBdr>
            </w:div>
            <w:div w:id="948121140">
              <w:marLeft w:val="0"/>
              <w:marRight w:val="0"/>
              <w:marTop w:val="0"/>
              <w:marBottom w:val="0"/>
              <w:divBdr>
                <w:top w:val="none" w:sz="0" w:space="0" w:color="auto"/>
                <w:left w:val="none" w:sz="0" w:space="0" w:color="auto"/>
                <w:bottom w:val="none" w:sz="0" w:space="0" w:color="auto"/>
                <w:right w:val="none" w:sz="0" w:space="0" w:color="auto"/>
              </w:divBdr>
            </w:div>
            <w:div w:id="399376499">
              <w:marLeft w:val="0"/>
              <w:marRight w:val="0"/>
              <w:marTop w:val="0"/>
              <w:marBottom w:val="0"/>
              <w:divBdr>
                <w:top w:val="none" w:sz="0" w:space="0" w:color="auto"/>
                <w:left w:val="none" w:sz="0" w:space="0" w:color="auto"/>
                <w:bottom w:val="none" w:sz="0" w:space="0" w:color="auto"/>
                <w:right w:val="none" w:sz="0" w:space="0" w:color="auto"/>
              </w:divBdr>
            </w:div>
            <w:div w:id="1042906246">
              <w:marLeft w:val="0"/>
              <w:marRight w:val="0"/>
              <w:marTop w:val="0"/>
              <w:marBottom w:val="0"/>
              <w:divBdr>
                <w:top w:val="none" w:sz="0" w:space="0" w:color="auto"/>
                <w:left w:val="none" w:sz="0" w:space="0" w:color="auto"/>
                <w:bottom w:val="none" w:sz="0" w:space="0" w:color="auto"/>
                <w:right w:val="none" w:sz="0" w:space="0" w:color="auto"/>
              </w:divBdr>
            </w:div>
            <w:div w:id="1287005427">
              <w:marLeft w:val="0"/>
              <w:marRight w:val="0"/>
              <w:marTop w:val="0"/>
              <w:marBottom w:val="0"/>
              <w:divBdr>
                <w:top w:val="none" w:sz="0" w:space="0" w:color="auto"/>
                <w:left w:val="none" w:sz="0" w:space="0" w:color="auto"/>
                <w:bottom w:val="none" w:sz="0" w:space="0" w:color="auto"/>
                <w:right w:val="none" w:sz="0" w:space="0" w:color="auto"/>
              </w:divBdr>
            </w:div>
            <w:div w:id="535429991">
              <w:marLeft w:val="0"/>
              <w:marRight w:val="0"/>
              <w:marTop w:val="0"/>
              <w:marBottom w:val="0"/>
              <w:divBdr>
                <w:top w:val="none" w:sz="0" w:space="0" w:color="auto"/>
                <w:left w:val="none" w:sz="0" w:space="0" w:color="auto"/>
                <w:bottom w:val="none" w:sz="0" w:space="0" w:color="auto"/>
                <w:right w:val="none" w:sz="0" w:space="0" w:color="auto"/>
              </w:divBdr>
            </w:div>
            <w:div w:id="2094012117">
              <w:marLeft w:val="0"/>
              <w:marRight w:val="0"/>
              <w:marTop w:val="0"/>
              <w:marBottom w:val="0"/>
              <w:divBdr>
                <w:top w:val="none" w:sz="0" w:space="0" w:color="auto"/>
                <w:left w:val="none" w:sz="0" w:space="0" w:color="auto"/>
                <w:bottom w:val="none" w:sz="0" w:space="0" w:color="auto"/>
                <w:right w:val="none" w:sz="0" w:space="0" w:color="auto"/>
              </w:divBdr>
            </w:div>
            <w:div w:id="1841266096">
              <w:marLeft w:val="0"/>
              <w:marRight w:val="0"/>
              <w:marTop w:val="0"/>
              <w:marBottom w:val="0"/>
              <w:divBdr>
                <w:top w:val="none" w:sz="0" w:space="0" w:color="auto"/>
                <w:left w:val="none" w:sz="0" w:space="0" w:color="auto"/>
                <w:bottom w:val="none" w:sz="0" w:space="0" w:color="auto"/>
                <w:right w:val="none" w:sz="0" w:space="0" w:color="auto"/>
              </w:divBdr>
            </w:div>
            <w:div w:id="1881355018">
              <w:marLeft w:val="0"/>
              <w:marRight w:val="0"/>
              <w:marTop w:val="0"/>
              <w:marBottom w:val="0"/>
              <w:divBdr>
                <w:top w:val="none" w:sz="0" w:space="0" w:color="auto"/>
                <w:left w:val="none" w:sz="0" w:space="0" w:color="auto"/>
                <w:bottom w:val="none" w:sz="0" w:space="0" w:color="auto"/>
                <w:right w:val="none" w:sz="0" w:space="0" w:color="auto"/>
              </w:divBdr>
            </w:div>
            <w:div w:id="185949431">
              <w:marLeft w:val="0"/>
              <w:marRight w:val="0"/>
              <w:marTop w:val="0"/>
              <w:marBottom w:val="0"/>
              <w:divBdr>
                <w:top w:val="none" w:sz="0" w:space="0" w:color="auto"/>
                <w:left w:val="none" w:sz="0" w:space="0" w:color="auto"/>
                <w:bottom w:val="none" w:sz="0" w:space="0" w:color="auto"/>
                <w:right w:val="none" w:sz="0" w:space="0" w:color="auto"/>
              </w:divBdr>
            </w:div>
            <w:div w:id="440993611">
              <w:marLeft w:val="0"/>
              <w:marRight w:val="0"/>
              <w:marTop w:val="0"/>
              <w:marBottom w:val="0"/>
              <w:divBdr>
                <w:top w:val="none" w:sz="0" w:space="0" w:color="auto"/>
                <w:left w:val="none" w:sz="0" w:space="0" w:color="auto"/>
                <w:bottom w:val="none" w:sz="0" w:space="0" w:color="auto"/>
                <w:right w:val="none" w:sz="0" w:space="0" w:color="auto"/>
              </w:divBdr>
            </w:div>
            <w:div w:id="1633711929">
              <w:marLeft w:val="0"/>
              <w:marRight w:val="0"/>
              <w:marTop w:val="0"/>
              <w:marBottom w:val="0"/>
              <w:divBdr>
                <w:top w:val="none" w:sz="0" w:space="0" w:color="auto"/>
                <w:left w:val="none" w:sz="0" w:space="0" w:color="auto"/>
                <w:bottom w:val="none" w:sz="0" w:space="0" w:color="auto"/>
                <w:right w:val="none" w:sz="0" w:space="0" w:color="auto"/>
              </w:divBdr>
            </w:div>
            <w:div w:id="1681009494">
              <w:marLeft w:val="0"/>
              <w:marRight w:val="0"/>
              <w:marTop w:val="0"/>
              <w:marBottom w:val="0"/>
              <w:divBdr>
                <w:top w:val="none" w:sz="0" w:space="0" w:color="auto"/>
                <w:left w:val="none" w:sz="0" w:space="0" w:color="auto"/>
                <w:bottom w:val="none" w:sz="0" w:space="0" w:color="auto"/>
                <w:right w:val="none" w:sz="0" w:space="0" w:color="auto"/>
              </w:divBdr>
            </w:div>
            <w:div w:id="293489657">
              <w:marLeft w:val="0"/>
              <w:marRight w:val="0"/>
              <w:marTop w:val="0"/>
              <w:marBottom w:val="0"/>
              <w:divBdr>
                <w:top w:val="none" w:sz="0" w:space="0" w:color="auto"/>
                <w:left w:val="none" w:sz="0" w:space="0" w:color="auto"/>
                <w:bottom w:val="none" w:sz="0" w:space="0" w:color="auto"/>
                <w:right w:val="none" w:sz="0" w:space="0" w:color="auto"/>
              </w:divBdr>
            </w:div>
            <w:div w:id="831139569">
              <w:marLeft w:val="0"/>
              <w:marRight w:val="0"/>
              <w:marTop w:val="0"/>
              <w:marBottom w:val="0"/>
              <w:divBdr>
                <w:top w:val="none" w:sz="0" w:space="0" w:color="auto"/>
                <w:left w:val="none" w:sz="0" w:space="0" w:color="auto"/>
                <w:bottom w:val="none" w:sz="0" w:space="0" w:color="auto"/>
                <w:right w:val="none" w:sz="0" w:space="0" w:color="auto"/>
              </w:divBdr>
            </w:div>
            <w:div w:id="2069452614">
              <w:marLeft w:val="0"/>
              <w:marRight w:val="0"/>
              <w:marTop w:val="0"/>
              <w:marBottom w:val="0"/>
              <w:divBdr>
                <w:top w:val="none" w:sz="0" w:space="0" w:color="auto"/>
                <w:left w:val="none" w:sz="0" w:space="0" w:color="auto"/>
                <w:bottom w:val="none" w:sz="0" w:space="0" w:color="auto"/>
                <w:right w:val="none" w:sz="0" w:space="0" w:color="auto"/>
              </w:divBdr>
            </w:div>
            <w:div w:id="1246919812">
              <w:marLeft w:val="0"/>
              <w:marRight w:val="0"/>
              <w:marTop w:val="0"/>
              <w:marBottom w:val="0"/>
              <w:divBdr>
                <w:top w:val="none" w:sz="0" w:space="0" w:color="auto"/>
                <w:left w:val="none" w:sz="0" w:space="0" w:color="auto"/>
                <w:bottom w:val="none" w:sz="0" w:space="0" w:color="auto"/>
                <w:right w:val="none" w:sz="0" w:space="0" w:color="auto"/>
              </w:divBdr>
            </w:div>
            <w:div w:id="2057468273">
              <w:marLeft w:val="0"/>
              <w:marRight w:val="0"/>
              <w:marTop w:val="0"/>
              <w:marBottom w:val="0"/>
              <w:divBdr>
                <w:top w:val="none" w:sz="0" w:space="0" w:color="auto"/>
                <w:left w:val="none" w:sz="0" w:space="0" w:color="auto"/>
                <w:bottom w:val="none" w:sz="0" w:space="0" w:color="auto"/>
                <w:right w:val="none" w:sz="0" w:space="0" w:color="auto"/>
              </w:divBdr>
            </w:div>
            <w:div w:id="593979950">
              <w:marLeft w:val="0"/>
              <w:marRight w:val="0"/>
              <w:marTop w:val="0"/>
              <w:marBottom w:val="0"/>
              <w:divBdr>
                <w:top w:val="none" w:sz="0" w:space="0" w:color="auto"/>
                <w:left w:val="none" w:sz="0" w:space="0" w:color="auto"/>
                <w:bottom w:val="none" w:sz="0" w:space="0" w:color="auto"/>
                <w:right w:val="none" w:sz="0" w:space="0" w:color="auto"/>
              </w:divBdr>
            </w:div>
            <w:div w:id="2084989186">
              <w:marLeft w:val="0"/>
              <w:marRight w:val="0"/>
              <w:marTop w:val="0"/>
              <w:marBottom w:val="0"/>
              <w:divBdr>
                <w:top w:val="none" w:sz="0" w:space="0" w:color="auto"/>
                <w:left w:val="none" w:sz="0" w:space="0" w:color="auto"/>
                <w:bottom w:val="none" w:sz="0" w:space="0" w:color="auto"/>
                <w:right w:val="none" w:sz="0" w:space="0" w:color="auto"/>
              </w:divBdr>
            </w:div>
            <w:div w:id="489907431">
              <w:marLeft w:val="0"/>
              <w:marRight w:val="0"/>
              <w:marTop w:val="0"/>
              <w:marBottom w:val="0"/>
              <w:divBdr>
                <w:top w:val="none" w:sz="0" w:space="0" w:color="auto"/>
                <w:left w:val="none" w:sz="0" w:space="0" w:color="auto"/>
                <w:bottom w:val="none" w:sz="0" w:space="0" w:color="auto"/>
                <w:right w:val="none" w:sz="0" w:space="0" w:color="auto"/>
              </w:divBdr>
            </w:div>
          </w:divsChild>
        </w:div>
        <w:div w:id="289674449">
          <w:marLeft w:val="0"/>
          <w:marRight w:val="0"/>
          <w:marTop w:val="0"/>
          <w:marBottom w:val="0"/>
          <w:divBdr>
            <w:top w:val="none" w:sz="0" w:space="0" w:color="auto"/>
            <w:left w:val="none" w:sz="0" w:space="0" w:color="auto"/>
            <w:bottom w:val="none" w:sz="0" w:space="0" w:color="auto"/>
            <w:right w:val="none" w:sz="0" w:space="0" w:color="auto"/>
          </w:divBdr>
        </w:div>
        <w:div w:id="449394687">
          <w:marLeft w:val="0"/>
          <w:marRight w:val="0"/>
          <w:marTop w:val="0"/>
          <w:marBottom w:val="0"/>
          <w:divBdr>
            <w:top w:val="none" w:sz="0" w:space="0" w:color="auto"/>
            <w:left w:val="none" w:sz="0" w:space="0" w:color="auto"/>
            <w:bottom w:val="none" w:sz="0" w:space="0" w:color="auto"/>
            <w:right w:val="none" w:sz="0" w:space="0" w:color="auto"/>
          </w:divBdr>
        </w:div>
        <w:div w:id="1499349697">
          <w:marLeft w:val="0"/>
          <w:marRight w:val="0"/>
          <w:marTop w:val="0"/>
          <w:marBottom w:val="0"/>
          <w:divBdr>
            <w:top w:val="none" w:sz="0" w:space="0" w:color="auto"/>
            <w:left w:val="none" w:sz="0" w:space="0" w:color="auto"/>
            <w:bottom w:val="none" w:sz="0" w:space="0" w:color="auto"/>
            <w:right w:val="none" w:sz="0" w:space="0" w:color="auto"/>
          </w:divBdr>
        </w:div>
        <w:div w:id="2123643137">
          <w:marLeft w:val="0"/>
          <w:marRight w:val="0"/>
          <w:marTop w:val="0"/>
          <w:marBottom w:val="0"/>
          <w:divBdr>
            <w:top w:val="none" w:sz="0" w:space="0" w:color="auto"/>
            <w:left w:val="none" w:sz="0" w:space="0" w:color="auto"/>
            <w:bottom w:val="none" w:sz="0" w:space="0" w:color="auto"/>
            <w:right w:val="none" w:sz="0" w:space="0" w:color="auto"/>
          </w:divBdr>
        </w:div>
        <w:div w:id="1792741507">
          <w:marLeft w:val="0"/>
          <w:marRight w:val="0"/>
          <w:marTop w:val="0"/>
          <w:marBottom w:val="0"/>
          <w:divBdr>
            <w:top w:val="none" w:sz="0" w:space="0" w:color="auto"/>
            <w:left w:val="none" w:sz="0" w:space="0" w:color="auto"/>
            <w:bottom w:val="none" w:sz="0" w:space="0" w:color="auto"/>
            <w:right w:val="none" w:sz="0" w:space="0" w:color="auto"/>
          </w:divBdr>
        </w:div>
        <w:div w:id="1914004731">
          <w:marLeft w:val="0"/>
          <w:marRight w:val="0"/>
          <w:marTop w:val="0"/>
          <w:marBottom w:val="0"/>
          <w:divBdr>
            <w:top w:val="none" w:sz="0" w:space="0" w:color="auto"/>
            <w:left w:val="none" w:sz="0" w:space="0" w:color="auto"/>
            <w:bottom w:val="none" w:sz="0" w:space="0" w:color="auto"/>
            <w:right w:val="none" w:sz="0" w:space="0" w:color="auto"/>
          </w:divBdr>
        </w:div>
        <w:div w:id="1099569837">
          <w:marLeft w:val="0"/>
          <w:marRight w:val="0"/>
          <w:marTop w:val="0"/>
          <w:marBottom w:val="0"/>
          <w:divBdr>
            <w:top w:val="none" w:sz="0" w:space="0" w:color="auto"/>
            <w:left w:val="none" w:sz="0" w:space="0" w:color="auto"/>
            <w:bottom w:val="none" w:sz="0" w:space="0" w:color="auto"/>
            <w:right w:val="none" w:sz="0" w:space="0" w:color="auto"/>
          </w:divBdr>
          <w:divsChild>
            <w:div w:id="547642286">
              <w:marLeft w:val="0"/>
              <w:marRight w:val="0"/>
              <w:marTop w:val="0"/>
              <w:marBottom w:val="0"/>
              <w:divBdr>
                <w:top w:val="none" w:sz="0" w:space="0" w:color="auto"/>
                <w:left w:val="none" w:sz="0" w:space="0" w:color="auto"/>
                <w:bottom w:val="none" w:sz="0" w:space="0" w:color="auto"/>
                <w:right w:val="none" w:sz="0" w:space="0" w:color="auto"/>
              </w:divBdr>
            </w:div>
            <w:div w:id="1302033122">
              <w:marLeft w:val="0"/>
              <w:marRight w:val="0"/>
              <w:marTop w:val="0"/>
              <w:marBottom w:val="0"/>
              <w:divBdr>
                <w:top w:val="none" w:sz="0" w:space="0" w:color="auto"/>
                <w:left w:val="none" w:sz="0" w:space="0" w:color="auto"/>
                <w:bottom w:val="none" w:sz="0" w:space="0" w:color="auto"/>
                <w:right w:val="none" w:sz="0" w:space="0" w:color="auto"/>
              </w:divBdr>
            </w:div>
            <w:div w:id="1763337554">
              <w:marLeft w:val="0"/>
              <w:marRight w:val="0"/>
              <w:marTop w:val="0"/>
              <w:marBottom w:val="0"/>
              <w:divBdr>
                <w:top w:val="none" w:sz="0" w:space="0" w:color="auto"/>
                <w:left w:val="none" w:sz="0" w:space="0" w:color="auto"/>
                <w:bottom w:val="none" w:sz="0" w:space="0" w:color="auto"/>
                <w:right w:val="none" w:sz="0" w:space="0" w:color="auto"/>
              </w:divBdr>
            </w:div>
            <w:div w:id="720861377">
              <w:marLeft w:val="0"/>
              <w:marRight w:val="0"/>
              <w:marTop w:val="0"/>
              <w:marBottom w:val="0"/>
              <w:divBdr>
                <w:top w:val="none" w:sz="0" w:space="0" w:color="auto"/>
                <w:left w:val="none" w:sz="0" w:space="0" w:color="auto"/>
                <w:bottom w:val="none" w:sz="0" w:space="0" w:color="auto"/>
                <w:right w:val="none" w:sz="0" w:space="0" w:color="auto"/>
              </w:divBdr>
            </w:div>
            <w:div w:id="507795190">
              <w:marLeft w:val="0"/>
              <w:marRight w:val="0"/>
              <w:marTop w:val="0"/>
              <w:marBottom w:val="0"/>
              <w:divBdr>
                <w:top w:val="none" w:sz="0" w:space="0" w:color="auto"/>
                <w:left w:val="none" w:sz="0" w:space="0" w:color="auto"/>
                <w:bottom w:val="none" w:sz="0" w:space="0" w:color="auto"/>
                <w:right w:val="none" w:sz="0" w:space="0" w:color="auto"/>
              </w:divBdr>
            </w:div>
            <w:div w:id="1101343647">
              <w:marLeft w:val="0"/>
              <w:marRight w:val="0"/>
              <w:marTop w:val="0"/>
              <w:marBottom w:val="0"/>
              <w:divBdr>
                <w:top w:val="none" w:sz="0" w:space="0" w:color="auto"/>
                <w:left w:val="none" w:sz="0" w:space="0" w:color="auto"/>
                <w:bottom w:val="none" w:sz="0" w:space="0" w:color="auto"/>
                <w:right w:val="none" w:sz="0" w:space="0" w:color="auto"/>
              </w:divBdr>
            </w:div>
            <w:div w:id="2143964091">
              <w:marLeft w:val="0"/>
              <w:marRight w:val="0"/>
              <w:marTop w:val="0"/>
              <w:marBottom w:val="0"/>
              <w:divBdr>
                <w:top w:val="none" w:sz="0" w:space="0" w:color="auto"/>
                <w:left w:val="none" w:sz="0" w:space="0" w:color="auto"/>
                <w:bottom w:val="none" w:sz="0" w:space="0" w:color="auto"/>
                <w:right w:val="none" w:sz="0" w:space="0" w:color="auto"/>
              </w:divBdr>
            </w:div>
            <w:div w:id="1969621176">
              <w:marLeft w:val="0"/>
              <w:marRight w:val="0"/>
              <w:marTop w:val="0"/>
              <w:marBottom w:val="0"/>
              <w:divBdr>
                <w:top w:val="none" w:sz="0" w:space="0" w:color="auto"/>
                <w:left w:val="none" w:sz="0" w:space="0" w:color="auto"/>
                <w:bottom w:val="none" w:sz="0" w:space="0" w:color="auto"/>
                <w:right w:val="none" w:sz="0" w:space="0" w:color="auto"/>
              </w:divBdr>
            </w:div>
            <w:div w:id="112675215">
              <w:marLeft w:val="0"/>
              <w:marRight w:val="0"/>
              <w:marTop w:val="0"/>
              <w:marBottom w:val="0"/>
              <w:divBdr>
                <w:top w:val="none" w:sz="0" w:space="0" w:color="auto"/>
                <w:left w:val="none" w:sz="0" w:space="0" w:color="auto"/>
                <w:bottom w:val="none" w:sz="0" w:space="0" w:color="auto"/>
                <w:right w:val="none" w:sz="0" w:space="0" w:color="auto"/>
              </w:divBdr>
            </w:div>
            <w:div w:id="189606651">
              <w:marLeft w:val="0"/>
              <w:marRight w:val="0"/>
              <w:marTop w:val="0"/>
              <w:marBottom w:val="0"/>
              <w:divBdr>
                <w:top w:val="none" w:sz="0" w:space="0" w:color="auto"/>
                <w:left w:val="none" w:sz="0" w:space="0" w:color="auto"/>
                <w:bottom w:val="none" w:sz="0" w:space="0" w:color="auto"/>
                <w:right w:val="none" w:sz="0" w:space="0" w:color="auto"/>
              </w:divBdr>
            </w:div>
            <w:div w:id="1865750609">
              <w:marLeft w:val="0"/>
              <w:marRight w:val="0"/>
              <w:marTop w:val="0"/>
              <w:marBottom w:val="0"/>
              <w:divBdr>
                <w:top w:val="none" w:sz="0" w:space="0" w:color="auto"/>
                <w:left w:val="none" w:sz="0" w:space="0" w:color="auto"/>
                <w:bottom w:val="none" w:sz="0" w:space="0" w:color="auto"/>
                <w:right w:val="none" w:sz="0" w:space="0" w:color="auto"/>
              </w:divBdr>
            </w:div>
            <w:div w:id="2008634256">
              <w:marLeft w:val="0"/>
              <w:marRight w:val="0"/>
              <w:marTop w:val="0"/>
              <w:marBottom w:val="0"/>
              <w:divBdr>
                <w:top w:val="none" w:sz="0" w:space="0" w:color="auto"/>
                <w:left w:val="none" w:sz="0" w:space="0" w:color="auto"/>
                <w:bottom w:val="none" w:sz="0" w:space="0" w:color="auto"/>
                <w:right w:val="none" w:sz="0" w:space="0" w:color="auto"/>
              </w:divBdr>
            </w:div>
            <w:div w:id="1414938298">
              <w:marLeft w:val="0"/>
              <w:marRight w:val="0"/>
              <w:marTop w:val="0"/>
              <w:marBottom w:val="0"/>
              <w:divBdr>
                <w:top w:val="none" w:sz="0" w:space="0" w:color="auto"/>
                <w:left w:val="none" w:sz="0" w:space="0" w:color="auto"/>
                <w:bottom w:val="none" w:sz="0" w:space="0" w:color="auto"/>
                <w:right w:val="none" w:sz="0" w:space="0" w:color="auto"/>
              </w:divBdr>
            </w:div>
            <w:div w:id="129787706">
              <w:marLeft w:val="0"/>
              <w:marRight w:val="0"/>
              <w:marTop w:val="0"/>
              <w:marBottom w:val="0"/>
              <w:divBdr>
                <w:top w:val="none" w:sz="0" w:space="0" w:color="auto"/>
                <w:left w:val="none" w:sz="0" w:space="0" w:color="auto"/>
                <w:bottom w:val="none" w:sz="0" w:space="0" w:color="auto"/>
                <w:right w:val="none" w:sz="0" w:space="0" w:color="auto"/>
              </w:divBdr>
            </w:div>
            <w:div w:id="851383294">
              <w:marLeft w:val="0"/>
              <w:marRight w:val="0"/>
              <w:marTop w:val="0"/>
              <w:marBottom w:val="0"/>
              <w:divBdr>
                <w:top w:val="none" w:sz="0" w:space="0" w:color="auto"/>
                <w:left w:val="none" w:sz="0" w:space="0" w:color="auto"/>
                <w:bottom w:val="none" w:sz="0" w:space="0" w:color="auto"/>
                <w:right w:val="none" w:sz="0" w:space="0" w:color="auto"/>
              </w:divBdr>
            </w:div>
            <w:div w:id="42337250">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2135245600">
              <w:marLeft w:val="0"/>
              <w:marRight w:val="0"/>
              <w:marTop w:val="0"/>
              <w:marBottom w:val="0"/>
              <w:divBdr>
                <w:top w:val="none" w:sz="0" w:space="0" w:color="auto"/>
                <w:left w:val="none" w:sz="0" w:space="0" w:color="auto"/>
                <w:bottom w:val="none" w:sz="0" w:space="0" w:color="auto"/>
                <w:right w:val="none" w:sz="0" w:space="0" w:color="auto"/>
              </w:divBdr>
            </w:div>
            <w:div w:id="1265068543">
              <w:marLeft w:val="0"/>
              <w:marRight w:val="0"/>
              <w:marTop w:val="0"/>
              <w:marBottom w:val="0"/>
              <w:divBdr>
                <w:top w:val="none" w:sz="0" w:space="0" w:color="auto"/>
                <w:left w:val="none" w:sz="0" w:space="0" w:color="auto"/>
                <w:bottom w:val="none" w:sz="0" w:space="0" w:color="auto"/>
                <w:right w:val="none" w:sz="0" w:space="0" w:color="auto"/>
              </w:divBdr>
            </w:div>
            <w:div w:id="166750913">
              <w:marLeft w:val="0"/>
              <w:marRight w:val="0"/>
              <w:marTop w:val="0"/>
              <w:marBottom w:val="0"/>
              <w:divBdr>
                <w:top w:val="none" w:sz="0" w:space="0" w:color="auto"/>
                <w:left w:val="none" w:sz="0" w:space="0" w:color="auto"/>
                <w:bottom w:val="none" w:sz="0" w:space="0" w:color="auto"/>
                <w:right w:val="none" w:sz="0" w:space="0" w:color="auto"/>
              </w:divBdr>
            </w:div>
            <w:div w:id="333847902">
              <w:marLeft w:val="0"/>
              <w:marRight w:val="0"/>
              <w:marTop w:val="0"/>
              <w:marBottom w:val="0"/>
              <w:divBdr>
                <w:top w:val="none" w:sz="0" w:space="0" w:color="auto"/>
                <w:left w:val="none" w:sz="0" w:space="0" w:color="auto"/>
                <w:bottom w:val="none" w:sz="0" w:space="0" w:color="auto"/>
                <w:right w:val="none" w:sz="0" w:space="0" w:color="auto"/>
              </w:divBdr>
            </w:div>
            <w:div w:id="956329706">
              <w:marLeft w:val="0"/>
              <w:marRight w:val="0"/>
              <w:marTop w:val="0"/>
              <w:marBottom w:val="0"/>
              <w:divBdr>
                <w:top w:val="none" w:sz="0" w:space="0" w:color="auto"/>
                <w:left w:val="none" w:sz="0" w:space="0" w:color="auto"/>
                <w:bottom w:val="none" w:sz="0" w:space="0" w:color="auto"/>
                <w:right w:val="none" w:sz="0" w:space="0" w:color="auto"/>
              </w:divBdr>
            </w:div>
            <w:div w:id="1121462819">
              <w:marLeft w:val="0"/>
              <w:marRight w:val="0"/>
              <w:marTop w:val="0"/>
              <w:marBottom w:val="0"/>
              <w:divBdr>
                <w:top w:val="none" w:sz="0" w:space="0" w:color="auto"/>
                <w:left w:val="none" w:sz="0" w:space="0" w:color="auto"/>
                <w:bottom w:val="none" w:sz="0" w:space="0" w:color="auto"/>
                <w:right w:val="none" w:sz="0" w:space="0" w:color="auto"/>
              </w:divBdr>
            </w:div>
            <w:div w:id="65037037">
              <w:marLeft w:val="0"/>
              <w:marRight w:val="0"/>
              <w:marTop w:val="0"/>
              <w:marBottom w:val="0"/>
              <w:divBdr>
                <w:top w:val="none" w:sz="0" w:space="0" w:color="auto"/>
                <w:left w:val="none" w:sz="0" w:space="0" w:color="auto"/>
                <w:bottom w:val="none" w:sz="0" w:space="0" w:color="auto"/>
                <w:right w:val="none" w:sz="0" w:space="0" w:color="auto"/>
              </w:divBdr>
            </w:div>
            <w:div w:id="963925400">
              <w:marLeft w:val="0"/>
              <w:marRight w:val="0"/>
              <w:marTop w:val="0"/>
              <w:marBottom w:val="0"/>
              <w:divBdr>
                <w:top w:val="none" w:sz="0" w:space="0" w:color="auto"/>
                <w:left w:val="none" w:sz="0" w:space="0" w:color="auto"/>
                <w:bottom w:val="none" w:sz="0" w:space="0" w:color="auto"/>
                <w:right w:val="none" w:sz="0" w:space="0" w:color="auto"/>
              </w:divBdr>
            </w:div>
            <w:div w:id="978920138">
              <w:marLeft w:val="0"/>
              <w:marRight w:val="0"/>
              <w:marTop w:val="0"/>
              <w:marBottom w:val="0"/>
              <w:divBdr>
                <w:top w:val="none" w:sz="0" w:space="0" w:color="auto"/>
                <w:left w:val="none" w:sz="0" w:space="0" w:color="auto"/>
                <w:bottom w:val="none" w:sz="0" w:space="0" w:color="auto"/>
                <w:right w:val="none" w:sz="0" w:space="0" w:color="auto"/>
              </w:divBdr>
            </w:div>
            <w:div w:id="657419519">
              <w:marLeft w:val="0"/>
              <w:marRight w:val="0"/>
              <w:marTop w:val="0"/>
              <w:marBottom w:val="0"/>
              <w:divBdr>
                <w:top w:val="none" w:sz="0" w:space="0" w:color="auto"/>
                <w:left w:val="none" w:sz="0" w:space="0" w:color="auto"/>
                <w:bottom w:val="none" w:sz="0" w:space="0" w:color="auto"/>
                <w:right w:val="none" w:sz="0" w:space="0" w:color="auto"/>
              </w:divBdr>
            </w:div>
            <w:div w:id="190267421">
              <w:marLeft w:val="0"/>
              <w:marRight w:val="0"/>
              <w:marTop w:val="0"/>
              <w:marBottom w:val="0"/>
              <w:divBdr>
                <w:top w:val="none" w:sz="0" w:space="0" w:color="auto"/>
                <w:left w:val="none" w:sz="0" w:space="0" w:color="auto"/>
                <w:bottom w:val="none" w:sz="0" w:space="0" w:color="auto"/>
                <w:right w:val="none" w:sz="0" w:space="0" w:color="auto"/>
              </w:divBdr>
            </w:div>
            <w:div w:id="1046487233">
              <w:marLeft w:val="0"/>
              <w:marRight w:val="0"/>
              <w:marTop w:val="0"/>
              <w:marBottom w:val="0"/>
              <w:divBdr>
                <w:top w:val="none" w:sz="0" w:space="0" w:color="auto"/>
                <w:left w:val="none" w:sz="0" w:space="0" w:color="auto"/>
                <w:bottom w:val="none" w:sz="0" w:space="0" w:color="auto"/>
                <w:right w:val="none" w:sz="0" w:space="0" w:color="auto"/>
              </w:divBdr>
            </w:div>
            <w:div w:id="812673731">
              <w:marLeft w:val="0"/>
              <w:marRight w:val="0"/>
              <w:marTop w:val="0"/>
              <w:marBottom w:val="0"/>
              <w:divBdr>
                <w:top w:val="none" w:sz="0" w:space="0" w:color="auto"/>
                <w:left w:val="none" w:sz="0" w:space="0" w:color="auto"/>
                <w:bottom w:val="none" w:sz="0" w:space="0" w:color="auto"/>
                <w:right w:val="none" w:sz="0" w:space="0" w:color="auto"/>
              </w:divBdr>
            </w:div>
            <w:div w:id="1401824396">
              <w:marLeft w:val="0"/>
              <w:marRight w:val="0"/>
              <w:marTop w:val="0"/>
              <w:marBottom w:val="0"/>
              <w:divBdr>
                <w:top w:val="none" w:sz="0" w:space="0" w:color="auto"/>
                <w:left w:val="none" w:sz="0" w:space="0" w:color="auto"/>
                <w:bottom w:val="none" w:sz="0" w:space="0" w:color="auto"/>
                <w:right w:val="none" w:sz="0" w:space="0" w:color="auto"/>
              </w:divBdr>
            </w:div>
            <w:div w:id="814027673">
              <w:marLeft w:val="0"/>
              <w:marRight w:val="0"/>
              <w:marTop w:val="0"/>
              <w:marBottom w:val="0"/>
              <w:divBdr>
                <w:top w:val="none" w:sz="0" w:space="0" w:color="auto"/>
                <w:left w:val="none" w:sz="0" w:space="0" w:color="auto"/>
                <w:bottom w:val="none" w:sz="0" w:space="0" w:color="auto"/>
                <w:right w:val="none" w:sz="0" w:space="0" w:color="auto"/>
              </w:divBdr>
            </w:div>
            <w:div w:id="1501965560">
              <w:marLeft w:val="0"/>
              <w:marRight w:val="0"/>
              <w:marTop w:val="0"/>
              <w:marBottom w:val="0"/>
              <w:divBdr>
                <w:top w:val="none" w:sz="0" w:space="0" w:color="auto"/>
                <w:left w:val="none" w:sz="0" w:space="0" w:color="auto"/>
                <w:bottom w:val="none" w:sz="0" w:space="0" w:color="auto"/>
                <w:right w:val="none" w:sz="0" w:space="0" w:color="auto"/>
              </w:divBdr>
            </w:div>
            <w:div w:id="1132138965">
              <w:marLeft w:val="0"/>
              <w:marRight w:val="0"/>
              <w:marTop w:val="0"/>
              <w:marBottom w:val="0"/>
              <w:divBdr>
                <w:top w:val="none" w:sz="0" w:space="0" w:color="auto"/>
                <w:left w:val="none" w:sz="0" w:space="0" w:color="auto"/>
                <w:bottom w:val="none" w:sz="0" w:space="0" w:color="auto"/>
                <w:right w:val="none" w:sz="0" w:space="0" w:color="auto"/>
              </w:divBdr>
            </w:div>
            <w:div w:id="948858447">
              <w:marLeft w:val="0"/>
              <w:marRight w:val="0"/>
              <w:marTop w:val="0"/>
              <w:marBottom w:val="0"/>
              <w:divBdr>
                <w:top w:val="none" w:sz="0" w:space="0" w:color="auto"/>
                <w:left w:val="none" w:sz="0" w:space="0" w:color="auto"/>
                <w:bottom w:val="none" w:sz="0" w:space="0" w:color="auto"/>
                <w:right w:val="none" w:sz="0" w:space="0" w:color="auto"/>
              </w:divBdr>
            </w:div>
            <w:div w:id="2002655746">
              <w:marLeft w:val="0"/>
              <w:marRight w:val="0"/>
              <w:marTop w:val="0"/>
              <w:marBottom w:val="0"/>
              <w:divBdr>
                <w:top w:val="none" w:sz="0" w:space="0" w:color="auto"/>
                <w:left w:val="none" w:sz="0" w:space="0" w:color="auto"/>
                <w:bottom w:val="none" w:sz="0" w:space="0" w:color="auto"/>
                <w:right w:val="none" w:sz="0" w:space="0" w:color="auto"/>
              </w:divBdr>
            </w:div>
            <w:div w:id="1118530328">
              <w:marLeft w:val="0"/>
              <w:marRight w:val="0"/>
              <w:marTop w:val="0"/>
              <w:marBottom w:val="0"/>
              <w:divBdr>
                <w:top w:val="none" w:sz="0" w:space="0" w:color="auto"/>
                <w:left w:val="none" w:sz="0" w:space="0" w:color="auto"/>
                <w:bottom w:val="none" w:sz="0" w:space="0" w:color="auto"/>
                <w:right w:val="none" w:sz="0" w:space="0" w:color="auto"/>
              </w:divBdr>
            </w:div>
            <w:div w:id="427652819">
              <w:marLeft w:val="0"/>
              <w:marRight w:val="0"/>
              <w:marTop w:val="0"/>
              <w:marBottom w:val="0"/>
              <w:divBdr>
                <w:top w:val="none" w:sz="0" w:space="0" w:color="auto"/>
                <w:left w:val="none" w:sz="0" w:space="0" w:color="auto"/>
                <w:bottom w:val="none" w:sz="0" w:space="0" w:color="auto"/>
                <w:right w:val="none" w:sz="0" w:space="0" w:color="auto"/>
              </w:divBdr>
            </w:div>
            <w:div w:id="487747962">
              <w:marLeft w:val="0"/>
              <w:marRight w:val="0"/>
              <w:marTop w:val="0"/>
              <w:marBottom w:val="0"/>
              <w:divBdr>
                <w:top w:val="none" w:sz="0" w:space="0" w:color="auto"/>
                <w:left w:val="none" w:sz="0" w:space="0" w:color="auto"/>
                <w:bottom w:val="none" w:sz="0" w:space="0" w:color="auto"/>
                <w:right w:val="none" w:sz="0" w:space="0" w:color="auto"/>
              </w:divBdr>
            </w:div>
            <w:div w:id="227301744">
              <w:marLeft w:val="0"/>
              <w:marRight w:val="0"/>
              <w:marTop w:val="0"/>
              <w:marBottom w:val="0"/>
              <w:divBdr>
                <w:top w:val="none" w:sz="0" w:space="0" w:color="auto"/>
                <w:left w:val="none" w:sz="0" w:space="0" w:color="auto"/>
                <w:bottom w:val="none" w:sz="0" w:space="0" w:color="auto"/>
                <w:right w:val="none" w:sz="0" w:space="0" w:color="auto"/>
              </w:divBdr>
            </w:div>
            <w:div w:id="1148668853">
              <w:marLeft w:val="0"/>
              <w:marRight w:val="0"/>
              <w:marTop w:val="0"/>
              <w:marBottom w:val="0"/>
              <w:divBdr>
                <w:top w:val="none" w:sz="0" w:space="0" w:color="auto"/>
                <w:left w:val="none" w:sz="0" w:space="0" w:color="auto"/>
                <w:bottom w:val="none" w:sz="0" w:space="0" w:color="auto"/>
                <w:right w:val="none" w:sz="0" w:space="0" w:color="auto"/>
              </w:divBdr>
            </w:div>
            <w:div w:id="234629676">
              <w:marLeft w:val="0"/>
              <w:marRight w:val="0"/>
              <w:marTop w:val="0"/>
              <w:marBottom w:val="0"/>
              <w:divBdr>
                <w:top w:val="none" w:sz="0" w:space="0" w:color="auto"/>
                <w:left w:val="none" w:sz="0" w:space="0" w:color="auto"/>
                <w:bottom w:val="none" w:sz="0" w:space="0" w:color="auto"/>
                <w:right w:val="none" w:sz="0" w:space="0" w:color="auto"/>
              </w:divBdr>
            </w:div>
            <w:div w:id="2066678848">
              <w:marLeft w:val="0"/>
              <w:marRight w:val="0"/>
              <w:marTop w:val="0"/>
              <w:marBottom w:val="0"/>
              <w:divBdr>
                <w:top w:val="none" w:sz="0" w:space="0" w:color="auto"/>
                <w:left w:val="none" w:sz="0" w:space="0" w:color="auto"/>
                <w:bottom w:val="none" w:sz="0" w:space="0" w:color="auto"/>
                <w:right w:val="none" w:sz="0" w:space="0" w:color="auto"/>
              </w:divBdr>
            </w:div>
            <w:div w:id="257106984">
              <w:marLeft w:val="0"/>
              <w:marRight w:val="0"/>
              <w:marTop w:val="0"/>
              <w:marBottom w:val="0"/>
              <w:divBdr>
                <w:top w:val="none" w:sz="0" w:space="0" w:color="auto"/>
                <w:left w:val="none" w:sz="0" w:space="0" w:color="auto"/>
                <w:bottom w:val="none" w:sz="0" w:space="0" w:color="auto"/>
                <w:right w:val="none" w:sz="0" w:space="0" w:color="auto"/>
              </w:divBdr>
            </w:div>
            <w:div w:id="417096677">
              <w:marLeft w:val="0"/>
              <w:marRight w:val="0"/>
              <w:marTop w:val="0"/>
              <w:marBottom w:val="0"/>
              <w:divBdr>
                <w:top w:val="none" w:sz="0" w:space="0" w:color="auto"/>
                <w:left w:val="none" w:sz="0" w:space="0" w:color="auto"/>
                <w:bottom w:val="none" w:sz="0" w:space="0" w:color="auto"/>
                <w:right w:val="none" w:sz="0" w:space="0" w:color="auto"/>
              </w:divBdr>
            </w:div>
            <w:div w:id="1598520810">
              <w:marLeft w:val="0"/>
              <w:marRight w:val="0"/>
              <w:marTop w:val="0"/>
              <w:marBottom w:val="0"/>
              <w:divBdr>
                <w:top w:val="none" w:sz="0" w:space="0" w:color="auto"/>
                <w:left w:val="none" w:sz="0" w:space="0" w:color="auto"/>
                <w:bottom w:val="none" w:sz="0" w:space="0" w:color="auto"/>
                <w:right w:val="none" w:sz="0" w:space="0" w:color="auto"/>
              </w:divBdr>
            </w:div>
            <w:div w:id="704329658">
              <w:marLeft w:val="0"/>
              <w:marRight w:val="0"/>
              <w:marTop w:val="0"/>
              <w:marBottom w:val="0"/>
              <w:divBdr>
                <w:top w:val="none" w:sz="0" w:space="0" w:color="auto"/>
                <w:left w:val="none" w:sz="0" w:space="0" w:color="auto"/>
                <w:bottom w:val="none" w:sz="0" w:space="0" w:color="auto"/>
                <w:right w:val="none" w:sz="0" w:space="0" w:color="auto"/>
              </w:divBdr>
            </w:div>
            <w:div w:id="1645348347">
              <w:marLeft w:val="0"/>
              <w:marRight w:val="0"/>
              <w:marTop w:val="0"/>
              <w:marBottom w:val="0"/>
              <w:divBdr>
                <w:top w:val="none" w:sz="0" w:space="0" w:color="auto"/>
                <w:left w:val="none" w:sz="0" w:space="0" w:color="auto"/>
                <w:bottom w:val="none" w:sz="0" w:space="0" w:color="auto"/>
                <w:right w:val="none" w:sz="0" w:space="0" w:color="auto"/>
              </w:divBdr>
            </w:div>
            <w:div w:id="1965883800">
              <w:marLeft w:val="0"/>
              <w:marRight w:val="0"/>
              <w:marTop w:val="0"/>
              <w:marBottom w:val="0"/>
              <w:divBdr>
                <w:top w:val="none" w:sz="0" w:space="0" w:color="auto"/>
                <w:left w:val="none" w:sz="0" w:space="0" w:color="auto"/>
                <w:bottom w:val="none" w:sz="0" w:space="0" w:color="auto"/>
                <w:right w:val="none" w:sz="0" w:space="0" w:color="auto"/>
              </w:divBdr>
            </w:div>
            <w:div w:id="553351273">
              <w:marLeft w:val="0"/>
              <w:marRight w:val="0"/>
              <w:marTop w:val="0"/>
              <w:marBottom w:val="0"/>
              <w:divBdr>
                <w:top w:val="none" w:sz="0" w:space="0" w:color="auto"/>
                <w:left w:val="none" w:sz="0" w:space="0" w:color="auto"/>
                <w:bottom w:val="none" w:sz="0" w:space="0" w:color="auto"/>
                <w:right w:val="none" w:sz="0" w:space="0" w:color="auto"/>
              </w:divBdr>
            </w:div>
            <w:div w:id="61025356">
              <w:marLeft w:val="0"/>
              <w:marRight w:val="0"/>
              <w:marTop w:val="0"/>
              <w:marBottom w:val="0"/>
              <w:divBdr>
                <w:top w:val="none" w:sz="0" w:space="0" w:color="auto"/>
                <w:left w:val="none" w:sz="0" w:space="0" w:color="auto"/>
                <w:bottom w:val="none" w:sz="0" w:space="0" w:color="auto"/>
                <w:right w:val="none" w:sz="0" w:space="0" w:color="auto"/>
              </w:divBdr>
            </w:div>
            <w:div w:id="2029524837">
              <w:marLeft w:val="0"/>
              <w:marRight w:val="0"/>
              <w:marTop w:val="0"/>
              <w:marBottom w:val="0"/>
              <w:divBdr>
                <w:top w:val="none" w:sz="0" w:space="0" w:color="auto"/>
                <w:left w:val="none" w:sz="0" w:space="0" w:color="auto"/>
                <w:bottom w:val="none" w:sz="0" w:space="0" w:color="auto"/>
                <w:right w:val="none" w:sz="0" w:space="0" w:color="auto"/>
              </w:divBdr>
            </w:div>
            <w:div w:id="236940125">
              <w:marLeft w:val="0"/>
              <w:marRight w:val="0"/>
              <w:marTop w:val="0"/>
              <w:marBottom w:val="0"/>
              <w:divBdr>
                <w:top w:val="none" w:sz="0" w:space="0" w:color="auto"/>
                <w:left w:val="none" w:sz="0" w:space="0" w:color="auto"/>
                <w:bottom w:val="none" w:sz="0" w:space="0" w:color="auto"/>
                <w:right w:val="none" w:sz="0" w:space="0" w:color="auto"/>
              </w:divBdr>
            </w:div>
            <w:div w:id="44529617">
              <w:marLeft w:val="0"/>
              <w:marRight w:val="0"/>
              <w:marTop w:val="0"/>
              <w:marBottom w:val="0"/>
              <w:divBdr>
                <w:top w:val="none" w:sz="0" w:space="0" w:color="auto"/>
                <w:left w:val="none" w:sz="0" w:space="0" w:color="auto"/>
                <w:bottom w:val="none" w:sz="0" w:space="0" w:color="auto"/>
                <w:right w:val="none" w:sz="0" w:space="0" w:color="auto"/>
              </w:divBdr>
            </w:div>
            <w:div w:id="1218129825">
              <w:marLeft w:val="0"/>
              <w:marRight w:val="0"/>
              <w:marTop w:val="0"/>
              <w:marBottom w:val="0"/>
              <w:divBdr>
                <w:top w:val="none" w:sz="0" w:space="0" w:color="auto"/>
                <w:left w:val="none" w:sz="0" w:space="0" w:color="auto"/>
                <w:bottom w:val="none" w:sz="0" w:space="0" w:color="auto"/>
                <w:right w:val="none" w:sz="0" w:space="0" w:color="auto"/>
              </w:divBdr>
            </w:div>
            <w:div w:id="1367486264">
              <w:marLeft w:val="0"/>
              <w:marRight w:val="0"/>
              <w:marTop w:val="0"/>
              <w:marBottom w:val="0"/>
              <w:divBdr>
                <w:top w:val="none" w:sz="0" w:space="0" w:color="auto"/>
                <w:left w:val="none" w:sz="0" w:space="0" w:color="auto"/>
                <w:bottom w:val="none" w:sz="0" w:space="0" w:color="auto"/>
                <w:right w:val="none" w:sz="0" w:space="0" w:color="auto"/>
              </w:divBdr>
            </w:div>
            <w:div w:id="311452892">
              <w:marLeft w:val="0"/>
              <w:marRight w:val="0"/>
              <w:marTop w:val="0"/>
              <w:marBottom w:val="0"/>
              <w:divBdr>
                <w:top w:val="none" w:sz="0" w:space="0" w:color="auto"/>
                <w:left w:val="none" w:sz="0" w:space="0" w:color="auto"/>
                <w:bottom w:val="none" w:sz="0" w:space="0" w:color="auto"/>
                <w:right w:val="none" w:sz="0" w:space="0" w:color="auto"/>
              </w:divBdr>
            </w:div>
            <w:div w:id="1929071871">
              <w:marLeft w:val="0"/>
              <w:marRight w:val="0"/>
              <w:marTop w:val="0"/>
              <w:marBottom w:val="0"/>
              <w:divBdr>
                <w:top w:val="none" w:sz="0" w:space="0" w:color="auto"/>
                <w:left w:val="none" w:sz="0" w:space="0" w:color="auto"/>
                <w:bottom w:val="none" w:sz="0" w:space="0" w:color="auto"/>
                <w:right w:val="none" w:sz="0" w:space="0" w:color="auto"/>
              </w:divBdr>
            </w:div>
            <w:div w:id="1585608884">
              <w:marLeft w:val="0"/>
              <w:marRight w:val="0"/>
              <w:marTop w:val="0"/>
              <w:marBottom w:val="0"/>
              <w:divBdr>
                <w:top w:val="none" w:sz="0" w:space="0" w:color="auto"/>
                <w:left w:val="none" w:sz="0" w:space="0" w:color="auto"/>
                <w:bottom w:val="none" w:sz="0" w:space="0" w:color="auto"/>
                <w:right w:val="none" w:sz="0" w:space="0" w:color="auto"/>
              </w:divBdr>
            </w:div>
            <w:div w:id="978539649">
              <w:marLeft w:val="0"/>
              <w:marRight w:val="0"/>
              <w:marTop w:val="0"/>
              <w:marBottom w:val="0"/>
              <w:divBdr>
                <w:top w:val="none" w:sz="0" w:space="0" w:color="auto"/>
                <w:left w:val="none" w:sz="0" w:space="0" w:color="auto"/>
                <w:bottom w:val="none" w:sz="0" w:space="0" w:color="auto"/>
                <w:right w:val="none" w:sz="0" w:space="0" w:color="auto"/>
              </w:divBdr>
            </w:div>
            <w:div w:id="1904635590">
              <w:marLeft w:val="0"/>
              <w:marRight w:val="0"/>
              <w:marTop w:val="0"/>
              <w:marBottom w:val="0"/>
              <w:divBdr>
                <w:top w:val="none" w:sz="0" w:space="0" w:color="auto"/>
                <w:left w:val="none" w:sz="0" w:space="0" w:color="auto"/>
                <w:bottom w:val="none" w:sz="0" w:space="0" w:color="auto"/>
                <w:right w:val="none" w:sz="0" w:space="0" w:color="auto"/>
              </w:divBdr>
            </w:div>
            <w:div w:id="1534994725">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433748640">
              <w:marLeft w:val="0"/>
              <w:marRight w:val="0"/>
              <w:marTop w:val="0"/>
              <w:marBottom w:val="0"/>
              <w:divBdr>
                <w:top w:val="none" w:sz="0" w:space="0" w:color="auto"/>
                <w:left w:val="none" w:sz="0" w:space="0" w:color="auto"/>
                <w:bottom w:val="none" w:sz="0" w:space="0" w:color="auto"/>
                <w:right w:val="none" w:sz="0" w:space="0" w:color="auto"/>
              </w:divBdr>
            </w:div>
            <w:div w:id="1811940879">
              <w:marLeft w:val="0"/>
              <w:marRight w:val="0"/>
              <w:marTop w:val="0"/>
              <w:marBottom w:val="0"/>
              <w:divBdr>
                <w:top w:val="none" w:sz="0" w:space="0" w:color="auto"/>
                <w:left w:val="none" w:sz="0" w:space="0" w:color="auto"/>
                <w:bottom w:val="none" w:sz="0" w:space="0" w:color="auto"/>
                <w:right w:val="none" w:sz="0" w:space="0" w:color="auto"/>
              </w:divBdr>
            </w:div>
            <w:div w:id="1819422593">
              <w:marLeft w:val="0"/>
              <w:marRight w:val="0"/>
              <w:marTop w:val="0"/>
              <w:marBottom w:val="0"/>
              <w:divBdr>
                <w:top w:val="none" w:sz="0" w:space="0" w:color="auto"/>
                <w:left w:val="none" w:sz="0" w:space="0" w:color="auto"/>
                <w:bottom w:val="none" w:sz="0" w:space="0" w:color="auto"/>
                <w:right w:val="none" w:sz="0" w:space="0" w:color="auto"/>
              </w:divBdr>
            </w:div>
            <w:div w:id="2000110421">
              <w:marLeft w:val="0"/>
              <w:marRight w:val="0"/>
              <w:marTop w:val="0"/>
              <w:marBottom w:val="0"/>
              <w:divBdr>
                <w:top w:val="none" w:sz="0" w:space="0" w:color="auto"/>
                <w:left w:val="none" w:sz="0" w:space="0" w:color="auto"/>
                <w:bottom w:val="none" w:sz="0" w:space="0" w:color="auto"/>
                <w:right w:val="none" w:sz="0" w:space="0" w:color="auto"/>
              </w:divBdr>
            </w:div>
            <w:div w:id="1006594523">
              <w:marLeft w:val="0"/>
              <w:marRight w:val="0"/>
              <w:marTop w:val="0"/>
              <w:marBottom w:val="0"/>
              <w:divBdr>
                <w:top w:val="none" w:sz="0" w:space="0" w:color="auto"/>
                <w:left w:val="none" w:sz="0" w:space="0" w:color="auto"/>
                <w:bottom w:val="none" w:sz="0" w:space="0" w:color="auto"/>
                <w:right w:val="none" w:sz="0" w:space="0" w:color="auto"/>
              </w:divBdr>
            </w:div>
            <w:div w:id="492600966">
              <w:marLeft w:val="0"/>
              <w:marRight w:val="0"/>
              <w:marTop w:val="0"/>
              <w:marBottom w:val="0"/>
              <w:divBdr>
                <w:top w:val="none" w:sz="0" w:space="0" w:color="auto"/>
                <w:left w:val="none" w:sz="0" w:space="0" w:color="auto"/>
                <w:bottom w:val="none" w:sz="0" w:space="0" w:color="auto"/>
                <w:right w:val="none" w:sz="0" w:space="0" w:color="auto"/>
              </w:divBdr>
            </w:div>
            <w:div w:id="343673970">
              <w:marLeft w:val="0"/>
              <w:marRight w:val="0"/>
              <w:marTop w:val="0"/>
              <w:marBottom w:val="0"/>
              <w:divBdr>
                <w:top w:val="none" w:sz="0" w:space="0" w:color="auto"/>
                <w:left w:val="none" w:sz="0" w:space="0" w:color="auto"/>
                <w:bottom w:val="none" w:sz="0" w:space="0" w:color="auto"/>
                <w:right w:val="none" w:sz="0" w:space="0" w:color="auto"/>
              </w:divBdr>
            </w:div>
            <w:div w:id="1878160831">
              <w:marLeft w:val="0"/>
              <w:marRight w:val="0"/>
              <w:marTop w:val="0"/>
              <w:marBottom w:val="0"/>
              <w:divBdr>
                <w:top w:val="none" w:sz="0" w:space="0" w:color="auto"/>
                <w:left w:val="none" w:sz="0" w:space="0" w:color="auto"/>
                <w:bottom w:val="none" w:sz="0" w:space="0" w:color="auto"/>
                <w:right w:val="none" w:sz="0" w:space="0" w:color="auto"/>
              </w:divBdr>
            </w:div>
            <w:div w:id="1434856526">
              <w:marLeft w:val="0"/>
              <w:marRight w:val="0"/>
              <w:marTop w:val="0"/>
              <w:marBottom w:val="0"/>
              <w:divBdr>
                <w:top w:val="none" w:sz="0" w:space="0" w:color="auto"/>
                <w:left w:val="none" w:sz="0" w:space="0" w:color="auto"/>
                <w:bottom w:val="none" w:sz="0" w:space="0" w:color="auto"/>
                <w:right w:val="none" w:sz="0" w:space="0" w:color="auto"/>
              </w:divBdr>
            </w:div>
            <w:div w:id="828206346">
              <w:marLeft w:val="0"/>
              <w:marRight w:val="0"/>
              <w:marTop w:val="0"/>
              <w:marBottom w:val="0"/>
              <w:divBdr>
                <w:top w:val="none" w:sz="0" w:space="0" w:color="auto"/>
                <w:left w:val="none" w:sz="0" w:space="0" w:color="auto"/>
                <w:bottom w:val="none" w:sz="0" w:space="0" w:color="auto"/>
                <w:right w:val="none" w:sz="0" w:space="0" w:color="auto"/>
              </w:divBdr>
            </w:div>
          </w:divsChild>
        </w:div>
        <w:div w:id="2108189526">
          <w:marLeft w:val="0"/>
          <w:marRight w:val="0"/>
          <w:marTop w:val="0"/>
          <w:marBottom w:val="0"/>
          <w:divBdr>
            <w:top w:val="none" w:sz="0" w:space="0" w:color="auto"/>
            <w:left w:val="none" w:sz="0" w:space="0" w:color="auto"/>
            <w:bottom w:val="none" w:sz="0" w:space="0" w:color="auto"/>
            <w:right w:val="none" w:sz="0" w:space="0" w:color="auto"/>
          </w:divBdr>
        </w:div>
        <w:div w:id="303658872">
          <w:marLeft w:val="0"/>
          <w:marRight w:val="0"/>
          <w:marTop w:val="0"/>
          <w:marBottom w:val="0"/>
          <w:divBdr>
            <w:top w:val="none" w:sz="0" w:space="0" w:color="auto"/>
            <w:left w:val="none" w:sz="0" w:space="0" w:color="auto"/>
            <w:bottom w:val="none" w:sz="0" w:space="0" w:color="auto"/>
            <w:right w:val="none" w:sz="0" w:space="0" w:color="auto"/>
          </w:divBdr>
        </w:div>
        <w:div w:id="1858887719">
          <w:marLeft w:val="0"/>
          <w:marRight w:val="0"/>
          <w:marTop w:val="0"/>
          <w:marBottom w:val="0"/>
          <w:divBdr>
            <w:top w:val="none" w:sz="0" w:space="0" w:color="auto"/>
            <w:left w:val="none" w:sz="0" w:space="0" w:color="auto"/>
            <w:bottom w:val="none" w:sz="0" w:space="0" w:color="auto"/>
            <w:right w:val="none" w:sz="0" w:space="0" w:color="auto"/>
          </w:divBdr>
        </w:div>
        <w:div w:id="1780180957">
          <w:marLeft w:val="0"/>
          <w:marRight w:val="0"/>
          <w:marTop w:val="0"/>
          <w:marBottom w:val="0"/>
          <w:divBdr>
            <w:top w:val="none" w:sz="0" w:space="0" w:color="auto"/>
            <w:left w:val="none" w:sz="0" w:space="0" w:color="auto"/>
            <w:bottom w:val="none" w:sz="0" w:space="0" w:color="auto"/>
            <w:right w:val="none" w:sz="0" w:space="0" w:color="auto"/>
          </w:divBdr>
        </w:div>
        <w:div w:id="1234730395">
          <w:marLeft w:val="0"/>
          <w:marRight w:val="0"/>
          <w:marTop w:val="0"/>
          <w:marBottom w:val="0"/>
          <w:divBdr>
            <w:top w:val="none" w:sz="0" w:space="0" w:color="auto"/>
            <w:left w:val="none" w:sz="0" w:space="0" w:color="auto"/>
            <w:bottom w:val="none" w:sz="0" w:space="0" w:color="auto"/>
            <w:right w:val="none" w:sz="0" w:space="0" w:color="auto"/>
          </w:divBdr>
          <w:divsChild>
            <w:div w:id="880945052">
              <w:marLeft w:val="0"/>
              <w:marRight w:val="0"/>
              <w:marTop w:val="0"/>
              <w:marBottom w:val="0"/>
              <w:divBdr>
                <w:top w:val="none" w:sz="0" w:space="0" w:color="auto"/>
                <w:left w:val="none" w:sz="0" w:space="0" w:color="auto"/>
                <w:bottom w:val="none" w:sz="0" w:space="0" w:color="auto"/>
                <w:right w:val="none" w:sz="0" w:space="0" w:color="auto"/>
              </w:divBdr>
            </w:div>
            <w:div w:id="619192118">
              <w:marLeft w:val="0"/>
              <w:marRight w:val="0"/>
              <w:marTop w:val="0"/>
              <w:marBottom w:val="0"/>
              <w:divBdr>
                <w:top w:val="none" w:sz="0" w:space="0" w:color="auto"/>
                <w:left w:val="none" w:sz="0" w:space="0" w:color="auto"/>
                <w:bottom w:val="none" w:sz="0" w:space="0" w:color="auto"/>
                <w:right w:val="none" w:sz="0" w:space="0" w:color="auto"/>
              </w:divBdr>
            </w:div>
            <w:div w:id="1959018921">
              <w:marLeft w:val="0"/>
              <w:marRight w:val="0"/>
              <w:marTop w:val="0"/>
              <w:marBottom w:val="0"/>
              <w:divBdr>
                <w:top w:val="none" w:sz="0" w:space="0" w:color="auto"/>
                <w:left w:val="none" w:sz="0" w:space="0" w:color="auto"/>
                <w:bottom w:val="none" w:sz="0" w:space="0" w:color="auto"/>
                <w:right w:val="none" w:sz="0" w:space="0" w:color="auto"/>
              </w:divBdr>
            </w:div>
            <w:div w:id="336662237">
              <w:marLeft w:val="0"/>
              <w:marRight w:val="0"/>
              <w:marTop w:val="0"/>
              <w:marBottom w:val="0"/>
              <w:divBdr>
                <w:top w:val="none" w:sz="0" w:space="0" w:color="auto"/>
                <w:left w:val="none" w:sz="0" w:space="0" w:color="auto"/>
                <w:bottom w:val="none" w:sz="0" w:space="0" w:color="auto"/>
                <w:right w:val="none" w:sz="0" w:space="0" w:color="auto"/>
              </w:divBdr>
            </w:div>
            <w:div w:id="1162282725">
              <w:marLeft w:val="0"/>
              <w:marRight w:val="0"/>
              <w:marTop w:val="0"/>
              <w:marBottom w:val="0"/>
              <w:divBdr>
                <w:top w:val="none" w:sz="0" w:space="0" w:color="auto"/>
                <w:left w:val="none" w:sz="0" w:space="0" w:color="auto"/>
                <w:bottom w:val="none" w:sz="0" w:space="0" w:color="auto"/>
                <w:right w:val="none" w:sz="0" w:space="0" w:color="auto"/>
              </w:divBdr>
            </w:div>
            <w:div w:id="5255951">
              <w:marLeft w:val="0"/>
              <w:marRight w:val="0"/>
              <w:marTop w:val="0"/>
              <w:marBottom w:val="0"/>
              <w:divBdr>
                <w:top w:val="none" w:sz="0" w:space="0" w:color="auto"/>
                <w:left w:val="none" w:sz="0" w:space="0" w:color="auto"/>
                <w:bottom w:val="none" w:sz="0" w:space="0" w:color="auto"/>
                <w:right w:val="none" w:sz="0" w:space="0" w:color="auto"/>
              </w:divBdr>
            </w:div>
            <w:div w:id="1672685357">
              <w:marLeft w:val="0"/>
              <w:marRight w:val="0"/>
              <w:marTop w:val="0"/>
              <w:marBottom w:val="0"/>
              <w:divBdr>
                <w:top w:val="none" w:sz="0" w:space="0" w:color="auto"/>
                <w:left w:val="none" w:sz="0" w:space="0" w:color="auto"/>
                <w:bottom w:val="none" w:sz="0" w:space="0" w:color="auto"/>
                <w:right w:val="none" w:sz="0" w:space="0" w:color="auto"/>
              </w:divBdr>
            </w:div>
            <w:div w:id="208881732">
              <w:marLeft w:val="0"/>
              <w:marRight w:val="0"/>
              <w:marTop w:val="0"/>
              <w:marBottom w:val="0"/>
              <w:divBdr>
                <w:top w:val="none" w:sz="0" w:space="0" w:color="auto"/>
                <w:left w:val="none" w:sz="0" w:space="0" w:color="auto"/>
                <w:bottom w:val="none" w:sz="0" w:space="0" w:color="auto"/>
                <w:right w:val="none" w:sz="0" w:space="0" w:color="auto"/>
              </w:divBdr>
            </w:div>
            <w:div w:id="33966087">
              <w:marLeft w:val="0"/>
              <w:marRight w:val="0"/>
              <w:marTop w:val="0"/>
              <w:marBottom w:val="0"/>
              <w:divBdr>
                <w:top w:val="none" w:sz="0" w:space="0" w:color="auto"/>
                <w:left w:val="none" w:sz="0" w:space="0" w:color="auto"/>
                <w:bottom w:val="none" w:sz="0" w:space="0" w:color="auto"/>
                <w:right w:val="none" w:sz="0" w:space="0" w:color="auto"/>
              </w:divBdr>
            </w:div>
            <w:div w:id="1159153815">
              <w:marLeft w:val="0"/>
              <w:marRight w:val="0"/>
              <w:marTop w:val="0"/>
              <w:marBottom w:val="0"/>
              <w:divBdr>
                <w:top w:val="none" w:sz="0" w:space="0" w:color="auto"/>
                <w:left w:val="none" w:sz="0" w:space="0" w:color="auto"/>
                <w:bottom w:val="none" w:sz="0" w:space="0" w:color="auto"/>
                <w:right w:val="none" w:sz="0" w:space="0" w:color="auto"/>
              </w:divBdr>
            </w:div>
            <w:div w:id="2001885202">
              <w:marLeft w:val="0"/>
              <w:marRight w:val="0"/>
              <w:marTop w:val="0"/>
              <w:marBottom w:val="0"/>
              <w:divBdr>
                <w:top w:val="none" w:sz="0" w:space="0" w:color="auto"/>
                <w:left w:val="none" w:sz="0" w:space="0" w:color="auto"/>
                <w:bottom w:val="none" w:sz="0" w:space="0" w:color="auto"/>
                <w:right w:val="none" w:sz="0" w:space="0" w:color="auto"/>
              </w:divBdr>
            </w:div>
            <w:div w:id="1335645066">
              <w:marLeft w:val="0"/>
              <w:marRight w:val="0"/>
              <w:marTop w:val="0"/>
              <w:marBottom w:val="0"/>
              <w:divBdr>
                <w:top w:val="none" w:sz="0" w:space="0" w:color="auto"/>
                <w:left w:val="none" w:sz="0" w:space="0" w:color="auto"/>
                <w:bottom w:val="none" w:sz="0" w:space="0" w:color="auto"/>
                <w:right w:val="none" w:sz="0" w:space="0" w:color="auto"/>
              </w:divBdr>
            </w:div>
            <w:div w:id="1739549279">
              <w:marLeft w:val="0"/>
              <w:marRight w:val="0"/>
              <w:marTop w:val="0"/>
              <w:marBottom w:val="0"/>
              <w:divBdr>
                <w:top w:val="none" w:sz="0" w:space="0" w:color="auto"/>
                <w:left w:val="none" w:sz="0" w:space="0" w:color="auto"/>
                <w:bottom w:val="none" w:sz="0" w:space="0" w:color="auto"/>
                <w:right w:val="none" w:sz="0" w:space="0" w:color="auto"/>
              </w:divBdr>
            </w:div>
            <w:div w:id="1634824196">
              <w:marLeft w:val="0"/>
              <w:marRight w:val="0"/>
              <w:marTop w:val="0"/>
              <w:marBottom w:val="0"/>
              <w:divBdr>
                <w:top w:val="none" w:sz="0" w:space="0" w:color="auto"/>
                <w:left w:val="none" w:sz="0" w:space="0" w:color="auto"/>
                <w:bottom w:val="none" w:sz="0" w:space="0" w:color="auto"/>
                <w:right w:val="none" w:sz="0" w:space="0" w:color="auto"/>
              </w:divBdr>
            </w:div>
            <w:div w:id="1647271311">
              <w:marLeft w:val="0"/>
              <w:marRight w:val="0"/>
              <w:marTop w:val="0"/>
              <w:marBottom w:val="0"/>
              <w:divBdr>
                <w:top w:val="none" w:sz="0" w:space="0" w:color="auto"/>
                <w:left w:val="none" w:sz="0" w:space="0" w:color="auto"/>
                <w:bottom w:val="none" w:sz="0" w:space="0" w:color="auto"/>
                <w:right w:val="none" w:sz="0" w:space="0" w:color="auto"/>
              </w:divBdr>
            </w:div>
            <w:div w:id="1234200787">
              <w:marLeft w:val="0"/>
              <w:marRight w:val="0"/>
              <w:marTop w:val="0"/>
              <w:marBottom w:val="0"/>
              <w:divBdr>
                <w:top w:val="none" w:sz="0" w:space="0" w:color="auto"/>
                <w:left w:val="none" w:sz="0" w:space="0" w:color="auto"/>
                <w:bottom w:val="none" w:sz="0" w:space="0" w:color="auto"/>
                <w:right w:val="none" w:sz="0" w:space="0" w:color="auto"/>
              </w:divBdr>
            </w:div>
            <w:div w:id="528878547">
              <w:marLeft w:val="0"/>
              <w:marRight w:val="0"/>
              <w:marTop w:val="0"/>
              <w:marBottom w:val="0"/>
              <w:divBdr>
                <w:top w:val="none" w:sz="0" w:space="0" w:color="auto"/>
                <w:left w:val="none" w:sz="0" w:space="0" w:color="auto"/>
                <w:bottom w:val="none" w:sz="0" w:space="0" w:color="auto"/>
                <w:right w:val="none" w:sz="0" w:space="0" w:color="auto"/>
              </w:divBdr>
            </w:div>
            <w:div w:id="539829855">
              <w:marLeft w:val="0"/>
              <w:marRight w:val="0"/>
              <w:marTop w:val="0"/>
              <w:marBottom w:val="0"/>
              <w:divBdr>
                <w:top w:val="none" w:sz="0" w:space="0" w:color="auto"/>
                <w:left w:val="none" w:sz="0" w:space="0" w:color="auto"/>
                <w:bottom w:val="none" w:sz="0" w:space="0" w:color="auto"/>
                <w:right w:val="none" w:sz="0" w:space="0" w:color="auto"/>
              </w:divBdr>
            </w:div>
            <w:div w:id="623124734">
              <w:marLeft w:val="0"/>
              <w:marRight w:val="0"/>
              <w:marTop w:val="0"/>
              <w:marBottom w:val="0"/>
              <w:divBdr>
                <w:top w:val="none" w:sz="0" w:space="0" w:color="auto"/>
                <w:left w:val="none" w:sz="0" w:space="0" w:color="auto"/>
                <w:bottom w:val="none" w:sz="0" w:space="0" w:color="auto"/>
                <w:right w:val="none" w:sz="0" w:space="0" w:color="auto"/>
              </w:divBdr>
            </w:div>
            <w:div w:id="936787850">
              <w:marLeft w:val="0"/>
              <w:marRight w:val="0"/>
              <w:marTop w:val="0"/>
              <w:marBottom w:val="0"/>
              <w:divBdr>
                <w:top w:val="none" w:sz="0" w:space="0" w:color="auto"/>
                <w:left w:val="none" w:sz="0" w:space="0" w:color="auto"/>
                <w:bottom w:val="none" w:sz="0" w:space="0" w:color="auto"/>
                <w:right w:val="none" w:sz="0" w:space="0" w:color="auto"/>
              </w:divBdr>
            </w:div>
            <w:div w:id="683438976">
              <w:marLeft w:val="0"/>
              <w:marRight w:val="0"/>
              <w:marTop w:val="0"/>
              <w:marBottom w:val="0"/>
              <w:divBdr>
                <w:top w:val="none" w:sz="0" w:space="0" w:color="auto"/>
                <w:left w:val="none" w:sz="0" w:space="0" w:color="auto"/>
                <w:bottom w:val="none" w:sz="0" w:space="0" w:color="auto"/>
                <w:right w:val="none" w:sz="0" w:space="0" w:color="auto"/>
              </w:divBdr>
            </w:div>
            <w:div w:id="383987803">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01272203">
              <w:marLeft w:val="0"/>
              <w:marRight w:val="0"/>
              <w:marTop w:val="0"/>
              <w:marBottom w:val="0"/>
              <w:divBdr>
                <w:top w:val="none" w:sz="0" w:space="0" w:color="auto"/>
                <w:left w:val="none" w:sz="0" w:space="0" w:color="auto"/>
                <w:bottom w:val="none" w:sz="0" w:space="0" w:color="auto"/>
                <w:right w:val="none" w:sz="0" w:space="0" w:color="auto"/>
              </w:divBdr>
            </w:div>
            <w:div w:id="192500997">
              <w:marLeft w:val="0"/>
              <w:marRight w:val="0"/>
              <w:marTop w:val="0"/>
              <w:marBottom w:val="0"/>
              <w:divBdr>
                <w:top w:val="none" w:sz="0" w:space="0" w:color="auto"/>
                <w:left w:val="none" w:sz="0" w:space="0" w:color="auto"/>
                <w:bottom w:val="none" w:sz="0" w:space="0" w:color="auto"/>
                <w:right w:val="none" w:sz="0" w:space="0" w:color="auto"/>
              </w:divBdr>
            </w:div>
            <w:div w:id="1380859358">
              <w:marLeft w:val="0"/>
              <w:marRight w:val="0"/>
              <w:marTop w:val="0"/>
              <w:marBottom w:val="0"/>
              <w:divBdr>
                <w:top w:val="none" w:sz="0" w:space="0" w:color="auto"/>
                <w:left w:val="none" w:sz="0" w:space="0" w:color="auto"/>
                <w:bottom w:val="none" w:sz="0" w:space="0" w:color="auto"/>
                <w:right w:val="none" w:sz="0" w:space="0" w:color="auto"/>
              </w:divBdr>
            </w:div>
            <w:div w:id="338697770">
              <w:marLeft w:val="0"/>
              <w:marRight w:val="0"/>
              <w:marTop w:val="0"/>
              <w:marBottom w:val="0"/>
              <w:divBdr>
                <w:top w:val="none" w:sz="0" w:space="0" w:color="auto"/>
                <w:left w:val="none" w:sz="0" w:space="0" w:color="auto"/>
                <w:bottom w:val="none" w:sz="0" w:space="0" w:color="auto"/>
                <w:right w:val="none" w:sz="0" w:space="0" w:color="auto"/>
              </w:divBdr>
            </w:div>
            <w:div w:id="1422022853">
              <w:marLeft w:val="0"/>
              <w:marRight w:val="0"/>
              <w:marTop w:val="0"/>
              <w:marBottom w:val="0"/>
              <w:divBdr>
                <w:top w:val="none" w:sz="0" w:space="0" w:color="auto"/>
                <w:left w:val="none" w:sz="0" w:space="0" w:color="auto"/>
                <w:bottom w:val="none" w:sz="0" w:space="0" w:color="auto"/>
                <w:right w:val="none" w:sz="0" w:space="0" w:color="auto"/>
              </w:divBdr>
            </w:div>
            <w:div w:id="827742900">
              <w:marLeft w:val="0"/>
              <w:marRight w:val="0"/>
              <w:marTop w:val="0"/>
              <w:marBottom w:val="0"/>
              <w:divBdr>
                <w:top w:val="none" w:sz="0" w:space="0" w:color="auto"/>
                <w:left w:val="none" w:sz="0" w:space="0" w:color="auto"/>
                <w:bottom w:val="none" w:sz="0" w:space="0" w:color="auto"/>
                <w:right w:val="none" w:sz="0" w:space="0" w:color="auto"/>
              </w:divBdr>
            </w:div>
            <w:div w:id="1629778252">
              <w:marLeft w:val="0"/>
              <w:marRight w:val="0"/>
              <w:marTop w:val="0"/>
              <w:marBottom w:val="0"/>
              <w:divBdr>
                <w:top w:val="none" w:sz="0" w:space="0" w:color="auto"/>
                <w:left w:val="none" w:sz="0" w:space="0" w:color="auto"/>
                <w:bottom w:val="none" w:sz="0" w:space="0" w:color="auto"/>
                <w:right w:val="none" w:sz="0" w:space="0" w:color="auto"/>
              </w:divBdr>
            </w:div>
            <w:div w:id="654333927">
              <w:marLeft w:val="0"/>
              <w:marRight w:val="0"/>
              <w:marTop w:val="0"/>
              <w:marBottom w:val="0"/>
              <w:divBdr>
                <w:top w:val="none" w:sz="0" w:space="0" w:color="auto"/>
                <w:left w:val="none" w:sz="0" w:space="0" w:color="auto"/>
                <w:bottom w:val="none" w:sz="0" w:space="0" w:color="auto"/>
                <w:right w:val="none" w:sz="0" w:space="0" w:color="auto"/>
              </w:divBdr>
            </w:div>
            <w:div w:id="1372344402">
              <w:marLeft w:val="0"/>
              <w:marRight w:val="0"/>
              <w:marTop w:val="0"/>
              <w:marBottom w:val="0"/>
              <w:divBdr>
                <w:top w:val="none" w:sz="0" w:space="0" w:color="auto"/>
                <w:left w:val="none" w:sz="0" w:space="0" w:color="auto"/>
                <w:bottom w:val="none" w:sz="0" w:space="0" w:color="auto"/>
                <w:right w:val="none" w:sz="0" w:space="0" w:color="auto"/>
              </w:divBdr>
            </w:div>
            <w:div w:id="1930961345">
              <w:marLeft w:val="0"/>
              <w:marRight w:val="0"/>
              <w:marTop w:val="0"/>
              <w:marBottom w:val="0"/>
              <w:divBdr>
                <w:top w:val="none" w:sz="0" w:space="0" w:color="auto"/>
                <w:left w:val="none" w:sz="0" w:space="0" w:color="auto"/>
                <w:bottom w:val="none" w:sz="0" w:space="0" w:color="auto"/>
                <w:right w:val="none" w:sz="0" w:space="0" w:color="auto"/>
              </w:divBdr>
            </w:div>
            <w:div w:id="233203728">
              <w:marLeft w:val="0"/>
              <w:marRight w:val="0"/>
              <w:marTop w:val="0"/>
              <w:marBottom w:val="0"/>
              <w:divBdr>
                <w:top w:val="none" w:sz="0" w:space="0" w:color="auto"/>
                <w:left w:val="none" w:sz="0" w:space="0" w:color="auto"/>
                <w:bottom w:val="none" w:sz="0" w:space="0" w:color="auto"/>
                <w:right w:val="none" w:sz="0" w:space="0" w:color="auto"/>
              </w:divBdr>
            </w:div>
            <w:div w:id="1642081290">
              <w:marLeft w:val="0"/>
              <w:marRight w:val="0"/>
              <w:marTop w:val="0"/>
              <w:marBottom w:val="0"/>
              <w:divBdr>
                <w:top w:val="none" w:sz="0" w:space="0" w:color="auto"/>
                <w:left w:val="none" w:sz="0" w:space="0" w:color="auto"/>
                <w:bottom w:val="none" w:sz="0" w:space="0" w:color="auto"/>
                <w:right w:val="none" w:sz="0" w:space="0" w:color="auto"/>
              </w:divBdr>
            </w:div>
            <w:div w:id="585112368">
              <w:marLeft w:val="0"/>
              <w:marRight w:val="0"/>
              <w:marTop w:val="0"/>
              <w:marBottom w:val="0"/>
              <w:divBdr>
                <w:top w:val="none" w:sz="0" w:space="0" w:color="auto"/>
                <w:left w:val="none" w:sz="0" w:space="0" w:color="auto"/>
                <w:bottom w:val="none" w:sz="0" w:space="0" w:color="auto"/>
                <w:right w:val="none" w:sz="0" w:space="0" w:color="auto"/>
              </w:divBdr>
            </w:div>
            <w:div w:id="362947322">
              <w:marLeft w:val="0"/>
              <w:marRight w:val="0"/>
              <w:marTop w:val="0"/>
              <w:marBottom w:val="0"/>
              <w:divBdr>
                <w:top w:val="none" w:sz="0" w:space="0" w:color="auto"/>
                <w:left w:val="none" w:sz="0" w:space="0" w:color="auto"/>
                <w:bottom w:val="none" w:sz="0" w:space="0" w:color="auto"/>
                <w:right w:val="none" w:sz="0" w:space="0" w:color="auto"/>
              </w:divBdr>
            </w:div>
            <w:div w:id="1929924401">
              <w:marLeft w:val="0"/>
              <w:marRight w:val="0"/>
              <w:marTop w:val="0"/>
              <w:marBottom w:val="0"/>
              <w:divBdr>
                <w:top w:val="none" w:sz="0" w:space="0" w:color="auto"/>
                <w:left w:val="none" w:sz="0" w:space="0" w:color="auto"/>
                <w:bottom w:val="none" w:sz="0" w:space="0" w:color="auto"/>
                <w:right w:val="none" w:sz="0" w:space="0" w:color="auto"/>
              </w:divBdr>
            </w:div>
            <w:div w:id="469908426">
              <w:marLeft w:val="0"/>
              <w:marRight w:val="0"/>
              <w:marTop w:val="0"/>
              <w:marBottom w:val="0"/>
              <w:divBdr>
                <w:top w:val="none" w:sz="0" w:space="0" w:color="auto"/>
                <w:left w:val="none" w:sz="0" w:space="0" w:color="auto"/>
                <w:bottom w:val="none" w:sz="0" w:space="0" w:color="auto"/>
                <w:right w:val="none" w:sz="0" w:space="0" w:color="auto"/>
              </w:divBdr>
            </w:div>
            <w:div w:id="1539125023">
              <w:marLeft w:val="0"/>
              <w:marRight w:val="0"/>
              <w:marTop w:val="0"/>
              <w:marBottom w:val="0"/>
              <w:divBdr>
                <w:top w:val="none" w:sz="0" w:space="0" w:color="auto"/>
                <w:left w:val="none" w:sz="0" w:space="0" w:color="auto"/>
                <w:bottom w:val="none" w:sz="0" w:space="0" w:color="auto"/>
                <w:right w:val="none" w:sz="0" w:space="0" w:color="auto"/>
              </w:divBdr>
            </w:div>
            <w:div w:id="1532575727">
              <w:marLeft w:val="0"/>
              <w:marRight w:val="0"/>
              <w:marTop w:val="0"/>
              <w:marBottom w:val="0"/>
              <w:divBdr>
                <w:top w:val="none" w:sz="0" w:space="0" w:color="auto"/>
                <w:left w:val="none" w:sz="0" w:space="0" w:color="auto"/>
                <w:bottom w:val="none" w:sz="0" w:space="0" w:color="auto"/>
                <w:right w:val="none" w:sz="0" w:space="0" w:color="auto"/>
              </w:divBdr>
            </w:div>
            <w:div w:id="1246913190">
              <w:marLeft w:val="0"/>
              <w:marRight w:val="0"/>
              <w:marTop w:val="0"/>
              <w:marBottom w:val="0"/>
              <w:divBdr>
                <w:top w:val="none" w:sz="0" w:space="0" w:color="auto"/>
                <w:left w:val="none" w:sz="0" w:space="0" w:color="auto"/>
                <w:bottom w:val="none" w:sz="0" w:space="0" w:color="auto"/>
                <w:right w:val="none" w:sz="0" w:space="0" w:color="auto"/>
              </w:divBdr>
            </w:div>
            <w:div w:id="436950578">
              <w:marLeft w:val="0"/>
              <w:marRight w:val="0"/>
              <w:marTop w:val="0"/>
              <w:marBottom w:val="0"/>
              <w:divBdr>
                <w:top w:val="none" w:sz="0" w:space="0" w:color="auto"/>
                <w:left w:val="none" w:sz="0" w:space="0" w:color="auto"/>
                <w:bottom w:val="none" w:sz="0" w:space="0" w:color="auto"/>
                <w:right w:val="none" w:sz="0" w:space="0" w:color="auto"/>
              </w:divBdr>
            </w:div>
            <w:div w:id="1358386597">
              <w:marLeft w:val="0"/>
              <w:marRight w:val="0"/>
              <w:marTop w:val="0"/>
              <w:marBottom w:val="0"/>
              <w:divBdr>
                <w:top w:val="none" w:sz="0" w:space="0" w:color="auto"/>
                <w:left w:val="none" w:sz="0" w:space="0" w:color="auto"/>
                <w:bottom w:val="none" w:sz="0" w:space="0" w:color="auto"/>
                <w:right w:val="none" w:sz="0" w:space="0" w:color="auto"/>
              </w:divBdr>
            </w:div>
            <w:div w:id="1038967586">
              <w:marLeft w:val="0"/>
              <w:marRight w:val="0"/>
              <w:marTop w:val="0"/>
              <w:marBottom w:val="0"/>
              <w:divBdr>
                <w:top w:val="none" w:sz="0" w:space="0" w:color="auto"/>
                <w:left w:val="none" w:sz="0" w:space="0" w:color="auto"/>
                <w:bottom w:val="none" w:sz="0" w:space="0" w:color="auto"/>
                <w:right w:val="none" w:sz="0" w:space="0" w:color="auto"/>
              </w:divBdr>
            </w:div>
            <w:div w:id="970284217">
              <w:marLeft w:val="0"/>
              <w:marRight w:val="0"/>
              <w:marTop w:val="0"/>
              <w:marBottom w:val="0"/>
              <w:divBdr>
                <w:top w:val="none" w:sz="0" w:space="0" w:color="auto"/>
                <w:left w:val="none" w:sz="0" w:space="0" w:color="auto"/>
                <w:bottom w:val="none" w:sz="0" w:space="0" w:color="auto"/>
                <w:right w:val="none" w:sz="0" w:space="0" w:color="auto"/>
              </w:divBdr>
            </w:div>
            <w:div w:id="1517815797">
              <w:marLeft w:val="0"/>
              <w:marRight w:val="0"/>
              <w:marTop w:val="0"/>
              <w:marBottom w:val="0"/>
              <w:divBdr>
                <w:top w:val="none" w:sz="0" w:space="0" w:color="auto"/>
                <w:left w:val="none" w:sz="0" w:space="0" w:color="auto"/>
                <w:bottom w:val="none" w:sz="0" w:space="0" w:color="auto"/>
                <w:right w:val="none" w:sz="0" w:space="0" w:color="auto"/>
              </w:divBdr>
            </w:div>
            <w:div w:id="1133719848">
              <w:marLeft w:val="0"/>
              <w:marRight w:val="0"/>
              <w:marTop w:val="0"/>
              <w:marBottom w:val="0"/>
              <w:divBdr>
                <w:top w:val="none" w:sz="0" w:space="0" w:color="auto"/>
                <w:left w:val="none" w:sz="0" w:space="0" w:color="auto"/>
                <w:bottom w:val="none" w:sz="0" w:space="0" w:color="auto"/>
                <w:right w:val="none" w:sz="0" w:space="0" w:color="auto"/>
              </w:divBdr>
            </w:div>
            <w:div w:id="1414815839">
              <w:marLeft w:val="0"/>
              <w:marRight w:val="0"/>
              <w:marTop w:val="0"/>
              <w:marBottom w:val="0"/>
              <w:divBdr>
                <w:top w:val="none" w:sz="0" w:space="0" w:color="auto"/>
                <w:left w:val="none" w:sz="0" w:space="0" w:color="auto"/>
                <w:bottom w:val="none" w:sz="0" w:space="0" w:color="auto"/>
                <w:right w:val="none" w:sz="0" w:space="0" w:color="auto"/>
              </w:divBdr>
            </w:div>
            <w:div w:id="779760598">
              <w:marLeft w:val="0"/>
              <w:marRight w:val="0"/>
              <w:marTop w:val="0"/>
              <w:marBottom w:val="0"/>
              <w:divBdr>
                <w:top w:val="none" w:sz="0" w:space="0" w:color="auto"/>
                <w:left w:val="none" w:sz="0" w:space="0" w:color="auto"/>
                <w:bottom w:val="none" w:sz="0" w:space="0" w:color="auto"/>
                <w:right w:val="none" w:sz="0" w:space="0" w:color="auto"/>
              </w:divBdr>
            </w:div>
            <w:div w:id="1085959171">
              <w:marLeft w:val="0"/>
              <w:marRight w:val="0"/>
              <w:marTop w:val="0"/>
              <w:marBottom w:val="0"/>
              <w:divBdr>
                <w:top w:val="none" w:sz="0" w:space="0" w:color="auto"/>
                <w:left w:val="none" w:sz="0" w:space="0" w:color="auto"/>
                <w:bottom w:val="none" w:sz="0" w:space="0" w:color="auto"/>
                <w:right w:val="none" w:sz="0" w:space="0" w:color="auto"/>
              </w:divBdr>
            </w:div>
            <w:div w:id="1642929332">
              <w:marLeft w:val="0"/>
              <w:marRight w:val="0"/>
              <w:marTop w:val="0"/>
              <w:marBottom w:val="0"/>
              <w:divBdr>
                <w:top w:val="none" w:sz="0" w:space="0" w:color="auto"/>
                <w:left w:val="none" w:sz="0" w:space="0" w:color="auto"/>
                <w:bottom w:val="none" w:sz="0" w:space="0" w:color="auto"/>
                <w:right w:val="none" w:sz="0" w:space="0" w:color="auto"/>
              </w:divBdr>
            </w:div>
            <w:div w:id="999581960">
              <w:marLeft w:val="0"/>
              <w:marRight w:val="0"/>
              <w:marTop w:val="0"/>
              <w:marBottom w:val="0"/>
              <w:divBdr>
                <w:top w:val="none" w:sz="0" w:space="0" w:color="auto"/>
                <w:left w:val="none" w:sz="0" w:space="0" w:color="auto"/>
                <w:bottom w:val="none" w:sz="0" w:space="0" w:color="auto"/>
                <w:right w:val="none" w:sz="0" w:space="0" w:color="auto"/>
              </w:divBdr>
            </w:div>
            <w:div w:id="2017268495">
              <w:marLeft w:val="0"/>
              <w:marRight w:val="0"/>
              <w:marTop w:val="0"/>
              <w:marBottom w:val="0"/>
              <w:divBdr>
                <w:top w:val="none" w:sz="0" w:space="0" w:color="auto"/>
                <w:left w:val="none" w:sz="0" w:space="0" w:color="auto"/>
                <w:bottom w:val="none" w:sz="0" w:space="0" w:color="auto"/>
                <w:right w:val="none" w:sz="0" w:space="0" w:color="auto"/>
              </w:divBdr>
            </w:div>
            <w:div w:id="1098603531">
              <w:marLeft w:val="0"/>
              <w:marRight w:val="0"/>
              <w:marTop w:val="0"/>
              <w:marBottom w:val="0"/>
              <w:divBdr>
                <w:top w:val="none" w:sz="0" w:space="0" w:color="auto"/>
                <w:left w:val="none" w:sz="0" w:space="0" w:color="auto"/>
                <w:bottom w:val="none" w:sz="0" w:space="0" w:color="auto"/>
                <w:right w:val="none" w:sz="0" w:space="0" w:color="auto"/>
              </w:divBdr>
            </w:div>
            <w:div w:id="816530624">
              <w:marLeft w:val="0"/>
              <w:marRight w:val="0"/>
              <w:marTop w:val="0"/>
              <w:marBottom w:val="0"/>
              <w:divBdr>
                <w:top w:val="none" w:sz="0" w:space="0" w:color="auto"/>
                <w:left w:val="none" w:sz="0" w:space="0" w:color="auto"/>
                <w:bottom w:val="none" w:sz="0" w:space="0" w:color="auto"/>
                <w:right w:val="none" w:sz="0" w:space="0" w:color="auto"/>
              </w:divBdr>
            </w:div>
            <w:div w:id="647825366">
              <w:marLeft w:val="0"/>
              <w:marRight w:val="0"/>
              <w:marTop w:val="0"/>
              <w:marBottom w:val="0"/>
              <w:divBdr>
                <w:top w:val="none" w:sz="0" w:space="0" w:color="auto"/>
                <w:left w:val="none" w:sz="0" w:space="0" w:color="auto"/>
                <w:bottom w:val="none" w:sz="0" w:space="0" w:color="auto"/>
                <w:right w:val="none" w:sz="0" w:space="0" w:color="auto"/>
              </w:divBdr>
            </w:div>
            <w:div w:id="778767877">
              <w:marLeft w:val="0"/>
              <w:marRight w:val="0"/>
              <w:marTop w:val="0"/>
              <w:marBottom w:val="0"/>
              <w:divBdr>
                <w:top w:val="none" w:sz="0" w:space="0" w:color="auto"/>
                <w:left w:val="none" w:sz="0" w:space="0" w:color="auto"/>
                <w:bottom w:val="none" w:sz="0" w:space="0" w:color="auto"/>
                <w:right w:val="none" w:sz="0" w:space="0" w:color="auto"/>
              </w:divBdr>
            </w:div>
            <w:div w:id="1351495605">
              <w:marLeft w:val="0"/>
              <w:marRight w:val="0"/>
              <w:marTop w:val="0"/>
              <w:marBottom w:val="0"/>
              <w:divBdr>
                <w:top w:val="none" w:sz="0" w:space="0" w:color="auto"/>
                <w:left w:val="none" w:sz="0" w:space="0" w:color="auto"/>
                <w:bottom w:val="none" w:sz="0" w:space="0" w:color="auto"/>
                <w:right w:val="none" w:sz="0" w:space="0" w:color="auto"/>
              </w:divBdr>
            </w:div>
            <w:div w:id="1014768798">
              <w:marLeft w:val="0"/>
              <w:marRight w:val="0"/>
              <w:marTop w:val="0"/>
              <w:marBottom w:val="0"/>
              <w:divBdr>
                <w:top w:val="none" w:sz="0" w:space="0" w:color="auto"/>
                <w:left w:val="none" w:sz="0" w:space="0" w:color="auto"/>
                <w:bottom w:val="none" w:sz="0" w:space="0" w:color="auto"/>
                <w:right w:val="none" w:sz="0" w:space="0" w:color="auto"/>
              </w:divBdr>
            </w:div>
            <w:div w:id="1456480532">
              <w:marLeft w:val="0"/>
              <w:marRight w:val="0"/>
              <w:marTop w:val="0"/>
              <w:marBottom w:val="0"/>
              <w:divBdr>
                <w:top w:val="none" w:sz="0" w:space="0" w:color="auto"/>
                <w:left w:val="none" w:sz="0" w:space="0" w:color="auto"/>
                <w:bottom w:val="none" w:sz="0" w:space="0" w:color="auto"/>
                <w:right w:val="none" w:sz="0" w:space="0" w:color="auto"/>
              </w:divBdr>
            </w:div>
            <w:div w:id="193924928">
              <w:marLeft w:val="0"/>
              <w:marRight w:val="0"/>
              <w:marTop w:val="0"/>
              <w:marBottom w:val="0"/>
              <w:divBdr>
                <w:top w:val="none" w:sz="0" w:space="0" w:color="auto"/>
                <w:left w:val="none" w:sz="0" w:space="0" w:color="auto"/>
                <w:bottom w:val="none" w:sz="0" w:space="0" w:color="auto"/>
                <w:right w:val="none" w:sz="0" w:space="0" w:color="auto"/>
              </w:divBdr>
            </w:div>
            <w:div w:id="646714179">
              <w:marLeft w:val="0"/>
              <w:marRight w:val="0"/>
              <w:marTop w:val="0"/>
              <w:marBottom w:val="0"/>
              <w:divBdr>
                <w:top w:val="none" w:sz="0" w:space="0" w:color="auto"/>
                <w:left w:val="none" w:sz="0" w:space="0" w:color="auto"/>
                <w:bottom w:val="none" w:sz="0" w:space="0" w:color="auto"/>
                <w:right w:val="none" w:sz="0" w:space="0" w:color="auto"/>
              </w:divBdr>
            </w:div>
            <w:div w:id="297957010">
              <w:marLeft w:val="0"/>
              <w:marRight w:val="0"/>
              <w:marTop w:val="0"/>
              <w:marBottom w:val="0"/>
              <w:divBdr>
                <w:top w:val="none" w:sz="0" w:space="0" w:color="auto"/>
                <w:left w:val="none" w:sz="0" w:space="0" w:color="auto"/>
                <w:bottom w:val="none" w:sz="0" w:space="0" w:color="auto"/>
                <w:right w:val="none" w:sz="0" w:space="0" w:color="auto"/>
              </w:divBdr>
            </w:div>
            <w:div w:id="2047833236">
              <w:marLeft w:val="0"/>
              <w:marRight w:val="0"/>
              <w:marTop w:val="0"/>
              <w:marBottom w:val="0"/>
              <w:divBdr>
                <w:top w:val="none" w:sz="0" w:space="0" w:color="auto"/>
                <w:left w:val="none" w:sz="0" w:space="0" w:color="auto"/>
                <w:bottom w:val="none" w:sz="0" w:space="0" w:color="auto"/>
                <w:right w:val="none" w:sz="0" w:space="0" w:color="auto"/>
              </w:divBdr>
            </w:div>
            <w:div w:id="47924615">
              <w:marLeft w:val="0"/>
              <w:marRight w:val="0"/>
              <w:marTop w:val="0"/>
              <w:marBottom w:val="0"/>
              <w:divBdr>
                <w:top w:val="none" w:sz="0" w:space="0" w:color="auto"/>
                <w:left w:val="none" w:sz="0" w:space="0" w:color="auto"/>
                <w:bottom w:val="none" w:sz="0" w:space="0" w:color="auto"/>
                <w:right w:val="none" w:sz="0" w:space="0" w:color="auto"/>
              </w:divBdr>
            </w:div>
            <w:div w:id="1669409501">
              <w:marLeft w:val="0"/>
              <w:marRight w:val="0"/>
              <w:marTop w:val="0"/>
              <w:marBottom w:val="0"/>
              <w:divBdr>
                <w:top w:val="none" w:sz="0" w:space="0" w:color="auto"/>
                <w:left w:val="none" w:sz="0" w:space="0" w:color="auto"/>
                <w:bottom w:val="none" w:sz="0" w:space="0" w:color="auto"/>
                <w:right w:val="none" w:sz="0" w:space="0" w:color="auto"/>
              </w:divBdr>
            </w:div>
          </w:divsChild>
        </w:div>
        <w:div w:id="1396928540">
          <w:marLeft w:val="0"/>
          <w:marRight w:val="0"/>
          <w:marTop w:val="0"/>
          <w:marBottom w:val="0"/>
          <w:divBdr>
            <w:top w:val="none" w:sz="0" w:space="0" w:color="auto"/>
            <w:left w:val="none" w:sz="0" w:space="0" w:color="auto"/>
            <w:bottom w:val="none" w:sz="0" w:space="0" w:color="auto"/>
            <w:right w:val="none" w:sz="0" w:space="0" w:color="auto"/>
          </w:divBdr>
        </w:div>
        <w:div w:id="617375094">
          <w:marLeft w:val="0"/>
          <w:marRight w:val="0"/>
          <w:marTop w:val="0"/>
          <w:marBottom w:val="0"/>
          <w:divBdr>
            <w:top w:val="none" w:sz="0" w:space="0" w:color="auto"/>
            <w:left w:val="none" w:sz="0" w:space="0" w:color="auto"/>
            <w:bottom w:val="none" w:sz="0" w:space="0" w:color="auto"/>
            <w:right w:val="none" w:sz="0" w:space="0" w:color="auto"/>
          </w:divBdr>
        </w:div>
        <w:div w:id="1684892967">
          <w:marLeft w:val="0"/>
          <w:marRight w:val="0"/>
          <w:marTop w:val="0"/>
          <w:marBottom w:val="0"/>
          <w:divBdr>
            <w:top w:val="none" w:sz="0" w:space="0" w:color="auto"/>
            <w:left w:val="none" w:sz="0" w:space="0" w:color="auto"/>
            <w:bottom w:val="none" w:sz="0" w:space="0" w:color="auto"/>
            <w:right w:val="none" w:sz="0" w:space="0" w:color="auto"/>
          </w:divBdr>
        </w:div>
        <w:div w:id="321542647">
          <w:marLeft w:val="0"/>
          <w:marRight w:val="0"/>
          <w:marTop w:val="0"/>
          <w:marBottom w:val="0"/>
          <w:divBdr>
            <w:top w:val="none" w:sz="0" w:space="0" w:color="auto"/>
            <w:left w:val="none" w:sz="0" w:space="0" w:color="auto"/>
            <w:bottom w:val="none" w:sz="0" w:space="0" w:color="auto"/>
            <w:right w:val="none" w:sz="0" w:space="0" w:color="auto"/>
          </w:divBdr>
        </w:div>
        <w:div w:id="280115553">
          <w:marLeft w:val="0"/>
          <w:marRight w:val="0"/>
          <w:marTop w:val="0"/>
          <w:marBottom w:val="0"/>
          <w:divBdr>
            <w:top w:val="none" w:sz="0" w:space="0" w:color="auto"/>
            <w:left w:val="none" w:sz="0" w:space="0" w:color="auto"/>
            <w:bottom w:val="none" w:sz="0" w:space="0" w:color="auto"/>
            <w:right w:val="none" w:sz="0" w:space="0" w:color="auto"/>
          </w:divBdr>
          <w:divsChild>
            <w:div w:id="2086608169">
              <w:marLeft w:val="0"/>
              <w:marRight w:val="0"/>
              <w:marTop w:val="0"/>
              <w:marBottom w:val="0"/>
              <w:divBdr>
                <w:top w:val="none" w:sz="0" w:space="0" w:color="auto"/>
                <w:left w:val="none" w:sz="0" w:space="0" w:color="auto"/>
                <w:bottom w:val="none" w:sz="0" w:space="0" w:color="auto"/>
                <w:right w:val="none" w:sz="0" w:space="0" w:color="auto"/>
              </w:divBdr>
            </w:div>
            <w:div w:id="1019695291">
              <w:marLeft w:val="0"/>
              <w:marRight w:val="0"/>
              <w:marTop w:val="0"/>
              <w:marBottom w:val="0"/>
              <w:divBdr>
                <w:top w:val="none" w:sz="0" w:space="0" w:color="auto"/>
                <w:left w:val="none" w:sz="0" w:space="0" w:color="auto"/>
                <w:bottom w:val="none" w:sz="0" w:space="0" w:color="auto"/>
                <w:right w:val="none" w:sz="0" w:space="0" w:color="auto"/>
              </w:divBdr>
            </w:div>
            <w:div w:id="684135659">
              <w:marLeft w:val="0"/>
              <w:marRight w:val="0"/>
              <w:marTop w:val="0"/>
              <w:marBottom w:val="0"/>
              <w:divBdr>
                <w:top w:val="none" w:sz="0" w:space="0" w:color="auto"/>
                <w:left w:val="none" w:sz="0" w:space="0" w:color="auto"/>
                <w:bottom w:val="none" w:sz="0" w:space="0" w:color="auto"/>
                <w:right w:val="none" w:sz="0" w:space="0" w:color="auto"/>
              </w:divBdr>
            </w:div>
            <w:div w:id="381635517">
              <w:marLeft w:val="0"/>
              <w:marRight w:val="0"/>
              <w:marTop w:val="0"/>
              <w:marBottom w:val="0"/>
              <w:divBdr>
                <w:top w:val="none" w:sz="0" w:space="0" w:color="auto"/>
                <w:left w:val="none" w:sz="0" w:space="0" w:color="auto"/>
                <w:bottom w:val="none" w:sz="0" w:space="0" w:color="auto"/>
                <w:right w:val="none" w:sz="0" w:space="0" w:color="auto"/>
              </w:divBdr>
            </w:div>
            <w:div w:id="580796698">
              <w:marLeft w:val="0"/>
              <w:marRight w:val="0"/>
              <w:marTop w:val="0"/>
              <w:marBottom w:val="0"/>
              <w:divBdr>
                <w:top w:val="none" w:sz="0" w:space="0" w:color="auto"/>
                <w:left w:val="none" w:sz="0" w:space="0" w:color="auto"/>
                <w:bottom w:val="none" w:sz="0" w:space="0" w:color="auto"/>
                <w:right w:val="none" w:sz="0" w:space="0" w:color="auto"/>
              </w:divBdr>
            </w:div>
            <w:div w:id="627204589">
              <w:marLeft w:val="0"/>
              <w:marRight w:val="0"/>
              <w:marTop w:val="0"/>
              <w:marBottom w:val="0"/>
              <w:divBdr>
                <w:top w:val="none" w:sz="0" w:space="0" w:color="auto"/>
                <w:left w:val="none" w:sz="0" w:space="0" w:color="auto"/>
                <w:bottom w:val="none" w:sz="0" w:space="0" w:color="auto"/>
                <w:right w:val="none" w:sz="0" w:space="0" w:color="auto"/>
              </w:divBdr>
            </w:div>
            <w:div w:id="1453550101">
              <w:marLeft w:val="0"/>
              <w:marRight w:val="0"/>
              <w:marTop w:val="0"/>
              <w:marBottom w:val="0"/>
              <w:divBdr>
                <w:top w:val="none" w:sz="0" w:space="0" w:color="auto"/>
                <w:left w:val="none" w:sz="0" w:space="0" w:color="auto"/>
                <w:bottom w:val="none" w:sz="0" w:space="0" w:color="auto"/>
                <w:right w:val="none" w:sz="0" w:space="0" w:color="auto"/>
              </w:divBdr>
            </w:div>
            <w:div w:id="1041981041">
              <w:marLeft w:val="0"/>
              <w:marRight w:val="0"/>
              <w:marTop w:val="0"/>
              <w:marBottom w:val="0"/>
              <w:divBdr>
                <w:top w:val="none" w:sz="0" w:space="0" w:color="auto"/>
                <w:left w:val="none" w:sz="0" w:space="0" w:color="auto"/>
                <w:bottom w:val="none" w:sz="0" w:space="0" w:color="auto"/>
                <w:right w:val="none" w:sz="0" w:space="0" w:color="auto"/>
              </w:divBdr>
            </w:div>
            <w:div w:id="660696783">
              <w:marLeft w:val="0"/>
              <w:marRight w:val="0"/>
              <w:marTop w:val="0"/>
              <w:marBottom w:val="0"/>
              <w:divBdr>
                <w:top w:val="none" w:sz="0" w:space="0" w:color="auto"/>
                <w:left w:val="none" w:sz="0" w:space="0" w:color="auto"/>
                <w:bottom w:val="none" w:sz="0" w:space="0" w:color="auto"/>
                <w:right w:val="none" w:sz="0" w:space="0" w:color="auto"/>
              </w:divBdr>
            </w:div>
            <w:div w:id="593588725">
              <w:marLeft w:val="0"/>
              <w:marRight w:val="0"/>
              <w:marTop w:val="0"/>
              <w:marBottom w:val="0"/>
              <w:divBdr>
                <w:top w:val="none" w:sz="0" w:space="0" w:color="auto"/>
                <w:left w:val="none" w:sz="0" w:space="0" w:color="auto"/>
                <w:bottom w:val="none" w:sz="0" w:space="0" w:color="auto"/>
                <w:right w:val="none" w:sz="0" w:space="0" w:color="auto"/>
              </w:divBdr>
            </w:div>
            <w:div w:id="1770392578">
              <w:marLeft w:val="0"/>
              <w:marRight w:val="0"/>
              <w:marTop w:val="0"/>
              <w:marBottom w:val="0"/>
              <w:divBdr>
                <w:top w:val="none" w:sz="0" w:space="0" w:color="auto"/>
                <w:left w:val="none" w:sz="0" w:space="0" w:color="auto"/>
                <w:bottom w:val="none" w:sz="0" w:space="0" w:color="auto"/>
                <w:right w:val="none" w:sz="0" w:space="0" w:color="auto"/>
              </w:divBdr>
            </w:div>
            <w:div w:id="708148344">
              <w:marLeft w:val="0"/>
              <w:marRight w:val="0"/>
              <w:marTop w:val="0"/>
              <w:marBottom w:val="0"/>
              <w:divBdr>
                <w:top w:val="none" w:sz="0" w:space="0" w:color="auto"/>
                <w:left w:val="none" w:sz="0" w:space="0" w:color="auto"/>
                <w:bottom w:val="none" w:sz="0" w:space="0" w:color="auto"/>
                <w:right w:val="none" w:sz="0" w:space="0" w:color="auto"/>
              </w:divBdr>
            </w:div>
            <w:div w:id="919869107">
              <w:marLeft w:val="0"/>
              <w:marRight w:val="0"/>
              <w:marTop w:val="0"/>
              <w:marBottom w:val="0"/>
              <w:divBdr>
                <w:top w:val="none" w:sz="0" w:space="0" w:color="auto"/>
                <w:left w:val="none" w:sz="0" w:space="0" w:color="auto"/>
                <w:bottom w:val="none" w:sz="0" w:space="0" w:color="auto"/>
                <w:right w:val="none" w:sz="0" w:space="0" w:color="auto"/>
              </w:divBdr>
            </w:div>
            <w:div w:id="1595555770">
              <w:marLeft w:val="0"/>
              <w:marRight w:val="0"/>
              <w:marTop w:val="0"/>
              <w:marBottom w:val="0"/>
              <w:divBdr>
                <w:top w:val="none" w:sz="0" w:space="0" w:color="auto"/>
                <w:left w:val="none" w:sz="0" w:space="0" w:color="auto"/>
                <w:bottom w:val="none" w:sz="0" w:space="0" w:color="auto"/>
                <w:right w:val="none" w:sz="0" w:space="0" w:color="auto"/>
              </w:divBdr>
            </w:div>
            <w:div w:id="1431970674">
              <w:marLeft w:val="0"/>
              <w:marRight w:val="0"/>
              <w:marTop w:val="0"/>
              <w:marBottom w:val="0"/>
              <w:divBdr>
                <w:top w:val="none" w:sz="0" w:space="0" w:color="auto"/>
                <w:left w:val="none" w:sz="0" w:space="0" w:color="auto"/>
                <w:bottom w:val="none" w:sz="0" w:space="0" w:color="auto"/>
                <w:right w:val="none" w:sz="0" w:space="0" w:color="auto"/>
              </w:divBdr>
            </w:div>
            <w:div w:id="1413284216">
              <w:marLeft w:val="0"/>
              <w:marRight w:val="0"/>
              <w:marTop w:val="0"/>
              <w:marBottom w:val="0"/>
              <w:divBdr>
                <w:top w:val="none" w:sz="0" w:space="0" w:color="auto"/>
                <w:left w:val="none" w:sz="0" w:space="0" w:color="auto"/>
                <w:bottom w:val="none" w:sz="0" w:space="0" w:color="auto"/>
                <w:right w:val="none" w:sz="0" w:space="0" w:color="auto"/>
              </w:divBdr>
            </w:div>
            <w:div w:id="1802268435">
              <w:marLeft w:val="0"/>
              <w:marRight w:val="0"/>
              <w:marTop w:val="0"/>
              <w:marBottom w:val="0"/>
              <w:divBdr>
                <w:top w:val="none" w:sz="0" w:space="0" w:color="auto"/>
                <w:left w:val="none" w:sz="0" w:space="0" w:color="auto"/>
                <w:bottom w:val="none" w:sz="0" w:space="0" w:color="auto"/>
                <w:right w:val="none" w:sz="0" w:space="0" w:color="auto"/>
              </w:divBdr>
            </w:div>
            <w:div w:id="1234201188">
              <w:marLeft w:val="0"/>
              <w:marRight w:val="0"/>
              <w:marTop w:val="0"/>
              <w:marBottom w:val="0"/>
              <w:divBdr>
                <w:top w:val="none" w:sz="0" w:space="0" w:color="auto"/>
                <w:left w:val="none" w:sz="0" w:space="0" w:color="auto"/>
                <w:bottom w:val="none" w:sz="0" w:space="0" w:color="auto"/>
                <w:right w:val="none" w:sz="0" w:space="0" w:color="auto"/>
              </w:divBdr>
            </w:div>
            <w:div w:id="404882790">
              <w:marLeft w:val="0"/>
              <w:marRight w:val="0"/>
              <w:marTop w:val="0"/>
              <w:marBottom w:val="0"/>
              <w:divBdr>
                <w:top w:val="none" w:sz="0" w:space="0" w:color="auto"/>
                <w:left w:val="none" w:sz="0" w:space="0" w:color="auto"/>
                <w:bottom w:val="none" w:sz="0" w:space="0" w:color="auto"/>
                <w:right w:val="none" w:sz="0" w:space="0" w:color="auto"/>
              </w:divBdr>
            </w:div>
            <w:div w:id="833498088">
              <w:marLeft w:val="0"/>
              <w:marRight w:val="0"/>
              <w:marTop w:val="0"/>
              <w:marBottom w:val="0"/>
              <w:divBdr>
                <w:top w:val="none" w:sz="0" w:space="0" w:color="auto"/>
                <w:left w:val="none" w:sz="0" w:space="0" w:color="auto"/>
                <w:bottom w:val="none" w:sz="0" w:space="0" w:color="auto"/>
                <w:right w:val="none" w:sz="0" w:space="0" w:color="auto"/>
              </w:divBdr>
            </w:div>
            <w:div w:id="1956785018">
              <w:marLeft w:val="0"/>
              <w:marRight w:val="0"/>
              <w:marTop w:val="0"/>
              <w:marBottom w:val="0"/>
              <w:divBdr>
                <w:top w:val="none" w:sz="0" w:space="0" w:color="auto"/>
                <w:left w:val="none" w:sz="0" w:space="0" w:color="auto"/>
                <w:bottom w:val="none" w:sz="0" w:space="0" w:color="auto"/>
                <w:right w:val="none" w:sz="0" w:space="0" w:color="auto"/>
              </w:divBdr>
            </w:div>
            <w:div w:id="3560373">
              <w:marLeft w:val="0"/>
              <w:marRight w:val="0"/>
              <w:marTop w:val="0"/>
              <w:marBottom w:val="0"/>
              <w:divBdr>
                <w:top w:val="none" w:sz="0" w:space="0" w:color="auto"/>
                <w:left w:val="none" w:sz="0" w:space="0" w:color="auto"/>
                <w:bottom w:val="none" w:sz="0" w:space="0" w:color="auto"/>
                <w:right w:val="none" w:sz="0" w:space="0" w:color="auto"/>
              </w:divBdr>
            </w:div>
            <w:div w:id="2028098446">
              <w:marLeft w:val="0"/>
              <w:marRight w:val="0"/>
              <w:marTop w:val="0"/>
              <w:marBottom w:val="0"/>
              <w:divBdr>
                <w:top w:val="none" w:sz="0" w:space="0" w:color="auto"/>
                <w:left w:val="none" w:sz="0" w:space="0" w:color="auto"/>
                <w:bottom w:val="none" w:sz="0" w:space="0" w:color="auto"/>
                <w:right w:val="none" w:sz="0" w:space="0" w:color="auto"/>
              </w:divBdr>
            </w:div>
            <w:div w:id="323358026">
              <w:marLeft w:val="0"/>
              <w:marRight w:val="0"/>
              <w:marTop w:val="0"/>
              <w:marBottom w:val="0"/>
              <w:divBdr>
                <w:top w:val="none" w:sz="0" w:space="0" w:color="auto"/>
                <w:left w:val="none" w:sz="0" w:space="0" w:color="auto"/>
                <w:bottom w:val="none" w:sz="0" w:space="0" w:color="auto"/>
                <w:right w:val="none" w:sz="0" w:space="0" w:color="auto"/>
              </w:divBdr>
            </w:div>
            <w:div w:id="1447236679">
              <w:marLeft w:val="0"/>
              <w:marRight w:val="0"/>
              <w:marTop w:val="0"/>
              <w:marBottom w:val="0"/>
              <w:divBdr>
                <w:top w:val="none" w:sz="0" w:space="0" w:color="auto"/>
                <w:left w:val="none" w:sz="0" w:space="0" w:color="auto"/>
                <w:bottom w:val="none" w:sz="0" w:space="0" w:color="auto"/>
                <w:right w:val="none" w:sz="0" w:space="0" w:color="auto"/>
              </w:divBdr>
            </w:div>
            <w:div w:id="1957443372">
              <w:marLeft w:val="0"/>
              <w:marRight w:val="0"/>
              <w:marTop w:val="0"/>
              <w:marBottom w:val="0"/>
              <w:divBdr>
                <w:top w:val="none" w:sz="0" w:space="0" w:color="auto"/>
                <w:left w:val="none" w:sz="0" w:space="0" w:color="auto"/>
                <w:bottom w:val="none" w:sz="0" w:space="0" w:color="auto"/>
                <w:right w:val="none" w:sz="0" w:space="0" w:color="auto"/>
              </w:divBdr>
            </w:div>
            <w:div w:id="959409883">
              <w:marLeft w:val="0"/>
              <w:marRight w:val="0"/>
              <w:marTop w:val="0"/>
              <w:marBottom w:val="0"/>
              <w:divBdr>
                <w:top w:val="none" w:sz="0" w:space="0" w:color="auto"/>
                <w:left w:val="none" w:sz="0" w:space="0" w:color="auto"/>
                <w:bottom w:val="none" w:sz="0" w:space="0" w:color="auto"/>
                <w:right w:val="none" w:sz="0" w:space="0" w:color="auto"/>
              </w:divBdr>
            </w:div>
            <w:div w:id="1805271308">
              <w:marLeft w:val="0"/>
              <w:marRight w:val="0"/>
              <w:marTop w:val="0"/>
              <w:marBottom w:val="0"/>
              <w:divBdr>
                <w:top w:val="none" w:sz="0" w:space="0" w:color="auto"/>
                <w:left w:val="none" w:sz="0" w:space="0" w:color="auto"/>
                <w:bottom w:val="none" w:sz="0" w:space="0" w:color="auto"/>
                <w:right w:val="none" w:sz="0" w:space="0" w:color="auto"/>
              </w:divBdr>
            </w:div>
            <w:div w:id="283197517">
              <w:marLeft w:val="0"/>
              <w:marRight w:val="0"/>
              <w:marTop w:val="0"/>
              <w:marBottom w:val="0"/>
              <w:divBdr>
                <w:top w:val="none" w:sz="0" w:space="0" w:color="auto"/>
                <w:left w:val="none" w:sz="0" w:space="0" w:color="auto"/>
                <w:bottom w:val="none" w:sz="0" w:space="0" w:color="auto"/>
                <w:right w:val="none" w:sz="0" w:space="0" w:color="auto"/>
              </w:divBdr>
            </w:div>
            <w:div w:id="1796559446">
              <w:marLeft w:val="0"/>
              <w:marRight w:val="0"/>
              <w:marTop w:val="0"/>
              <w:marBottom w:val="0"/>
              <w:divBdr>
                <w:top w:val="none" w:sz="0" w:space="0" w:color="auto"/>
                <w:left w:val="none" w:sz="0" w:space="0" w:color="auto"/>
                <w:bottom w:val="none" w:sz="0" w:space="0" w:color="auto"/>
                <w:right w:val="none" w:sz="0" w:space="0" w:color="auto"/>
              </w:divBdr>
            </w:div>
            <w:div w:id="1415587791">
              <w:marLeft w:val="0"/>
              <w:marRight w:val="0"/>
              <w:marTop w:val="0"/>
              <w:marBottom w:val="0"/>
              <w:divBdr>
                <w:top w:val="none" w:sz="0" w:space="0" w:color="auto"/>
                <w:left w:val="none" w:sz="0" w:space="0" w:color="auto"/>
                <w:bottom w:val="none" w:sz="0" w:space="0" w:color="auto"/>
                <w:right w:val="none" w:sz="0" w:space="0" w:color="auto"/>
              </w:divBdr>
            </w:div>
            <w:div w:id="1201285121">
              <w:marLeft w:val="0"/>
              <w:marRight w:val="0"/>
              <w:marTop w:val="0"/>
              <w:marBottom w:val="0"/>
              <w:divBdr>
                <w:top w:val="none" w:sz="0" w:space="0" w:color="auto"/>
                <w:left w:val="none" w:sz="0" w:space="0" w:color="auto"/>
                <w:bottom w:val="none" w:sz="0" w:space="0" w:color="auto"/>
                <w:right w:val="none" w:sz="0" w:space="0" w:color="auto"/>
              </w:divBdr>
            </w:div>
            <w:div w:id="1149634457">
              <w:marLeft w:val="0"/>
              <w:marRight w:val="0"/>
              <w:marTop w:val="0"/>
              <w:marBottom w:val="0"/>
              <w:divBdr>
                <w:top w:val="none" w:sz="0" w:space="0" w:color="auto"/>
                <w:left w:val="none" w:sz="0" w:space="0" w:color="auto"/>
                <w:bottom w:val="none" w:sz="0" w:space="0" w:color="auto"/>
                <w:right w:val="none" w:sz="0" w:space="0" w:color="auto"/>
              </w:divBdr>
            </w:div>
            <w:div w:id="294213927">
              <w:marLeft w:val="0"/>
              <w:marRight w:val="0"/>
              <w:marTop w:val="0"/>
              <w:marBottom w:val="0"/>
              <w:divBdr>
                <w:top w:val="none" w:sz="0" w:space="0" w:color="auto"/>
                <w:left w:val="none" w:sz="0" w:space="0" w:color="auto"/>
                <w:bottom w:val="none" w:sz="0" w:space="0" w:color="auto"/>
                <w:right w:val="none" w:sz="0" w:space="0" w:color="auto"/>
              </w:divBdr>
            </w:div>
            <w:div w:id="1084494374">
              <w:marLeft w:val="0"/>
              <w:marRight w:val="0"/>
              <w:marTop w:val="0"/>
              <w:marBottom w:val="0"/>
              <w:divBdr>
                <w:top w:val="none" w:sz="0" w:space="0" w:color="auto"/>
                <w:left w:val="none" w:sz="0" w:space="0" w:color="auto"/>
                <w:bottom w:val="none" w:sz="0" w:space="0" w:color="auto"/>
                <w:right w:val="none" w:sz="0" w:space="0" w:color="auto"/>
              </w:divBdr>
            </w:div>
            <w:div w:id="1422219428">
              <w:marLeft w:val="0"/>
              <w:marRight w:val="0"/>
              <w:marTop w:val="0"/>
              <w:marBottom w:val="0"/>
              <w:divBdr>
                <w:top w:val="none" w:sz="0" w:space="0" w:color="auto"/>
                <w:left w:val="none" w:sz="0" w:space="0" w:color="auto"/>
                <w:bottom w:val="none" w:sz="0" w:space="0" w:color="auto"/>
                <w:right w:val="none" w:sz="0" w:space="0" w:color="auto"/>
              </w:divBdr>
            </w:div>
            <w:div w:id="779186981">
              <w:marLeft w:val="0"/>
              <w:marRight w:val="0"/>
              <w:marTop w:val="0"/>
              <w:marBottom w:val="0"/>
              <w:divBdr>
                <w:top w:val="none" w:sz="0" w:space="0" w:color="auto"/>
                <w:left w:val="none" w:sz="0" w:space="0" w:color="auto"/>
                <w:bottom w:val="none" w:sz="0" w:space="0" w:color="auto"/>
                <w:right w:val="none" w:sz="0" w:space="0" w:color="auto"/>
              </w:divBdr>
            </w:div>
            <w:div w:id="2046590361">
              <w:marLeft w:val="0"/>
              <w:marRight w:val="0"/>
              <w:marTop w:val="0"/>
              <w:marBottom w:val="0"/>
              <w:divBdr>
                <w:top w:val="none" w:sz="0" w:space="0" w:color="auto"/>
                <w:left w:val="none" w:sz="0" w:space="0" w:color="auto"/>
                <w:bottom w:val="none" w:sz="0" w:space="0" w:color="auto"/>
                <w:right w:val="none" w:sz="0" w:space="0" w:color="auto"/>
              </w:divBdr>
            </w:div>
            <w:div w:id="235480204">
              <w:marLeft w:val="0"/>
              <w:marRight w:val="0"/>
              <w:marTop w:val="0"/>
              <w:marBottom w:val="0"/>
              <w:divBdr>
                <w:top w:val="none" w:sz="0" w:space="0" w:color="auto"/>
                <w:left w:val="none" w:sz="0" w:space="0" w:color="auto"/>
                <w:bottom w:val="none" w:sz="0" w:space="0" w:color="auto"/>
                <w:right w:val="none" w:sz="0" w:space="0" w:color="auto"/>
              </w:divBdr>
            </w:div>
            <w:div w:id="362900870">
              <w:marLeft w:val="0"/>
              <w:marRight w:val="0"/>
              <w:marTop w:val="0"/>
              <w:marBottom w:val="0"/>
              <w:divBdr>
                <w:top w:val="none" w:sz="0" w:space="0" w:color="auto"/>
                <w:left w:val="none" w:sz="0" w:space="0" w:color="auto"/>
                <w:bottom w:val="none" w:sz="0" w:space="0" w:color="auto"/>
                <w:right w:val="none" w:sz="0" w:space="0" w:color="auto"/>
              </w:divBdr>
            </w:div>
            <w:div w:id="1279022231">
              <w:marLeft w:val="0"/>
              <w:marRight w:val="0"/>
              <w:marTop w:val="0"/>
              <w:marBottom w:val="0"/>
              <w:divBdr>
                <w:top w:val="none" w:sz="0" w:space="0" w:color="auto"/>
                <w:left w:val="none" w:sz="0" w:space="0" w:color="auto"/>
                <w:bottom w:val="none" w:sz="0" w:space="0" w:color="auto"/>
                <w:right w:val="none" w:sz="0" w:space="0" w:color="auto"/>
              </w:divBdr>
            </w:div>
            <w:div w:id="1453406446">
              <w:marLeft w:val="0"/>
              <w:marRight w:val="0"/>
              <w:marTop w:val="0"/>
              <w:marBottom w:val="0"/>
              <w:divBdr>
                <w:top w:val="none" w:sz="0" w:space="0" w:color="auto"/>
                <w:left w:val="none" w:sz="0" w:space="0" w:color="auto"/>
                <w:bottom w:val="none" w:sz="0" w:space="0" w:color="auto"/>
                <w:right w:val="none" w:sz="0" w:space="0" w:color="auto"/>
              </w:divBdr>
            </w:div>
            <w:div w:id="347800551">
              <w:marLeft w:val="0"/>
              <w:marRight w:val="0"/>
              <w:marTop w:val="0"/>
              <w:marBottom w:val="0"/>
              <w:divBdr>
                <w:top w:val="none" w:sz="0" w:space="0" w:color="auto"/>
                <w:left w:val="none" w:sz="0" w:space="0" w:color="auto"/>
                <w:bottom w:val="none" w:sz="0" w:space="0" w:color="auto"/>
                <w:right w:val="none" w:sz="0" w:space="0" w:color="auto"/>
              </w:divBdr>
            </w:div>
          </w:divsChild>
        </w:div>
        <w:div w:id="1545630610">
          <w:marLeft w:val="0"/>
          <w:marRight w:val="0"/>
          <w:marTop w:val="0"/>
          <w:marBottom w:val="0"/>
          <w:divBdr>
            <w:top w:val="none" w:sz="0" w:space="0" w:color="auto"/>
            <w:left w:val="none" w:sz="0" w:space="0" w:color="auto"/>
            <w:bottom w:val="none" w:sz="0" w:space="0" w:color="auto"/>
            <w:right w:val="none" w:sz="0" w:space="0" w:color="auto"/>
          </w:divBdr>
        </w:div>
        <w:div w:id="1329599742">
          <w:marLeft w:val="0"/>
          <w:marRight w:val="0"/>
          <w:marTop w:val="0"/>
          <w:marBottom w:val="0"/>
          <w:divBdr>
            <w:top w:val="none" w:sz="0" w:space="0" w:color="auto"/>
            <w:left w:val="none" w:sz="0" w:space="0" w:color="auto"/>
            <w:bottom w:val="none" w:sz="0" w:space="0" w:color="auto"/>
            <w:right w:val="none" w:sz="0" w:space="0" w:color="auto"/>
          </w:divBdr>
        </w:div>
        <w:div w:id="1610045183">
          <w:marLeft w:val="0"/>
          <w:marRight w:val="0"/>
          <w:marTop w:val="0"/>
          <w:marBottom w:val="0"/>
          <w:divBdr>
            <w:top w:val="none" w:sz="0" w:space="0" w:color="auto"/>
            <w:left w:val="none" w:sz="0" w:space="0" w:color="auto"/>
            <w:bottom w:val="none" w:sz="0" w:space="0" w:color="auto"/>
            <w:right w:val="none" w:sz="0" w:space="0" w:color="auto"/>
          </w:divBdr>
        </w:div>
        <w:div w:id="108357227">
          <w:marLeft w:val="0"/>
          <w:marRight w:val="0"/>
          <w:marTop w:val="0"/>
          <w:marBottom w:val="0"/>
          <w:divBdr>
            <w:top w:val="none" w:sz="0" w:space="0" w:color="auto"/>
            <w:left w:val="none" w:sz="0" w:space="0" w:color="auto"/>
            <w:bottom w:val="none" w:sz="0" w:space="0" w:color="auto"/>
            <w:right w:val="none" w:sz="0" w:space="0" w:color="auto"/>
          </w:divBdr>
        </w:div>
        <w:div w:id="835269810">
          <w:marLeft w:val="0"/>
          <w:marRight w:val="0"/>
          <w:marTop w:val="0"/>
          <w:marBottom w:val="0"/>
          <w:divBdr>
            <w:top w:val="none" w:sz="0" w:space="0" w:color="auto"/>
            <w:left w:val="none" w:sz="0" w:space="0" w:color="auto"/>
            <w:bottom w:val="none" w:sz="0" w:space="0" w:color="auto"/>
            <w:right w:val="none" w:sz="0" w:space="0" w:color="auto"/>
          </w:divBdr>
          <w:divsChild>
            <w:div w:id="1208293639">
              <w:marLeft w:val="0"/>
              <w:marRight w:val="0"/>
              <w:marTop w:val="0"/>
              <w:marBottom w:val="0"/>
              <w:divBdr>
                <w:top w:val="none" w:sz="0" w:space="0" w:color="auto"/>
                <w:left w:val="none" w:sz="0" w:space="0" w:color="auto"/>
                <w:bottom w:val="none" w:sz="0" w:space="0" w:color="auto"/>
                <w:right w:val="none" w:sz="0" w:space="0" w:color="auto"/>
              </w:divBdr>
            </w:div>
            <w:div w:id="878469596">
              <w:marLeft w:val="0"/>
              <w:marRight w:val="0"/>
              <w:marTop w:val="0"/>
              <w:marBottom w:val="0"/>
              <w:divBdr>
                <w:top w:val="none" w:sz="0" w:space="0" w:color="auto"/>
                <w:left w:val="none" w:sz="0" w:space="0" w:color="auto"/>
                <w:bottom w:val="none" w:sz="0" w:space="0" w:color="auto"/>
                <w:right w:val="none" w:sz="0" w:space="0" w:color="auto"/>
              </w:divBdr>
            </w:div>
            <w:div w:id="1820340020">
              <w:marLeft w:val="0"/>
              <w:marRight w:val="0"/>
              <w:marTop w:val="0"/>
              <w:marBottom w:val="0"/>
              <w:divBdr>
                <w:top w:val="none" w:sz="0" w:space="0" w:color="auto"/>
                <w:left w:val="none" w:sz="0" w:space="0" w:color="auto"/>
                <w:bottom w:val="none" w:sz="0" w:space="0" w:color="auto"/>
                <w:right w:val="none" w:sz="0" w:space="0" w:color="auto"/>
              </w:divBdr>
            </w:div>
            <w:div w:id="1655835389">
              <w:marLeft w:val="0"/>
              <w:marRight w:val="0"/>
              <w:marTop w:val="0"/>
              <w:marBottom w:val="0"/>
              <w:divBdr>
                <w:top w:val="none" w:sz="0" w:space="0" w:color="auto"/>
                <w:left w:val="none" w:sz="0" w:space="0" w:color="auto"/>
                <w:bottom w:val="none" w:sz="0" w:space="0" w:color="auto"/>
                <w:right w:val="none" w:sz="0" w:space="0" w:color="auto"/>
              </w:divBdr>
            </w:div>
          </w:divsChild>
        </w:div>
        <w:div w:id="964383114">
          <w:marLeft w:val="0"/>
          <w:marRight w:val="0"/>
          <w:marTop w:val="0"/>
          <w:marBottom w:val="0"/>
          <w:divBdr>
            <w:top w:val="none" w:sz="0" w:space="0" w:color="auto"/>
            <w:left w:val="none" w:sz="0" w:space="0" w:color="auto"/>
            <w:bottom w:val="none" w:sz="0" w:space="0" w:color="auto"/>
            <w:right w:val="none" w:sz="0" w:space="0" w:color="auto"/>
          </w:divBdr>
          <w:divsChild>
            <w:div w:id="678502621">
              <w:marLeft w:val="0"/>
              <w:marRight w:val="0"/>
              <w:marTop w:val="0"/>
              <w:marBottom w:val="0"/>
              <w:divBdr>
                <w:top w:val="none" w:sz="0" w:space="0" w:color="auto"/>
                <w:left w:val="none" w:sz="0" w:space="0" w:color="auto"/>
                <w:bottom w:val="none" w:sz="0" w:space="0" w:color="auto"/>
                <w:right w:val="none" w:sz="0" w:space="0" w:color="auto"/>
              </w:divBdr>
            </w:div>
            <w:div w:id="1632445422">
              <w:marLeft w:val="0"/>
              <w:marRight w:val="0"/>
              <w:marTop w:val="0"/>
              <w:marBottom w:val="0"/>
              <w:divBdr>
                <w:top w:val="none" w:sz="0" w:space="0" w:color="auto"/>
                <w:left w:val="none" w:sz="0" w:space="0" w:color="auto"/>
                <w:bottom w:val="none" w:sz="0" w:space="0" w:color="auto"/>
                <w:right w:val="none" w:sz="0" w:space="0" w:color="auto"/>
              </w:divBdr>
            </w:div>
            <w:div w:id="2068453271">
              <w:marLeft w:val="0"/>
              <w:marRight w:val="0"/>
              <w:marTop w:val="0"/>
              <w:marBottom w:val="0"/>
              <w:divBdr>
                <w:top w:val="none" w:sz="0" w:space="0" w:color="auto"/>
                <w:left w:val="none" w:sz="0" w:space="0" w:color="auto"/>
                <w:bottom w:val="none" w:sz="0" w:space="0" w:color="auto"/>
                <w:right w:val="none" w:sz="0" w:space="0" w:color="auto"/>
              </w:divBdr>
            </w:div>
            <w:div w:id="233318235">
              <w:marLeft w:val="0"/>
              <w:marRight w:val="0"/>
              <w:marTop w:val="0"/>
              <w:marBottom w:val="0"/>
              <w:divBdr>
                <w:top w:val="none" w:sz="0" w:space="0" w:color="auto"/>
                <w:left w:val="none" w:sz="0" w:space="0" w:color="auto"/>
                <w:bottom w:val="none" w:sz="0" w:space="0" w:color="auto"/>
                <w:right w:val="none" w:sz="0" w:space="0" w:color="auto"/>
              </w:divBdr>
            </w:div>
            <w:div w:id="1525368209">
              <w:marLeft w:val="0"/>
              <w:marRight w:val="0"/>
              <w:marTop w:val="0"/>
              <w:marBottom w:val="0"/>
              <w:divBdr>
                <w:top w:val="none" w:sz="0" w:space="0" w:color="auto"/>
                <w:left w:val="none" w:sz="0" w:space="0" w:color="auto"/>
                <w:bottom w:val="none" w:sz="0" w:space="0" w:color="auto"/>
                <w:right w:val="none" w:sz="0" w:space="0" w:color="auto"/>
              </w:divBdr>
            </w:div>
            <w:div w:id="1705984874">
              <w:marLeft w:val="0"/>
              <w:marRight w:val="0"/>
              <w:marTop w:val="0"/>
              <w:marBottom w:val="0"/>
              <w:divBdr>
                <w:top w:val="none" w:sz="0" w:space="0" w:color="auto"/>
                <w:left w:val="none" w:sz="0" w:space="0" w:color="auto"/>
                <w:bottom w:val="none" w:sz="0" w:space="0" w:color="auto"/>
                <w:right w:val="none" w:sz="0" w:space="0" w:color="auto"/>
              </w:divBdr>
            </w:div>
            <w:div w:id="1530341148">
              <w:marLeft w:val="0"/>
              <w:marRight w:val="0"/>
              <w:marTop w:val="0"/>
              <w:marBottom w:val="0"/>
              <w:divBdr>
                <w:top w:val="none" w:sz="0" w:space="0" w:color="auto"/>
                <w:left w:val="none" w:sz="0" w:space="0" w:color="auto"/>
                <w:bottom w:val="none" w:sz="0" w:space="0" w:color="auto"/>
                <w:right w:val="none" w:sz="0" w:space="0" w:color="auto"/>
              </w:divBdr>
            </w:div>
            <w:div w:id="1971203411">
              <w:marLeft w:val="0"/>
              <w:marRight w:val="0"/>
              <w:marTop w:val="0"/>
              <w:marBottom w:val="0"/>
              <w:divBdr>
                <w:top w:val="none" w:sz="0" w:space="0" w:color="auto"/>
                <w:left w:val="none" w:sz="0" w:space="0" w:color="auto"/>
                <w:bottom w:val="none" w:sz="0" w:space="0" w:color="auto"/>
                <w:right w:val="none" w:sz="0" w:space="0" w:color="auto"/>
              </w:divBdr>
            </w:div>
            <w:div w:id="1646663156">
              <w:marLeft w:val="0"/>
              <w:marRight w:val="0"/>
              <w:marTop w:val="0"/>
              <w:marBottom w:val="0"/>
              <w:divBdr>
                <w:top w:val="none" w:sz="0" w:space="0" w:color="auto"/>
                <w:left w:val="none" w:sz="0" w:space="0" w:color="auto"/>
                <w:bottom w:val="none" w:sz="0" w:space="0" w:color="auto"/>
                <w:right w:val="none" w:sz="0" w:space="0" w:color="auto"/>
              </w:divBdr>
            </w:div>
            <w:div w:id="1201354996">
              <w:marLeft w:val="0"/>
              <w:marRight w:val="0"/>
              <w:marTop w:val="0"/>
              <w:marBottom w:val="0"/>
              <w:divBdr>
                <w:top w:val="none" w:sz="0" w:space="0" w:color="auto"/>
                <w:left w:val="none" w:sz="0" w:space="0" w:color="auto"/>
                <w:bottom w:val="none" w:sz="0" w:space="0" w:color="auto"/>
                <w:right w:val="none" w:sz="0" w:space="0" w:color="auto"/>
              </w:divBdr>
            </w:div>
            <w:div w:id="63380488">
              <w:marLeft w:val="0"/>
              <w:marRight w:val="0"/>
              <w:marTop w:val="0"/>
              <w:marBottom w:val="0"/>
              <w:divBdr>
                <w:top w:val="none" w:sz="0" w:space="0" w:color="auto"/>
                <w:left w:val="none" w:sz="0" w:space="0" w:color="auto"/>
                <w:bottom w:val="none" w:sz="0" w:space="0" w:color="auto"/>
                <w:right w:val="none" w:sz="0" w:space="0" w:color="auto"/>
              </w:divBdr>
            </w:div>
            <w:div w:id="1772703319">
              <w:marLeft w:val="0"/>
              <w:marRight w:val="0"/>
              <w:marTop w:val="0"/>
              <w:marBottom w:val="0"/>
              <w:divBdr>
                <w:top w:val="none" w:sz="0" w:space="0" w:color="auto"/>
                <w:left w:val="none" w:sz="0" w:space="0" w:color="auto"/>
                <w:bottom w:val="none" w:sz="0" w:space="0" w:color="auto"/>
                <w:right w:val="none" w:sz="0" w:space="0" w:color="auto"/>
              </w:divBdr>
            </w:div>
            <w:div w:id="274362026">
              <w:marLeft w:val="0"/>
              <w:marRight w:val="0"/>
              <w:marTop w:val="0"/>
              <w:marBottom w:val="0"/>
              <w:divBdr>
                <w:top w:val="none" w:sz="0" w:space="0" w:color="auto"/>
                <w:left w:val="none" w:sz="0" w:space="0" w:color="auto"/>
                <w:bottom w:val="none" w:sz="0" w:space="0" w:color="auto"/>
                <w:right w:val="none" w:sz="0" w:space="0" w:color="auto"/>
              </w:divBdr>
            </w:div>
            <w:div w:id="582645777">
              <w:marLeft w:val="0"/>
              <w:marRight w:val="0"/>
              <w:marTop w:val="0"/>
              <w:marBottom w:val="0"/>
              <w:divBdr>
                <w:top w:val="none" w:sz="0" w:space="0" w:color="auto"/>
                <w:left w:val="none" w:sz="0" w:space="0" w:color="auto"/>
                <w:bottom w:val="none" w:sz="0" w:space="0" w:color="auto"/>
                <w:right w:val="none" w:sz="0" w:space="0" w:color="auto"/>
              </w:divBdr>
            </w:div>
            <w:div w:id="1060204556">
              <w:marLeft w:val="0"/>
              <w:marRight w:val="0"/>
              <w:marTop w:val="0"/>
              <w:marBottom w:val="0"/>
              <w:divBdr>
                <w:top w:val="none" w:sz="0" w:space="0" w:color="auto"/>
                <w:left w:val="none" w:sz="0" w:space="0" w:color="auto"/>
                <w:bottom w:val="none" w:sz="0" w:space="0" w:color="auto"/>
                <w:right w:val="none" w:sz="0" w:space="0" w:color="auto"/>
              </w:divBdr>
            </w:div>
            <w:div w:id="613637288">
              <w:marLeft w:val="0"/>
              <w:marRight w:val="0"/>
              <w:marTop w:val="0"/>
              <w:marBottom w:val="0"/>
              <w:divBdr>
                <w:top w:val="none" w:sz="0" w:space="0" w:color="auto"/>
                <w:left w:val="none" w:sz="0" w:space="0" w:color="auto"/>
                <w:bottom w:val="none" w:sz="0" w:space="0" w:color="auto"/>
                <w:right w:val="none" w:sz="0" w:space="0" w:color="auto"/>
              </w:divBdr>
            </w:div>
            <w:div w:id="1141113316">
              <w:marLeft w:val="0"/>
              <w:marRight w:val="0"/>
              <w:marTop w:val="0"/>
              <w:marBottom w:val="0"/>
              <w:divBdr>
                <w:top w:val="none" w:sz="0" w:space="0" w:color="auto"/>
                <w:left w:val="none" w:sz="0" w:space="0" w:color="auto"/>
                <w:bottom w:val="none" w:sz="0" w:space="0" w:color="auto"/>
                <w:right w:val="none" w:sz="0" w:space="0" w:color="auto"/>
              </w:divBdr>
            </w:div>
            <w:div w:id="431242714">
              <w:marLeft w:val="0"/>
              <w:marRight w:val="0"/>
              <w:marTop w:val="0"/>
              <w:marBottom w:val="0"/>
              <w:divBdr>
                <w:top w:val="none" w:sz="0" w:space="0" w:color="auto"/>
                <w:left w:val="none" w:sz="0" w:space="0" w:color="auto"/>
                <w:bottom w:val="none" w:sz="0" w:space="0" w:color="auto"/>
                <w:right w:val="none" w:sz="0" w:space="0" w:color="auto"/>
              </w:divBdr>
            </w:div>
          </w:divsChild>
        </w:div>
        <w:div w:id="1305625913">
          <w:marLeft w:val="0"/>
          <w:marRight w:val="0"/>
          <w:marTop w:val="0"/>
          <w:marBottom w:val="0"/>
          <w:divBdr>
            <w:top w:val="none" w:sz="0" w:space="0" w:color="auto"/>
            <w:left w:val="none" w:sz="0" w:space="0" w:color="auto"/>
            <w:bottom w:val="none" w:sz="0" w:space="0" w:color="auto"/>
            <w:right w:val="none" w:sz="0" w:space="0" w:color="auto"/>
          </w:divBdr>
        </w:div>
        <w:div w:id="1522888627">
          <w:marLeft w:val="0"/>
          <w:marRight w:val="0"/>
          <w:marTop w:val="0"/>
          <w:marBottom w:val="0"/>
          <w:divBdr>
            <w:top w:val="none" w:sz="0" w:space="0" w:color="auto"/>
            <w:left w:val="none" w:sz="0" w:space="0" w:color="auto"/>
            <w:bottom w:val="none" w:sz="0" w:space="0" w:color="auto"/>
            <w:right w:val="none" w:sz="0" w:space="0" w:color="auto"/>
          </w:divBdr>
        </w:div>
        <w:div w:id="19362017">
          <w:marLeft w:val="0"/>
          <w:marRight w:val="0"/>
          <w:marTop w:val="0"/>
          <w:marBottom w:val="0"/>
          <w:divBdr>
            <w:top w:val="none" w:sz="0" w:space="0" w:color="auto"/>
            <w:left w:val="none" w:sz="0" w:space="0" w:color="auto"/>
            <w:bottom w:val="none" w:sz="0" w:space="0" w:color="auto"/>
            <w:right w:val="none" w:sz="0" w:space="0" w:color="auto"/>
          </w:divBdr>
        </w:div>
        <w:div w:id="2016807718">
          <w:marLeft w:val="0"/>
          <w:marRight w:val="0"/>
          <w:marTop w:val="0"/>
          <w:marBottom w:val="0"/>
          <w:divBdr>
            <w:top w:val="none" w:sz="0" w:space="0" w:color="auto"/>
            <w:left w:val="none" w:sz="0" w:space="0" w:color="auto"/>
            <w:bottom w:val="none" w:sz="0" w:space="0" w:color="auto"/>
            <w:right w:val="none" w:sz="0" w:space="0" w:color="auto"/>
          </w:divBdr>
        </w:div>
        <w:div w:id="793405854">
          <w:marLeft w:val="0"/>
          <w:marRight w:val="0"/>
          <w:marTop w:val="0"/>
          <w:marBottom w:val="0"/>
          <w:divBdr>
            <w:top w:val="none" w:sz="0" w:space="0" w:color="auto"/>
            <w:left w:val="none" w:sz="0" w:space="0" w:color="auto"/>
            <w:bottom w:val="none" w:sz="0" w:space="0" w:color="auto"/>
            <w:right w:val="none" w:sz="0" w:space="0" w:color="auto"/>
          </w:divBdr>
        </w:div>
        <w:div w:id="1313413185">
          <w:marLeft w:val="0"/>
          <w:marRight w:val="0"/>
          <w:marTop w:val="0"/>
          <w:marBottom w:val="0"/>
          <w:divBdr>
            <w:top w:val="none" w:sz="0" w:space="0" w:color="auto"/>
            <w:left w:val="none" w:sz="0" w:space="0" w:color="auto"/>
            <w:bottom w:val="none" w:sz="0" w:space="0" w:color="auto"/>
            <w:right w:val="none" w:sz="0" w:space="0" w:color="auto"/>
          </w:divBdr>
          <w:divsChild>
            <w:div w:id="1782261442">
              <w:marLeft w:val="0"/>
              <w:marRight w:val="0"/>
              <w:marTop w:val="0"/>
              <w:marBottom w:val="0"/>
              <w:divBdr>
                <w:top w:val="none" w:sz="0" w:space="0" w:color="auto"/>
                <w:left w:val="none" w:sz="0" w:space="0" w:color="auto"/>
                <w:bottom w:val="none" w:sz="0" w:space="0" w:color="auto"/>
                <w:right w:val="none" w:sz="0" w:space="0" w:color="auto"/>
              </w:divBdr>
            </w:div>
            <w:div w:id="2118207270">
              <w:marLeft w:val="0"/>
              <w:marRight w:val="0"/>
              <w:marTop w:val="0"/>
              <w:marBottom w:val="0"/>
              <w:divBdr>
                <w:top w:val="none" w:sz="0" w:space="0" w:color="auto"/>
                <w:left w:val="none" w:sz="0" w:space="0" w:color="auto"/>
                <w:bottom w:val="none" w:sz="0" w:space="0" w:color="auto"/>
                <w:right w:val="none" w:sz="0" w:space="0" w:color="auto"/>
              </w:divBdr>
            </w:div>
            <w:div w:id="591162628">
              <w:marLeft w:val="0"/>
              <w:marRight w:val="0"/>
              <w:marTop w:val="0"/>
              <w:marBottom w:val="0"/>
              <w:divBdr>
                <w:top w:val="none" w:sz="0" w:space="0" w:color="auto"/>
                <w:left w:val="none" w:sz="0" w:space="0" w:color="auto"/>
                <w:bottom w:val="none" w:sz="0" w:space="0" w:color="auto"/>
                <w:right w:val="none" w:sz="0" w:space="0" w:color="auto"/>
              </w:divBdr>
            </w:div>
            <w:div w:id="1606693711">
              <w:marLeft w:val="0"/>
              <w:marRight w:val="0"/>
              <w:marTop w:val="0"/>
              <w:marBottom w:val="0"/>
              <w:divBdr>
                <w:top w:val="none" w:sz="0" w:space="0" w:color="auto"/>
                <w:left w:val="none" w:sz="0" w:space="0" w:color="auto"/>
                <w:bottom w:val="none" w:sz="0" w:space="0" w:color="auto"/>
                <w:right w:val="none" w:sz="0" w:space="0" w:color="auto"/>
              </w:divBdr>
            </w:div>
            <w:div w:id="1963420179">
              <w:marLeft w:val="0"/>
              <w:marRight w:val="0"/>
              <w:marTop w:val="0"/>
              <w:marBottom w:val="0"/>
              <w:divBdr>
                <w:top w:val="none" w:sz="0" w:space="0" w:color="auto"/>
                <w:left w:val="none" w:sz="0" w:space="0" w:color="auto"/>
                <w:bottom w:val="none" w:sz="0" w:space="0" w:color="auto"/>
                <w:right w:val="none" w:sz="0" w:space="0" w:color="auto"/>
              </w:divBdr>
            </w:div>
            <w:div w:id="98726381">
              <w:marLeft w:val="0"/>
              <w:marRight w:val="0"/>
              <w:marTop w:val="0"/>
              <w:marBottom w:val="0"/>
              <w:divBdr>
                <w:top w:val="none" w:sz="0" w:space="0" w:color="auto"/>
                <w:left w:val="none" w:sz="0" w:space="0" w:color="auto"/>
                <w:bottom w:val="none" w:sz="0" w:space="0" w:color="auto"/>
                <w:right w:val="none" w:sz="0" w:space="0" w:color="auto"/>
              </w:divBdr>
            </w:div>
            <w:div w:id="1200438725">
              <w:marLeft w:val="0"/>
              <w:marRight w:val="0"/>
              <w:marTop w:val="0"/>
              <w:marBottom w:val="0"/>
              <w:divBdr>
                <w:top w:val="none" w:sz="0" w:space="0" w:color="auto"/>
                <w:left w:val="none" w:sz="0" w:space="0" w:color="auto"/>
                <w:bottom w:val="none" w:sz="0" w:space="0" w:color="auto"/>
                <w:right w:val="none" w:sz="0" w:space="0" w:color="auto"/>
              </w:divBdr>
            </w:div>
            <w:div w:id="948197530">
              <w:marLeft w:val="0"/>
              <w:marRight w:val="0"/>
              <w:marTop w:val="0"/>
              <w:marBottom w:val="0"/>
              <w:divBdr>
                <w:top w:val="none" w:sz="0" w:space="0" w:color="auto"/>
                <w:left w:val="none" w:sz="0" w:space="0" w:color="auto"/>
                <w:bottom w:val="none" w:sz="0" w:space="0" w:color="auto"/>
                <w:right w:val="none" w:sz="0" w:space="0" w:color="auto"/>
              </w:divBdr>
            </w:div>
          </w:divsChild>
        </w:div>
        <w:div w:id="2008827952">
          <w:marLeft w:val="0"/>
          <w:marRight w:val="0"/>
          <w:marTop w:val="0"/>
          <w:marBottom w:val="0"/>
          <w:divBdr>
            <w:top w:val="none" w:sz="0" w:space="0" w:color="auto"/>
            <w:left w:val="none" w:sz="0" w:space="0" w:color="auto"/>
            <w:bottom w:val="none" w:sz="0" w:space="0" w:color="auto"/>
            <w:right w:val="none" w:sz="0" w:space="0" w:color="auto"/>
          </w:divBdr>
        </w:div>
        <w:div w:id="1260025260">
          <w:marLeft w:val="0"/>
          <w:marRight w:val="0"/>
          <w:marTop w:val="0"/>
          <w:marBottom w:val="0"/>
          <w:divBdr>
            <w:top w:val="none" w:sz="0" w:space="0" w:color="auto"/>
            <w:left w:val="none" w:sz="0" w:space="0" w:color="auto"/>
            <w:bottom w:val="none" w:sz="0" w:space="0" w:color="auto"/>
            <w:right w:val="none" w:sz="0" w:space="0" w:color="auto"/>
          </w:divBdr>
        </w:div>
        <w:div w:id="1590194313">
          <w:marLeft w:val="0"/>
          <w:marRight w:val="0"/>
          <w:marTop w:val="0"/>
          <w:marBottom w:val="0"/>
          <w:divBdr>
            <w:top w:val="none" w:sz="0" w:space="0" w:color="auto"/>
            <w:left w:val="none" w:sz="0" w:space="0" w:color="auto"/>
            <w:bottom w:val="none" w:sz="0" w:space="0" w:color="auto"/>
            <w:right w:val="none" w:sz="0" w:space="0" w:color="auto"/>
          </w:divBdr>
        </w:div>
        <w:div w:id="142284721">
          <w:marLeft w:val="0"/>
          <w:marRight w:val="0"/>
          <w:marTop w:val="0"/>
          <w:marBottom w:val="0"/>
          <w:divBdr>
            <w:top w:val="none" w:sz="0" w:space="0" w:color="auto"/>
            <w:left w:val="none" w:sz="0" w:space="0" w:color="auto"/>
            <w:bottom w:val="none" w:sz="0" w:space="0" w:color="auto"/>
            <w:right w:val="none" w:sz="0" w:space="0" w:color="auto"/>
          </w:divBdr>
        </w:div>
        <w:div w:id="1824469987">
          <w:marLeft w:val="0"/>
          <w:marRight w:val="0"/>
          <w:marTop w:val="0"/>
          <w:marBottom w:val="0"/>
          <w:divBdr>
            <w:top w:val="none" w:sz="0" w:space="0" w:color="auto"/>
            <w:left w:val="none" w:sz="0" w:space="0" w:color="auto"/>
            <w:bottom w:val="none" w:sz="0" w:space="0" w:color="auto"/>
            <w:right w:val="none" w:sz="0" w:space="0" w:color="auto"/>
          </w:divBdr>
        </w:div>
        <w:div w:id="624041712">
          <w:marLeft w:val="0"/>
          <w:marRight w:val="0"/>
          <w:marTop w:val="0"/>
          <w:marBottom w:val="0"/>
          <w:divBdr>
            <w:top w:val="none" w:sz="0" w:space="0" w:color="auto"/>
            <w:left w:val="none" w:sz="0" w:space="0" w:color="auto"/>
            <w:bottom w:val="none" w:sz="0" w:space="0" w:color="auto"/>
            <w:right w:val="none" w:sz="0" w:space="0" w:color="auto"/>
          </w:divBdr>
        </w:div>
        <w:div w:id="1230578095">
          <w:marLeft w:val="0"/>
          <w:marRight w:val="0"/>
          <w:marTop w:val="0"/>
          <w:marBottom w:val="0"/>
          <w:divBdr>
            <w:top w:val="none" w:sz="0" w:space="0" w:color="auto"/>
            <w:left w:val="none" w:sz="0" w:space="0" w:color="auto"/>
            <w:bottom w:val="none" w:sz="0" w:space="0" w:color="auto"/>
            <w:right w:val="none" w:sz="0" w:space="0" w:color="auto"/>
          </w:divBdr>
          <w:divsChild>
            <w:div w:id="2060281702">
              <w:marLeft w:val="0"/>
              <w:marRight w:val="0"/>
              <w:marTop w:val="0"/>
              <w:marBottom w:val="0"/>
              <w:divBdr>
                <w:top w:val="none" w:sz="0" w:space="0" w:color="auto"/>
                <w:left w:val="none" w:sz="0" w:space="0" w:color="auto"/>
                <w:bottom w:val="none" w:sz="0" w:space="0" w:color="auto"/>
                <w:right w:val="none" w:sz="0" w:space="0" w:color="auto"/>
              </w:divBdr>
            </w:div>
            <w:div w:id="1421179466">
              <w:marLeft w:val="0"/>
              <w:marRight w:val="0"/>
              <w:marTop w:val="0"/>
              <w:marBottom w:val="0"/>
              <w:divBdr>
                <w:top w:val="none" w:sz="0" w:space="0" w:color="auto"/>
                <w:left w:val="none" w:sz="0" w:space="0" w:color="auto"/>
                <w:bottom w:val="none" w:sz="0" w:space="0" w:color="auto"/>
                <w:right w:val="none" w:sz="0" w:space="0" w:color="auto"/>
              </w:divBdr>
            </w:div>
            <w:div w:id="297225700">
              <w:marLeft w:val="0"/>
              <w:marRight w:val="0"/>
              <w:marTop w:val="0"/>
              <w:marBottom w:val="0"/>
              <w:divBdr>
                <w:top w:val="none" w:sz="0" w:space="0" w:color="auto"/>
                <w:left w:val="none" w:sz="0" w:space="0" w:color="auto"/>
                <w:bottom w:val="none" w:sz="0" w:space="0" w:color="auto"/>
                <w:right w:val="none" w:sz="0" w:space="0" w:color="auto"/>
              </w:divBdr>
            </w:div>
            <w:div w:id="1319193291">
              <w:marLeft w:val="0"/>
              <w:marRight w:val="0"/>
              <w:marTop w:val="0"/>
              <w:marBottom w:val="0"/>
              <w:divBdr>
                <w:top w:val="none" w:sz="0" w:space="0" w:color="auto"/>
                <w:left w:val="none" w:sz="0" w:space="0" w:color="auto"/>
                <w:bottom w:val="none" w:sz="0" w:space="0" w:color="auto"/>
                <w:right w:val="none" w:sz="0" w:space="0" w:color="auto"/>
              </w:divBdr>
            </w:div>
          </w:divsChild>
        </w:div>
        <w:div w:id="1230116864">
          <w:marLeft w:val="0"/>
          <w:marRight w:val="0"/>
          <w:marTop w:val="0"/>
          <w:marBottom w:val="0"/>
          <w:divBdr>
            <w:top w:val="none" w:sz="0" w:space="0" w:color="auto"/>
            <w:left w:val="none" w:sz="0" w:space="0" w:color="auto"/>
            <w:bottom w:val="none" w:sz="0" w:space="0" w:color="auto"/>
            <w:right w:val="none" w:sz="0" w:space="0" w:color="auto"/>
          </w:divBdr>
        </w:div>
        <w:div w:id="1536428055">
          <w:marLeft w:val="0"/>
          <w:marRight w:val="0"/>
          <w:marTop w:val="0"/>
          <w:marBottom w:val="0"/>
          <w:divBdr>
            <w:top w:val="none" w:sz="0" w:space="0" w:color="auto"/>
            <w:left w:val="none" w:sz="0" w:space="0" w:color="auto"/>
            <w:bottom w:val="none" w:sz="0" w:space="0" w:color="auto"/>
            <w:right w:val="none" w:sz="0" w:space="0" w:color="auto"/>
          </w:divBdr>
        </w:div>
        <w:div w:id="1463038146">
          <w:marLeft w:val="0"/>
          <w:marRight w:val="0"/>
          <w:marTop w:val="0"/>
          <w:marBottom w:val="0"/>
          <w:divBdr>
            <w:top w:val="none" w:sz="0" w:space="0" w:color="auto"/>
            <w:left w:val="none" w:sz="0" w:space="0" w:color="auto"/>
            <w:bottom w:val="none" w:sz="0" w:space="0" w:color="auto"/>
            <w:right w:val="none" w:sz="0" w:space="0" w:color="auto"/>
          </w:divBdr>
        </w:div>
        <w:div w:id="564486426">
          <w:marLeft w:val="0"/>
          <w:marRight w:val="0"/>
          <w:marTop w:val="0"/>
          <w:marBottom w:val="0"/>
          <w:divBdr>
            <w:top w:val="none" w:sz="0" w:space="0" w:color="auto"/>
            <w:left w:val="none" w:sz="0" w:space="0" w:color="auto"/>
            <w:bottom w:val="none" w:sz="0" w:space="0" w:color="auto"/>
            <w:right w:val="none" w:sz="0" w:space="0" w:color="auto"/>
          </w:divBdr>
        </w:div>
        <w:div w:id="1504079836">
          <w:marLeft w:val="0"/>
          <w:marRight w:val="0"/>
          <w:marTop w:val="0"/>
          <w:marBottom w:val="0"/>
          <w:divBdr>
            <w:top w:val="none" w:sz="0" w:space="0" w:color="auto"/>
            <w:left w:val="none" w:sz="0" w:space="0" w:color="auto"/>
            <w:bottom w:val="none" w:sz="0" w:space="0" w:color="auto"/>
            <w:right w:val="none" w:sz="0" w:space="0" w:color="auto"/>
          </w:divBdr>
        </w:div>
        <w:div w:id="521553044">
          <w:marLeft w:val="0"/>
          <w:marRight w:val="0"/>
          <w:marTop w:val="0"/>
          <w:marBottom w:val="0"/>
          <w:divBdr>
            <w:top w:val="none" w:sz="0" w:space="0" w:color="auto"/>
            <w:left w:val="none" w:sz="0" w:space="0" w:color="auto"/>
            <w:bottom w:val="none" w:sz="0" w:space="0" w:color="auto"/>
            <w:right w:val="none" w:sz="0" w:space="0" w:color="auto"/>
          </w:divBdr>
        </w:div>
        <w:div w:id="2032105269">
          <w:marLeft w:val="0"/>
          <w:marRight w:val="0"/>
          <w:marTop w:val="0"/>
          <w:marBottom w:val="0"/>
          <w:divBdr>
            <w:top w:val="none" w:sz="0" w:space="0" w:color="auto"/>
            <w:left w:val="none" w:sz="0" w:space="0" w:color="auto"/>
            <w:bottom w:val="none" w:sz="0" w:space="0" w:color="auto"/>
            <w:right w:val="none" w:sz="0" w:space="0" w:color="auto"/>
          </w:divBdr>
        </w:div>
        <w:div w:id="1318413724">
          <w:marLeft w:val="0"/>
          <w:marRight w:val="0"/>
          <w:marTop w:val="0"/>
          <w:marBottom w:val="0"/>
          <w:divBdr>
            <w:top w:val="none" w:sz="0" w:space="0" w:color="auto"/>
            <w:left w:val="none" w:sz="0" w:space="0" w:color="auto"/>
            <w:bottom w:val="none" w:sz="0" w:space="0" w:color="auto"/>
            <w:right w:val="none" w:sz="0" w:space="0" w:color="auto"/>
          </w:divBdr>
        </w:div>
        <w:div w:id="1577589795">
          <w:marLeft w:val="0"/>
          <w:marRight w:val="0"/>
          <w:marTop w:val="0"/>
          <w:marBottom w:val="0"/>
          <w:divBdr>
            <w:top w:val="none" w:sz="0" w:space="0" w:color="auto"/>
            <w:left w:val="none" w:sz="0" w:space="0" w:color="auto"/>
            <w:bottom w:val="none" w:sz="0" w:space="0" w:color="auto"/>
            <w:right w:val="none" w:sz="0" w:space="0" w:color="auto"/>
          </w:divBdr>
        </w:div>
        <w:div w:id="1298532680">
          <w:marLeft w:val="0"/>
          <w:marRight w:val="0"/>
          <w:marTop w:val="0"/>
          <w:marBottom w:val="0"/>
          <w:divBdr>
            <w:top w:val="none" w:sz="0" w:space="0" w:color="auto"/>
            <w:left w:val="none" w:sz="0" w:space="0" w:color="auto"/>
            <w:bottom w:val="none" w:sz="0" w:space="0" w:color="auto"/>
            <w:right w:val="none" w:sz="0" w:space="0" w:color="auto"/>
          </w:divBdr>
          <w:divsChild>
            <w:div w:id="2127040992">
              <w:marLeft w:val="0"/>
              <w:marRight w:val="0"/>
              <w:marTop w:val="0"/>
              <w:marBottom w:val="0"/>
              <w:divBdr>
                <w:top w:val="none" w:sz="0" w:space="0" w:color="auto"/>
                <w:left w:val="none" w:sz="0" w:space="0" w:color="auto"/>
                <w:bottom w:val="none" w:sz="0" w:space="0" w:color="auto"/>
                <w:right w:val="none" w:sz="0" w:space="0" w:color="auto"/>
              </w:divBdr>
            </w:div>
            <w:div w:id="1124083748">
              <w:marLeft w:val="0"/>
              <w:marRight w:val="0"/>
              <w:marTop w:val="0"/>
              <w:marBottom w:val="0"/>
              <w:divBdr>
                <w:top w:val="none" w:sz="0" w:space="0" w:color="auto"/>
                <w:left w:val="none" w:sz="0" w:space="0" w:color="auto"/>
                <w:bottom w:val="none" w:sz="0" w:space="0" w:color="auto"/>
                <w:right w:val="none" w:sz="0" w:space="0" w:color="auto"/>
              </w:divBdr>
            </w:div>
            <w:div w:id="212616269">
              <w:marLeft w:val="0"/>
              <w:marRight w:val="0"/>
              <w:marTop w:val="0"/>
              <w:marBottom w:val="0"/>
              <w:divBdr>
                <w:top w:val="none" w:sz="0" w:space="0" w:color="auto"/>
                <w:left w:val="none" w:sz="0" w:space="0" w:color="auto"/>
                <w:bottom w:val="none" w:sz="0" w:space="0" w:color="auto"/>
                <w:right w:val="none" w:sz="0" w:space="0" w:color="auto"/>
              </w:divBdr>
            </w:div>
            <w:div w:id="1317147663">
              <w:marLeft w:val="0"/>
              <w:marRight w:val="0"/>
              <w:marTop w:val="0"/>
              <w:marBottom w:val="0"/>
              <w:divBdr>
                <w:top w:val="none" w:sz="0" w:space="0" w:color="auto"/>
                <w:left w:val="none" w:sz="0" w:space="0" w:color="auto"/>
                <w:bottom w:val="none" w:sz="0" w:space="0" w:color="auto"/>
                <w:right w:val="none" w:sz="0" w:space="0" w:color="auto"/>
              </w:divBdr>
            </w:div>
            <w:div w:id="320235897">
              <w:marLeft w:val="0"/>
              <w:marRight w:val="0"/>
              <w:marTop w:val="0"/>
              <w:marBottom w:val="0"/>
              <w:divBdr>
                <w:top w:val="none" w:sz="0" w:space="0" w:color="auto"/>
                <w:left w:val="none" w:sz="0" w:space="0" w:color="auto"/>
                <w:bottom w:val="none" w:sz="0" w:space="0" w:color="auto"/>
                <w:right w:val="none" w:sz="0" w:space="0" w:color="auto"/>
              </w:divBdr>
            </w:div>
            <w:div w:id="1635913612">
              <w:marLeft w:val="0"/>
              <w:marRight w:val="0"/>
              <w:marTop w:val="0"/>
              <w:marBottom w:val="0"/>
              <w:divBdr>
                <w:top w:val="none" w:sz="0" w:space="0" w:color="auto"/>
                <w:left w:val="none" w:sz="0" w:space="0" w:color="auto"/>
                <w:bottom w:val="none" w:sz="0" w:space="0" w:color="auto"/>
                <w:right w:val="none" w:sz="0" w:space="0" w:color="auto"/>
              </w:divBdr>
            </w:div>
            <w:div w:id="39281786">
              <w:marLeft w:val="0"/>
              <w:marRight w:val="0"/>
              <w:marTop w:val="0"/>
              <w:marBottom w:val="0"/>
              <w:divBdr>
                <w:top w:val="none" w:sz="0" w:space="0" w:color="auto"/>
                <w:left w:val="none" w:sz="0" w:space="0" w:color="auto"/>
                <w:bottom w:val="none" w:sz="0" w:space="0" w:color="auto"/>
                <w:right w:val="none" w:sz="0" w:space="0" w:color="auto"/>
              </w:divBdr>
            </w:div>
            <w:div w:id="1073816230">
              <w:marLeft w:val="0"/>
              <w:marRight w:val="0"/>
              <w:marTop w:val="0"/>
              <w:marBottom w:val="0"/>
              <w:divBdr>
                <w:top w:val="none" w:sz="0" w:space="0" w:color="auto"/>
                <w:left w:val="none" w:sz="0" w:space="0" w:color="auto"/>
                <w:bottom w:val="none" w:sz="0" w:space="0" w:color="auto"/>
                <w:right w:val="none" w:sz="0" w:space="0" w:color="auto"/>
              </w:divBdr>
            </w:div>
            <w:div w:id="1597904047">
              <w:marLeft w:val="0"/>
              <w:marRight w:val="0"/>
              <w:marTop w:val="0"/>
              <w:marBottom w:val="0"/>
              <w:divBdr>
                <w:top w:val="none" w:sz="0" w:space="0" w:color="auto"/>
                <w:left w:val="none" w:sz="0" w:space="0" w:color="auto"/>
                <w:bottom w:val="none" w:sz="0" w:space="0" w:color="auto"/>
                <w:right w:val="none" w:sz="0" w:space="0" w:color="auto"/>
              </w:divBdr>
            </w:div>
            <w:div w:id="97264977">
              <w:marLeft w:val="0"/>
              <w:marRight w:val="0"/>
              <w:marTop w:val="0"/>
              <w:marBottom w:val="0"/>
              <w:divBdr>
                <w:top w:val="none" w:sz="0" w:space="0" w:color="auto"/>
                <w:left w:val="none" w:sz="0" w:space="0" w:color="auto"/>
                <w:bottom w:val="none" w:sz="0" w:space="0" w:color="auto"/>
                <w:right w:val="none" w:sz="0" w:space="0" w:color="auto"/>
              </w:divBdr>
            </w:div>
            <w:div w:id="972562696">
              <w:marLeft w:val="0"/>
              <w:marRight w:val="0"/>
              <w:marTop w:val="0"/>
              <w:marBottom w:val="0"/>
              <w:divBdr>
                <w:top w:val="none" w:sz="0" w:space="0" w:color="auto"/>
                <w:left w:val="none" w:sz="0" w:space="0" w:color="auto"/>
                <w:bottom w:val="none" w:sz="0" w:space="0" w:color="auto"/>
                <w:right w:val="none" w:sz="0" w:space="0" w:color="auto"/>
              </w:divBdr>
            </w:div>
            <w:div w:id="1074084450">
              <w:marLeft w:val="0"/>
              <w:marRight w:val="0"/>
              <w:marTop w:val="0"/>
              <w:marBottom w:val="0"/>
              <w:divBdr>
                <w:top w:val="none" w:sz="0" w:space="0" w:color="auto"/>
                <w:left w:val="none" w:sz="0" w:space="0" w:color="auto"/>
                <w:bottom w:val="none" w:sz="0" w:space="0" w:color="auto"/>
                <w:right w:val="none" w:sz="0" w:space="0" w:color="auto"/>
              </w:divBdr>
            </w:div>
            <w:div w:id="1301418079">
              <w:marLeft w:val="0"/>
              <w:marRight w:val="0"/>
              <w:marTop w:val="0"/>
              <w:marBottom w:val="0"/>
              <w:divBdr>
                <w:top w:val="none" w:sz="0" w:space="0" w:color="auto"/>
                <w:left w:val="none" w:sz="0" w:space="0" w:color="auto"/>
                <w:bottom w:val="none" w:sz="0" w:space="0" w:color="auto"/>
                <w:right w:val="none" w:sz="0" w:space="0" w:color="auto"/>
              </w:divBdr>
            </w:div>
            <w:div w:id="553278067">
              <w:marLeft w:val="0"/>
              <w:marRight w:val="0"/>
              <w:marTop w:val="0"/>
              <w:marBottom w:val="0"/>
              <w:divBdr>
                <w:top w:val="none" w:sz="0" w:space="0" w:color="auto"/>
                <w:left w:val="none" w:sz="0" w:space="0" w:color="auto"/>
                <w:bottom w:val="none" w:sz="0" w:space="0" w:color="auto"/>
                <w:right w:val="none" w:sz="0" w:space="0" w:color="auto"/>
              </w:divBdr>
            </w:div>
            <w:div w:id="109708214">
              <w:marLeft w:val="0"/>
              <w:marRight w:val="0"/>
              <w:marTop w:val="0"/>
              <w:marBottom w:val="0"/>
              <w:divBdr>
                <w:top w:val="none" w:sz="0" w:space="0" w:color="auto"/>
                <w:left w:val="none" w:sz="0" w:space="0" w:color="auto"/>
                <w:bottom w:val="none" w:sz="0" w:space="0" w:color="auto"/>
                <w:right w:val="none" w:sz="0" w:space="0" w:color="auto"/>
              </w:divBdr>
            </w:div>
            <w:div w:id="1602569260">
              <w:marLeft w:val="0"/>
              <w:marRight w:val="0"/>
              <w:marTop w:val="0"/>
              <w:marBottom w:val="0"/>
              <w:divBdr>
                <w:top w:val="none" w:sz="0" w:space="0" w:color="auto"/>
                <w:left w:val="none" w:sz="0" w:space="0" w:color="auto"/>
                <w:bottom w:val="none" w:sz="0" w:space="0" w:color="auto"/>
                <w:right w:val="none" w:sz="0" w:space="0" w:color="auto"/>
              </w:divBdr>
            </w:div>
            <w:div w:id="1572617944">
              <w:marLeft w:val="0"/>
              <w:marRight w:val="0"/>
              <w:marTop w:val="0"/>
              <w:marBottom w:val="0"/>
              <w:divBdr>
                <w:top w:val="none" w:sz="0" w:space="0" w:color="auto"/>
                <w:left w:val="none" w:sz="0" w:space="0" w:color="auto"/>
                <w:bottom w:val="none" w:sz="0" w:space="0" w:color="auto"/>
                <w:right w:val="none" w:sz="0" w:space="0" w:color="auto"/>
              </w:divBdr>
            </w:div>
            <w:div w:id="307786123">
              <w:marLeft w:val="0"/>
              <w:marRight w:val="0"/>
              <w:marTop w:val="0"/>
              <w:marBottom w:val="0"/>
              <w:divBdr>
                <w:top w:val="none" w:sz="0" w:space="0" w:color="auto"/>
                <w:left w:val="none" w:sz="0" w:space="0" w:color="auto"/>
                <w:bottom w:val="none" w:sz="0" w:space="0" w:color="auto"/>
                <w:right w:val="none" w:sz="0" w:space="0" w:color="auto"/>
              </w:divBdr>
            </w:div>
            <w:div w:id="510342382">
              <w:marLeft w:val="0"/>
              <w:marRight w:val="0"/>
              <w:marTop w:val="0"/>
              <w:marBottom w:val="0"/>
              <w:divBdr>
                <w:top w:val="none" w:sz="0" w:space="0" w:color="auto"/>
                <w:left w:val="none" w:sz="0" w:space="0" w:color="auto"/>
                <w:bottom w:val="none" w:sz="0" w:space="0" w:color="auto"/>
                <w:right w:val="none" w:sz="0" w:space="0" w:color="auto"/>
              </w:divBdr>
            </w:div>
            <w:div w:id="340932241">
              <w:marLeft w:val="0"/>
              <w:marRight w:val="0"/>
              <w:marTop w:val="0"/>
              <w:marBottom w:val="0"/>
              <w:divBdr>
                <w:top w:val="none" w:sz="0" w:space="0" w:color="auto"/>
                <w:left w:val="none" w:sz="0" w:space="0" w:color="auto"/>
                <w:bottom w:val="none" w:sz="0" w:space="0" w:color="auto"/>
                <w:right w:val="none" w:sz="0" w:space="0" w:color="auto"/>
              </w:divBdr>
            </w:div>
            <w:div w:id="2034794300">
              <w:marLeft w:val="0"/>
              <w:marRight w:val="0"/>
              <w:marTop w:val="0"/>
              <w:marBottom w:val="0"/>
              <w:divBdr>
                <w:top w:val="none" w:sz="0" w:space="0" w:color="auto"/>
                <w:left w:val="none" w:sz="0" w:space="0" w:color="auto"/>
                <w:bottom w:val="none" w:sz="0" w:space="0" w:color="auto"/>
                <w:right w:val="none" w:sz="0" w:space="0" w:color="auto"/>
              </w:divBdr>
            </w:div>
            <w:div w:id="1619609103">
              <w:marLeft w:val="0"/>
              <w:marRight w:val="0"/>
              <w:marTop w:val="0"/>
              <w:marBottom w:val="0"/>
              <w:divBdr>
                <w:top w:val="none" w:sz="0" w:space="0" w:color="auto"/>
                <w:left w:val="none" w:sz="0" w:space="0" w:color="auto"/>
                <w:bottom w:val="none" w:sz="0" w:space="0" w:color="auto"/>
                <w:right w:val="none" w:sz="0" w:space="0" w:color="auto"/>
              </w:divBdr>
            </w:div>
            <w:div w:id="1242065146">
              <w:marLeft w:val="0"/>
              <w:marRight w:val="0"/>
              <w:marTop w:val="0"/>
              <w:marBottom w:val="0"/>
              <w:divBdr>
                <w:top w:val="none" w:sz="0" w:space="0" w:color="auto"/>
                <w:left w:val="none" w:sz="0" w:space="0" w:color="auto"/>
                <w:bottom w:val="none" w:sz="0" w:space="0" w:color="auto"/>
                <w:right w:val="none" w:sz="0" w:space="0" w:color="auto"/>
              </w:divBdr>
            </w:div>
            <w:div w:id="1882476454">
              <w:marLeft w:val="0"/>
              <w:marRight w:val="0"/>
              <w:marTop w:val="0"/>
              <w:marBottom w:val="0"/>
              <w:divBdr>
                <w:top w:val="none" w:sz="0" w:space="0" w:color="auto"/>
                <w:left w:val="none" w:sz="0" w:space="0" w:color="auto"/>
                <w:bottom w:val="none" w:sz="0" w:space="0" w:color="auto"/>
                <w:right w:val="none" w:sz="0" w:space="0" w:color="auto"/>
              </w:divBdr>
            </w:div>
            <w:div w:id="1019890806">
              <w:marLeft w:val="0"/>
              <w:marRight w:val="0"/>
              <w:marTop w:val="0"/>
              <w:marBottom w:val="0"/>
              <w:divBdr>
                <w:top w:val="none" w:sz="0" w:space="0" w:color="auto"/>
                <w:left w:val="none" w:sz="0" w:space="0" w:color="auto"/>
                <w:bottom w:val="none" w:sz="0" w:space="0" w:color="auto"/>
                <w:right w:val="none" w:sz="0" w:space="0" w:color="auto"/>
              </w:divBdr>
            </w:div>
            <w:div w:id="1786577543">
              <w:marLeft w:val="0"/>
              <w:marRight w:val="0"/>
              <w:marTop w:val="0"/>
              <w:marBottom w:val="0"/>
              <w:divBdr>
                <w:top w:val="none" w:sz="0" w:space="0" w:color="auto"/>
                <w:left w:val="none" w:sz="0" w:space="0" w:color="auto"/>
                <w:bottom w:val="none" w:sz="0" w:space="0" w:color="auto"/>
                <w:right w:val="none" w:sz="0" w:space="0" w:color="auto"/>
              </w:divBdr>
            </w:div>
          </w:divsChild>
        </w:div>
        <w:div w:id="348945530">
          <w:marLeft w:val="0"/>
          <w:marRight w:val="0"/>
          <w:marTop w:val="0"/>
          <w:marBottom w:val="0"/>
          <w:divBdr>
            <w:top w:val="none" w:sz="0" w:space="0" w:color="auto"/>
            <w:left w:val="none" w:sz="0" w:space="0" w:color="auto"/>
            <w:bottom w:val="none" w:sz="0" w:space="0" w:color="auto"/>
            <w:right w:val="none" w:sz="0" w:space="0" w:color="auto"/>
          </w:divBdr>
        </w:div>
        <w:div w:id="660930810">
          <w:marLeft w:val="0"/>
          <w:marRight w:val="0"/>
          <w:marTop w:val="0"/>
          <w:marBottom w:val="0"/>
          <w:divBdr>
            <w:top w:val="none" w:sz="0" w:space="0" w:color="auto"/>
            <w:left w:val="none" w:sz="0" w:space="0" w:color="auto"/>
            <w:bottom w:val="none" w:sz="0" w:space="0" w:color="auto"/>
            <w:right w:val="none" w:sz="0" w:space="0" w:color="auto"/>
          </w:divBdr>
        </w:div>
        <w:div w:id="1115060158">
          <w:marLeft w:val="0"/>
          <w:marRight w:val="0"/>
          <w:marTop w:val="0"/>
          <w:marBottom w:val="0"/>
          <w:divBdr>
            <w:top w:val="none" w:sz="0" w:space="0" w:color="auto"/>
            <w:left w:val="none" w:sz="0" w:space="0" w:color="auto"/>
            <w:bottom w:val="none" w:sz="0" w:space="0" w:color="auto"/>
            <w:right w:val="none" w:sz="0" w:space="0" w:color="auto"/>
          </w:divBdr>
        </w:div>
        <w:div w:id="1638334509">
          <w:marLeft w:val="0"/>
          <w:marRight w:val="0"/>
          <w:marTop w:val="0"/>
          <w:marBottom w:val="0"/>
          <w:divBdr>
            <w:top w:val="none" w:sz="0" w:space="0" w:color="auto"/>
            <w:left w:val="none" w:sz="0" w:space="0" w:color="auto"/>
            <w:bottom w:val="none" w:sz="0" w:space="0" w:color="auto"/>
            <w:right w:val="none" w:sz="0" w:space="0" w:color="auto"/>
          </w:divBdr>
        </w:div>
        <w:div w:id="486674619">
          <w:marLeft w:val="0"/>
          <w:marRight w:val="0"/>
          <w:marTop w:val="0"/>
          <w:marBottom w:val="0"/>
          <w:divBdr>
            <w:top w:val="none" w:sz="0" w:space="0" w:color="auto"/>
            <w:left w:val="none" w:sz="0" w:space="0" w:color="auto"/>
            <w:bottom w:val="none" w:sz="0" w:space="0" w:color="auto"/>
            <w:right w:val="none" w:sz="0" w:space="0" w:color="auto"/>
          </w:divBdr>
          <w:divsChild>
            <w:div w:id="1032731205">
              <w:marLeft w:val="0"/>
              <w:marRight w:val="0"/>
              <w:marTop w:val="0"/>
              <w:marBottom w:val="0"/>
              <w:divBdr>
                <w:top w:val="none" w:sz="0" w:space="0" w:color="auto"/>
                <w:left w:val="none" w:sz="0" w:space="0" w:color="auto"/>
                <w:bottom w:val="none" w:sz="0" w:space="0" w:color="auto"/>
                <w:right w:val="none" w:sz="0" w:space="0" w:color="auto"/>
              </w:divBdr>
            </w:div>
            <w:div w:id="1916864346">
              <w:marLeft w:val="0"/>
              <w:marRight w:val="0"/>
              <w:marTop w:val="0"/>
              <w:marBottom w:val="0"/>
              <w:divBdr>
                <w:top w:val="none" w:sz="0" w:space="0" w:color="auto"/>
                <w:left w:val="none" w:sz="0" w:space="0" w:color="auto"/>
                <w:bottom w:val="none" w:sz="0" w:space="0" w:color="auto"/>
                <w:right w:val="none" w:sz="0" w:space="0" w:color="auto"/>
              </w:divBdr>
            </w:div>
          </w:divsChild>
        </w:div>
        <w:div w:id="1892423146">
          <w:marLeft w:val="0"/>
          <w:marRight w:val="0"/>
          <w:marTop w:val="0"/>
          <w:marBottom w:val="0"/>
          <w:divBdr>
            <w:top w:val="none" w:sz="0" w:space="0" w:color="auto"/>
            <w:left w:val="none" w:sz="0" w:space="0" w:color="auto"/>
            <w:bottom w:val="none" w:sz="0" w:space="0" w:color="auto"/>
            <w:right w:val="none" w:sz="0" w:space="0" w:color="auto"/>
          </w:divBdr>
        </w:div>
        <w:div w:id="1408570760">
          <w:marLeft w:val="0"/>
          <w:marRight w:val="0"/>
          <w:marTop w:val="0"/>
          <w:marBottom w:val="0"/>
          <w:divBdr>
            <w:top w:val="none" w:sz="0" w:space="0" w:color="auto"/>
            <w:left w:val="none" w:sz="0" w:space="0" w:color="auto"/>
            <w:bottom w:val="none" w:sz="0" w:space="0" w:color="auto"/>
            <w:right w:val="none" w:sz="0" w:space="0" w:color="auto"/>
          </w:divBdr>
        </w:div>
        <w:div w:id="396437887">
          <w:marLeft w:val="0"/>
          <w:marRight w:val="0"/>
          <w:marTop w:val="0"/>
          <w:marBottom w:val="0"/>
          <w:divBdr>
            <w:top w:val="none" w:sz="0" w:space="0" w:color="auto"/>
            <w:left w:val="none" w:sz="0" w:space="0" w:color="auto"/>
            <w:bottom w:val="none" w:sz="0" w:space="0" w:color="auto"/>
            <w:right w:val="none" w:sz="0" w:space="0" w:color="auto"/>
          </w:divBdr>
        </w:div>
        <w:div w:id="1243029243">
          <w:marLeft w:val="0"/>
          <w:marRight w:val="0"/>
          <w:marTop w:val="0"/>
          <w:marBottom w:val="0"/>
          <w:divBdr>
            <w:top w:val="none" w:sz="0" w:space="0" w:color="auto"/>
            <w:left w:val="none" w:sz="0" w:space="0" w:color="auto"/>
            <w:bottom w:val="none" w:sz="0" w:space="0" w:color="auto"/>
            <w:right w:val="none" w:sz="0" w:space="0" w:color="auto"/>
          </w:divBdr>
          <w:divsChild>
            <w:div w:id="262810160">
              <w:marLeft w:val="0"/>
              <w:marRight w:val="0"/>
              <w:marTop w:val="0"/>
              <w:marBottom w:val="0"/>
              <w:divBdr>
                <w:top w:val="none" w:sz="0" w:space="0" w:color="auto"/>
                <w:left w:val="none" w:sz="0" w:space="0" w:color="auto"/>
                <w:bottom w:val="none" w:sz="0" w:space="0" w:color="auto"/>
                <w:right w:val="none" w:sz="0" w:space="0" w:color="auto"/>
              </w:divBdr>
            </w:div>
            <w:div w:id="2075856190">
              <w:marLeft w:val="0"/>
              <w:marRight w:val="0"/>
              <w:marTop w:val="0"/>
              <w:marBottom w:val="0"/>
              <w:divBdr>
                <w:top w:val="none" w:sz="0" w:space="0" w:color="auto"/>
                <w:left w:val="none" w:sz="0" w:space="0" w:color="auto"/>
                <w:bottom w:val="none" w:sz="0" w:space="0" w:color="auto"/>
                <w:right w:val="none" w:sz="0" w:space="0" w:color="auto"/>
              </w:divBdr>
            </w:div>
            <w:div w:id="407649992">
              <w:marLeft w:val="0"/>
              <w:marRight w:val="0"/>
              <w:marTop w:val="0"/>
              <w:marBottom w:val="0"/>
              <w:divBdr>
                <w:top w:val="none" w:sz="0" w:space="0" w:color="auto"/>
                <w:left w:val="none" w:sz="0" w:space="0" w:color="auto"/>
                <w:bottom w:val="none" w:sz="0" w:space="0" w:color="auto"/>
                <w:right w:val="none" w:sz="0" w:space="0" w:color="auto"/>
              </w:divBdr>
            </w:div>
            <w:div w:id="702825576">
              <w:marLeft w:val="0"/>
              <w:marRight w:val="0"/>
              <w:marTop w:val="0"/>
              <w:marBottom w:val="0"/>
              <w:divBdr>
                <w:top w:val="none" w:sz="0" w:space="0" w:color="auto"/>
                <w:left w:val="none" w:sz="0" w:space="0" w:color="auto"/>
                <w:bottom w:val="none" w:sz="0" w:space="0" w:color="auto"/>
                <w:right w:val="none" w:sz="0" w:space="0" w:color="auto"/>
              </w:divBdr>
            </w:div>
          </w:divsChild>
        </w:div>
        <w:div w:id="167982327">
          <w:marLeft w:val="0"/>
          <w:marRight w:val="0"/>
          <w:marTop w:val="0"/>
          <w:marBottom w:val="0"/>
          <w:divBdr>
            <w:top w:val="none" w:sz="0" w:space="0" w:color="auto"/>
            <w:left w:val="none" w:sz="0" w:space="0" w:color="auto"/>
            <w:bottom w:val="none" w:sz="0" w:space="0" w:color="auto"/>
            <w:right w:val="none" w:sz="0" w:space="0" w:color="auto"/>
          </w:divBdr>
        </w:div>
        <w:div w:id="45760163">
          <w:marLeft w:val="0"/>
          <w:marRight w:val="0"/>
          <w:marTop w:val="0"/>
          <w:marBottom w:val="0"/>
          <w:divBdr>
            <w:top w:val="none" w:sz="0" w:space="0" w:color="auto"/>
            <w:left w:val="none" w:sz="0" w:space="0" w:color="auto"/>
            <w:bottom w:val="none" w:sz="0" w:space="0" w:color="auto"/>
            <w:right w:val="none" w:sz="0" w:space="0" w:color="auto"/>
          </w:divBdr>
        </w:div>
        <w:div w:id="368801907">
          <w:marLeft w:val="0"/>
          <w:marRight w:val="0"/>
          <w:marTop w:val="0"/>
          <w:marBottom w:val="0"/>
          <w:divBdr>
            <w:top w:val="none" w:sz="0" w:space="0" w:color="auto"/>
            <w:left w:val="none" w:sz="0" w:space="0" w:color="auto"/>
            <w:bottom w:val="none" w:sz="0" w:space="0" w:color="auto"/>
            <w:right w:val="none" w:sz="0" w:space="0" w:color="auto"/>
          </w:divBdr>
        </w:div>
        <w:div w:id="1912499884">
          <w:marLeft w:val="0"/>
          <w:marRight w:val="0"/>
          <w:marTop w:val="0"/>
          <w:marBottom w:val="0"/>
          <w:divBdr>
            <w:top w:val="none" w:sz="0" w:space="0" w:color="auto"/>
            <w:left w:val="none" w:sz="0" w:space="0" w:color="auto"/>
            <w:bottom w:val="none" w:sz="0" w:space="0" w:color="auto"/>
            <w:right w:val="none" w:sz="0" w:space="0" w:color="auto"/>
          </w:divBdr>
        </w:div>
        <w:div w:id="1862208550">
          <w:marLeft w:val="0"/>
          <w:marRight w:val="0"/>
          <w:marTop w:val="0"/>
          <w:marBottom w:val="0"/>
          <w:divBdr>
            <w:top w:val="none" w:sz="0" w:space="0" w:color="auto"/>
            <w:left w:val="none" w:sz="0" w:space="0" w:color="auto"/>
            <w:bottom w:val="none" w:sz="0" w:space="0" w:color="auto"/>
            <w:right w:val="none" w:sz="0" w:space="0" w:color="auto"/>
          </w:divBdr>
        </w:div>
        <w:div w:id="495725438">
          <w:marLeft w:val="0"/>
          <w:marRight w:val="0"/>
          <w:marTop w:val="0"/>
          <w:marBottom w:val="0"/>
          <w:divBdr>
            <w:top w:val="none" w:sz="0" w:space="0" w:color="auto"/>
            <w:left w:val="none" w:sz="0" w:space="0" w:color="auto"/>
            <w:bottom w:val="none" w:sz="0" w:space="0" w:color="auto"/>
            <w:right w:val="none" w:sz="0" w:space="0" w:color="auto"/>
          </w:divBdr>
        </w:div>
        <w:div w:id="661931585">
          <w:marLeft w:val="0"/>
          <w:marRight w:val="0"/>
          <w:marTop w:val="0"/>
          <w:marBottom w:val="0"/>
          <w:divBdr>
            <w:top w:val="none" w:sz="0" w:space="0" w:color="auto"/>
            <w:left w:val="none" w:sz="0" w:space="0" w:color="auto"/>
            <w:bottom w:val="none" w:sz="0" w:space="0" w:color="auto"/>
            <w:right w:val="none" w:sz="0" w:space="0" w:color="auto"/>
          </w:divBdr>
        </w:div>
        <w:div w:id="387336890">
          <w:marLeft w:val="0"/>
          <w:marRight w:val="0"/>
          <w:marTop w:val="0"/>
          <w:marBottom w:val="0"/>
          <w:divBdr>
            <w:top w:val="none" w:sz="0" w:space="0" w:color="auto"/>
            <w:left w:val="none" w:sz="0" w:space="0" w:color="auto"/>
            <w:bottom w:val="none" w:sz="0" w:space="0" w:color="auto"/>
            <w:right w:val="none" w:sz="0" w:space="0" w:color="auto"/>
          </w:divBdr>
        </w:div>
        <w:div w:id="1900163818">
          <w:marLeft w:val="0"/>
          <w:marRight w:val="0"/>
          <w:marTop w:val="0"/>
          <w:marBottom w:val="0"/>
          <w:divBdr>
            <w:top w:val="none" w:sz="0" w:space="0" w:color="auto"/>
            <w:left w:val="none" w:sz="0" w:space="0" w:color="auto"/>
            <w:bottom w:val="none" w:sz="0" w:space="0" w:color="auto"/>
            <w:right w:val="none" w:sz="0" w:space="0" w:color="auto"/>
          </w:divBdr>
        </w:div>
        <w:div w:id="1552115147">
          <w:marLeft w:val="0"/>
          <w:marRight w:val="0"/>
          <w:marTop w:val="0"/>
          <w:marBottom w:val="0"/>
          <w:divBdr>
            <w:top w:val="none" w:sz="0" w:space="0" w:color="auto"/>
            <w:left w:val="none" w:sz="0" w:space="0" w:color="auto"/>
            <w:bottom w:val="none" w:sz="0" w:space="0" w:color="auto"/>
            <w:right w:val="none" w:sz="0" w:space="0" w:color="auto"/>
          </w:divBdr>
        </w:div>
        <w:div w:id="1473475012">
          <w:marLeft w:val="0"/>
          <w:marRight w:val="0"/>
          <w:marTop w:val="0"/>
          <w:marBottom w:val="0"/>
          <w:divBdr>
            <w:top w:val="none" w:sz="0" w:space="0" w:color="auto"/>
            <w:left w:val="none" w:sz="0" w:space="0" w:color="auto"/>
            <w:bottom w:val="none" w:sz="0" w:space="0" w:color="auto"/>
            <w:right w:val="none" w:sz="0" w:space="0" w:color="auto"/>
          </w:divBdr>
        </w:div>
        <w:div w:id="874270536">
          <w:marLeft w:val="0"/>
          <w:marRight w:val="0"/>
          <w:marTop w:val="0"/>
          <w:marBottom w:val="0"/>
          <w:divBdr>
            <w:top w:val="none" w:sz="0" w:space="0" w:color="auto"/>
            <w:left w:val="none" w:sz="0" w:space="0" w:color="auto"/>
            <w:bottom w:val="none" w:sz="0" w:space="0" w:color="auto"/>
            <w:right w:val="none" w:sz="0" w:space="0" w:color="auto"/>
          </w:divBdr>
        </w:div>
        <w:div w:id="600718507">
          <w:marLeft w:val="0"/>
          <w:marRight w:val="0"/>
          <w:marTop w:val="0"/>
          <w:marBottom w:val="0"/>
          <w:divBdr>
            <w:top w:val="none" w:sz="0" w:space="0" w:color="auto"/>
            <w:left w:val="none" w:sz="0" w:space="0" w:color="auto"/>
            <w:bottom w:val="none" w:sz="0" w:space="0" w:color="auto"/>
            <w:right w:val="none" w:sz="0" w:space="0" w:color="auto"/>
          </w:divBdr>
        </w:div>
        <w:div w:id="105972110">
          <w:marLeft w:val="0"/>
          <w:marRight w:val="0"/>
          <w:marTop w:val="0"/>
          <w:marBottom w:val="0"/>
          <w:divBdr>
            <w:top w:val="none" w:sz="0" w:space="0" w:color="auto"/>
            <w:left w:val="none" w:sz="0" w:space="0" w:color="auto"/>
            <w:bottom w:val="none" w:sz="0" w:space="0" w:color="auto"/>
            <w:right w:val="none" w:sz="0" w:space="0" w:color="auto"/>
          </w:divBdr>
        </w:div>
        <w:div w:id="927690941">
          <w:marLeft w:val="0"/>
          <w:marRight w:val="0"/>
          <w:marTop w:val="0"/>
          <w:marBottom w:val="0"/>
          <w:divBdr>
            <w:top w:val="none" w:sz="0" w:space="0" w:color="auto"/>
            <w:left w:val="none" w:sz="0" w:space="0" w:color="auto"/>
            <w:bottom w:val="none" w:sz="0" w:space="0" w:color="auto"/>
            <w:right w:val="none" w:sz="0" w:space="0" w:color="auto"/>
          </w:divBdr>
        </w:div>
        <w:div w:id="1561863298">
          <w:marLeft w:val="0"/>
          <w:marRight w:val="0"/>
          <w:marTop w:val="0"/>
          <w:marBottom w:val="0"/>
          <w:divBdr>
            <w:top w:val="none" w:sz="0" w:space="0" w:color="auto"/>
            <w:left w:val="none" w:sz="0" w:space="0" w:color="auto"/>
            <w:bottom w:val="none" w:sz="0" w:space="0" w:color="auto"/>
            <w:right w:val="none" w:sz="0" w:space="0" w:color="auto"/>
          </w:divBdr>
          <w:divsChild>
            <w:div w:id="427165217">
              <w:marLeft w:val="0"/>
              <w:marRight w:val="0"/>
              <w:marTop w:val="0"/>
              <w:marBottom w:val="0"/>
              <w:divBdr>
                <w:top w:val="none" w:sz="0" w:space="0" w:color="auto"/>
                <w:left w:val="none" w:sz="0" w:space="0" w:color="auto"/>
                <w:bottom w:val="none" w:sz="0" w:space="0" w:color="auto"/>
                <w:right w:val="none" w:sz="0" w:space="0" w:color="auto"/>
              </w:divBdr>
            </w:div>
            <w:div w:id="496263439">
              <w:marLeft w:val="0"/>
              <w:marRight w:val="0"/>
              <w:marTop w:val="0"/>
              <w:marBottom w:val="0"/>
              <w:divBdr>
                <w:top w:val="none" w:sz="0" w:space="0" w:color="auto"/>
                <w:left w:val="none" w:sz="0" w:space="0" w:color="auto"/>
                <w:bottom w:val="none" w:sz="0" w:space="0" w:color="auto"/>
                <w:right w:val="none" w:sz="0" w:space="0" w:color="auto"/>
              </w:divBdr>
            </w:div>
            <w:div w:id="399907715">
              <w:marLeft w:val="0"/>
              <w:marRight w:val="0"/>
              <w:marTop w:val="0"/>
              <w:marBottom w:val="0"/>
              <w:divBdr>
                <w:top w:val="none" w:sz="0" w:space="0" w:color="auto"/>
                <w:left w:val="none" w:sz="0" w:space="0" w:color="auto"/>
                <w:bottom w:val="none" w:sz="0" w:space="0" w:color="auto"/>
                <w:right w:val="none" w:sz="0" w:space="0" w:color="auto"/>
              </w:divBdr>
            </w:div>
            <w:div w:id="2127195657">
              <w:marLeft w:val="0"/>
              <w:marRight w:val="0"/>
              <w:marTop w:val="0"/>
              <w:marBottom w:val="0"/>
              <w:divBdr>
                <w:top w:val="none" w:sz="0" w:space="0" w:color="auto"/>
                <w:left w:val="none" w:sz="0" w:space="0" w:color="auto"/>
                <w:bottom w:val="none" w:sz="0" w:space="0" w:color="auto"/>
                <w:right w:val="none" w:sz="0" w:space="0" w:color="auto"/>
              </w:divBdr>
            </w:div>
            <w:div w:id="1810126510">
              <w:marLeft w:val="0"/>
              <w:marRight w:val="0"/>
              <w:marTop w:val="0"/>
              <w:marBottom w:val="0"/>
              <w:divBdr>
                <w:top w:val="none" w:sz="0" w:space="0" w:color="auto"/>
                <w:left w:val="none" w:sz="0" w:space="0" w:color="auto"/>
                <w:bottom w:val="none" w:sz="0" w:space="0" w:color="auto"/>
                <w:right w:val="none" w:sz="0" w:space="0" w:color="auto"/>
              </w:divBdr>
            </w:div>
            <w:div w:id="1991596340">
              <w:marLeft w:val="0"/>
              <w:marRight w:val="0"/>
              <w:marTop w:val="0"/>
              <w:marBottom w:val="0"/>
              <w:divBdr>
                <w:top w:val="none" w:sz="0" w:space="0" w:color="auto"/>
                <w:left w:val="none" w:sz="0" w:space="0" w:color="auto"/>
                <w:bottom w:val="none" w:sz="0" w:space="0" w:color="auto"/>
                <w:right w:val="none" w:sz="0" w:space="0" w:color="auto"/>
              </w:divBdr>
            </w:div>
          </w:divsChild>
        </w:div>
        <w:div w:id="396436977">
          <w:marLeft w:val="0"/>
          <w:marRight w:val="0"/>
          <w:marTop w:val="0"/>
          <w:marBottom w:val="0"/>
          <w:divBdr>
            <w:top w:val="none" w:sz="0" w:space="0" w:color="auto"/>
            <w:left w:val="none" w:sz="0" w:space="0" w:color="auto"/>
            <w:bottom w:val="none" w:sz="0" w:space="0" w:color="auto"/>
            <w:right w:val="none" w:sz="0" w:space="0" w:color="auto"/>
          </w:divBdr>
        </w:div>
        <w:div w:id="1357079863">
          <w:marLeft w:val="0"/>
          <w:marRight w:val="0"/>
          <w:marTop w:val="0"/>
          <w:marBottom w:val="0"/>
          <w:divBdr>
            <w:top w:val="none" w:sz="0" w:space="0" w:color="auto"/>
            <w:left w:val="none" w:sz="0" w:space="0" w:color="auto"/>
            <w:bottom w:val="none" w:sz="0" w:space="0" w:color="auto"/>
            <w:right w:val="none" w:sz="0" w:space="0" w:color="auto"/>
          </w:divBdr>
        </w:div>
        <w:div w:id="832841914">
          <w:marLeft w:val="0"/>
          <w:marRight w:val="0"/>
          <w:marTop w:val="0"/>
          <w:marBottom w:val="0"/>
          <w:divBdr>
            <w:top w:val="none" w:sz="0" w:space="0" w:color="auto"/>
            <w:left w:val="none" w:sz="0" w:space="0" w:color="auto"/>
            <w:bottom w:val="none" w:sz="0" w:space="0" w:color="auto"/>
            <w:right w:val="none" w:sz="0" w:space="0" w:color="auto"/>
          </w:divBdr>
        </w:div>
        <w:div w:id="1817602244">
          <w:marLeft w:val="0"/>
          <w:marRight w:val="0"/>
          <w:marTop w:val="0"/>
          <w:marBottom w:val="0"/>
          <w:divBdr>
            <w:top w:val="none" w:sz="0" w:space="0" w:color="auto"/>
            <w:left w:val="none" w:sz="0" w:space="0" w:color="auto"/>
            <w:bottom w:val="none" w:sz="0" w:space="0" w:color="auto"/>
            <w:right w:val="none" w:sz="0" w:space="0" w:color="auto"/>
          </w:divBdr>
        </w:div>
        <w:div w:id="1581210286">
          <w:marLeft w:val="0"/>
          <w:marRight w:val="0"/>
          <w:marTop w:val="0"/>
          <w:marBottom w:val="0"/>
          <w:divBdr>
            <w:top w:val="none" w:sz="0" w:space="0" w:color="auto"/>
            <w:left w:val="none" w:sz="0" w:space="0" w:color="auto"/>
            <w:bottom w:val="none" w:sz="0" w:space="0" w:color="auto"/>
            <w:right w:val="none" w:sz="0" w:space="0" w:color="auto"/>
          </w:divBdr>
        </w:div>
        <w:div w:id="1806315761">
          <w:marLeft w:val="0"/>
          <w:marRight w:val="0"/>
          <w:marTop w:val="0"/>
          <w:marBottom w:val="0"/>
          <w:divBdr>
            <w:top w:val="none" w:sz="0" w:space="0" w:color="auto"/>
            <w:left w:val="none" w:sz="0" w:space="0" w:color="auto"/>
            <w:bottom w:val="none" w:sz="0" w:space="0" w:color="auto"/>
            <w:right w:val="none" w:sz="0" w:space="0" w:color="auto"/>
          </w:divBdr>
        </w:div>
        <w:div w:id="1642422742">
          <w:marLeft w:val="0"/>
          <w:marRight w:val="0"/>
          <w:marTop w:val="0"/>
          <w:marBottom w:val="0"/>
          <w:divBdr>
            <w:top w:val="none" w:sz="0" w:space="0" w:color="auto"/>
            <w:left w:val="none" w:sz="0" w:space="0" w:color="auto"/>
            <w:bottom w:val="none" w:sz="0" w:space="0" w:color="auto"/>
            <w:right w:val="none" w:sz="0" w:space="0" w:color="auto"/>
          </w:divBdr>
        </w:div>
        <w:div w:id="572357838">
          <w:marLeft w:val="0"/>
          <w:marRight w:val="0"/>
          <w:marTop w:val="0"/>
          <w:marBottom w:val="0"/>
          <w:divBdr>
            <w:top w:val="none" w:sz="0" w:space="0" w:color="auto"/>
            <w:left w:val="none" w:sz="0" w:space="0" w:color="auto"/>
            <w:bottom w:val="none" w:sz="0" w:space="0" w:color="auto"/>
            <w:right w:val="none" w:sz="0" w:space="0" w:color="auto"/>
          </w:divBdr>
        </w:div>
        <w:div w:id="1066495857">
          <w:marLeft w:val="0"/>
          <w:marRight w:val="0"/>
          <w:marTop w:val="0"/>
          <w:marBottom w:val="0"/>
          <w:divBdr>
            <w:top w:val="none" w:sz="0" w:space="0" w:color="auto"/>
            <w:left w:val="none" w:sz="0" w:space="0" w:color="auto"/>
            <w:bottom w:val="none" w:sz="0" w:space="0" w:color="auto"/>
            <w:right w:val="none" w:sz="0" w:space="0" w:color="auto"/>
          </w:divBdr>
        </w:div>
        <w:div w:id="266424258">
          <w:marLeft w:val="0"/>
          <w:marRight w:val="0"/>
          <w:marTop w:val="0"/>
          <w:marBottom w:val="0"/>
          <w:divBdr>
            <w:top w:val="none" w:sz="0" w:space="0" w:color="auto"/>
            <w:left w:val="none" w:sz="0" w:space="0" w:color="auto"/>
            <w:bottom w:val="none" w:sz="0" w:space="0" w:color="auto"/>
            <w:right w:val="none" w:sz="0" w:space="0" w:color="auto"/>
          </w:divBdr>
        </w:div>
        <w:div w:id="1352805175">
          <w:marLeft w:val="0"/>
          <w:marRight w:val="0"/>
          <w:marTop w:val="0"/>
          <w:marBottom w:val="0"/>
          <w:divBdr>
            <w:top w:val="none" w:sz="0" w:space="0" w:color="auto"/>
            <w:left w:val="none" w:sz="0" w:space="0" w:color="auto"/>
            <w:bottom w:val="none" w:sz="0" w:space="0" w:color="auto"/>
            <w:right w:val="none" w:sz="0" w:space="0" w:color="auto"/>
          </w:divBdr>
        </w:div>
        <w:div w:id="1775519262">
          <w:marLeft w:val="0"/>
          <w:marRight w:val="0"/>
          <w:marTop w:val="0"/>
          <w:marBottom w:val="0"/>
          <w:divBdr>
            <w:top w:val="none" w:sz="0" w:space="0" w:color="auto"/>
            <w:left w:val="none" w:sz="0" w:space="0" w:color="auto"/>
            <w:bottom w:val="none" w:sz="0" w:space="0" w:color="auto"/>
            <w:right w:val="none" w:sz="0" w:space="0" w:color="auto"/>
          </w:divBdr>
        </w:div>
        <w:div w:id="609288777">
          <w:marLeft w:val="0"/>
          <w:marRight w:val="0"/>
          <w:marTop w:val="0"/>
          <w:marBottom w:val="0"/>
          <w:divBdr>
            <w:top w:val="none" w:sz="0" w:space="0" w:color="auto"/>
            <w:left w:val="none" w:sz="0" w:space="0" w:color="auto"/>
            <w:bottom w:val="none" w:sz="0" w:space="0" w:color="auto"/>
            <w:right w:val="none" w:sz="0" w:space="0" w:color="auto"/>
          </w:divBdr>
        </w:div>
        <w:div w:id="1038092995">
          <w:marLeft w:val="0"/>
          <w:marRight w:val="0"/>
          <w:marTop w:val="0"/>
          <w:marBottom w:val="0"/>
          <w:divBdr>
            <w:top w:val="none" w:sz="0" w:space="0" w:color="auto"/>
            <w:left w:val="none" w:sz="0" w:space="0" w:color="auto"/>
            <w:bottom w:val="none" w:sz="0" w:space="0" w:color="auto"/>
            <w:right w:val="none" w:sz="0" w:space="0" w:color="auto"/>
          </w:divBdr>
        </w:div>
        <w:div w:id="314266230">
          <w:marLeft w:val="0"/>
          <w:marRight w:val="0"/>
          <w:marTop w:val="0"/>
          <w:marBottom w:val="0"/>
          <w:divBdr>
            <w:top w:val="none" w:sz="0" w:space="0" w:color="auto"/>
            <w:left w:val="none" w:sz="0" w:space="0" w:color="auto"/>
            <w:bottom w:val="none" w:sz="0" w:space="0" w:color="auto"/>
            <w:right w:val="none" w:sz="0" w:space="0" w:color="auto"/>
          </w:divBdr>
          <w:divsChild>
            <w:div w:id="1543665359">
              <w:marLeft w:val="0"/>
              <w:marRight w:val="0"/>
              <w:marTop w:val="0"/>
              <w:marBottom w:val="0"/>
              <w:divBdr>
                <w:top w:val="none" w:sz="0" w:space="0" w:color="auto"/>
                <w:left w:val="none" w:sz="0" w:space="0" w:color="auto"/>
                <w:bottom w:val="none" w:sz="0" w:space="0" w:color="auto"/>
                <w:right w:val="none" w:sz="0" w:space="0" w:color="auto"/>
              </w:divBdr>
            </w:div>
          </w:divsChild>
        </w:div>
        <w:div w:id="742677071">
          <w:marLeft w:val="0"/>
          <w:marRight w:val="0"/>
          <w:marTop w:val="0"/>
          <w:marBottom w:val="0"/>
          <w:divBdr>
            <w:top w:val="none" w:sz="0" w:space="0" w:color="auto"/>
            <w:left w:val="none" w:sz="0" w:space="0" w:color="auto"/>
            <w:bottom w:val="none" w:sz="0" w:space="0" w:color="auto"/>
            <w:right w:val="none" w:sz="0" w:space="0" w:color="auto"/>
          </w:divBdr>
        </w:div>
        <w:div w:id="1017579074">
          <w:marLeft w:val="0"/>
          <w:marRight w:val="0"/>
          <w:marTop w:val="0"/>
          <w:marBottom w:val="0"/>
          <w:divBdr>
            <w:top w:val="none" w:sz="0" w:space="0" w:color="auto"/>
            <w:left w:val="none" w:sz="0" w:space="0" w:color="auto"/>
            <w:bottom w:val="none" w:sz="0" w:space="0" w:color="auto"/>
            <w:right w:val="none" w:sz="0" w:space="0" w:color="auto"/>
          </w:divBdr>
        </w:div>
        <w:div w:id="780303109">
          <w:marLeft w:val="0"/>
          <w:marRight w:val="0"/>
          <w:marTop w:val="0"/>
          <w:marBottom w:val="0"/>
          <w:divBdr>
            <w:top w:val="none" w:sz="0" w:space="0" w:color="auto"/>
            <w:left w:val="none" w:sz="0" w:space="0" w:color="auto"/>
            <w:bottom w:val="none" w:sz="0" w:space="0" w:color="auto"/>
            <w:right w:val="none" w:sz="0" w:space="0" w:color="auto"/>
          </w:divBdr>
        </w:div>
        <w:div w:id="1831558107">
          <w:marLeft w:val="0"/>
          <w:marRight w:val="0"/>
          <w:marTop w:val="0"/>
          <w:marBottom w:val="0"/>
          <w:divBdr>
            <w:top w:val="none" w:sz="0" w:space="0" w:color="auto"/>
            <w:left w:val="none" w:sz="0" w:space="0" w:color="auto"/>
            <w:bottom w:val="none" w:sz="0" w:space="0" w:color="auto"/>
            <w:right w:val="none" w:sz="0" w:space="0" w:color="auto"/>
          </w:divBdr>
        </w:div>
        <w:div w:id="1178151364">
          <w:marLeft w:val="0"/>
          <w:marRight w:val="0"/>
          <w:marTop w:val="0"/>
          <w:marBottom w:val="0"/>
          <w:divBdr>
            <w:top w:val="none" w:sz="0" w:space="0" w:color="auto"/>
            <w:left w:val="none" w:sz="0" w:space="0" w:color="auto"/>
            <w:bottom w:val="none" w:sz="0" w:space="0" w:color="auto"/>
            <w:right w:val="none" w:sz="0" w:space="0" w:color="auto"/>
          </w:divBdr>
        </w:div>
        <w:div w:id="900477880">
          <w:marLeft w:val="0"/>
          <w:marRight w:val="0"/>
          <w:marTop w:val="0"/>
          <w:marBottom w:val="0"/>
          <w:divBdr>
            <w:top w:val="none" w:sz="0" w:space="0" w:color="auto"/>
            <w:left w:val="none" w:sz="0" w:space="0" w:color="auto"/>
            <w:bottom w:val="none" w:sz="0" w:space="0" w:color="auto"/>
            <w:right w:val="none" w:sz="0" w:space="0" w:color="auto"/>
          </w:divBdr>
        </w:div>
        <w:div w:id="847644406">
          <w:marLeft w:val="0"/>
          <w:marRight w:val="0"/>
          <w:marTop w:val="0"/>
          <w:marBottom w:val="0"/>
          <w:divBdr>
            <w:top w:val="none" w:sz="0" w:space="0" w:color="auto"/>
            <w:left w:val="none" w:sz="0" w:space="0" w:color="auto"/>
            <w:bottom w:val="none" w:sz="0" w:space="0" w:color="auto"/>
            <w:right w:val="none" w:sz="0" w:space="0" w:color="auto"/>
          </w:divBdr>
          <w:divsChild>
            <w:div w:id="2090497806">
              <w:marLeft w:val="0"/>
              <w:marRight w:val="0"/>
              <w:marTop w:val="0"/>
              <w:marBottom w:val="0"/>
              <w:divBdr>
                <w:top w:val="none" w:sz="0" w:space="0" w:color="auto"/>
                <w:left w:val="none" w:sz="0" w:space="0" w:color="auto"/>
                <w:bottom w:val="none" w:sz="0" w:space="0" w:color="auto"/>
                <w:right w:val="none" w:sz="0" w:space="0" w:color="auto"/>
              </w:divBdr>
            </w:div>
          </w:divsChild>
        </w:div>
        <w:div w:id="228425401">
          <w:marLeft w:val="0"/>
          <w:marRight w:val="0"/>
          <w:marTop w:val="0"/>
          <w:marBottom w:val="0"/>
          <w:divBdr>
            <w:top w:val="none" w:sz="0" w:space="0" w:color="auto"/>
            <w:left w:val="none" w:sz="0" w:space="0" w:color="auto"/>
            <w:bottom w:val="none" w:sz="0" w:space="0" w:color="auto"/>
            <w:right w:val="none" w:sz="0" w:space="0" w:color="auto"/>
          </w:divBdr>
        </w:div>
        <w:div w:id="471094729">
          <w:marLeft w:val="0"/>
          <w:marRight w:val="0"/>
          <w:marTop w:val="0"/>
          <w:marBottom w:val="0"/>
          <w:divBdr>
            <w:top w:val="none" w:sz="0" w:space="0" w:color="auto"/>
            <w:left w:val="none" w:sz="0" w:space="0" w:color="auto"/>
            <w:bottom w:val="none" w:sz="0" w:space="0" w:color="auto"/>
            <w:right w:val="none" w:sz="0" w:space="0" w:color="auto"/>
          </w:divBdr>
        </w:div>
        <w:div w:id="1174493085">
          <w:marLeft w:val="0"/>
          <w:marRight w:val="0"/>
          <w:marTop w:val="0"/>
          <w:marBottom w:val="0"/>
          <w:divBdr>
            <w:top w:val="none" w:sz="0" w:space="0" w:color="auto"/>
            <w:left w:val="none" w:sz="0" w:space="0" w:color="auto"/>
            <w:bottom w:val="none" w:sz="0" w:space="0" w:color="auto"/>
            <w:right w:val="none" w:sz="0" w:space="0" w:color="auto"/>
          </w:divBdr>
        </w:div>
        <w:div w:id="1336497119">
          <w:marLeft w:val="0"/>
          <w:marRight w:val="0"/>
          <w:marTop w:val="0"/>
          <w:marBottom w:val="0"/>
          <w:divBdr>
            <w:top w:val="none" w:sz="0" w:space="0" w:color="auto"/>
            <w:left w:val="none" w:sz="0" w:space="0" w:color="auto"/>
            <w:bottom w:val="none" w:sz="0" w:space="0" w:color="auto"/>
            <w:right w:val="none" w:sz="0" w:space="0" w:color="auto"/>
          </w:divBdr>
        </w:div>
        <w:div w:id="216285195">
          <w:marLeft w:val="0"/>
          <w:marRight w:val="0"/>
          <w:marTop w:val="0"/>
          <w:marBottom w:val="0"/>
          <w:divBdr>
            <w:top w:val="none" w:sz="0" w:space="0" w:color="auto"/>
            <w:left w:val="none" w:sz="0" w:space="0" w:color="auto"/>
            <w:bottom w:val="none" w:sz="0" w:space="0" w:color="auto"/>
            <w:right w:val="none" w:sz="0" w:space="0" w:color="auto"/>
          </w:divBdr>
        </w:div>
        <w:div w:id="1308901543">
          <w:marLeft w:val="0"/>
          <w:marRight w:val="0"/>
          <w:marTop w:val="0"/>
          <w:marBottom w:val="0"/>
          <w:divBdr>
            <w:top w:val="none" w:sz="0" w:space="0" w:color="auto"/>
            <w:left w:val="none" w:sz="0" w:space="0" w:color="auto"/>
            <w:bottom w:val="none" w:sz="0" w:space="0" w:color="auto"/>
            <w:right w:val="none" w:sz="0" w:space="0" w:color="auto"/>
          </w:divBdr>
        </w:div>
        <w:div w:id="739836442">
          <w:marLeft w:val="0"/>
          <w:marRight w:val="0"/>
          <w:marTop w:val="0"/>
          <w:marBottom w:val="0"/>
          <w:divBdr>
            <w:top w:val="none" w:sz="0" w:space="0" w:color="auto"/>
            <w:left w:val="none" w:sz="0" w:space="0" w:color="auto"/>
            <w:bottom w:val="none" w:sz="0" w:space="0" w:color="auto"/>
            <w:right w:val="none" w:sz="0" w:space="0" w:color="auto"/>
          </w:divBdr>
        </w:div>
        <w:div w:id="781724237">
          <w:marLeft w:val="0"/>
          <w:marRight w:val="0"/>
          <w:marTop w:val="0"/>
          <w:marBottom w:val="0"/>
          <w:divBdr>
            <w:top w:val="none" w:sz="0" w:space="0" w:color="auto"/>
            <w:left w:val="none" w:sz="0" w:space="0" w:color="auto"/>
            <w:bottom w:val="none" w:sz="0" w:space="0" w:color="auto"/>
            <w:right w:val="none" w:sz="0" w:space="0" w:color="auto"/>
          </w:divBdr>
        </w:div>
        <w:div w:id="1830975211">
          <w:marLeft w:val="0"/>
          <w:marRight w:val="0"/>
          <w:marTop w:val="0"/>
          <w:marBottom w:val="0"/>
          <w:divBdr>
            <w:top w:val="none" w:sz="0" w:space="0" w:color="auto"/>
            <w:left w:val="none" w:sz="0" w:space="0" w:color="auto"/>
            <w:bottom w:val="none" w:sz="0" w:space="0" w:color="auto"/>
            <w:right w:val="none" w:sz="0" w:space="0" w:color="auto"/>
          </w:divBdr>
        </w:div>
        <w:div w:id="936063416">
          <w:marLeft w:val="0"/>
          <w:marRight w:val="0"/>
          <w:marTop w:val="0"/>
          <w:marBottom w:val="0"/>
          <w:divBdr>
            <w:top w:val="none" w:sz="0" w:space="0" w:color="auto"/>
            <w:left w:val="none" w:sz="0" w:space="0" w:color="auto"/>
            <w:bottom w:val="none" w:sz="0" w:space="0" w:color="auto"/>
            <w:right w:val="none" w:sz="0" w:space="0" w:color="auto"/>
          </w:divBdr>
        </w:div>
        <w:div w:id="588776880">
          <w:marLeft w:val="0"/>
          <w:marRight w:val="0"/>
          <w:marTop w:val="0"/>
          <w:marBottom w:val="0"/>
          <w:divBdr>
            <w:top w:val="none" w:sz="0" w:space="0" w:color="auto"/>
            <w:left w:val="none" w:sz="0" w:space="0" w:color="auto"/>
            <w:bottom w:val="none" w:sz="0" w:space="0" w:color="auto"/>
            <w:right w:val="none" w:sz="0" w:space="0" w:color="auto"/>
          </w:divBdr>
          <w:divsChild>
            <w:div w:id="394357961">
              <w:marLeft w:val="0"/>
              <w:marRight w:val="0"/>
              <w:marTop w:val="0"/>
              <w:marBottom w:val="0"/>
              <w:divBdr>
                <w:top w:val="none" w:sz="0" w:space="0" w:color="auto"/>
                <w:left w:val="none" w:sz="0" w:space="0" w:color="auto"/>
                <w:bottom w:val="none" w:sz="0" w:space="0" w:color="auto"/>
                <w:right w:val="none" w:sz="0" w:space="0" w:color="auto"/>
              </w:divBdr>
            </w:div>
            <w:div w:id="2080861369">
              <w:marLeft w:val="0"/>
              <w:marRight w:val="0"/>
              <w:marTop w:val="0"/>
              <w:marBottom w:val="0"/>
              <w:divBdr>
                <w:top w:val="none" w:sz="0" w:space="0" w:color="auto"/>
                <w:left w:val="none" w:sz="0" w:space="0" w:color="auto"/>
                <w:bottom w:val="none" w:sz="0" w:space="0" w:color="auto"/>
                <w:right w:val="none" w:sz="0" w:space="0" w:color="auto"/>
              </w:divBdr>
            </w:div>
            <w:div w:id="771316562">
              <w:marLeft w:val="0"/>
              <w:marRight w:val="0"/>
              <w:marTop w:val="0"/>
              <w:marBottom w:val="0"/>
              <w:divBdr>
                <w:top w:val="none" w:sz="0" w:space="0" w:color="auto"/>
                <w:left w:val="none" w:sz="0" w:space="0" w:color="auto"/>
                <w:bottom w:val="none" w:sz="0" w:space="0" w:color="auto"/>
                <w:right w:val="none" w:sz="0" w:space="0" w:color="auto"/>
              </w:divBdr>
            </w:div>
            <w:div w:id="79445219">
              <w:marLeft w:val="0"/>
              <w:marRight w:val="0"/>
              <w:marTop w:val="0"/>
              <w:marBottom w:val="0"/>
              <w:divBdr>
                <w:top w:val="none" w:sz="0" w:space="0" w:color="auto"/>
                <w:left w:val="none" w:sz="0" w:space="0" w:color="auto"/>
                <w:bottom w:val="none" w:sz="0" w:space="0" w:color="auto"/>
                <w:right w:val="none" w:sz="0" w:space="0" w:color="auto"/>
              </w:divBdr>
            </w:div>
          </w:divsChild>
        </w:div>
        <w:div w:id="1175652876">
          <w:marLeft w:val="0"/>
          <w:marRight w:val="0"/>
          <w:marTop w:val="0"/>
          <w:marBottom w:val="0"/>
          <w:divBdr>
            <w:top w:val="none" w:sz="0" w:space="0" w:color="auto"/>
            <w:left w:val="none" w:sz="0" w:space="0" w:color="auto"/>
            <w:bottom w:val="none" w:sz="0" w:space="0" w:color="auto"/>
            <w:right w:val="none" w:sz="0" w:space="0" w:color="auto"/>
          </w:divBdr>
        </w:div>
        <w:div w:id="1141919654">
          <w:marLeft w:val="0"/>
          <w:marRight w:val="0"/>
          <w:marTop w:val="0"/>
          <w:marBottom w:val="0"/>
          <w:divBdr>
            <w:top w:val="none" w:sz="0" w:space="0" w:color="auto"/>
            <w:left w:val="none" w:sz="0" w:space="0" w:color="auto"/>
            <w:bottom w:val="none" w:sz="0" w:space="0" w:color="auto"/>
            <w:right w:val="none" w:sz="0" w:space="0" w:color="auto"/>
          </w:divBdr>
        </w:div>
        <w:div w:id="150760552">
          <w:marLeft w:val="0"/>
          <w:marRight w:val="0"/>
          <w:marTop w:val="0"/>
          <w:marBottom w:val="0"/>
          <w:divBdr>
            <w:top w:val="none" w:sz="0" w:space="0" w:color="auto"/>
            <w:left w:val="none" w:sz="0" w:space="0" w:color="auto"/>
            <w:bottom w:val="none" w:sz="0" w:space="0" w:color="auto"/>
            <w:right w:val="none" w:sz="0" w:space="0" w:color="auto"/>
          </w:divBdr>
          <w:divsChild>
            <w:div w:id="184751168">
              <w:marLeft w:val="0"/>
              <w:marRight w:val="0"/>
              <w:marTop w:val="0"/>
              <w:marBottom w:val="0"/>
              <w:divBdr>
                <w:top w:val="none" w:sz="0" w:space="0" w:color="auto"/>
                <w:left w:val="none" w:sz="0" w:space="0" w:color="auto"/>
                <w:bottom w:val="none" w:sz="0" w:space="0" w:color="auto"/>
                <w:right w:val="none" w:sz="0" w:space="0" w:color="auto"/>
              </w:divBdr>
            </w:div>
          </w:divsChild>
        </w:div>
        <w:div w:id="1732607215">
          <w:marLeft w:val="0"/>
          <w:marRight w:val="0"/>
          <w:marTop w:val="0"/>
          <w:marBottom w:val="0"/>
          <w:divBdr>
            <w:top w:val="none" w:sz="0" w:space="0" w:color="auto"/>
            <w:left w:val="none" w:sz="0" w:space="0" w:color="auto"/>
            <w:bottom w:val="none" w:sz="0" w:space="0" w:color="auto"/>
            <w:right w:val="none" w:sz="0" w:space="0" w:color="auto"/>
          </w:divBdr>
        </w:div>
        <w:div w:id="2010450344">
          <w:marLeft w:val="0"/>
          <w:marRight w:val="0"/>
          <w:marTop w:val="0"/>
          <w:marBottom w:val="0"/>
          <w:divBdr>
            <w:top w:val="none" w:sz="0" w:space="0" w:color="auto"/>
            <w:left w:val="none" w:sz="0" w:space="0" w:color="auto"/>
            <w:bottom w:val="none" w:sz="0" w:space="0" w:color="auto"/>
            <w:right w:val="none" w:sz="0" w:space="0" w:color="auto"/>
          </w:divBdr>
        </w:div>
        <w:div w:id="1066227327">
          <w:marLeft w:val="0"/>
          <w:marRight w:val="0"/>
          <w:marTop w:val="0"/>
          <w:marBottom w:val="0"/>
          <w:divBdr>
            <w:top w:val="none" w:sz="0" w:space="0" w:color="auto"/>
            <w:left w:val="none" w:sz="0" w:space="0" w:color="auto"/>
            <w:bottom w:val="none" w:sz="0" w:space="0" w:color="auto"/>
            <w:right w:val="none" w:sz="0" w:space="0" w:color="auto"/>
          </w:divBdr>
          <w:divsChild>
            <w:div w:id="2028948341">
              <w:marLeft w:val="0"/>
              <w:marRight w:val="0"/>
              <w:marTop w:val="0"/>
              <w:marBottom w:val="0"/>
              <w:divBdr>
                <w:top w:val="none" w:sz="0" w:space="0" w:color="auto"/>
                <w:left w:val="none" w:sz="0" w:space="0" w:color="auto"/>
                <w:bottom w:val="none" w:sz="0" w:space="0" w:color="auto"/>
                <w:right w:val="none" w:sz="0" w:space="0" w:color="auto"/>
              </w:divBdr>
            </w:div>
          </w:divsChild>
        </w:div>
        <w:div w:id="114831998">
          <w:marLeft w:val="0"/>
          <w:marRight w:val="0"/>
          <w:marTop w:val="0"/>
          <w:marBottom w:val="0"/>
          <w:divBdr>
            <w:top w:val="none" w:sz="0" w:space="0" w:color="auto"/>
            <w:left w:val="none" w:sz="0" w:space="0" w:color="auto"/>
            <w:bottom w:val="none" w:sz="0" w:space="0" w:color="auto"/>
            <w:right w:val="none" w:sz="0" w:space="0" w:color="auto"/>
          </w:divBdr>
          <w:divsChild>
            <w:div w:id="1521090753">
              <w:marLeft w:val="0"/>
              <w:marRight w:val="0"/>
              <w:marTop w:val="0"/>
              <w:marBottom w:val="0"/>
              <w:divBdr>
                <w:top w:val="none" w:sz="0" w:space="0" w:color="auto"/>
                <w:left w:val="none" w:sz="0" w:space="0" w:color="auto"/>
                <w:bottom w:val="none" w:sz="0" w:space="0" w:color="auto"/>
                <w:right w:val="none" w:sz="0" w:space="0" w:color="auto"/>
              </w:divBdr>
            </w:div>
            <w:div w:id="1651790992">
              <w:marLeft w:val="0"/>
              <w:marRight w:val="0"/>
              <w:marTop w:val="0"/>
              <w:marBottom w:val="0"/>
              <w:divBdr>
                <w:top w:val="none" w:sz="0" w:space="0" w:color="auto"/>
                <w:left w:val="none" w:sz="0" w:space="0" w:color="auto"/>
                <w:bottom w:val="none" w:sz="0" w:space="0" w:color="auto"/>
                <w:right w:val="none" w:sz="0" w:space="0" w:color="auto"/>
              </w:divBdr>
            </w:div>
            <w:div w:id="945845598">
              <w:marLeft w:val="0"/>
              <w:marRight w:val="0"/>
              <w:marTop w:val="0"/>
              <w:marBottom w:val="0"/>
              <w:divBdr>
                <w:top w:val="none" w:sz="0" w:space="0" w:color="auto"/>
                <w:left w:val="none" w:sz="0" w:space="0" w:color="auto"/>
                <w:bottom w:val="none" w:sz="0" w:space="0" w:color="auto"/>
                <w:right w:val="none" w:sz="0" w:space="0" w:color="auto"/>
              </w:divBdr>
            </w:div>
            <w:div w:id="1322393491">
              <w:marLeft w:val="0"/>
              <w:marRight w:val="0"/>
              <w:marTop w:val="0"/>
              <w:marBottom w:val="0"/>
              <w:divBdr>
                <w:top w:val="none" w:sz="0" w:space="0" w:color="auto"/>
                <w:left w:val="none" w:sz="0" w:space="0" w:color="auto"/>
                <w:bottom w:val="none" w:sz="0" w:space="0" w:color="auto"/>
                <w:right w:val="none" w:sz="0" w:space="0" w:color="auto"/>
              </w:divBdr>
            </w:div>
          </w:divsChild>
        </w:div>
        <w:div w:id="414784670">
          <w:marLeft w:val="0"/>
          <w:marRight w:val="0"/>
          <w:marTop w:val="0"/>
          <w:marBottom w:val="0"/>
          <w:divBdr>
            <w:top w:val="none" w:sz="0" w:space="0" w:color="auto"/>
            <w:left w:val="none" w:sz="0" w:space="0" w:color="auto"/>
            <w:bottom w:val="none" w:sz="0" w:space="0" w:color="auto"/>
            <w:right w:val="none" w:sz="0" w:space="0" w:color="auto"/>
          </w:divBdr>
        </w:div>
        <w:div w:id="2125802530">
          <w:marLeft w:val="0"/>
          <w:marRight w:val="0"/>
          <w:marTop w:val="0"/>
          <w:marBottom w:val="0"/>
          <w:divBdr>
            <w:top w:val="none" w:sz="0" w:space="0" w:color="auto"/>
            <w:left w:val="none" w:sz="0" w:space="0" w:color="auto"/>
            <w:bottom w:val="none" w:sz="0" w:space="0" w:color="auto"/>
            <w:right w:val="none" w:sz="0" w:space="0" w:color="auto"/>
          </w:divBdr>
        </w:div>
        <w:div w:id="1889878358">
          <w:marLeft w:val="0"/>
          <w:marRight w:val="0"/>
          <w:marTop w:val="0"/>
          <w:marBottom w:val="0"/>
          <w:divBdr>
            <w:top w:val="none" w:sz="0" w:space="0" w:color="auto"/>
            <w:left w:val="none" w:sz="0" w:space="0" w:color="auto"/>
            <w:bottom w:val="none" w:sz="0" w:space="0" w:color="auto"/>
            <w:right w:val="none" w:sz="0" w:space="0" w:color="auto"/>
          </w:divBdr>
        </w:div>
        <w:div w:id="609627120">
          <w:marLeft w:val="0"/>
          <w:marRight w:val="0"/>
          <w:marTop w:val="0"/>
          <w:marBottom w:val="0"/>
          <w:divBdr>
            <w:top w:val="none" w:sz="0" w:space="0" w:color="auto"/>
            <w:left w:val="none" w:sz="0" w:space="0" w:color="auto"/>
            <w:bottom w:val="none" w:sz="0" w:space="0" w:color="auto"/>
            <w:right w:val="none" w:sz="0" w:space="0" w:color="auto"/>
          </w:divBdr>
        </w:div>
        <w:div w:id="420370718">
          <w:marLeft w:val="0"/>
          <w:marRight w:val="0"/>
          <w:marTop w:val="0"/>
          <w:marBottom w:val="0"/>
          <w:divBdr>
            <w:top w:val="none" w:sz="0" w:space="0" w:color="auto"/>
            <w:left w:val="none" w:sz="0" w:space="0" w:color="auto"/>
            <w:bottom w:val="none" w:sz="0" w:space="0" w:color="auto"/>
            <w:right w:val="none" w:sz="0" w:space="0" w:color="auto"/>
          </w:divBdr>
        </w:div>
        <w:div w:id="278949811">
          <w:marLeft w:val="0"/>
          <w:marRight w:val="0"/>
          <w:marTop w:val="0"/>
          <w:marBottom w:val="0"/>
          <w:divBdr>
            <w:top w:val="none" w:sz="0" w:space="0" w:color="auto"/>
            <w:left w:val="none" w:sz="0" w:space="0" w:color="auto"/>
            <w:bottom w:val="none" w:sz="0" w:space="0" w:color="auto"/>
            <w:right w:val="none" w:sz="0" w:space="0" w:color="auto"/>
          </w:divBdr>
          <w:divsChild>
            <w:div w:id="55589288">
              <w:marLeft w:val="0"/>
              <w:marRight w:val="0"/>
              <w:marTop w:val="0"/>
              <w:marBottom w:val="0"/>
              <w:divBdr>
                <w:top w:val="none" w:sz="0" w:space="0" w:color="auto"/>
                <w:left w:val="none" w:sz="0" w:space="0" w:color="auto"/>
                <w:bottom w:val="none" w:sz="0" w:space="0" w:color="auto"/>
                <w:right w:val="none" w:sz="0" w:space="0" w:color="auto"/>
              </w:divBdr>
            </w:div>
            <w:div w:id="127944841">
              <w:marLeft w:val="0"/>
              <w:marRight w:val="0"/>
              <w:marTop w:val="0"/>
              <w:marBottom w:val="0"/>
              <w:divBdr>
                <w:top w:val="none" w:sz="0" w:space="0" w:color="auto"/>
                <w:left w:val="none" w:sz="0" w:space="0" w:color="auto"/>
                <w:bottom w:val="none" w:sz="0" w:space="0" w:color="auto"/>
                <w:right w:val="none" w:sz="0" w:space="0" w:color="auto"/>
              </w:divBdr>
            </w:div>
            <w:div w:id="1207336257">
              <w:marLeft w:val="0"/>
              <w:marRight w:val="0"/>
              <w:marTop w:val="0"/>
              <w:marBottom w:val="0"/>
              <w:divBdr>
                <w:top w:val="none" w:sz="0" w:space="0" w:color="auto"/>
                <w:left w:val="none" w:sz="0" w:space="0" w:color="auto"/>
                <w:bottom w:val="none" w:sz="0" w:space="0" w:color="auto"/>
                <w:right w:val="none" w:sz="0" w:space="0" w:color="auto"/>
              </w:divBdr>
            </w:div>
            <w:div w:id="1625623149">
              <w:marLeft w:val="0"/>
              <w:marRight w:val="0"/>
              <w:marTop w:val="0"/>
              <w:marBottom w:val="0"/>
              <w:divBdr>
                <w:top w:val="none" w:sz="0" w:space="0" w:color="auto"/>
                <w:left w:val="none" w:sz="0" w:space="0" w:color="auto"/>
                <w:bottom w:val="none" w:sz="0" w:space="0" w:color="auto"/>
                <w:right w:val="none" w:sz="0" w:space="0" w:color="auto"/>
              </w:divBdr>
            </w:div>
            <w:div w:id="60755025">
              <w:marLeft w:val="0"/>
              <w:marRight w:val="0"/>
              <w:marTop w:val="0"/>
              <w:marBottom w:val="0"/>
              <w:divBdr>
                <w:top w:val="none" w:sz="0" w:space="0" w:color="auto"/>
                <w:left w:val="none" w:sz="0" w:space="0" w:color="auto"/>
                <w:bottom w:val="none" w:sz="0" w:space="0" w:color="auto"/>
                <w:right w:val="none" w:sz="0" w:space="0" w:color="auto"/>
              </w:divBdr>
            </w:div>
            <w:div w:id="347145628">
              <w:marLeft w:val="0"/>
              <w:marRight w:val="0"/>
              <w:marTop w:val="0"/>
              <w:marBottom w:val="0"/>
              <w:divBdr>
                <w:top w:val="none" w:sz="0" w:space="0" w:color="auto"/>
                <w:left w:val="none" w:sz="0" w:space="0" w:color="auto"/>
                <w:bottom w:val="none" w:sz="0" w:space="0" w:color="auto"/>
                <w:right w:val="none" w:sz="0" w:space="0" w:color="auto"/>
              </w:divBdr>
            </w:div>
            <w:div w:id="1117025453">
              <w:marLeft w:val="0"/>
              <w:marRight w:val="0"/>
              <w:marTop w:val="0"/>
              <w:marBottom w:val="0"/>
              <w:divBdr>
                <w:top w:val="none" w:sz="0" w:space="0" w:color="auto"/>
                <w:left w:val="none" w:sz="0" w:space="0" w:color="auto"/>
                <w:bottom w:val="none" w:sz="0" w:space="0" w:color="auto"/>
                <w:right w:val="none" w:sz="0" w:space="0" w:color="auto"/>
              </w:divBdr>
            </w:div>
            <w:div w:id="1318530221">
              <w:marLeft w:val="0"/>
              <w:marRight w:val="0"/>
              <w:marTop w:val="0"/>
              <w:marBottom w:val="0"/>
              <w:divBdr>
                <w:top w:val="none" w:sz="0" w:space="0" w:color="auto"/>
                <w:left w:val="none" w:sz="0" w:space="0" w:color="auto"/>
                <w:bottom w:val="none" w:sz="0" w:space="0" w:color="auto"/>
                <w:right w:val="none" w:sz="0" w:space="0" w:color="auto"/>
              </w:divBdr>
            </w:div>
            <w:div w:id="2032031229">
              <w:marLeft w:val="0"/>
              <w:marRight w:val="0"/>
              <w:marTop w:val="0"/>
              <w:marBottom w:val="0"/>
              <w:divBdr>
                <w:top w:val="none" w:sz="0" w:space="0" w:color="auto"/>
                <w:left w:val="none" w:sz="0" w:space="0" w:color="auto"/>
                <w:bottom w:val="none" w:sz="0" w:space="0" w:color="auto"/>
                <w:right w:val="none" w:sz="0" w:space="0" w:color="auto"/>
              </w:divBdr>
            </w:div>
            <w:div w:id="1574730181">
              <w:marLeft w:val="0"/>
              <w:marRight w:val="0"/>
              <w:marTop w:val="0"/>
              <w:marBottom w:val="0"/>
              <w:divBdr>
                <w:top w:val="none" w:sz="0" w:space="0" w:color="auto"/>
                <w:left w:val="none" w:sz="0" w:space="0" w:color="auto"/>
                <w:bottom w:val="none" w:sz="0" w:space="0" w:color="auto"/>
                <w:right w:val="none" w:sz="0" w:space="0" w:color="auto"/>
              </w:divBdr>
            </w:div>
            <w:div w:id="514854538">
              <w:marLeft w:val="0"/>
              <w:marRight w:val="0"/>
              <w:marTop w:val="0"/>
              <w:marBottom w:val="0"/>
              <w:divBdr>
                <w:top w:val="none" w:sz="0" w:space="0" w:color="auto"/>
                <w:left w:val="none" w:sz="0" w:space="0" w:color="auto"/>
                <w:bottom w:val="none" w:sz="0" w:space="0" w:color="auto"/>
                <w:right w:val="none" w:sz="0" w:space="0" w:color="auto"/>
              </w:divBdr>
            </w:div>
            <w:div w:id="1469863154">
              <w:marLeft w:val="0"/>
              <w:marRight w:val="0"/>
              <w:marTop w:val="0"/>
              <w:marBottom w:val="0"/>
              <w:divBdr>
                <w:top w:val="none" w:sz="0" w:space="0" w:color="auto"/>
                <w:left w:val="none" w:sz="0" w:space="0" w:color="auto"/>
                <w:bottom w:val="none" w:sz="0" w:space="0" w:color="auto"/>
                <w:right w:val="none" w:sz="0" w:space="0" w:color="auto"/>
              </w:divBdr>
            </w:div>
            <w:div w:id="2074307570">
              <w:marLeft w:val="0"/>
              <w:marRight w:val="0"/>
              <w:marTop w:val="0"/>
              <w:marBottom w:val="0"/>
              <w:divBdr>
                <w:top w:val="none" w:sz="0" w:space="0" w:color="auto"/>
                <w:left w:val="none" w:sz="0" w:space="0" w:color="auto"/>
                <w:bottom w:val="none" w:sz="0" w:space="0" w:color="auto"/>
                <w:right w:val="none" w:sz="0" w:space="0" w:color="auto"/>
              </w:divBdr>
            </w:div>
            <w:div w:id="1510177967">
              <w:marLeft w:val="0"/>
              <w:marRight w:val="0"/>
              <w:marTop w:val="0"/>
              <w:marBottom w:val="0"/>
              <w:divBdr>
                <w:top w:val="none" w:sz="0" w:space="0" w:color="auto"/>
                <w:left w:val="none" w:sz="0" w:space="0" w:color="auto"/>
                <w:bottom w:val="none" w:sz="0" w:space="0" w:color="auto"/>
                <w:right w:val="none" w:sz="0" w:space="0" w:color="auto"/>
              </w:divBdr>
            </w:div>
            <w:div w:id="2099129927">
              <w:marLeft w:val="0"/>
              <w:marRight w:val="0"/>
              <w:marTop w:val="0"/>
              <w:marBottom w:val="0"/>
              <w:divBdr>
                <w:top w:val="none" w:sz="0" w:space="0" w:color="auto"/>
                <w:left w:val="none" w:sz="0" w:space="0" w:color="auto"/>
                <w:bottom w:val="none" w:sz="0" w:space="0" w:color="auto"/>
                <w:right w:val="none" w:sz="0" w:space="0" w:color="auto"/>
              </w:divBdr>
            </w:div>
            <w:div w:id="1882552569">
              <w:marLeft w:val="0"/>
              <w:marRight w:val="0"/>
              <w:marTop w:val="0"/>
              <w:marBottom w:val="0"/>
              <w:divBdr>
                <w:top w:val="none" w:sz="0" w:space="0" w:color="auto"/>
                <w:left w:val="none" w:sz="0" w:space="0" w:color="auto"/>
                <w:bottom w:val="none" w:sz="0" w:space="0" w:color="auto"/>
                <w:right w:val="none" w:sz="0" w:space="0" w:color="auto"/>
              </w:divBdr>
            </w:div>
            <w:div w:id="470560334">
              <w:marLeft w:val="0"/>
              <w:marRight w:val="0"/>
              <w:marTop w:val="0"/>
              <w:marBottom w:val="0"/>
              <w:divBdr>
                <w:top w:val="none" w:sz="0" w:space="0" w:color="auto"/>
                <w:left w:val="none" w:sz="0" w:space="0" w:color="auto"/>
                <w:bottom w:val="none" w:sz="0" w:space="0" w:color="auto"/>
                <w:right w:val="none" w:sz="0" w:space="0" w:color="auto"/>
              </w:divBdr>
            </w:div>
            <w:div w:id="152337813">
              <w:marLeft w:val="0"/>
              <w:marRight w:val="0"/>
              <w:marTop w:val="0"/>
              <w:marBottom w:val="0"/>
              <w:divBdr>
                <w:top w:val="none" w:sz="0" w:space="0" w:color="auto"/>
                <w:left w:val="none" w:sz="0" w:space="0" w:color="auto"/>
                <w:bottom w:val="none" w:sz="0" w:space="0" w:color="auto"/>
                <w:right w:val="none" w:sz="0" w:space="0" w:color="auto"/>
              </w:divBdr>
            </w:div>
            <w:div w:id="1731229637">
              <w:marLeft w:val="0"/>
              <w:marRight w:val="0"/>
              <w:marTop w:val="0"/>
              <w:marBottom w:val="0"/>
              <w:divBdr>
                <w:top w:val="none" w:sz="0" w:space="0" w:color="auto"/>
                <w:left w:val="none" w:sz="0" w:space="0" w:color="auto"/>
                <w:bottom w:val="none" w:sz="0" w:space="0" w:color="auto"/>
                <w:right w:val="none" w:sz="0" w:space="0" w:color="auto"/>
              </w:divBdr>
            </w:div>
            <w:div w:id="2065835066">
              <w:marLeft w:val="0"/>
              <w:marRight w:val="0"/>
              <w:marTop w:val="0"/>
              <w:marBottom w:val="0"/>
              <w:divBdr>
                <w:top w:val="none" w:sz="0" w:space="0" w:color="auto"/>
                <w:left w:val="none" w:sz="0" w:space="0" w:color="auto"/>
                <w:bottom w:val="none" w:sz="0" w:space="0" w:color="auto"/>
                <w:right w:val="none" w:sz="0" w:space="0" w:color="auto"/>
              </w:divBdr>
            </w:div>
            <w:div w:id="1256592408">
              <w:marLeft w:val="0"/>
              <w:marRight w:val="0"/>
              <w:marTop w:val="0"/>
              <w:marBottom w:val="0"/>
              <w:divBdr>
                <w:top w:val="none" w:sz="0" w:space="0" w:color="auto"/>
                <w:left w:val="none" w:sz="0" w:space="0" w:color="auto"/>
                <w:bottom w:val="none" w:sz="0" w:space="0" w:color="auto"/>
                <w:right w:val="none" w:sz="0" w:space="0" w:color="auto"/>
              </w:divBdr>
            </w:div>
            <w:div w:id="2027826930">
              <w:marLeft w:val="0"/>
              <w:marRight w:val="0"/>
              <w:marTop w:val="0"/>
              <w:marBottom w:val="0"/>
              <w:divBdr>
                <w:top w:val="none" w:sz="0" w:space="0" w:color="auto"/>
                <w:left w:val="none" w:sz="0" w:space="0" w:color="auto"/>
                <w:bottom w:val="none" w:sz="0" w:space="0" w:color="auto"/>
                <w:right w:val="none" w:sz="0" w:space="0" w:color="auto"/>
              </w:divBdr>
            </w:div>
            <w:div w:id="2095398404">
              <w:marLeft w:val="0"/>
              <w:marRight w:val="0"/>
              <w:marTop w:val="0"/>
              <w:marBottom w:val="0"/>
              <w:divBdr>
                <w:top w:val="none" w:sz="0" w:space="0" w:color="auto"/>
                <w:left w:val="none" w:sz="0" w:space="0" w:color="auto"/>
                <w:bottom w:val="none" w:sz="0" w:space="0" w:color="auto"/>
                <w:right w:val="none" w:sz="0" w:space="0" w:color="auto"/>
              </w:divBdr>
            </w:div>
            <w:div w:id="1018048622">
              <w:marLeft w:val="0"/>
              <w:marRight w:val="0"/>
              <w:marTop w:val="0"/>
              <w:marBottom w:val="0"/>
              <w:divBdr>
                <w:top w:val="none" w:sz="0" w:space="0" w:color="auto"/>
                <w:left w:val="none" w:sz="0" w:space="0" w:color="auto"/>
                <w:bottom w:val="none" w:sz="0" w:space="0" w:color="auto"/>
                <w:right w:val="none" w:sz="0" w:space="0" w:color="auto"/>
              </w:divBdr>
            </w:div>
          </w:divsChild>
        </w:div>
        <w:div w:id="1533030979">
          <w:marLeft w:val="0"/>
          <w:marRight w:val="0"/>
          <w:marTop w:val="0"/>
          <w:marBottom w:val="0"/>
          <w:divBdr>
            <w:top w:val="none" w:sz="0" w:space="0" w:color="auto"/>
            <w:left w:val="none" w:sz="0" w:space="0" w:color="auto"/>
            <w:bottom w:val="none" w:sz="0" w:space="0" w:color="auto"/>
            <w:right w:val="none" w:sz="0" w:space="0" w:color="auto"/>
          </w:divBdr>
        </w:div>
        <w:div w:id="1157377730">
          <w:marLeft w:val="0"/>
          <w:marRight w:val="0"/>
          <w:marTop w:val="0"/>
          <w:marBottom w:val="0"/>
          <w:divBdr>
            <w:top w:val="none" w:sz="0" w:space="0" w:color="auto"/>
            <w:left w:val="none" w:sz="0" w:space="0" w:color="auto"/>
            <w:bottom w:val="none" w:sz="0" w:space="0" w:color="auto"/>
            <w:right w:val="none" w:sz="0" w:space="0" w:color="auto"/>
          </w:divBdr>
        </w:div>
        <w:div w:id="1485657867">
          <w:marLeft w:val="0"/>
          <w:marRight w:val="0"/>
          <w:marTop w:val="0"/>
          <w:marBottom w:val="0"/>
          <w:divBdr>
            <w:top w:val="none" w:sz="0" w:space="0" w:color="auto"/>
            <w:left w:val="none" w:sz="0" w:space="0" w:color="auto"/>
            <w:bottom w:val="none" w:sz="0" w:space="0" w:color="auto"/>
            <w:right w:val="none" w:sz="0" w:space="0" w:color="auto"/>
          </w:divBdr>
        </w:div>
        <w:div w:id="1686056148">
          <w:marLeft w:val="0"/>
          <w:marRight w:val="0"/>
          <w:marTop w:val="0"/>
          <w:marBottom w:val="0"/>
          <w:divBdr>
            <w:top w:val="none" w:sz="0" w:space="0" w:color="auto"/>
            <w:left w:val="none" w:sz="0" w:space="0" w:color="auto"/>
            <w:bottom w:val="none" w:sz="0" w:space="0" w:color="auto"/>
            <w:right w:val="none" w:sz="0" w:space="0" w:color="auto"/>
          </w:divBdr>
        </w:div>
        <w:div w:id="1994874721">
          <w:marLeft w:val="0"/>
          <w:marRight w:val="0"/>
          <w:marTop w:val="0"/>
          <w:marBottom w:val="0"/>
          <w:divBdr>
            <w:top w:val="none" w:sz="0" w:space="0" w:color="auto"/>
            <w:left w:val="none" w:sz="0" w:space="0" w:color="auto"/>
            <w:bottom w:val="none" w:sz="0" w:space="0" w:color="auto"/>
            <w:right w:val="none" w:sz="0" w:space="0" w:color="auto"/>
          </w:divBdr>
        </w:div>
        <w:div w:id="522669469">
          <w:marLeft w:val="0"/>
          <w:marRight w:val="0"/>
          <w:marTop w:val="0"/>
          <w:marBottom w:val="0"/>
          <w:divBdr>
            <w:top w:val="none" w:sz="0" w:space="0" w:color="auto"/>
            <w:left w:val="none" w:sz="0" w:space="0" w:color="auto"/>
            <w:bottom w:val="none" w:sz="0" w:space="0" w:color="auto"/>
            <w:right w:val="none" w:sz="0" w:space="0" w:color="auto"/>
          </w:divBdr>
        </w:div>
        <w:div w:id="610432266">
          <w:marLeft w:val="0"/>
          <w:marRight w:val="0"/>
          <w:marTop w:val="0"/>
          <w:marBottom w:val="0"/>
          <w:divBdr>
            <w:top w:val="none" w:sz="0" w:space="0" w:color="auto"/>
            <w:left w:val="none" w:sz="0" w:space="0" w:color="auto"/>
            <w:bottom w:val="none" w:sz="0" w:space="0" w:color="auto"/>
            <w:right w:val="none" w:sz="0" w:space="0" w:color="auto"/>
          </w:divBdr>
        </w:div>
        <w:div w:id="1777404201">
          <w:marLeft w:val="0"/>
          <w:marRight w:val="0"/>
          <w:marTop w:val="0"/>
          <w:marBottom w:val="0"/>
          <w:divBdr>
            <w:top w:val="none" w:sz="0" w:space="0" w:color="auto"/>
            <w:left w:val="none" w:sz="0" w:space="0" w:color="auto"/>
            <w:bottom w:val="none" w:sz="0" w:space="0" w:color="auto"/>
            <w:right w:val="none" w:sz="0" w:space="0" w:color="auto"/>
          </w:divBdr>
          <w:divsChild>
            <w:div w:id="616834865">
              <w:marLeft w:val="0"/>
              <w:marRight w:val="0"/>
              <w:marTop w:val="0"/>
              <w:marBottom w:val="0"/>
              <w:divBdr>
                <w:top w:val="none" w:sz="0" w:space="0" w:color="auto"/>
                <w:left w:val="none" w:sz="0" w:space="0" w:color="auto"/>
                <w:bottom w:val="none" w:sz="0" w:space="0" w:color="auto"/>
                <w:right w:val="none" w:sz="0" w:space="0" w:color="auto"/>
              </w:divBdr>
            </w:div>
            <w:div w:id="373432700">
              <w:marLeft w:val="0"/>
              <w:marRight w:val="0"/>
              <w:marTop w:val="0"/>
              <w:marBottom w:val="0"/>
              <w:divBdr>
                <w:top w:val="none" w:sz="0" w:space="0" w:color="auto"/>
                <w:left w:val="none" w:sz="0" w:space="0" w:color="auto"/>
                <w:bottom w:val="none" w:sz="0" w:space="0" w:color="auto"/>
                <w:right w:val="none" w:sz="0" w:space="0" w:color="auto"/>
              </w:divBdr>
            </w:div>
          </w:divsChild>
        </w:div>
        <w:div w:id="23672577">
          <w:marLeft w:val="0"/>
          <w:marRight w:val="0"/>
          <w:marTop w:val="0"/>
          <w:marBottom w:val="0"/>
          <w:divBdr>
            <w:top w:val="none" w:sz="0" w:space="0" w:color="auto"/>
            <w:left w:val="none" w:sz="0" w:space="0" w:color="auto"/>
            <w:bottom w:val="none" w:sz="0" w:space="0" w:color="auto"/>
            <w:right w:val="none" w:sz="0" w:space="0" w:color="auto"/>
          </w:divBdr>
        </w:div>
        <w:div w:id="298388748">
          <w:marLeft w:val="0"/>
          <w:marRight w:val="0"/>
          <w:marTop w:val="0"/>
          <w:marBottom w:val="0"/>
          <w:divBdr>
            <w:top w:val="none" w:sz="0" w:space="0" w:color="auto"/>
            <w:left w:val="none" w:sz="0" w:space="0" w:color="auto"/>
            <w:bottom w:val="none" w:sz="0" w:space="0" w:color="auto"/>
            <w:right w:val="none" w:sz="0" w:space="0" w:color="auto"/>
          </w:divBdr>
        </w:div>
        <w:div w:id="1098674381">
          <w:marLeft w:val="0"/>
          <w:marRight w:val="0"/>
          <w:marTop w:val="0"/>
          <w:marBottom w:val="0"/>
          <w:divBdr>
            <w:top w:val="none" w:sz="0" w:space="0" w:color="auto"/>
            <w:left w:val="none" w:sz="0" w:space="0" w:color="auto"/>
            <w:bottom w:val="none" w:sz="0" w:space="0" w:color="auto"/>
            <w:right w:val="none" w:sz="0" w:space="0" w:color="auto"/>
          </w:divBdr>
        </w:div>
        <w:div w:id="378478666">
          <w:marLeft w:val="0"/>
          <w:marRight w:val="0"/>
          <w:marTop w:val="0"/>
          <w:marBottom w:val="0"/>
          <w:divBdr>
            <w:top w:val="none" w:sz="0" w:space="0" w:color="auto"/>
            <w:left w:val="none" w:sz="0" w:space="0" w:color="auto"/>
            <w:bottom w:val="none" w:sz="0" w:space="0" w:color="auto"/>
            <w:right w:val="none" w:sz="0" w:space="0" w:color="auto"/>
          </w:divBdr>
        </w:div>
        <w:div w:id="77755789">
          <w:marLeft w:val="0"/>
          <w:marRight w:val="0"/>
          <w:marTop w:val="0"/>
          <w:marBottom w:val="0"/>
          <w:divBdr>
            <w:top w:val="none" w:sz="0" w:space="0" w:color="auto"/>
            <w:left w:val="none" w:sz="0" w:space="0" w:color="auto"/>
            <w:bottom w:val="none" w:sz="0" w:space="0" w:color="auto"/>
            <w:right w:val="none" w:sz="0" w:space="0" w:color="auto"/>
          </w:divBdr>
          <w:divsChild>
            <w:div w:id="1262296494">
              <w:marLeft w:val="0"/>
              <w:marRight w:val="0"/>
              <w:marTop w:val="0"/>
              <w:marBottom w:val="0"/>
              <w:divBdr>
                <w:top w:val="none" w:sz="0" w:space="0" w:color="auto"/>
                <w:left w:val="none" w:sz="0" w:space="0" w:color="auto"/>
                <w:bottom w:val="none" w:sz="0" w:space="0" w:color="auto"/>
                <w:right w:val="none" w:sz="0" w:space="0" w:color="auto"/>
              </w:divBdr>
            </w:div>
            <w:div w:id="1041638447">
              <w:marLeft w:val="0"/>
              <w:marRight w:val="0"/>
              <w:marTop w:val="0"/>
              <w:marBottom w:val="0"/>
              <w:divBdr>
                <w:top w:val="none" w:sz="0" w:space="0" w:color="auto"/>
                <w:left w:val="none" w:sz="0" w:space="0" w:color="auto"/>
                <w:bottom w:val="none" w:sz="0" w:space="0" w:color="auto"/>
                <w:right w:val="none" w:sz="0" w:space="0" w:color="auto"/>
              </w:divBdr>
            </w:div>
            <w:div w:id="1099519992">
              <w:marLeft w:val="0"/>
              <w:marRight w:val="0"/>
              <w:marTop w:val="0"/>
              <w:marBottom w:val="0"/>
              <w:divBdr>
                <w:top w:val="none" w:sz="0" w:space="0" w:color="auto"/>
                <w:left w:val="none" w:sz="0" w:space="0" w:color="auto"/>
                <w:bottom w:val="none" w:sz="0" w:space="0" w:color="auto"/>
                <w:right w:val="none" w:sz="0" w:space="0" w:color="auto"/>
              </w:divBdr>
            </w:div>
            <w:div w:id="1895039536">
              <w:marLeft w:val="0"/>
              <w:marRight w:val="0"/>
              <w:marTop w:val="0"/>
              <w:marBottom w:val="0"/>
              <w:divBdr>
                <w:top w:val="none" w:sz="0" w:space="0" w:color="auto"/>
                <w:left w:val="none" w:sz="0" w:space="0" w:color="auto"/>
                <w:bottom w:val="none" w:sz="0" w:space="0" w:color="auto"/>
                <w:right w:val="none" w:sz="0" w:space="0" w:color="auto"/>
              </w:divBdr>
            </w:div>
            <w:div w:id="2126341307">
              <w:marLeft w:val="0"/>
              <w:marRight w:val="0"/>
              <w:marTop w:val="0"/>
              <w:marBottom w:val="0"/>
              <w:divBdr>
                <w:top w:val="none" w:sz="0" w:space="0" w:color="auto"/>
                <w:left w:val="none" w:sz="0" w:space="0" w:color="auto"/>
                <w:bottom w:val="none" w:sz="0" w:space="0" w:color="auto"/>
                <w:right w:val="none" w:sz="0" w:space="0" w:color="auto"/>
              </w:divBdr>
            </w:div>
            <w:div w:id="2144156818">
              <w:marLeft w:val="0"/>
              <w:marRight w:val="0"/>
              <w:marTop w:val="0"/>
              <w:marBottom w:val="0"/>
              <w:divBdr>
                <w:top w:val="none" w:sz="0" w:space="0" w:color="auto"/>
                <w:left w:val="none" w:sz="0" w:space="0" w:color="auto"/>
                <w:bottom w:val="none" w:sz="0" w:space="0" w:color="auto"/>
                <w:right w:val="none" w:sz="0" w:space="0" w:color="auto"/>
              </w:divBdr>
            </w:div>
            <w:div w:id="1164659304">
              <w:marLeft w:val="0"/>
              <w:marRight w:val="0"/>
              <w:marTop w:val="0"/>
              <w:marBottom w:val="0"/>
              <w:divBdr>
                <w:top w:val="none" w:sz="0" w:space="0" w:color="auto"/>
                <w:left w:val="none" w:sz="0" w:space="0" w:color="auto"/>
                <w:bottom w:val="none" w:sz="0" w:space="0" w:color="auto"/>
                <w:right w:val="none" w:sz="0" w:space="0" w:color="auto"/>
              </w:divBdr>
            </w:div>
            <w:div w:id="140344278">
              <w:marLeft w:val="0"/>
              <w:marRight w:val="0"/>
              <w:marTop w:val="0"/>
              <w:marBottom w:val="0"/>
              <w:divBdr>
                <w:top w:val="none" w:sz="0" w:space="0" w:color="auto"/>
                <w:left w:val="none" w:sz="0" w:space="0" w:color="auto"/>
                <w:bottom w:val="none" w:sz="0" w:space="0" w:color="auto"/>
                <w:right w:val="none" w:sz="0" w:space="0" w:color="auto"/>
              </w:divBdr>
            </w:div>
            <w:div w:id="1620649262">
              <w:marLeft w:val="0"/>
              <w:marRight w:val="0"/>
              <w:marTop w:val="0"/>
              <w:marBottom w:val="0"/>
              <w:divBdr>
                <w:top w:val="none" w:sz="0" w:space="0" w:color="auto"/>
                <w:left w:val="none" w:sz="0" w:space="0" w:color="auto"/>
                <w:bottom w:val="none" w:sz="0" w:space="0" w:color="auto"/>
                <w:right w:val="none" w:sz="0" w:space="0" w:color="auto"/>
              </w:divBdr>
            </w:div>
            <w:div w:id="1836992752">
              <w:marLeft w:val="0"/>
              <w:marRight w:val="0"/>
              <w:marTop w:val="0"/>
              <w:marBottom w:val="0"/>
              <w:divBdr>
                <w:top w:val="none" w:sz="0" w:space="0" w:color="auto"/>
                <w:left w:val="none" w:sz="0" w:space="0" w:color="auto"/>
                <w:bottom w:val="none" w:sz="0" w:space="0" w:color="auto"/>
                <w:right w:val="none" w:sz="0" w:space="0" w:color="auto"/>
              </w:divBdr>
            </w:div>
          </w:divsChild>
        </w:div>
        <w:div w:id="1255898812">
          <w:marLeft w:val="0"/>
          <w:marRight w:val="0"/>
          <w:marTop w:val="0"/>
          <w:marBottom w:val="0"/>
          <w:divBdr>
            <w:top w:val="none" w:sz="0" w:space="0" w:color="auto"/>
            <w:left w:val="none" w:sz="0" w:space="0" w:color="auto"/>
            <w:bottom w:val="none" w:sz="0" w:space="0" w:color="auto"/>
            <w:right w:val="none" w:sz="0" w:space="0" w:color="auto"/>
          </w:divBdr>
          <w:divsChild>
            <w:div w:id="1434014499">
              <w:marLeft w:val="0"/>
              <w:marRight w:val="0"/>
              <w:marTop w:val="0"/>
              <w:marBottom w:val="0"/>
              <w:divBdr>
                <w:top w:val="none" w:sz="0" w:space="0" w:color="auto"/>
                <w:left w:val="none" w:sz="0" w:space="0" w:color="auto"/>
                <w:bottom w:val="none" w:sz="0" w:space="0" w:color="auto"/>
                <w:right w:val="none" w:sz="0" w:space="0" w:color="auto"/>
              </w:divBdr>
            </w:div>
            <w:div w:id="1955553969">
              <w:marLeft w:val="0"/>
              <w:marRight w:val="0"/>
              <w:marTop w:val="0"/>
              <w:marBottom w:val="0"/>
              <w:divBdr>
                <w:top w:val="none" w:sz="0" w:space="0" w:color="auto"/>
                <w:left w:val="none" w:sz="0" w:space="0" w:color="auto"/>
                <w:bottom w:val="none" w:sz="0" w:space="0" w:color="auto"/>
                <w:right w:val="none" w:sz="0" w:space="0" w:color="auto"/>
              </w:divBdr>
            </w:div>
            <w:div w:id="1032804033">
              <w:marLeft w:val="0"/>
              <w:marRight w:val="0"/>
              <w:marTop w:val="0"/>
              <w:marBottom w:val="0"/>
              <w:divBdr>
                <w:top w:val="none" w:sz="0" w:space="0" w:color="auto"/>
                <w:left w:val="none" w:sz="0" w:space="0" w:color="auto"/>
                <w:bottom w:val="none" w:sz="0" w:space="0" w:color="auto"/>
                <w:right w:val="none" w:sz="0" w:space="0" w:color="auto"/>
              </w:divBdr>
            </w:div>
            <w:div w:id="1496187570">
              <w:marLeft w:val="0"/>
              <w:marRight w:val="0"/>
              <w:marTop w:val="0"/>
              <w:marBottom w:val="0"/>
              <w:divBdr>
                <w:top w:val="none" w:sz="0" w:space="0" w:color="auto"/>
                <w:left w:val="none" w:sz="0" w:space="0" w:color="auto"/>
                <w:bottom w:val="none" w:sz="0" w:space="0" w:color="auto"/>
                <w:right w:val="none" w:sz="0" w:space="0" w:color="auto"/>
              </w:divBdr>
            </w:div>
            <w:div w:id="1562446831">
              <w:marLeft w:val="0"/>
              <w:marRight w:val="0"/>
              <w:marTop w:val="0"/>
              <w:marBottom w:val="0"/>
              <w:divBdr>
                <w:top w:val="none" w:sz="0" w:space="0" w:color="auto"/>
                <w:left w:val="none" w:sz="0" w:space="0" w:color="auto"/>
                <w:bottom w:val="none" w:sz="0" w:space="0" w:color="auto"/>
                <w:right w:val="none" w:sz="0" w:space="0" w:color="auto"/>
              </w:divBdr>
            </w:div>
            <w:div w:id="1220442050">
              <w:marLeft w:val="0"/>
              <w:marRight w:val="0"/>
              <w:marTop w:val="0"/>
              <w:marBottom w:val="0"/>
              <w:divBdr>
                <w:top w:val="none" w:sz="0" w:space="0" w:color="auto"/>
                <w:left w:val="none" w:sz="0" w:space="0" w:color="auto"/>
                <w:bottom w:val="none" w:sz="0" w:space="0" w:color="auto"/>
                <w:right w:val="none" w:sz="0" w:space="0" w:color="auto"/>
              </w:divBdr>
            </w:div>
            <w:div w:id="1946497834">
              <w:marLeft w:val="0"/>
              <w:marRight w:val="0"/>
              <w:marTop w:val="0"/>
              <w:marBottom w:val="0"/>
              <w:divBdr>
                <w:top w:val="none" w:sz="0" w:space="0" w:color="auto"/>
                <w:left w:val="none" w:sz="0" w:space="0" w:color="auto"/>
                <w:bottom w:val="none" w:sz="0" w:space="0" w:color="auto"/>
                <w:right w:val="none" w:sz="0" w:space="0" w:color="auto"/>
              </w:divBdr>
            </w:div>
            <w:div w:id="1677339569">
              <w:marLeft w:val="0"/>
              <w:marRight w:val="0"/>
              <w:marTop w:val="0"/>
              <w:marBottom w:val="0"/>
              <w:divBdr>
                <w:top w:val="none" w:sz="0" w:space="0" w:color="auto"/>
                <w:left w:val="none" w:sz="0" w:space="0" w:color="auto"/>
                <w:bottom w:val="none" w:sz="0" w:space="0" w:color="auto"/>
                <w:right w:val="none" w:sz="0" w:space="0" w:color="auto"/>
              </w:divBdr>
            </w:div>
            <w:div w:id="725104629">
              <w:marLeft w:val="0"/>
              <w:marRight w:val="0"/>
              <w:marTop w:val="0"/>
              <w:marBottom w:val="0"/>
              <w:divBdr>
                <w:top w:val="none" w:sz="0" w:space="0" w:color="auto"/>
                <w:left w:val="none" w:sz="0" w:space="0" w:color="auto"/>
                <w:bottom w:val="none" w:sz="0" w:space="0" w:color="auto"/>
                <w:right w:val="none" w:sz="0" w:space="0" w:color="auto"/>
              </w:divBdr>
            </w:div>
            <w:div w:id="1194540518">
              <w:marLeft w:val="0"/>
              <w:marRight w:val="0"/>
              <w:marTop w:val="0"/>
              <w:marBottom w:val="0"/>
              <w:divBdr>
                <w:top w:val="none" w:sz="0" w:space="0" w:color="auto"/>
                <w:left w:val="none" w:sz="0" w:space="0" w:color="auto"/>
                <w:bottom w:val="none" w:sz="0" w:space="0" w:color="auto"/>
                <w:right w:val="none" w:sz="0" w:space="0" w:color="auto"/>
              </w:divBdr>
            </w:div>
            <w:div w:id="1045636087">
              <w:marLeft w:val="0"/>
              <w:marRight w:val="0"/>
              <w:marTop w:val="0"/>
              <w:marBottom w:val="0"/>
              <w:divBdr>
                <w:top w:val="none" w:sz="0" w:space="0" w:color="auto"/>
                <w:left w:val="none" w:sz="0" w:space="0" w:color="auto"/>
                <w:bottom w:val="none" w:sz="0" w:space="0" w:color="auto"/>
                <w:right w:val="none" w:sz="0" w:space="0" w:color="auto"/>
              </w:divBdr>
            </w:div>
            <w:div w:id="1262835629">
              <w:marLeft w:val="0"/>
              <w:marRight w:val="0"/>
              <w:marTop w:val="0"/>
              <w:marBottom w:val="0"/>
              <w:divBdr>
                <w:top w:val="none" w:sz="0" w:space="0" w:color="auto"/>
                <w:left w:val="none" w:sz="0" w:space="0" w:color="auto"/>
                <w:bottom w:val="none" w:sz="0" w:space="0" w:color="auto"/>
                <w:right w:val="none" w:sz="0" w:space="0" w:color="auto"/>
              </w:divBdr>
            </w:div>
            <w:div w:id="927467360">
              <w:marLeft w:val="0"/>
              <w:marRight w:val="0"/>
              <w:marTop w:val="0"/>
              <w:marBottom w:val="0"/>
              <w:divBdr>
                <w:top w:val="none" w:sz="0" w:space="0" w:color="auto"/>
                <w:left w:val="none" w:sz="0" w:space="0" w:color="auto"/>
                <w:bottom w:val="none" w:sz="0" w:space="0" w:color="auto"/>
                <w:right w:val="none" w:sz="0" w:space="0" w:color="auto"/>
              </w:divBdr>
            </w:div>
            <w:div w:id="1883443343">
              <w:marLeft w:val="0"/>
              <w:marRight w:val="0"/>
              <w:marTop w:val="0"/>
              <w:marBottom w:val="0"/>
              <w:divBdr>
                <w:top w:val="none" w:sz="0" w:space="0" w:color="auto"/>
                <w:left w:val="none" w:sz="0" w:space="0" w:color="auto"/>
                <w:bottom w:val="none" w:sz="0" w:space="0" w:color="auto"/>
                <w:right w:val="none" w:sz="0" w:space="0" w:color="auto"/>
              </w:divBdr>
            </w:div>
            <w:div w:id="1097559288">
              <w:marLeft w:val="0"/>
              <w:marRight w:val="0"/>
              <w:marTop w:val="0"/>
              <w:marBottom w:val="0"/>
              <w:divBdr>
                <w:top w:val="none" w:sz="0" w:space="0" w:color="auto"/>
                <w:left w:val="none" w:sz="0" w:space="0" w:color="auto"/>
                <w:bottom w:val="none" w:sz="0" w:space="0" w:color="auto"/>
                <w:right w:val="none" w:sz="0" w:space="0" w:color="auto"/>
              </w:divBdr>
            </w:div>
            <w:div w:id="318316591">
              <w:marLeft w:val="0"/>
              <w:marRight w:val="0"/>
              <w:marTop w:val="0"/>
              <w:marBottom w:val="0"/>
              <w:divBdr>
                <w:top w:val="none" w:sz="0" w:space="0" w:color="auto"/>
                <w:left w:val="none" w:sz="0" w:space="0" w:color="auto"/>
                <w:bottom w:val="none" w:sz="0" w:space="0" w:color="auto"/>
                <w:right w:val="none" w:sz="0" w:space="0" w:color="auto"/>
              </w:divBdr>
            </w:div>
            <w:div w:id="1176773228">
              <w:marLeft w:val="0"/>
              <w:marRight w:val="0"/>
              <w:marTop w:val="0"/>
              <w:marBottom w:val="0"/>
              <w:divBdr>
                <w:top w:val="none" w:sz="0" w:space="0" w:color="auto"/>
                <w:left w:val="none" w:sz="0" w:space="0" w:color="auto"/>
                <w:bottom w:val="none" w:sz="0" w:space="0" w:color="auto"/>
                <w:right w:val="none" w:sz="0" w:space="0" w:color="auto"/>
              </w:divBdr>
            </w:div>
          </w:divsChild>
        </w:div>
        <w:div w:id="464355075">
          <w:marLeft w:val="0"/>
          <w:marRight w:val="0"/>
          <w:marTop w:val="0"/>
          <w:marBottom w:val="0"/>
          <w:divBdr>
            <w:top w:val="none" w:sz="0" w:space="0" w:color="auto"/>
            <w:left w:val="none" w:sz="0" w:space="0" w:color="auto"/>
            <w:bottom w:val="none" w:sz="0" w:space="0" w:color="auto"/>
            <w:right w:val="none" w:sz="0" w:space="0" w:color="auto"/>
          </w:divBdr>
        </w:div>
        <w:div w:id="1054543712">
          <w:marLeft w:val="0"/>
          <w:marRight w:val="0"/>
          <w:marTop w:val="0"/>
          <w:marBottom w:val="0"/>
          <w:divBdr>
            <w:top w:val="none" w:sz="0" w:space="0" w:color="auto"/>
            <w:left w:val="none" w:sz="0" w:space="0" w:color="auto"/>
            <w:bottom w:val="none" w:sz="0" w:space="0" w:color="auto"/>
            <w:right w:val="none" w:sz="0" w:space="0" w:color="auto"/>
          </w:divBdr>
        </w:div>
        <w:div w:id="72433843">
          <w:marLeft w:val="0"/>
          <w:marRight w:val="0"/>
          <w:marTop w:val="0"/>
          <w:marBottom w:val="0"/>
          <w:divBdr>
            <w:top w:val="none" w:sz="0" w:space="0" w:color="auto"/>
            <w:left w:val="none" w:sz="0" w:space="0" w:color="auto"/>
            <w:bottom w:val="none" w:sz="0" w:space="0" w:color="auto"/>
            <w:right w:val="none" w:sz="0" w:space="0" w:color="auto"/>
          </w:divBdr>
          <w:divsChild>
            <w:div w:id="1878270529">
              <w:marLeft w:val="0"/>
              <w:marRight w:val="0"/>
              <w:marTop w:val="0"/>
              <w:marBottom w:val="0"/>
              <w:divBdr>
                <w:top w:val="none" w:sz="0" w:space="0" w:color="auto"/>
                <w:left w:val="none" w:sz="0" w:space="0" w:color="auto"/>
                <w:bottom w:val="none" w:sz="0" w:space="0" w:color="auto"/>
                <w:right w:val="none" w:sz="0" w:space="0" w:color="auto"/>
              </w:divBdr>
            </w:div>
          </w:divsChild>
        </w:div>
        <w:div w:id="560293393">
          <w:marLeft w:val="0"/>
          <w:marRight w:val="0"/>
          <w:marTop w:val="0"/>
          <w:marBottom w:val="0"/>
          <w:divBdr>
            <w:top w:val="none" w:sz="0" w:space="0" w:color="auto"/>
            <w:left w:val="none" w:sz="0" w:space="0" w:color="auto"/>
            <w:bottom w:val="none" w:sz="0" w:space="0" w:color="auto"/>
            <w:right w:val="none" w:sz="0" w:space="0" w:color="auto"/>
          </w:divBdr>
        </w:div>
        <w:div w:id="892351194">
          <w:marLeft w:val="0"/>
          <w:marRight w:val="0"/>
          <w:marTop w:val="0"/>
          <w:marBottom w:val="0"/>
          <w:divBdr>
            <w:top w:val="none" w:sz="0" w:space="0" w:color="auto"/>
            <w:left w:val="none" w:sz="0" w:space="0" w:color="auto"/>
            <w:bottom w:val="none" w:sz="0" w:space="0" w:color="auto"/>
            <w:right w:val="none" w:sz="0" w:space="0" w:color="auto"/>
          </w:divBdr>
        </w:div>
        <w:div w:id="364644097">
          <w:marLeft w:val="0"/>
          <w:marRight w:val="0"/>
          <w:marTop w:val="0"/>
          <w:marBottom w:val="0"/>
          <w:divBdr>
            <w:top w:val="none" w:sz="0" w:space="0" w:color="auto"/>
            <w:left w:val="none" w:sz="0" w:space="0" w:color="auto"/>
            <w:bottom w:val="none" w:sz="0" w:space="0" w:color="auto"/>
            <w:right w:val="none" w:sz="0" w:space="0" w:color="auto"/>
          </w:divBdr>
        </w:div>
        <w:div w:id="154735272">
          <w:marLeft w:val="0"/>
          <w:marRight w:val="0"/>
          <w:marTop w:val="0"/>
          <w:marBottom w:val="0"/>
          <w:divBdr>
            <w:top w:val="none" w:sz="0" w:space="0" w:color="auto"/>
            <w:left w:val="none" w:sz="0" w:space="0" w:color="auto"/>
            <w:bottom w:val="none" w:sz="0" w:space="0" w:color="auto"/>
            <w:right w:val="none" w:sz="0" w:space="0" w:color="auto"/>
          </w:divBdr>
        </w:div>
        <w:div w:id="658733324">
          <w:marLeft w:val="0"/>
          <w:marRight w:val="0"/>
          <w:marTop w:val="0"/>
          <w:marBottom w:val="0"/>
          <w:divBdr>
            <w:top w:val="none" w:sz="0" w:space="0" w:color="auto"/>
            <w:left w:val="none" w:sz="0" w:space="0" w:color="auto"/>
            <w:bottom w:val="none" w:sz="0" w:space="0" w:color="auto"/>
            <w:right w:val="none" w:sz="0" w:space="0" w:color="auto"/>
          </w:divBdr>
        </w:div>
        <w:div w:id="157116082">
          <w:marLeft w:val="0"/>
          <w:marRight w:val="0"/>
          <w:marTop w:val="0"/>
          <w:marBottom w:val="0"/>
          <w:divBdr>
            <w:top w:val="none" w:sz="0" w:space="0" w:color="auto"/>
            <w:left w:val="none" w:sz="0" w:space="0" w:color="auto"/>
            <w:bottom w:val="none" w:sz="0" w:space="0" w:color="auto"/>
            <w:right w:val="none" w:sz="0" w:space="0" w:color="auto"/>
          </w:divBdr>
        </w:div>
        <w:div w:id="956832929">
          <w:marLeft w:val="0"/>
          <w:marRight w:val="0"/>
          <w:marTop w:val="0"/>
          <w:marBottom w:val="0"/>
          <w:divBdr>
            <w:top w:val="none" w:sz="0" w:space="0" w:color="auto"/>
            <w:left w:val="none" w:sz="0" w:space="0" w:color="auto"/>
            <w:bottom w:val="none" w:sz="0" w:space="0" w:color="auto"/>
            <w:right w:val="none" w:sz="0" w:space="0" w:color="auto"/>
          </w:divBdr>
        </w:div>
        <w:div w:id="1198661846">
          <w:marLeft w:val="0"/>
          <w:marRight w:val="0"/>
          <w:marTop w:val="0"/>
          <w:marBottom w:val="0"/>
          <w:divBdr>
            <w:top w:val="none" w:sz="0" w:space="0" w:color="auto"/>
            <w:left w:val="none" w:sz="0" w:space="0" w:color="auto"/>
            <w:bottom w:val="none" w:sz="0" w:space="0" w:color="auto"/>
            <w:right w:val="none" w:sz="0" w:space="0" w:color="auto"/>
          </w:divBdr>
        </w:div>
        <w:div w:id="1355226478">
          <w:marLeft w:val="0"/>
          <w:marRight w:val="0"/>
          <w:marTop w:val="0"/>
          <w:marBottom w:val="0"/>
          <w:divBdr>
            <w:top w:val="none" w:sz="0" w:space="0" w:color="auto"/>
            <w:left w:val="none" w:sz="0" w:space="0" w:color="auto"/>
            <w:bottom w:val="none" w:sz="0" w:space="0" w:color="auto"/>
            <w:right w:val="none" w:sz="0" w:space="0" w:color="auto"/>
          </w:divBdr>
        </w:div>
        <w:div w:id="336546182">
          <w:marLeft w:val="0"/>
          <w:marRight w:val="0"/>
          <w:marTop w:val="0"/>
          <w:marBottom w:val="0"/>
          <w:divBdr>
            <w:top w:val="none" w:sz="0" w:space="0" w:color="auto"/>
            <w:left w:val="none" w:sz="0" w:space="0" w:color="auto"/>
            <w:bottom w:val="none" w:sz="0" w:space="0" w:color="auto"/>
            <w:right w:val="none" w:sz="0" w:space="0" w:color="auto"/>
          </w:divBdr>
          <w:divsChild>
            <w:div w:id="73163589">
              <w:marLeft w:val="0"/>
              <w:marRight w:val="0"/>
              <w:marTop w:val="0"/>
              <w:marBottom w:val="0"/>
              <w:divBdr>
                <w:top w:val="none" w:sz="0" w:space="0" w:color="auto"/>
                <w:left w:val="none" w:sz="0" w:space="0" w:color="auto"/>
                <w:bottom w:val="none" w:sz="0" w:space="0" w:color="auto"/>
                <w:right w:val="none" w:sz="0" w:space="0" w:color="auto"/>
              </w:divBdr>
            </w:div>
            <w:div w:id="1649558180">
              <w:marLeft w:val="0"/>
              <w:marRight w:val="0"/>
              <w:marTop w:val="0"/>
              <w:marBottom w:val="0"/>
              <w:divBdr>
                <w:top w:val="none" w:sz="0" w:space="0" w:color="auto"/>
                <w:left w:val="none" w:sz="0" w:space="0" w:color="auto"/>
                <w:bottom w:val="none" w:sz="0" w:space="0" w:color="auto"/>
                <w:right w:val="none" w:sz="0" w:space="0" w:color="auto"/>
              </w:divBdr>
            </w:div>
          </w:divsChild>
        </w:div>
        <w:div w:id="1249196845">
          <w:marLeft w:val="0"/>
          <w:marRight w:val="0"/>
          <w:marTop w:val="0"/>
          <w:marBottom w:val="0"/>
          <w:divBdr>
            <w:top w:val="none" w:sz="0" w:space="0" w:color="auto"/>
            <w:left w:val="none" w:sz="0" w:space="0" w:color="auto"/>
            <w:bottom w:val="none" w:sz="0" w:space="0" w:color="auto"/>
            <w:right w:val="none" w:sz="0" w:space="0" w:color="auto"/>
          </w:divBdr>
        </w:div>
        <w:div w:id="800029979">
          <w:marLeft w:val="0"/>
          <w:marRight w:val="0"/>
          <w:marTop w:val="0"/>
          <w:marBottom w:val="0"/>
          <w:divBdr>
            <w:top w:val="none" w:sz="0" w:space="0" w:color="auto"/>
            <w:left w:val="none" w:sz="0" w:space="0" w:color="auto"/>
            <w:bottom w:val="none" w:sz="0" w:space="0" w:color="auto"/>
            <w:right w:val="none" w:sz="0" w:space="0" w:color="auto"/>
          </w:divBdr>
        </w:div>
        <w:div w:id="225142397">
          <w:marLeft w:val="0"/>
          <w:marRight w:val="0"/>
          <w:marTop w:val="0"/>
          <w:marBottom w:val="0"/>
          <w:divBdr>
            <w:top w:val="none" w:sz="0" w:space="0" w:color="auto"/>
            <w:left w:val="none" w:sz="0" w:space="0" w:color="auto"/>
            <w:bottom w:val="none" w:sz="0" w:space="0" w:color="auto"/>
            <w:right w:val="none" w:sz="0" w:space="0" w:color="auto"/>
          </w:divBdr>
        </w:div>
        <w:div w:id="1857234148">
          <w:marLeft w:val="0"/>
          <w:marRight w:val="0"/>
          <w:marTop w:val="0"/>
          <w:marBottom w:val="0"/>
          <w:divBdr>
            <w:top w:val="none" w:sz="0" w:space="0" w:color="auto"/>
            <w:left w:val="none" w:sz="0" w:space="0" w:color="auto"/>
            <w:bottom w:val="none" w:sz="0" w:space="0" w:color="auto"/>
            <w:right w:val="none" w:sz="0" w:space="0" w:color="auto"/>
          </w:divBdr>
        </w:div>
        <w:div w:id="2041591668">
          <w:marLeft w:val="0"/>
          <w:marRight w:val="0"/>
          <w:marTop w:val="0"/>
          <w:marBottom w:val="0"/>
          <w:divBdr>
            <w:top w:val="none" w:sz="0" w:space="0" w:color="auto"/>
            <w:left w:val="none" w:sz="0" w:space="0" w:color="auto"/>
            <w:bottom w:val="none" w:sz="0" w:space="0" w:color="auto"/>
            <w:right w:val="none" w:sz="0" w:space="0" w:color="auto"/>
          </w:divBdr>
          <w:divsChild>
            <w:div w:id="1500269604">
              <w:marLeft w:val="0"/>
              <w:marRight w:val="0"/>
              <w:marTop w:val="0"/>
              <w:marBottom w:val="0"/>
              <w:divBdr>
                <w:top w:val="none" w:sz="0" w:space="0" w:color="auto"/>
                <w:left w:val="none" w:sz="0" w:space="0" w:color="auto"/>
                <w:bottom w:val="none" w:sz="0" w:space="0" w:color="auto"/>
                <w:right w:val="none" w:sz="0" w:space="0" w:color="auto"/>
              </w:divBdr>
            </w:div>
            <w:div w:id="656110589">
              <w:marLeft w:val="0"/>
              <w:marRight w:val="0"/>
              <w:marTop w:val="0"/>
              <w:marBottom w:val="0"/>
              <w:divBdr>
                <w:top w:val="none" w:sz="0" w:space="0" w:color="auto"/>
                <w:left w:val="none" w:sz="0" w:space="0" w:color="auto"/>
                <w:bottom w:val="none" w:sz="0" w:space="0" w:color="auto"/>
                <w:right w:val="none" w:sz="0" w:space="0" w:color="auto"/>
              </w:divBdr>
            </w:div>
            <w:div w:id="1615818876">
              <w:marLeft w:val="0"/>
              <w:marRight w:val="0"/>
              <w:marTop w:val="0"/>
              <w:marBottom w:val="0"/>
              <w:divBdr>
                <w:top w:val="none" w:sz="0" w:space="0" w:color="auto"/>
                <w:left w:val="none" w:sz="0" w:space="0" w:color="auto"/>
                <w:bottom w:val="none" w:sz="0" w:space="0" w:color="auto"/>
                <w:right w:val="none" w:sz="0" w:space="0" w:color="auto"/>
              </w:divBdr>
            </w:div>
            <w:div w:id="2108193288">
              <w:marLeft w:val="0"/>
              <w:marRight w:val="0"/>
              <w:marTop w:val="0"/>
              <w:marBottom w:val="0"/>
              <w:divBdr>
                <w:top w:val="none" w:sz="0" w:space="0" w:color="auto"/>
                <w:left w:val="none" w:sz="0" w:space="0" w:color="auto"/>
                <w:bottom w:val="none" w:sz="0" w:space="0" w:color="auto"/>
                <w:right w:val="none" w:sz="0" w:space="0" w:color="auto"/>
              </w:divBdr>
            </w:div>
            <w:div w:id="599994486">
              <w:marLeft w:val="0"/>
              <w:marRight w:val="0"/>
              <w:marTop w:val="0"/>
              <w:marBottom w:val="0"/>
              <w:divBdr>
                <w:top w:val="none" w:sz="0" w:space="0" w:color="auto"/>
                <w:left w:val="none" w:sz="0" w:space="0" w:color="auto"/>
                <w:bottom w:val="none" w:sz="0" w:space="0" w:color="auto"/>
                <w:right w:val="none" w:sz="0" w:space="0" w:color="auto"/>
              </w:divBdr>
            </w:div>
            <w:div w:id="845170620">
              <w:marLeft w:val="0"/>
              <w:marRight w:val="0"/>
              <w:marTop w:val="0"/>
              <w:marBottom w:val="0"/>
              <w:divBdr>
                <w:top w:val="none" w:sz="0" w:space="0" w:color="auto"/>
                <w:left w:val="none" w:sz="0" w:space="0" w:color="auto"/>
                <w:bottom w:val="none" w:sz="0" w:space="0" w:color="auto"/>
                <w:right w:val="none" w:sz="0" w:space="0" w:color="auto"/>
              </w:divBdr>
            </w:div>
            <w:div w:id="438914561">
              <w:marLeft w:val="0"/>
              <w:marRight w:val="0"/>
              <w:marTop w:val="0"/>
              <w:marBottom w:val="0"/>
              <w:divBdr>
                <w:top w:val="none" w:sz="0" w:space="0" w:color="auto"/>
                <w:left w:val="none" w:sz="0" w:space="0" w:color="auto"/>
                <w:bottom w:val="none" w:sz="0" w:space="0" w:color="auto"/>
                <w:right w:val="none" w:sz="0" w:space="0" w:color="auto"/>
              </w:divBdr>
            </w:div>
            <w:div w:id="543979772">
              <w:marLeft w:val="0"/>
              <w:marRight w:val="0"/>
              <w:marTop w:val="0"/>
              <w:marBottom w:val="0"/>
              <w:divBdr>
                <w:top w:val="none" w:sz="0" w:space="0" w:color="auto"/>
                <w:left w:val="none" w:sz="0" w:space="0" w:color="auto"/>
                <w:bottom w:val="none" w:sz="0" w:space="0" w:color="auto"/>
                <w:right w:val="none" w:sz="0" w:space="0" w:color="auto"/>
              </w:divBdr>
            </w:div>
            <w:div w:id="119809513">
              <w:marLeft w:val="0"/>
              <w:marRight w:val="0"/>
              <w:marTop w:val="0"/>
              <w:marBottom w:val="0"/>
              <w:divBdr>
                <w:top w:val="none" w:sz="0" w:space="0" w:color="auto"/>
                <w:left w:val="none" w:sz="0" w:space="0" w:color="auto"/>
                <w:bottom w:val="none" w:sz="0" w:space="0" w:color="auto"/>
                <w:right w:val="none" w:sz="0" w:space="0" w:color="auto"/>
              </w:divBdr>
            </w:div>
            <w:div w:id="2115395859">
              <w:marLeft w:val="0"/>
              <w:marRight w:val="0"/>
              <w:marTop w:val="0"/>
              <w:marBottom w:val="0"/>
              <w:divBdr>
                <w:top w:val="none" w:sz="0" w:space="0" w:color="auto"/>
                <w:left w:val="none" w:sz="0" w:space="0" w:color="auto"/>
                <w:bottom w:val="none" w:sz="0" w:space="0" w:color="auto"/>
                <w:right w:val="none" w:sz="0" w:space="0" w:color="auto"/>
              </w:divBdr>
            </w:div>
            <w:div w:id="701442255">
              <w:marLeft w:val="0"/>
              <w:marRight w:val="0"/>
              <w:marTop w:val="0"/>
              <w:marBottom w:val="0"/>
              <w:divBdr>
                <w:top w:val="none" w:sz="0" w:space="0" w:color="auto"/>
                <w:left w:val="none" w:sz="0" w:space="0" w:color="auto"/>
                <w:bottom w:val="none" w:sz="0" w:space="0" w:color="auto"/>
                <w:right w:val="none" w:sz="0" w:space="0" w:color="auto"/>
              </w:divBdr>
            </w:div>
            <w:div w:id="423308055">
              <w:marLeft w:val="0"/>
              <w:marRight w:val="0"/>
              <w:marTop w:val="0"/>
              <w:marBottom w:val="0"/>
              <w:divBdr>
                <w:top w:val="none" w:sz="0" w:space="0" w:color="auto"/>
                <w:left w:val="none" w:sz="0" w:space="0" w:color="auto"/>
                <w:bottom w:val="none" w:sz="0" w:space="0" w:color="auto"/>
                <w:right w:val="none" w:sz="0" w:space="0" w:color="auto"/>
              </w:divBdr>
            </w:div>
          </w:divsChild>
        </w:div>
        <w:div w:id="2108576262">
          <w:marLeft w:val="0"/>
          <w:marRight w:val="0"/>
          <w:marTop w:val="0"/>
          <w:marBottom w:val="0"/>
          <w:divBdr>
            <w:top w:val="none" w:sz="0" w:space="0" w:color="auto"/>
            <w:left w:val="none" w:sz="0" w:space="0" w:color="auto"/>
            <w:bottom w:val="none" w:sz="0" w:space="0" w:color="auto"/>
            <w:right w:val="none" w:sz="0" w:space="0" w:color="auto"/>
          </w:divBdr>
        </w:div>
        <w:div w:id="595790127">
          <w:marLeft w:val="0"/>
          <w:marRight w:val="0"/>
          <w:marTop w:val="0"/>
          <w:marBottom w:val="0"/>
          <w:divBdr>
            <w:top w:val="none" w:sz="0" w:space="0" w:color="auto"/>
            <w:left w:val="none" w:sz="0" w:space="0" w:color="auto"/>
            <w:bottom w:val="none" w:sz="0" w:space="0" w:color="auto"/>
            <w:right w:val="none" w:sz="0" w:space="0" w:color="auto"/>
          </w:divBdr>
        </w:div>
        <w:div w:id="1421753051">
          <w:marLeft w:val="0"/>
          <w:marRight w:val="0"/>
          <w:marTop w:val="0"/>
          <w:marBottom w:val="0"/>
          <w:divBdr>
            <w:top w:val="none" w:sz="0" w:space="0" w:color="auto"/>
            <w:left w:val="none" w:sz="0" w:space="0" w:color="auto"/>
            <w:bottom w:val="none" w:sz="0" w:space="0" w:color="auto"/>
            <w:right w:val="none" w:sz="0" w:space="0" w:color="auto"/>
          </w:divBdr>
        </w:div>
        <w:div w:id="1262834417">
          <w:marLeft w:val="0"/>
          <w:marRight w:val="0"/>
          <w:marTop w:val="0"/>
          <w:marBottom w:val="0"/>
          <w:divBdr>
            <w:top w:val="none" w:sz="0" w:space="0" w:color="auto"/>
            <w:left w:val="none" w:sz="0" w:space="0" w:color="auto"/>
            <w:bottom w:val="none" w:sz="0" w:space="0" w:color="auto"/>
            <w:right w:val="none" w:sz="0" w:space="0" w:color="auto"/>
          </w:divBdr>
        </w:div>
        <w:div w:id="1527792225">
          <w:marLeft w:val="0"/>
          <w:marRight w:val="0"/>
          <w:marTop w:val="0"/>
          <w:marBottom w:val="0"/>
          <w:divBdr>
            <w:top w:val="none" w:sz="0" w:space="0" w:color="auto"/>
            <w:left w:val="none" w:sz="0" w:space="0" w:color="auto"/>
            <w:bottom w:val="none" w:sz="0" w:space="0" w:color="auto"/>
            <w:right w:val="none" w:sz="0" w:space="0" w:color="auto"/>
          </w:divBdr>
        </w:div>
        <w:div w:id="822506739">
          <w:marLeft w:val="0"/>
          <w:marRight w:val="0"/>
          <w:marTop w:val="0"/>
          <w:marBottom w:val="0"/>
          <w:divBdr>
            <w:top w:val="none" w:sz="0" w:space="0" w:color="auto"/>
            <w:left w:val="none" w:sz="0" w:space="0" w:color="auto"/>
            <w:bottom w:val="none" w:sz="0" w:space="0" w:color="auto"/>
            <w:right w:val="none" w:sz="0" w:space="0" w:color="auto"/>
          </w:divBdr>
        </w:div>
        <w:div w:id="1062560636">
          <w:marLeft w:val="0"/>
          <w:marRight w:val="0"/>
          <w:marTop w:val="0"/>
          <w:marBottom w:val="0"/>
          <w:divBdr>
            <w:top w:val="none" w:sz="0" w:space="0" w:color="auto"/>
            <w:left w:val="none" w:sz="0" w:space="0" w:color="auto"/>
            <w:bottom w:val="none" w:sz="0" w:space="0" w:color="auto"/>
            <w:right w:val="none" w:sz="0" w:space="0" w:color="auto"/>
          </w:divBdr>
        </w:div>
        <w:div w:id="758058638">
          <w:marLeft w:val="0"/>
          <w:marRight w:val="0"/>
          <w:marTop w:val="0"/>
          <w:marBottom w:val="0"/>
          <w:divBdr>
            <w:top w:val="none" w:sz="0" w:space="0" w:color="auto"/>
            <w:left w:val="none" w:sz="0" w:space="0" w:color="auto"/>
            <w:bottom w:val="none" w:sz="0" w:space="0" w:color="auto"/>
            <w:right w:val="none" w:sz="0" w:space="0" w:color="auto"/>
          </w:divBdr>
          <w:divsChild>
            <w:div w:id="901908538">
              <w:marLeft w:val="0"/>
              <w:marRight w:val="0"/>
              <w:marTop w:val="0"/>
              <w:marBottom w:val="0"/>
              <w:divBdr>
                <w:top w:val="none" w:sz="0" w:space="0" w:color="auto"/>
                <w:left w:val="none" w:sz="0" w:space="0" w:color="auto"/>
                <w:bottom w:val="none" w:sz="0" w:space="0" w:color="auto"/>
                <w:right w:val="none" w:sz="0" w:space="0" w:color="auto"/>
              </w:divBdr>
            </w:div>
            <w:div w:id="501941059">
              <w:marLeft w:val="0"/>
              <w:marRight w:val="0"/>
              <w:marTop w:val="0"/>
              <w:marBottom w:val="0"/>
              <w:divBdr>
                <w:top w:val="none" w:sz="0" w:space="0" w:color="auto"/>
                <w:left w:val="none" w:sz="0" w:space="0" w:color="auto"/>
                <w:bottom w:val="none" w:sz="0" w:space="0" w:color="auto"/>
                <w:right w:val="none" w:sz="0" w:space="0" w:color="auto"/>
              </w:divBdr>
            </w:div>
            <w:div w:id="854078474">
              <w:marLeft w:val="0"/>
              <w:marRight w:val="0"/>
              <w:marTop w:val="0"/>
              <w:marBottom w:val="0"/>
              <w:divBdr>
                <w:top w:val="none" w:sz="0" w:space="0" w:color="auto"/>
                <w:left w:val="none" w:sz="0" w:space="0" w:color="auto"/>
                <w:bottom w:val="none" w:sz="0" w:space="0" w:color="auto"/>
                <w:right w:val="none" w:sz="0" w:space="0" w:color="auto"/>
              </w:divBdr>
            </w:div>
            <w:div w:id="1824855119">
              <w:marLeft w:val="0"/>
              <w:marRight w:val="0"/>
              <w:marTop w:val="0"/>
              <w:marBottom w:val="0"/>
              <w:divBdr>
                <w:top w:val="none" w:sz="0" w:space="0" w:color="auto"/>
                <w:left w:val="none" w:sz="0" w:space="0" w:color="auto"/>
                <w:bottom w:val="none" w:sz="0" w:space="0" w:color="auto"/>
                <w:right w:val="none" w:sz="0" w:space="0" w:color="auto"/>
              </w:divBdr>
            </w:div>
            <w:div w:id="915749546">
              <w:marLeft w:val="0"/>
              <w:marRight w:val="0"/>
              <w:marTop w:val="0"/>
              <w:marBottom w:val="0"/>
              <w:divBdr>
                <w:top w:val="none" w:sz="0" w:space="0" w:color="auto"/>
                <w:left w:val="none" w:sz="0" w:space="0" w:color="auto"/>
                <w:bottom w:val="none" w:sz="0" w:space="0" w:color="auto"/>
                <w:right w:val="none" w:sz="0" w:space="0" w:color="auto"/>
              </w:divBdr>
            </w:div>
            <w:div w:id="605697504">
              <w:marLeft w:val="0"/>
              <w:marRight w:val="0"/>
              <w:marTop w:val="0"/>
              <w:marBottom w:val="0"/>
              <w:divBdr>
                <w:top w:val="none" w:sz="0" w:space="0" w:color="auto"/>
                <w:left w:val="none" w:sz="0" w:space="0" w:color="auto"/>
                <w:bottom w:val="none" w:sz="0" w:space="0" w:color="auto"/>
                <w:right w:val="none" w:sz="0" w:space="0" w:color="auto"/>
              </w:divBdr>
            </w:div>
            <w:div w:id="1820267745">
              <w:marLeft w:val="0"/>
              <w:marRight w:val="0"/>
              <w:marTop w:val="0"/>
              <w:marBottom w:val="0"/>
              <w:divBdr>
                <w:top w:val="none" w:sz="0" w:space="0" w:color="auto"/>
                <w:left w:val="none" w:sz="0" w:space="0" w:color="auto"/>
                <w:bottom w:val="none" w:sz="0" w:space="0" w:color="auto"/>
                <w:right w:val="none" w:sz="0" w:space="0" w:color="auto"/>
              </w:divBdr>
            </w:div>
            <w:div w:id="50352544">
              <w:marLeft w:val="0"/>
              <w:marRight w:val="0"/>
              <w:marTop w:val="0"/>
              <w:marBottom w:val="0"/>
              <w:divBdr>
                <w:top w:val="none" w:sz="0" w:space="0" w:color="auto"/>
                <w:left w:val="none" w:sz="0" w:space="0" w:color="auto"/>
                <w:bottom w:val="none" w:sz="0" w:space="0" w:color="auto"/>
                <w:right w:val="none" w:sz="0" w:space="0" w:color="auto"/>
              </w:divBdr>
            </w:div>
            <w:div w:id="90904158">
              <w:marLeft w:val="0"/>
              <w:marRight w:val="0"/>
              <w:marTop w:val="0"/>
              <w:marBottom w:val="0"/>
              <w:divBdr>
                <w:top w:val="none" w:sz="0" w:space="0" w:color="auto"/>
                <w:left w:val="none" w:sz="0" w:space="0" w:color="auto"/>
                <w:bottom w:val="none" w:sz="0" w:space="0" w:color="auto"/>
                <w:right w:val="none" w:sz="0" w:space="0" w:color="auto"/>
              </w:divBdr>
            </w:div>
          </w:divsChild>
        </w:div>
        <w:div w:id="2022971346">
          <w:marLeft w:val="0"/>
          <w:marRight w:val="0"/>
          <w:marTop w:val="0"/>
          <w:marBottom w:val="0"/>
          <w:divBdr>
            <w:top w:val="none" w:sz="0" w:space="0" w:color="auto"/>
            <w:left w:val="none" w:sz="0" w:space="0" w:color="auto"/>
            <w:bottom w:val="none" w:sz="0" w:space="0" w:color="auto"/>
            <w:right w:val="none" w:sz="0" w:space="0" w:color="auto"/>
          </w:divBdr>
        </w:div>
        <w:div w:id="1949661085">
          <w:marLeft w:val="0"/>
          <w:marRight w:val="0"/>
          <w:marTop w:val="0"/>
          <w:marBottom w:val="0"/>
          <w:divBdr>
            <w:top w:val="none" w:sz="0" w:space="0" w:color="auto"/>
            <w:left w:val="none" w:sz="0" w:space="0" w:color="auto"/>
            <w:bottom w:val="none" w:sz="0" w:space="0" w:color="auto"/>
            <w:right w:val="none" w:sz="0" w:space="0" w:color="auto"/>
          </w:divBdr>
        </w:div>
        <w:div w:id="2018344693">
          <w:marLeft w:val="0"/>
          <w:marRight w:val="0"/>
          <w:marTop w:val="0"/>
          <w:marBottom w:val="0"/>
          <w:divBdr>
            <w:top w:val="none" w:sz="0" w:space="0" w:color="auto"/>
            <w:left w:val="none" w:sz="0" w:space="0" w:color="auto"/>
            <w:bottom w:val="none" w:sz="0" w:space="0" w:color="auto"/>
            <w:right w:val="none" w:sz="0" w:space="0" w:color="auto"/>
          </w:divBdr>
        </w:div>
        <w:div w:id="491986881">
          <w:marLeft w:val="0"/>
          <w:marRight w:val="0"/>
          <w:marTop w:val="0"/>
          <w:marBottom w:val="0"/>
          <w:divBdr>
            <w:top w:val="none" w:sz="0" w:space="0" w:color="auto"/>
            <w:left w:val="none" w:sz="0" w:space="0" w:color="auto"/>
            <w:bottom w:val="none" w:sz="0" w:space="0" w:color="auto"/>
            <w:right w:val="none" w:sz="0" w:space="0" w:color="auto"/>
          </w:divBdr>
        </w:div>
        <w:div w:id="1389499689">
          <w:marLeft w:val="0"/>
          <w:marRight w:val="0"/>
          <w:marTop w:val="0"/>
          <w:marBottom w:val="0"/>
          <w:divBdr>
            <w:top w:val="none" w:sz="0" w:space="0" w:color="auto"/>
            <w:left w:val="none" w:sz="0" w:space="0" w:color="auto"/>
            <w:bottom w:val="none" w:sz="0" w:space="0" w:color="auto"/>
            <w:right w:val="none" w:sz="0" w:space="0" w:color="auto"/>
          </w:divBdr>
        </w:div>
        <w:div w:id="1575505845">
          <w:marLeft w:val="0"/>
          <w:marRight w:val="0"/>
          <w:marTop w:val="0"/>
          <w:marBottom w:val="0"/>
          <w:divBdr>
            <w:top w:val="none" w:sz="0" w:space="0" w:color="auto"/>
            <w:left w:val="none" w:sz="0" w:space="0" w:color="auto"/>
            <w:bottom w:val="none" w:sz="0" w:space="0" w:color="auto"/>
            <w:right w:val="none" w:sz="0" w:space="0" w:color="auto"/>
          </w:divBdr>
        </w:div>
        <w:div w:id="1868366996">
          <w:marLeft w:val="0"/>
          <w:marRight w:val="0"/>
          <w:marTop w:val="0"/>
          <w:marBottom w:val="0"/>
          <w:divBdr>
            <w:top w:val="none" w:sz="0" w:space="0" w:color="auto"/>
            <w:left w:val="none" w:sz="0" w:space="0" w:color="auto"/>
            <w:bottom w:val="none" w:sz="0" w:space="0" w:color="auto"/>
            <w:right w:val="none" w:sz="0" w:space="0" w:color="auto"/>
          </w:divBdr>
        </w:div>
        <w:div w:id="584457782">
          <w:marLeft w:val="0"/>
          <w:marRight w:val="0"/>
          <w:marTop w:val="0"/>
          <w:marBottom w:val="0"/>
          <w:divBdr>
            <w:top w:val="none" w:sz="0" w:space="0" w:color="auto"/>
            <w:left w:val="none" w:sz="0" w:space="0" w:color="auto"/>
            <w:bottom w:val="none" w:sz="0" w:space="0" w:color="auto"/>
            <w:right w:val="none" w:sz="0" w:space="0" w:color="auto"/>
          </w:divBdr>
        </w:div>
        <w:div w:id="352151574">
          <w:marLeft w:val="0"/>
          <w:marRight w:val="0"/>
          <w:marTop w:val="0"/>
          <w:marBottom w:val="0"/>
          <w:divBdr>
            <w:top w:val="none" w:sz="0" w:space="0" w:color="auto"/>
            <w:left w:val="none" w:sz="0" w:space="0" w:color="auto"/>
            <w:bottom w:val="none" w:sz="0" w:space="0" w:color="auto"/>
            <w:right w:val="none" w:sz="0" w:space="0" w:color="auto"/>
          </w:divBdr>
        </w:div>
        <w:div w:id="1175416261">
          <w:marLeft w:val="0"/>
          <w:marRight w:val="0"/>
          <w:marTop w:val="0"/>
          <w:marBottom w:val="0"/>
          <w:divBdr>
            <w:top w:val="none" w:sz="0" w:space="0" w:color="auto"/>
            <w:left w:val="none" w:sz="0" w:space="0" w:color="auto"/>
            <w:bottom w:val="none" w:sz="0" w:space="0" w:color="auto"/>
            <w:right w:val="none" w:sz="0" w:space="0" w:color="auto"/>
          </w:divBdr>
        </w:div>
        <w:div w:id="1366708616">
          <w:marLeft w:val="0"/>
          <w:marRight w:val="0"/>
          <w:marTop w:val="0"/>
          <w:marBottom w:val="0"/>
          <w:divBdr>
            <w:top w:val="none" w:sz="0" w:space="0" w:color="auto"/>
            <w:left w:val="none" w:sz="0" w:space="0" w:color="auto"/>
            <w:bottom w:val="none" w:sz="0" w:space="0" w:color="auto"/>
            <w:right w:val="none" w:sz="0" w:space="0" w:color="auto"/>
          </w:divBdr>
        </w:div>
        <w:div w:id="1730879080">
          <w:marLeft w:val="0"/>
          <w:marRight w:val="0"/>
          <w:marTop w:val="0"/>
          <w:marBottom w:val="0"/>
          <w:divBdr>
            <w:top w:val="none" w:sz="0" w:space="0" w:color="auto"/>
            <w:left w:val="none" w:sz="0" w:space="0" w:color="auto"/>
            <w:bottom w:val="none" w:sz="0" w:space="0" w:color="auto"/>
            <w:right w:val="none" w:sz="0" w:space="0" w:color="auto"/>
          </w:divBdr>
        </w:div>
        <w:div w:id="15204628">
          <w:marLeft w:val="0"/>
          <w:marRight w:val="0"/>
          <w:marTop w:val="0"/>
          <w:marBottom w:val="0"/>
          <w:divBdr>
            <w:top w:val="none" w:sz="0" w:space="0" w:color="auto"/>
            <w:left w:val="none" w:sz="0" w:space="0" w:color="auto"/>
            <w:bottom w:val="none" w:sz="0" w:space="0" w:color="auto"/>
            <w:right w:val="none" w:sz="0" w:space="0" w:color="auto"/>
          </w:divBdr>
        </w:div>
        <w:div w:id="1989674044">
          <w:marLeft w:val="0"/>
          <w:marRight w:val="0"/>
          <w:marTop w:val="0"/>
          <w:marBottom w:val="0"/>
          <w:divBdr>
            <w:top w:val="none" w:sz="0" w:space="0" w:color="auto"/>
            <w:left w:val="none" w:sz="0" w:space="0" w:color="auto"/>
            <w:bottom w:val="none" w:sz="0" w:space="0" w:color="auto"/>
            <w:right w:val="none" w:sz="0" w:space="0" w:color="auto"/>
          </w:divBdr>
        </w:div>
        <w:div w:id="2063139443">
          <w:marLeft w:val="0"/>
          <w:marRight w:val="0"/>
          <w:marTop w:val="0"/>
          <w:marBottom w:val="0"/>
          <w:divBdr>
            <w:top w:val="none" w:sz="0" w:space="0" w:color="auto"/>
            <w:left w:val="none" w:sz="0" w:space="0" w:color="auto"/>
            <w:bottom w:val="none" w:sz="0" w:space="0" w:color="auto"/>
            <w:right w:val="none" w:sz="0" w:space="0" w:color="auto"/>
          </w:divBdr>
        </w:div>
        <w:div w:id="228077584">
          <w:marLeft w:val="0"/>
          <w:marRight w:val="0"/>
          <w:marTop w:val="0"/>
          <w:marBottom w:val="0"/>
          <w:divBdr>
            <w:top w:val="none" w:sz="0" w:space="0" w:color="auto"/>
            <w:left w:val="none" w:sz="0" w:space="0" w:color="auto"/>
            <w:bottom w:val="none" w:sz="0" w:space="0" w:color="auto"/>
            <w:right w:val="none" w:sz="0" w:space="0" w:color="auto"/>
          </w:divBdr>
        </w:div>
        <w:div w:id="1765760733">
          <w:marLeft w:val="0"/>
          <w:marRight w:val="0"/>
          <w:marTop w:val="0"/>
          <w:marBottom w:val="0"/>
          <w:divBdr>
            <w:top w:val="none" w:sz="0" w:space="0" w:color="auto"/>
            <w:left w:val="none" w:sz="0" w:space="0" w:color="auto"/>
            <w:bottom w:val="none" w:sz="0" w:space="0" w:color="auto"/>
            <w:right w:val="none" w:sz="0" w:space="0" w:color="auto"/>
          </w:divBdr>
        </w:div>
        <w:div w:id="1993560668">
          <w:marLeft w:val="0"/>
          <w:marRight w:val="0"/>
          <w:marTop w:val="0"/>
          <w:marBottom w:val="0"/>
          <w:divBdr>
            <w:top w:val="none" w:sz="0" w:space="0" w:color="auto"/>
            <w:left w:val="none" w:sz="0" w:space="0" w:color="auto"/>
            <w:bottom w:val="none" w:sz="0" w:space="0" w:color="auto"/>
            <w:right w:val="none" w:sz="0" w:space="0" w:color="auto"/>
          </w:divBdr>
        </w:div>
        <w:div w:id="579562064">
          <w:marLeft w:val="0"/>
          <w:marRight w:val="0"/>
          <w:marTop w:val="0"/>
          <w:marBottom w:val="0"/>
          <w:divBdr>
            <w:top w:val="none" w:sz="0" w:space="0" w:color="auto"/>
            <w:left w:val="none" w:sz="0" w:space="0" w:color="auto"/>
            <w:bottom w:val="none" w:sz="0" w:space="0" w:color="auto"/>
            <w:right w:val="none" w:sz="0" w:space="0" w:color="auto"/>
          </w:divBdr>
        </w:div>
        <w:div w:id="488526114">
          <w:marLeft w:val="0"/>
          <w:marRight w:val="0"/>
          <w:marTop w:val="0"/>
          <w:marBottom w:val="0"/>
          <w:divBdr>
            <w:top w:val="none" w:sz="0" w:space="0" w:color="auto"/>
            <w:left w:val="none" w:sz="0" w:space="0" w:color="auto"/>
            <w:bottom w:val="none" w:sz="0" w:space="0" w:color="auto"/>
            <w:right w:val="none" w:sz="0" w:space="0" w:color="auto"/>
          </w:divBdr>
        </w:div>
        <w:div w:id="379285399">
          <w:marLeft w:val="0"/>
          <w:marRight w:val="0"/>
          <w:marTop w:val="0"/>
          <w:marBottom w:val="0"/>
          <w:divBdr>
            <w:top w:val="none" w:sz="0" w:space="0" w:color="auto"/>
            <w:left w:val="none" w:sz="0" w:space="0" w:color="auto"/>
            <w:bottom w:val="none" w:sz="0" w:space="0" w:color="auto"/>
            <w:right w:val="none" w:sz="0" w:space="0" w:color="auto"/>
          </w:divBdr>
        </w:div>
        <w:div w:id="500394732">
          <w:marLeft w:val="0"/>
          <w:marRight w:val="0"/>
          <w:marTop w:val="0"/>
          <w:marBottom w:val="0"/>
          <w:divBdr>
            <w:top w:val="none" w:sz="0" w:space="0" w:color="auto"/>
            <w:left w:val="none" w:sz="0" w:space="0" w:color="auto"/>
            <w:bottom w:val="none" w:sz="0" w:space="0" w:color="auto"/>
            <w:right w:val="none" w:sz="0" w:space="0" w:color="auto"/>
          </w:divBdr>
        </w:div>
        <w:div w:id="1530023079">
          <w:marLeft w:val="0"/>
          <w:marRight w:val="0"/>
          <w:marTop w:val="0"/>
          <w:marBottom w:val="0"/>
          <w:divBdr>
            <w:top w:val="none" w:sz="0" w:space="0" w:color="auto"/>
            <w:left w:val="none" w:sz="0" w:space="0" w:color="auto"/>
            <w:bottom w:val="none" w:sz="0" w:space="0" w:color="auto"/>
            <w:right w:val="none" w:sz="0" w:space="0" w:color="auto"/>
          </w:divBdr>
          <w:divsChild>
            <w:div w:id="1828355425">
              <w:marLeft w:val="0"/>
              <w:marRight w:val="0"/>
              <w:marTop w:val="0"/>
              <w:marBottom w:val="0"/>
              <w:divBdr>
                <w:top w:val="none" w:sz="0" w:space="0" w:color="auto"/>
                <w:left w:val="none" w:sz="0" w:space="0" w:color="auto"/>
                <w:bottom w:val="none" w:sz="0" w:space="0" w:color="auto"/>
                <w:right w:val="none" w:sz="0" w:space="0" w:color="auto"/>
              </w:divBdr>
            </w:div>
            <w:div w:id="648293938">
              <w:marLeft w:val="0"/>
              <w:marRight w:val="0"/>
              <w:marTop w:val="0"/>
              <w:marBottom w:val="0"/>
              <w:divBdr>
                <w:top w:val="none" w:sz="0" w:space="0" w:color="auto"/>
                <w:left w:val="none" w:sz="0" w:space="0" w:color="auto"/>
                <w:bottom w:val="none" w:sz="0" w:space="0" w:color="auto"/>
                <w:right w:val="none" w:sz="0" w:space="0" w:color="auto"/>
              </w:divBdr>
            </w:div>
            <w:div w:id="1440640296">
              <w:marLeft w:val="0"/>
              <w:marRight w:val="0"/>
              <w:marTop w:val="0"/>
              <w:marBottom w:val="0"/>
              <w:divBdr>
                <w:top w:val="none" w:sz="0" w:space="0" w:color="auto"/>
                <w:left w:val="none" w:sz="0" w:space="0" w:color="auto"/>
                <w:bottom w:val="none" w:sz="0" w:space="0" w:color="auto"/>
                <w:right w:val="none" w:sz="0" w:space="0" w:color="auto"/>
              </w:divBdr>
            </w:div>
            <w:div w:id="763457729">
              <w:marLeft w:val="0"/>
              <w:marRight w:val="0"/>
              <w:marTop w:val="0"/>
              <w:marBottom w:val="0"/>
              <w:divBdr>
                <w:top w:val="none" w:sz="0" w:space="0" w:color="auto"/>
                <w:left w:val="none" w:sz="0" w:space="0" w:color="auto"/>
                <w:bottom w:val="none" w:sz="0" w:space="0" w:color="auto"/>
                <w:right w:val="none" w:sz="0" w:space="0" w:color="auto"/>
              </w:divBdr>
            </w:div>
            <w:div w:id="918634550">
              <w:marLeft w:val="0"/>
              <w:marRight w:val="0"/>
              <w:marTop w:val="0"/>
              <w:marBottom w:val="0"/>
              <w:divBdr>
                <w:top w:val="none" w:sz="0" w:space="0" w:color="auto"/>
                <w:left w:val="none" w:sz="0" w:space="0" w:color="auto"/>
                <w:bottom w:val="none" w:sz="0" w:space="0" w:color="auto"/>
                <w:right w:val="none" w:sz="0" w:space="0" w:color="auto"/>
              </w:divBdr>
            </w:div>
            <w:div w:id="1763602159">
              <w:marLeft w:val="0"/>
              <w:marRight w:val="0"/>
              <w:marTop w:val="0"/>
              <w:marBottom w:val="0"/>
              <w:divBdr>
                <w:top w:val="none" w:sz="0" w:space="0" w:color="auto"/>
                <w:left w:val="none" w:sz="0" w:space="0" w:color="auto"/>
                <w:bottom w:val="none" w:sz="0" w:space="0" w:color="auto"/>
                <w:right w:val="none" w:sz="0" w:space="0" w:color="auto"/>
              </w:divBdr>
            </w:div>
            <w:div w:id="1730567726">
              <w:marLeft w:val="0"/>
              <w:marRight w:val="0"/>
              <w:marTop w:val="0"/>
              <w:marBottom w:val="0"/>
              <w:divBdr>
                <w:top w:val="none" w:sz="0" w:space="0" w:color="auto"/>
                <w:left w:val="none" w:sz="0" w:space="0" w:color="auto"/>
                <w:bottom w:val="none" w:sz="0" w:space="0" w:color="auto"/>
                <w:right w:val="none" w:sz="0" w:space="0" w:color="auto"/>
              </w:divBdr>
            </w:div>
            <w:div w:id="742876226">
              <w:marLeft w:val="0"/>
              <w:marRight w:val="0"/>
              <w:marTop w:val="0"/>
              <w:marBottom w:val="0"/>
              <w:divBdr>
                <w:top w:val="none" w:sz="0" w:space="0" w:color="auto"/>
                <w:left w:val="none" w:sz="0" w:space="0" w:color="auto"/>
                <w:bottom w:val="none" w:sz="0" w:space="0" w:color="auto"/>
                <w:right w:val="none" w:sz="0" w:space="0" w:color="auto"/>
              </w:divBdr>
            </w:div>
            <w:div w:id="1337880000">
              <w:marLeft w:val="0"/>
              <w:marRight w:val="0"/>
              <w:marTop w:val="0"/>
              <w:marBottom w:val="0"/>
              <w:divBdr>
                <w:top w:val="none" w:sz="0" w:space="0" w:color="auto"/>
                <w:left w:val="none" w:sz="0" w:space="0" w:color="auto"/>
                <w:bottom w:val="none" w:sz="0" w:space="0" w:color="auto"/>
                <w:right w:val="none" w:sz="0" w:space="0" w:color="auto"/>
              </w:divBdr>
            </w:div>
            <w:div w:id="95374318">
              <w:marLeft w:val="0"/>
              <w:marRight w:val="0"/>
              <w:marTop w:val="0"/>
              <w:marBottom w:val="0"/>
              <w:divBdr>
                <w:top w:val="none" w:sz="0" w:space="0" w:color="auto"/>
                <w:left w:val="none" w:sz="0" w:space="0" w:color="auto"/>
                <w:bottom w:val="none" w:sz="0" w:space="0" w:color="auto"/>
                <w:right w:val="none" w:sz="0" w:space="0" w:color="auto"/>
              </w:divBdr>
            </w:div>
            <w:div w:id="99691930">
              <w:marLeft w:val="0"/>
              <w:marRight w:val="0"/>
              <w:marTop w:val="0"/>
              <w:marBottom w:val="0"/>
              <w:divBdr>
                <w:top w:val="none" w:sz="0" w:space="0" w:color="auto"/>
                <w:left w:val="none" w:sz="0" w:space="0" w:color="auto"/>
                <w:bottom w:val="none" w:sz="0" w:space="0" w:color="auto"/>
                <w:right w:val="none" w:sz="0" w:space="0" w:color="auto"/>
              </w:divBdr>
            </w:div>
            <w:div w:id="1898005748">
              <w:marLeft w:val="0"/>
              <w:marRight w:val="0"/>
              <w:marTop w:val="0"/>
              <w:marBottom w:val="0"/>
              <w:divBdr>
                <w:top w:val="none" w:sz="0" w:space="0" w:color="auto"/>
                <w:left w:val="none" w:sz="0" w:space="0" w:color="auto"/>
                <w:bottom w:val="none" w:sz="0" w:space="0" w:color="auto"/>
                <w:right w:val="none" w:sz="0" w:space="0" w:color="auto"/>
              </w:divBdr>
            </w:div>
            <w:div w:id="1948845764">
              <w:marLeft w:val="0"/>
              <w:marRight w:val="0"/>
              <w:marTop w:val="0"/>
              <w:marBottom w:val="0"/>
              <w:divBdr>
                <w:top w:val="none" w:sz="0" w:space="0" w:color="auto"/>
                <w:left w:val="none" w:sz="0" w:space="0" w:color="auto"/>
                <w:bottom w:val="none" w:sz="0" w:space="0" w:color="auto"/>
                <w:right w:val="none" w:sz="0" w:space="0" w:color="auto"/>
              </w:divBdr>
            </w:div>
            <w:div w:id="244726215">
              <w:marLeft w:val="0"/>
              <w:marRight w:val="0"/>
              <w:marTop w:val="0"/>
              <w:marBottom w:val="0"/>
              <w:divBdr>
                <w:top w:val="none" w:sz="0" w:space="0" w:color="auto"/>
                <w:left w:val="none" w:sz="0" w:space="0" w:color="auto"/>
                <w:bottom w:val="none" w:sz="0" w:space="0" w:color="auto"/>
                <w:right w:val="none" w:sz="0" w:space="0" w:color="auto"/>
              </w:divBdr>
            </w:div>
            <w:div w:id="246500910">
              <w:marLeft w:val="0"/>
              <w:marRight w:val="0"/>
              <w:marTop w:val="0"/>
              <w:marBottom w:val="0"/>
              <w:divBdr>
                <w:top w:val="none" w:sz="0" w:space="0" w:color="auto"/>
                <w:left w:val="none" w:sz="0" w:space="0" w:color="auto"/>
                <w:bottom w:val="none" w:sz="0" w:space="0" w:color="auto"/>
                <w:right w:val="none" w:sz="0" w:space="0" w:color="auto"/>
              </w:divBdr>
            </w:div>
            <w:div w:id="1321815263">
              <w:marLeft w:val="0"/>
              <w:marRight w:val="0"/>
              <w:marTop w:val="0"/>
              <w:marBottom w:val="0"/>
              <w:divBdr>
                <w:top w:val="none" w:sz="0" w:space="0" w:color="auto"/>
                <w:left w:val="none" w:sz="0" w:space="0" w:color="auto"/>
                <w:bottom w:val="none" w:sz="0" w:space="0" w:color="auto"/>
                <w:right w:val="none" w:sz="0" w:space="0" w:color="auto"/>
              </w:divBdr>
            </w:div>
            <w:div w:id="574704165">
              <w:marLeft w:val="0"/>
              <w:marRight w:val="0"/>
              <w:marTop w:val="0"/>
              <w:marBottom w:val="0"/>
              <w:divBdr>
                <w:top w:val="none" w:sz="0" w:space="0" w:color="auto"/>
                <w:left w:val="none" w:sz="0" w:space="0" w:color="auto"/>
                <w:bottom w:val="none" w:sz="0" w:space="0" w:color="auto"/>
                <w:right w:val="none" w:sz="0" w:space="0" w:color="auto"/>
              </w:divBdr>
            </w:div>
            <w:div w:id="292181465">
              <w:marLeft w:val="0"/>
              <w:marRight w:val="0"/>
              <w:marTop w:val="0"/>
              <w:marBottom w:val="0"/>
              <w:divBdr>
                <w:top w:val="none" w:sz="0" w:space="0" w:color="auto"/>
                <w:left w:val="none" w:sz="0" w:space="0" w:color="auto"/>
                <w:bottom w:val="none" w:sz="0" w:space="0" w:color="auto"/>
                <w:right w:val="none" w:sz="0" w:space="0" w:color="auto"/>
              </w:divBdr>
            </w:div>
            <w:div w:id="331377322">
              <w:marLeft w:val="0"/>
              <w:marRight w:val="0"/>
              <w:marTop w:val="0"/>
              <w:marBottom w:val="0"/>
              <w:divBdr>
                <w:top w:val="none" w:sz="0" w:space="0" w:color="auto"/>
                <w:left w:val="none" w:sz="0" w:space="0" w:color="auto"/>
                <w:bottom w:val="none" w:sz="0" w:space="0" w:color="auto"/>
                <w:right w:val="none" w:sz="0" w:space="0" w:color="auto"/>
              </w:divBdr>
            </w:div>
            <w:div w:id="535124049">
              <w:marLeft w:val="0"/>
              <w:marRight w:val="0"/>
              <w:marTop w:val="0"/>
              <w:marBottom w:val="0"/>
              <w:divBdr>
                <w:top w:val="none" w:sz="0" w:space="0" w:color="auto"/>
                <w:left w:val="none" w:sz="0" w:space="0" w:color="auto"/>
                <w:bottom w:val="none" w:sz="0" w:space="0" w:color="auto"/>
                <w:right w:val="none" w:sz="0" w:space="0" w:color="auto"/>
              </w:divBdr>
            </w:div>
            <w:div w:id="1299915726">
              <w:marLeft w:val="0"/>
              <w:marRight w:val="0"/>
              <w:marTop w:val="0"/>
              <w:marBottom w:val="0"/>
              <w:divBdr>
                <w:top w:val="none" w:sz="0" w:space="0" w:color="auto"/>
                <w:left w:val="none" w:sz="0" w:space="0" w:color="auto"/>
                <w:bottom w:val="none" w:sz="0" w:space="0" w:color="auto"/>
                <w:right w:val="none" w:sz="0" w:space="0" w:color="auto"/>
              </w:divBdr>
            </w:div>
            <w:div w:id="812797874">
              <w:marLeft w:val="0"/>
              <w:marRight w:val="0"/>
              <w:marTop w:val="0"/>
              <w:marBottom w:val="0"/>
              <w:divBdr>
                <w:top w:val="none" w:sz="0" w:space="0" w:color="auto"/>
                <w:left w:val="none" w:sz="0" w:space="0" w:color="auto"/>
                <w:bottom w:val="none" w:sz="0" w:space="0" w:color="auto"/>
                <w:right w:val="none" w:sz="0" w:space="0" w:color="auto"/>
              </w:divBdr>
            </w:div>
            <w:div w:id="249430540">
              <w:marLeft w:val="0"/>
              <w:marRight w:val="0"/>
              <w:marTop w:val="0"/>
              <w:marBottom w:val="0"/>
              <w:divBdr>
                <w:top w:val="none" w:sz="0" w:space="0" w:color="auto"/>
                <w:left w:val="none" w:sz="0" w:space="0" w:color="auto"/>
                <w:bottom w:val="none" w:sz="0" w:space="0" w:color="auto"/>
                <w:right w:val="none" w:sz="0" w:space="0" w:color="auto"/>
              </w:divBdr>
            </w:div>
            <w:div w:id="172838150">
              <w:marLeft w:val="0"/>
              <w:marRight w:val="0"/>
              <w:marTop w:val="0"/>
              <w:marBottom w:val="0"/>
              <w:divBdr>
                <w:top w:val="none" w:sz="0" w:space="0" w:color="auto"/>
                <w:left w:val="none" w:sz="0" w:space="0" w:color="auto"/>
                <w:bottom w:val="none" w:sz="0" w:space="0" w:color="auto"/>
                <w:right w:val="none" w:sz="0" w:space="0" w:color="auto"/>
              </w:divBdr>
            </w:div>
            <w:div w:id="1942058022">
              <w:marLeft w:val="0"/>
              <w:marRight w:val="0"/>
              <w:marTop w:val="0"/>
              <w:marBottom w:val="0"/>
              <w:divBdr>
                <w:top w:val="none" w:sz="0" w:space="0" w:color="auto"/>
                <w:left w:val="none" w:sz="0" w:space="0" w:color="auto"/>
                <w:bottom w:val="none" w:sz="0" w:space="0" w:color="auto"/>
                <w:right w:val="none" w:sz="0" w:space="0" w:color="auto"/>
              </w:divBdr>
            </w:div>
            <w:div w:id="1970355726">
              <w:marLeft w:val="0"/>
              <w:marRight w:val="0"/>
              <w:marTop w:val="0"/>
              <w:marBottom w:val="0"/>
              <w:divBdr>
                <w:top w:val="none" w:sz="0" w:space="0" w:color="auto"/>
                <w:left w:val="none" w:sz="0" w:space="0" w:color="auto"/>
                <w:bottom w:val="none" w:sz="0" w:space="0" w:color="auto"/>
                <w:right w:val="none" w:sz="0" w:space="0" w:color="auto"/>
              </w:divBdr>
            </w:div>
            <w:div w:id="976765041">
              <w:marLeft w:val="0"/>
              <w:marRight w:val="0"/>
              <w:marTop w:val="0"/>
              <w:marBottom w:val="0"/>
              <w:divBdr>
                <w:top w:val="none" w:sz="0" w:space="0" w:color="auto"/>
                <w:left w:val="none" w:sz="0" w:space="0" w:color="auto"/>
                <w:bottom w:val="none" w:sz="0" w:space="0" w:color="auto"/>
                <w:right w:val="none" w:sz="0" w:space="0" w:color="auto"/>
              </w:divBdr>
            </w:div>
            <w:div w:id="1404254287">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 w:id="1066492828">
              <w:marLeft w:val="0"/>
              <w:marRight w:val="0"/>
              <w:marTop w:val="0"/>
              <w:marBottom w:val="0"/>
              <w:divBdr>
                <w:top w:val="none" w:sz="0" w:space="0" w:color="auto"/>
                <w:left w:val="none" w:sz="0" w:space="0" w:color="auto"/>
                <w:bottom w:val="none" w:sz="0" w:space="0" w:color="auto"/>
                <w:right w:val="none" w:sz="0" w:space="0" w:color="auto"/>
              </w:divBdr>
            </w:div>
            <w:div w:id="135341149">
              <w:marLeft w:val="0"/>
              <w:marRight w:val="0"/>
              <w:marTop w:val="0"/>
              <w:marBottom w:val="0"/>
              <w:divBdr>
                <w:top w:val="none" w:sz="0" w:space="0" w:color="auto"/>
                <w:left w:val="none" w:sz="0" w:space="0" w:color="auto"/>
                <w:bottom w:val="none" w:sz="0" w:space="0" w:color="auto"/>
                <w:right w:val="none" w:sz="0" w:space="0" w:color="auto"/>
              </w:divBdr>
            </w:div>
            <w:div w:id="403727923">
              <w:marLeft w:val="0"/>
              <w:marRight w:val="0"/>
              <w:marTop w:val="0"/>
              <w:marBottom w:val="0"/>
              <w:divBdr>
                <w:top w:val="none" w:sz="0" w:space="0" w:color="auto"/>
                <w:left w:val="none" w:sz="0" w:space="0" w:color="auto"/>
                <w:bottom w:val="none" w:sz="0" w:space="0" w:color="auto"/>
                <w:right w:val="none" w:sz="0" w:space="0" w:color="auto"/>
              </w:divBdr>
            </w:div>
          </w:divsChild>
        </w:div>
        <w:div w:id="871267140">
          <w:marLeft w:val="0"/>
          <w:marRight w:val="0"/>
          <w:marTop w:val="0"/>
          <w:marBottom w:val="0"/>
          <w:divBdr>
            <w:top w:val="none" w:sz="0" w:space="0" w:color="auto"/>
            <w:left w:val="none" w:sz="0" w:space="0" w:color="auto"/>
            <w:bottom w:val="none" w:sz="0" w:space="0" w:color="auto"/>
            <w:right w:val="none" w:sz="0" w:space="0" w:color="auto"/>
          </w:divBdr>
        </w:div>
        <w:div w:id="761796602">
          <w:marLeft w:val="0"/>
          <w:marRight w:val="0"/>
          <w:marTop w:val="0"/>
          <w:marBottom w:val="0"/>
          <w:divBdr>
            <w:top w:val="none" w:sz="0" w:space="0" w:color="auto"/>
            <w:left w:val="none" w:sz="0" w:space="0" w:color="auto"/>
            <w:bottom w:val="none" w:sz="0" w:space="0" w:color="auto"/>
            <w:right w:val="none" w:sz="0" w:space="0" w:color="auto"/>
          </w:divBdr>
        </w:div>
        <w:div w:id="1021667017">
          <w:marLeft w:val="0"/>
          <w:marRight w:val="0"/>
          <w:marTop w:val="0"/>
          <w:marBottom w:val="0"/>
          <w:divBdr>
            <w:top w:val="none" w:sz="0" w:space="0" w:color="auto"/>
            <w:left w:val="none" w:sz="0" w:space="0" w:color="auto"/>
            <w:bottom w:val="none" w:sz="0" w:space="0" w:color="auto"/>
            <w:right w:val="none" w:sz="0" w:space="0" w:color="auto"/>
          </w:divBdr>
        </w:div>
        <w:div w:id="1420717606">
          <w:marLeft w:val="0"/>
          <w:marRight w:val="0"/>
          <w:marTop w:val="0"/>
          <w:marBottom w:val="0"/>
          <w:divBdr>
            <w:top w:val="none" w:sz="0" w:space="0" w:color="auto"/>
            <w:left w:val="none" w:sz="0" w:space="0" w:color="auto"/>
            <w:bottom w:val="none" w:sz="0" w:space="0" w:color="auto"/>
            <w:right w:val="none" w:sz="0" w:space="0" w:color="auto"/>
          </w:divBdr>
        </w:div>
        <w:div w:id="1623925133">
          <w:marLeft w:val="0"/>
          <w:marRight w:val="0"/>
          <w:marTop w:val="0"/>
          <w:marBottom w:val="0"/>
          <w:divBdr>
            <w:top w:val="none" w:sz="0" w:space="0" w:color="auto"/>
            <w:left w:val="none" w:sz="0" w:space="0" w:color="auto"/>
            <w:bottom w:val="none" w:sz="0" w:space="0" w:color="auto"/>
            <w:right w:val="none" w:sz="0" w:space="0" w:color="auto"/>
          </w:divBdr>
        </w:div>
        <w:div w:id="121962654">
          <w:marLeft w:val="0"/>
          <w:marRight w:val="0"/>
          <w:marTop w:val="0"/>
          <w:marBottom w:val="0"/>
          <w:divBdr>
            <w:top w:val="none" w:sz="0" w:space="0" w:color="auto"/>
            <w:left w:val="none" w:sz="0" w:space="0" w:color="auto"/>
            <w:bottom w:val="none" w:sz="0" w:space="0" w:color="auto"/>
            <w:right w:val="none" w:sz="0" w:space="0" w:color="auto"/>
          </w:divBdr>
        </w:div>
        <w:div w:id="1793865644">
          <w:marLeft w:val="0"/>
          <w:marRight w:val="0"/>
          <w:marTop w:val="0"/>
          <w:marBottom w:val="0"/>
          <w:divBdr>
            <w:top w:val="none" w:sz="0" w:space="0" w:color="auto"/>
            <w:left w:val="none" w:sz="0" w:space="0" w:color="auto"/>
            <w:bottom w:val="none" w:sz="0" w:space="0" w:color="auto"/>
            <w:right w:val="none" w:sz="0" w:space="0" w:color="auto"/>
          </w:divBdr>
        </w:div>
        <w:div w:id="1403212973">
          <w:marLeft w:val="0"/>
          <w:marRight w:val="0"/>
          <w:marTop w:val="0"/>
          <w:marBottom w:val="0"/>
          <w:divBdr>
            <w:top w:val="none" w:sz="0" w:space="0" w:color="auto"/>
            <w:left w:val="none" w:sz="0" w:space="0" w:color="auto"/>
            <w:bottom w:val="none" w:sz="0" w:space="0" w:color="auto"/>
            <w:right w:val="none" w:sz="0" w:space="0" w:color="auto"/>
          </w:divBdr>
        </w:div>
        <w:div w:id="1525053282">
          <w:marLeft w:val="0"/>
          <w:marRight w:val="0"/>
          <w:marTop w:val="0"/>
          <w:marBottom w:val="0"/>
          <w:divBdr>
            <w:top w:val="none" w:sz="0" w:space="0" w:color="auto"/>
            <w:left w:val="none" w:sz="0" w:space="0" w:color="auto"/>
            <w:bottom w:val="none" w:sz="0" w:space="0" w:color="auto"/>
            <w:right w:val="none" w:sz="0" w:space="0" w:color="auto"/>
          </w:divBdr>
        </w:div>
        <w:div w:id="1694957581">
          <w:marLeft w:val="0"/>
          <w:marRight w:val="0"/>
          <w:marTop w:val="0"/>
          <w:marBottom w:val="0"/>
          <w:divBdr>
            <w:top w:val="none" w:sz="0" w:space="0" w:color="auto"/>
            <w:left w:val="none" w:sz="0" w:space="0" w:color="auto"/>
            <w:bottom w:val="none" w:sz="0" w:space="0" w:color="auto"/>
            <w:right w:val="none" w:sz="0" w:space="0" w:color="auto"/>
          </w:divBdr>
        </w:div>
        <w:div w:id="1189640769">
          <w:marLeft w:val="0"/>
          <w:marRight w:val="0"/>
          <w:marTop w:val="0"/>
          <w:marBottom w:val="0"/>
          <w:divBdr>
            <w:top w:val="none" w:sz="0" w:space="0" w:color="auto"/>
            <w:left w:val="none" w:sz="0" w:space="0" w:color="auto"/>
            <w:bottom w:val="none" w:sz="0" w:space="0" w:color="auto"/>
            <w:right w:val="none" w:sz="0" w:space="0" w:color="auto"/>
          </w:divBdr>
        </w:div>
        <w:div w:id="571739550">
          <w:marLeft w:val="0"/>
          <w:marRight w:val="0"/>
          <w:marTop w:val="0"/>
          <w:marBottom w:val="0"/>
          <w:divBdr>
            <w:top w:val="none" w:sz="0" w:space="0" w:color="auto"/>
            <w:left w:val="none" w:sz="0" w:space="0" w:color="auto"/>
            <w:bottom w:val="none" w:sz="0" w:space="0" w:color="auto"/>
            <w:right w:val="none" w:sz="0" w:space="0" w:color="auto"/>
          </w:divBdr>
        </w:div>
        <w:div w:id="2015380022">
          <w:marLeft w:val="0"/>
          <w:marRight w:val="0"/>
          <w:marTop w:val="0"/>
          <w:marBottom w:val="0"/>
          <w:divBdr>
            <w:top w:val="none" w:sz="0" w:space="0" w:color="auto"/>
            <w:left w:val="none" w:sz="0" w:space="0" w:color="auto"/>
            <w:bottom w:val="none" w:sz="0" w:space="0" w:color="auto"/>
            <w:right w:val="none" w:sz="0" w:space="0" w:color="auto"/>
          </w:divBdr>
        </w:div>
        <w:div w:id="846024509">
          <w:marLeft w:val="0"/>
          <w:marRight w:val="0"/>
          <w:marTop w:val="0"/>
          <w:marBottom w:val="0"/>
          <w:divBdr>
            <w:top w:val="none" w:sz="0" w:space="0" w:color="auto"/>
            <w:left w:val="none" w:sz="0" w:space="0" w:color="auto"/>
            <w:bottom w:val="none" w:sz="0" w:space="0" w:color="auto"/>
            <w:right w:val="none" w:sz="0" w:space="0" w:color="auto"/>
          </w:divBdr>
        </w:div>
        <w:div w:id="13001740">
          <w:marLeft w:val="0"/>
          <w:marRight w:val="0"/>
          <w:marTop w:val="0"/>
          <w:marBottom w:val="0"/>
          <w:divBdr>
            <w:top w:val="none" w:sz="0" w:space="0" w:color="auto"/>
            <w:left w:val="none" w:sz="0" w:space="0" w:color="auto"/>
            <w:bottom w:val="none" w:sz="0" w:space="0" w:color="auto"/>
            <w:right w:val="none" w:sz="0" w:space="0" w:color="auto"/>
          </w:divBdr>
        </w:div>
        <w:div w:id="864556326">
          <w:marLeft w:val="0"/>
          <w:marRight w:val="0"/>
          <w:marTop w:val="0"/>
          <w:marBottom w:val="0"/>
          <w:divBdr>
            <w:top w:val="none" w:sz="0" w:space="0" w:color="auto"/>
            <w:left w:val="none" w:sz="0" w:space="0" w:color="auto"/>
            <w:bottom w:val="none" w:sz="0" w:space="0" w:color="auto"/>
            <w:right w:val="none" w:sz="0" w:space="0" w:color="auto"/>
          </w:divBdr>
        </w:div>
        <w:div w:id="1807157777">
          <w:marLeft w:val="0"/>
          <w:marRight w:val="0"/>
          <w:marTop w:val="0"/>
          <w:marBottom w:val="0"/>
          <w:divBdr>
            <w:top w:val="none" w:sz="0" w:space="0" w:color="auto"/>
            <w:left w:val="none" w:sz="0" w:space="0" w:color="auto"/>
            <w:bottom w:val="none" w:sz="0" w:space="0" w:color="auto"/>
            <w:right w:val="none" w:sz="0" w:space="0" w:color="auto"/>
          </w:divBdr>
        </w:div>
        <w:div w:id="1057701527">
          <w:marLeft w:val="0"/>
          <w:marRight w:val="0"/>
          <w:marTop w:val="0"/>
          <w:marBottom w:val="0"/>
          <w:divBdr>
            <w:top w:val="none" w:sz="0" w:space="0" w:color="auto"/>
            <w:left w:val="none" w:sz="0" w:space="0" w:color="auto"/>
            <w:bottom w:val="none" w:sz="0" w:space="0" w:color="auto"/>
            <w:right w:val="none" w:sz="0" w:space="0" w:color="auto"/>
          </w:divBdr>
        </w:div>
        <w:div w:id="544567255">
          <w:marLeft w:val="0"/>
          <w:marRight w:val="0"/>
          <w:marTop w:val="0"/>
          <w:marBottom w:val="0"/>
          <w:divBdr>
            <w:top w:val="none" w:sz="0" w:space="0" w:color="auto"/>
            <w:left w:val="none" w:sz="0" w:space="0" w:color="auto"/>
            <w:bottom w:val="none" w:sz="0" w:space="0" w:color="auto"/>
            <w:right w:val="none" w:sz="0" w:space="0" w:color="auto"/>
          </w:divBdr>
        </w:div>
        <w:div w:id="821308051">
          <w:marLeft w:val="0"/>
          <w:marRight w:val="0"/>
          <w:marTop w:val="0"/>
          <w:marBottom w:val="0"/>
          <w:divBdr>
            <w:top w:val="none" w:sz="0" w:space="0" w:color="auto"/>
            <w:left w:val="none" w:sz="0" w:space="0" w:color="auto"/>
            <w:bottom w:val="none" w:sz="0" w:space="0" w:color="auto"/>
            <w:right w:val="none" w:sz="0" w:space="0" w:color="auto"/>
          </w:divBdr>
        </w:div>
        <w:div w:id="1283461019">
          <w:marLeft w:val="0"/>
          <w:marRight w:val="0"/>
          <w:marTop w:val="0"/>
          <w:marBottom w:val="0"/>
          <w:divBdr>
            <w:top w:val="none" w:sz="0" w:space="0" w:color="auto"/>
            <w:left w:val="none" w:sz="0" w:space="0" w:color="auto"/>
            <w:bottom w:val="none" w:sz="0" w:space="0" w:color="auto"/>
            <w:right w:val="none" w:sz="0" w:space="0" w:color="auto"/>
          </w:divBdr>
        </w:div>
        <w:div w:id="1519082754">
          <w:marLeft w:val="0"/>
          <w:marRight w:val="0"/>
          <w:marTop w:val="0"/>
          <w:marBottom w:val="0"/>
          <w:divBdr>
            <w:top w:val="none" w:sz="0" w:space="0" w:color="auto"/>
            <w:left w:val="none" w:sz="0" w:space="0" w:color="auto"/>
            <w:bottom w:val="none" w:sz="0" w:space="0" w:color="auto"/>
            <w:right w:val="none" w:sz="0" w:space="0" w:color="auto"/>
          </w:divBdr>
        </w:div>
        <w:div w:id="1278368939">
          <w:marLeft w:val="0"/>
          <w:marRight w:val="0"/>
          <w:marTop w:val="0"/>
          <w:marBottom w:val="0"/>
          <w:divBdr>
            <w:top w:val="none" w:sz="0" w:space="0" w:color="auto"/>
            <w:left w:val="none" w:sz="0" w:space="0" w:color="auto"/>
            <w:bottom w:val="none" w:sz="0" w:space="0" w:color="auto"/>
            <w:right w:val="none" w:sz="0" w:space="0" w:color="auto"/>
          </w:divBdr>
        </w:div>
        <w:div w:id="947853603">
          <w:marLeft w:val="0"/>
          <w:marRight w:val="0"/>
          <w:marTop w:val="0"/>
          <w:marBottom w:val="0"/>
          <w:divBdr>
            <w:top w:val="none" w:sz="0" w:space="0" w:color="auto"/>
            <w:left w:val="none" w:sz="0" w:space="0" w:color="auto"/>
            <w:bottom w:val="none" w:sz="0" w:space="0" w:color="auto"/>
            <w:right w:val="none" w:sz="0" w:space="0" w:color="auto"/>
          </w:divBdr>
        </w:div>
        <w:div w:id="479351668">
          <w:marLeft w:val="0"/>
          <w:marRight w:val="0"/>
          <w:marTop w:val="0"/>
          <w:marBottom w:val="0"/>
          <w:divBdr>
            <w:top w:val="none" w:sz="0" w:space="0" w:color="auto"/>
            <w:left w:val="none" w:sz="0" w:space="0" w:color="auto"/>
            <w:bottom w:val="none" w:sz="0" w:space="0" w:color="auto"/>
            <w:right w:val="none" w:sz="0" w:space="0" w:color="auto"/>
          </w:divBdr>
        </w:div>
        <w:div w:id="1799835800">
          <w:marLeft w:val="0"/>
          <w:marRight w:val="0"/>
          <w:marTop w:val="0"/>
          <w:marBottom w:val="0"/>
          <w:divBdr>
            <w:top w:val="none" w:sz="0" w:space="0" w:color="auto"/>
            <w:left w:val="none" w:sz="0" w:space="0" w:color="auto"/>
            <w:bottom w:val="none" w:sz="0" w:space="0" w:color="auto"/>
            <w:right w:val="none" w:sz="0" w:space="0" w:color="auto"/>
          </w:divBdr>
        </w:div>
        <w:div w:id="1268125915">
          <w:marLeft w:val="0"/>
          <w:marRight w:val="0"/>
          <w:marTop w:val="0"/>
          <w:marBottom w:val="0"/>
          <w:divBdr>
            <w:top w:val="none" w:sz="0" w:space="0" w:color="auto"/>
            <w:left w:val="none" w:sz="0" w:space="0" w:color="auto"/>
            <w:bottom w:val="none" w:sz="0" w:space="0" w:color="auto"/>
            <w:right w:val="none" w:sz="0" w:space="0" w:color="auto"/>
          </w:divBdr>
        </w:div>
        <w:div w:id="2107115541">
          <w:marLeft w:val="0"/>
          <w:marRight w:val="0"/>
          <w:marTop w:val="0"/>
          <w:marBottom w:val="0"/>
          <w:divBdr>
            <w:top w:val="none" w:sz="0" w:space="0" w:color="auto"/>
            <w:left w:val="none" w:sz="0" w:space="0" w:color="auto"/>
            <w:bottom w:val="none" w:sz="0" w:space="0" w:color="auto"/>
            <w:right w:val="none" w:sz="0" w:space="0" w:color="auto"/>
          </w:divBdr>
        </w:div>
        <w:div w:id="602229790">
          <w:marLeft w:val="0"/>
          <w:marRight w:val="0"/>
          <w:marTop w:val="0"/>
          <w:marBottom w:val="0"/>
          <w:divBdr>
            <w:top w:val="none" w:sz="0" w:space="0" w:color="auto"/>
            <w:left w:val="none" w:sz="0" w:space="0" w:color="auto"/>
            <w:bottom w:val="none" w:sz="0" w:space="0" w:color="auto"/>
            <w:right w:val="none" w:sz="0" w:space="0" w:color="auto"/>
          </w:divBdr>
        </w:div>
        <w:div w:id="724991336">
          <w:marLeft w:val="0"/>
          <w:marRight w:val="0"/>
          <w:marTop w:val="0"/>
          <w:marBottom w:val="0"/>
          <w:divBdr>
            <w:top w:val="none" w:sz="0" w:space="0" w:color="auto"/>
            <w:left w:val="none" w:sz="0" w:space="0" w:color="auto"/>
            <w:bottom w:val="none" w:sz="0" w:space="0" w:color="auto"/>
            <w:right w:val="none" w:sz="0" w:space="0" w:color="auto"/>
          </w:divBdr>
        </w:div>
        <w:div w:id="1008629811">
          <w:marLeft w:val="0"/>
          <w:marRight w:val="0"/>
          <w:marTop w:val="0"/>
          <w:marBottom w:val="0"/>
          <w:divBdr>
            <w:top w:val="none" w:sz="0" w:space="0" w:color="auto"/>
            <w:left w:val="none" w:sz="0" w:space="0" w:color="auto"/>
            <w:bottom w:val="none" w:sz="0" w:space="0" w:color="auto"/>
            <w:right w:val="none" w:sz="0" w:space="0" w:color="auto"/>
          </w:divBdr>
        </w:div>
        <w:div w:id="1618026092">
          <w:marLeft w:val="0"/>
          <w:marRight w:val="0"/>
          <w:marTop w:val="0"/>
          <w:marBottom w:val="0"/>
          <w:divBdr>
            <w:top w:val="none" w:sz="0" w:space="0" w:color="auto"/>
            <w:left w:val="none" w:sz="0" w:space="0" w:color="auto"/>
            <w:bottom w:val="none" w:sz="0" w:space="0" w:color="auto"/>
            <w:right w:val="none" w:sz="0" w:space="0" w:color="auto"/>
          </w:divBdr>
        </w:div>
        <w:div w:id="553393677">
          <w:marLeft w:val="0"/>
          <w:marRight w:val="0"/>
          <w:marTop w:val="0"/>
          <w:marBottom w:val="0"/>
          <w:divBdr>
            <w:top w:val="none" w:sz="0" w:space="0" w:color="auto"/>
            <w:left w:val="none" w:sz="0" w:space="0" w:color="auto"/>
            <w:bottom w:val="none" w:sz="0" w:space="0" w:color="auto"/>
            <w:right w:val="none" w:sz="0" w:space="0" w:color="auto"/>
          </w:divBdr>
        </w:div>
        <w:div w:id="1972201027">
          <w:marLeft w:val="0"/>
          <w:marRight w:val="0"/>
          <w:marTop w:val="0"/>
          <w:marBottom w:val="0"/>
          <w:divBdr>
            <w:top w:val="none" w:sz="0" w:space="0" w:color="auto"/>
            <w:left w:val="none" w:sz="0" w:space="0" w:color="auto"/>
            <w:bottom w:val="none" w:sz="0" w:space="0" w:color="auto"/>
            <w:right w:val="none" w:sz="0" w:space="0" w:color="auto"/>
          </w:divBdr>
        </w:div>
        <w:div w:id="1065418987">
          <w:marLeft w:val="0"/>
          <w:marRight w:val="0"/>
          <w:marTop w:val="0"/>
          <w:marBottom w:val="0"/>
          <w:divBdr>
            <w:top w:val="none" w:sz="0" w:space="0" w:color="auto"/>
            <w:left w:val="none" w:sz="0" w:space="0" w:color="auto"/>
            <w:bottom w:val="none" w:sz="0" w:space="0" w:color="auto"/>
            <w:right w:val="none" w:sz="0" w:space="0" w:color="auto"/>
          </w:divBdr>
        </w:div>
        <w:div w:id="800656237">
          <w:marLeft w:val="0"/>
          <w:marRight w:val="0"/>
          <w:marTop w:val="0"/>
          <w:marBottom w:val="0"/>
          <w:divBdr>
            <w:top w:val="none" w:sz="0" w:space="0" w:color="auto"/>
            <w:left w:val="none" w:sz="0" w:space="0" w:color="auto"/>
            <w:bottom w:val="none" w:sz="0" w:space="0" w:color="auto"/>
            <w:right w:val="none" w:sz="0" w:space="0" w:color="auto"/>
          </w:divBdr>
          <w:divsChild>
            <w:div w:id="1210071796">
              <w:marLeft w:val="0"/>
              <w:marRight w:val="0"/>
              <w:marTop w:val="0"/>
              <w:marBottom w:val="0"/>
              <w:divBdr>
                <w:top w:val="none" w:sz="0" w:space="0" w:color="auto"/>
                <w:left w:val="none" w:sz="0" w:space="0" w:color="auto"/>
                <w:bottom w:val="none" w:sz="0" w:space="0" w:color="auto"/>
                <w:right w:val="none" w:sz="0" w:space="0" w:color="auto"/>
              </w:divBdr>
            </w:div>
            <w:div w:id="773984939">
              <w:marLeft w:val="0"/>
              <w:marRight w:val="0"/>
              <w:marTop w:val="0"/>
              <w:marBottom w:val="0"/>
              <w:divBdr>
                <w:top w:val="none" w:sz="0" w:space="0" w:color="auto"/>
                <w:left w:val="none" w:sz="0" w:space="0" w:color="auto"/>
                <w:bottom w:val="none" w:sz="0" w:space="0" w:color="auto"/>
                <w:right w:val="none" w:sz="0" w:space="0" w:color="auto"/>
              </w:divBdr>
            </w:div>
            <w:div w:id="691146687">
              <w:marLeft w:val="0"/>
              <w:marRight w:val="0"/>
              <w:marTop w:val="0"/>
              <w:marBottom w:val="0"/>
              <w:divBdr>
                <w:top w:val="none" w:sz="0" w:space="0" w:color="auto"/>
                <w:left w:val="none" w:sz="0" w:space="0" w:color="auto"/>
                <w:bottom w:val="none" w:sz="0" w:space="0" w:color="auto"/>
                <w:right w:val="none" w:sz="0" w:space="0" w:color="auto"/>
              </w:divBdr>
            </w:div>
            <w:div w:id="780032778">
              <w:marLeft w:val="0"/>
              <w:marRight w:val="0"/>
              <w:marTop w:val="0"/>
              <w:marBottom w:val="0"/>
              <w:divBdr>
                <w:top w:val="none" w:sz="0" w:space="0" w:color="auto"/>
                <w:left w:val="none" w:sz="0" w:space="0" w:color="auto"/>
                <w:bottom w:val="none" w:sz="0" w:space="0" w:color="auto"/>
                <w:right w:val="none" w:sz="0" w:space="0" w:color="auto"/>
              </w:divBdr>
            </w:div>
            <w:div w:id="802190605">
              <w:marLeft w:val="0"/>
              <w:marRight w:val="0"/>
              <w:marTop w:val="0"/>
              <w:marBottom w:val="0"/>
              <w:divBdr>
                <w:top w:val="none" w:sz="0" w:space="0" w:color="auto"/>
                <w:left w:val="none" w:sz="0" w:space="0" w:color="auto"/>
                <w:bottom w:val="none" w:sz="0" w:space="0" w:color="auto"/>
                <w:right w:val="none" w:sz="0" w:space="0" w:color="auto"/>
              </w:divBdr>
            </w:div>
            <w:div w:id="516042854">
              <w:marLeft w:val="0"/>
              <w:marRight w:val="0"/>
              <w:marTop w:val="0"/>
              <w:marBottom w:val="0"/>
              <w:divBdr>
                <w:top w:val="none" w:sz="0" w:space="0" w:color="auto"/>
                <w:left w:val="none" w:sz="0" w:space="0" w:color="auto"/>
                <w:bottom w:val="none" w:sz="0" w:space="0" w:color="auto"/>
                <w:right w:val="none" w:sz="0" w:space="0" w:color="auto"/>
              </w:divBdr>
            </w:div>
            <w:div w:id="1035272724">
              <w:marLeft w:val="0"/>
              <w:marRight w:val="0"/>
              <w:marTop w:val="0"/>
              <w:marBottom w:val="0"/>
              <w:divBdr>
                <w:top w:val="none" w:sz="0" w:space="0" w:color="auto"/>
                <w:left w:val="none" w:sz="0" w:space="0" w:color="auto"/>
                <w:bottom w:val="none" w:sz="0" w:space="0" w:color="auto"/>
                <w:right w:val="none" w:sz="0" w:space="0" w:color="auto"/>
              </w:divBdr>
            </w:div>
            <w:div w:id="1242719171">
              <w:marLeft w:val="0"/>
              <w:marRight w:val="0"/>
              <w:marTop w:val="0"/>
              <w:marBottom w:val="0"/>
              <w:divBdr>
                <w:top w:val="none" w:sz="0" w:space="0" w:color="auto"/>
                <w:left w:val="none" w:sz="0" w:space="0" w:color="auto"/>
                <w:bottom w:val="none" w:sz="0" w:space="0" w:color="auto"/>
                <w:right w:val="none" w:sz="0" w:space="0" w:color="auto"/>
              </w:divBdr>
            </w:div>
            <w:div w:id="1209027785">
              <w:marLeft w:val="0"/>
              <w:marRight w:val="0"/>
              <w:marTop w:val="0"/>
              <w:marBottom w:val="0"/>
              <w:divBdr>
                <w:top w:val="none" w:sz="0" w:space="0" w:color="auto"/>
                <w:left w:val="none" w:sz="0" w:space="0" w:color="auto"/>
                <w:bottom w:val="none" w:sz="0" w:space="0" w:color="auto"/>
                <w:right w:val="none" w:sz="0" w:space="0" w:color="auto"/>
              </w:divBdr>
            </w:div>
            <w:div w:id="1680349139">
              <w:marLeft w:val="0"/>
              <w:marRight w:val="0"/>
              <w:marTop w:val="0"/>
              <w:marBottom w:val="0"/>
              <w:divBdr>
                <w:top w:val="none" w:sz="0" w:space="0" w:color="auto"/>
                <w:left w:val="none" w:sz="0" w:space="0" w:color="auto"/>
                <w:bottom w:val="none" w:sz="0" w:space="0" w:color="auto"/>
                <w:right w:val="none" w:sz="0" w:space="0" w:color="auto"/>
              </w:divBdr>
            </w:div>
            <w:div w:id="2027125525">
              <w:marLeft w:val="0"/>
              <w:marRight w:val="0"/>
              <w:marTop w:val="0"/>
              <w:marBottom w:val="0"/>
              <w:divBdr>
                <w:top w:val="none" w:sz="0" w:space="0" w:color="auto"/>
                <w:left w:val="none" w:sz="0" w:space="0" w:color="auto"/>
                <w:bottom w:val="none" w:sz="0" w:space="0" w:color="auto"/>
                <w:right w:val="none" w:sz="0" w:space="0" w:color="auto"/>
              </w:divBdr>
            </w:div>
            <w:div w:id="2781431">
              <w:marLeft w:val="0"/>
              <w:marRight w:val="0"/>
              <w:marTop w:val="0"/>
              <w:marBottom w:val="0"/>
              <w:divBdr>
                <w:top w:val="none" w:sz="0" w:space="0" w:color="auto"/>
                <w:left w:val="none" w:sz="0" w:space="0" w:color="auto"/>
                <w:bottom w:val="none" w:sz="0" w:space="0" w:color="auto"/>
                <w:right w:val="none" w:sz="0" w:space="0" w:color="auto"/>
              </w:divBdr>
            </w:div>
            <w:div w:id="1600672876">
              <w:marLeft w:val="0"/>
              <w:marRight w:val="0"/>
              <w:marTop w:val="0"/>
              <w:marBottom w:val="0"/>
              <w:divBdr>
                <w:top w:val="none" w:sz="0" w:space="0" w:color="auto"/>
                <w:left w:val="none" w:sz="0" w:space="0" w:color="auto"/>
                <w:bottom w:val="none" w:sz="0" w:space="0" w:color="auto"/>
                <w:right w:val="none" w:sz="0" w:space="0" w:color="auto"/>
              </w:divBdr>
            </w:div>
            <w:div w:id="1629817654">
              <w:marLeft w:val="0"/>
              <w:marRight w:val="0"/>
              <w:marTop w:val="0"/>
              <w:marBottom w:val="0"/>
              <w:divBdr>
                <w:top w:val="none" w:sz="0" w:space="0" w:color="auto"/>
                <w:left w:val="none" w:sz="0" w:space="0" w:color="auto"/>
                <w:bottom w:val="none" w:sz="0" w:space="0" w:color="auto"/>
                <w:right w:val="none" w:sz="0" w:space="0" w:color="auto"/>
              </w:divBdr>
            </w:div>
            <w:div w:id="573004851">
              <w:marLeft w:val="0"/>
              <w:marRight w:val="0"/>
              <w:marTop w:val="0"/>
              <w:marBottom w:val="0"/>
              <w:divBdr>
                <w:top w:val="none" w:sz="0" w:space="0" w:color="auto"/>
                <w:left w:val="none" w:sz="0" w:space="0" w:color="auto"/>
                <w:bottom w:val="none" w:sz="0" w:space="0" w:color="auto"/>
                <w:right w:val="none" w:sz="0" w:space="0" w:color="auto"/>
              </w:divBdr>
            </w:div>
            <w:div w:id="870918970">
              <w:marLeft w:val="0"/>
              <w:marRight w:val="0"/>
              <w:marTop w:val="0"/>
              <w:marBottom w:val="0"/>
              <w:divBdr>
                <w:top w:val="none" w:sz="0" w:space="0" w:color="auto"/>
                <w:left w:val="none" w:sz="0" w:space="0" w:color="auto"/>
                <w:bottom w:val="none" w:sz="0" w:space="0" w:color="auto"/>
                <w:right w:val="none" w:sz="0" w:space="0" w:color="auto"/>
              </w:divBdr>
            </w:div>
            <w:div w:id="1839734579">
              <w:marLeft w:val="0"/>
              <w:marRight w:val="0"/>
              <w:marTop w:val="0"/>
              <w:marBottom w:val="0"/>
              <w:divBdr>
                <w:top w:val="none" w:sz="0" w:space="0" w:color="auto"/>
                <w:left w:val="none" w:sz="0" w:space="0" w:color="auto"/>
                <w:bottom w:val="none" w:sz="0" w:space="0" w:color="auto"/>
                <w:right w:val="none" w:sz="0" w:space="0" w:color="auto"/>
              </w:divBdr>
            </w:div>
            <w:div w:id="2044091013">
              <w:marLeft w:val="0"/>
              <w:marRight w:val="0"/>
              <w:marTop w:val="0"/>
              <w:marBottom w:val="0"/>
              <w:divBdr>
                <w:top w:val="none" w:sz="0" w:space="0" w:color="auto"/>
                <w:left w:val="none" w:sz="0" w:space="0" w:color="auto"/>
                <w:bottom w:val="none" w:sz="0" w:space="0" w:color="auto"/>
                <w:right w:val="none" w:sz="0" w:space="0" w:color="auto"/>
              </w:divBdr>
            </w:div>
            <w:div w:id="1374500135">
              <w:marLeft w:val="0"/>
              <w:marRight w:val="0"/>
              <w:marTop w:val="0"/>
              <w:marBottom w:val="0"/>
              <w:divBdr>
                <w:top w:val="none" w:sz="0" w:space="0" w:color="auto"/>
                <w:left w:val="none" w:sz="0" w:space="0" w:color="auto"/>
                <w:bottom w:val="none" w:sz="0" w:space="0" w:color="auto"/>
                <w:right w:val="none" w:sz="0" w:space="0" w:color="auto"/>
              </w:divBdr>
            </w:div>
            <w:div w:id="647707011">
              <w:marLeft w:val="0"/>
              <w:marRight w:val="0"/>
              <w:marTop w:val="0"/>
              <w:marBottom w:val="0"/>
              <w:divBdr>
                <w:top w:val="none" w:sz="0" w:space="0" w:color="auto"/>
                <w:left w:val="none" w:sz="0" w:space="0" w:color="auto"/>
                <w:bottom w:val="none" w:sz="0" w:space="0" w:color="auto"/>
                <w:right w:val="none" w:sz="0" w:space="0" w:color="auto"/>
              </w:divBdr>
            </w:div>
            <w:div w:id="1880703305">
              <w:marLeft w:val="0"/>
              <w:marRight w:val="0"/>
              <w:marTop w:val="0"/>
              <w:marBottom w:val="0"/>
              <w:divBdr>
                <w:top w:val="none" w:sz="0" w:space="0" w:color="auto"/>
                <w:left w:val="none" w:sz="0" w:space="0" w:color="auto"/>
                <w:bottom w:val="none" w:sz="0" w:space="0" w:color="auto"/>
                <w:right w:val="none" w:sz="0" w:space="0" w:color="auto"/>
              </w:divBdr>
            </w:div>
            <w:div w:id="616065912">
              <w:marLeft w:val="0"/>
              <w:marRight w:val="0"/>
              <w:marTop w:val="0"/>
              <w:marBottom w:val="0"/>
              <w:divBdr>
                <w:top w:val="none" w:sz="0" w:space="0" w:color="auto"/>
                <w:left w:val="none" w:sz="0" w:space="0" w:color="auto"/>
                <w:bottom w:val="none" w:sz="0" w:space="0" w:color="auto"/>
                <w:right w:val="none" w:sz="0" w:space="0" w:color="auto"/>
              </w:divBdr>
            </w:div>
          </w:divsChild>
        </w:div>
        <w:div w:id="1598951640">
          <w:marLeft w:val="0"/>
          <w:marRight w:val="0"/>
          <w:marTop w:val="0"/>
          <w:marBottom w:val="0"/>
          <w:divBdr>
            <w:top w:val="none" w:sz="0" w:space="0" w:color="auto"/>
            <w:left w:val="none" w:sz="0" w:space="0" w:color="auto"/>
            <w:bottom w:val="none" w:sz="0" w:space="0" w:color="auto"/>
            <w:right w:val="none" w:sz="0" w:space="0" w:color="auto"/>
          </w:divBdr>
        </w:div>
        <w:div w:id="1032223741">
          <w:marLeft w:val="0"/>
          <w:marRight w:val="0"/>
          <w:marTop w:val="0"/>
          <w:marBottom w:val="0"/>
          <w:divBdr>
            <w:top w:val="none" w:sz="0" w:space="0" w:color="auto"/>
            <w:left w:val="none" w:sz="0" w:space="0" w:color="auto"/>
            <w:bottom w:val="none" w:sz="0" w:space="0" w:color="auto"/>
            <w:right w:val="none" w:sz="0" w:space="0" w:color="auto"/>
          </w:divBdr>
        </w:div>
        <w:div w:id="2046712627">
          <w:marLeft w:val="0"/>
          <w:marRight w:val="0"/>
          <w:marTop w:val="0"/>
          <w:marBottom w:val="0"/>
          <w:divBdr>
            <w:top w:val="none" w:sz="0" w:space="0" w:color="auto"/>
            <w:left w:val="none" w:sz="0" w:space="0" w:color="auto"/>
            <w:bottom w:val="none" w:sz="0" w:space="0" w:color="auto"/>
            <w:right w:val="none" w:sz="0" w:space="0" w:color="auto"/>
          </w:divBdr>
          <w:divsChild>
            <w:div w:id="1391807583">
              <w:marLeft w:val="0"/>
              <w:marRight w:val="0"/>
              <w:marTop w:val="0"/>
              <w:marBottom w:val="0"/>
              <w:divBdr>
                <w:top w:val="none" w:sz="0" w:space="0" w:color="auto"/>
                <w:left w:val="none" w:sz="0" w:space="0" w:color="auto"/>
                <w:bottom w:val="none" w:sz="0" w:space="0" w:color="auto"/>
                <w:right w:val="none" w:sz="0" w:space="0" w:color="auto"/>
              </w:divBdr>
            </w:div>
            <w:div w:id="1724206928">
              <w:marLeft w:val="0"/>
              <w:marRight w:val="0"/>
              <w:marTop w:val="0"/>
              <w:marBottom w:val="0"/>
              <w:divBdr>
                <w:top w:val="none" w:sz="0" w:space="0" w:color="auto"/>
                <w:left w:val="none" w:sz="0" w:space="0" w:color="auto"/>
                <w:bottom w:val="none" w:sz="0" w:space="0" w:color="auto"/>
                <w:right w:val="none" w:sz="0" w:space="0" w:color="auto"/>
              </w:divBdr>
            </w:div>
            <w:div w:id="1196776098">
              <w:marLeft w:val="0"/>
              <w:marRight w:val="0"/>
              <w:marTop w:val="0"/>
              <w:marBottom w:val="0"/>
              <w:divBdr>
                <w:top w:val="none" w:sz="0" w:space="0" w:color="auto"/>
                <w:left w:val="none" w:sz="0" w:space="0" w:color="auto"/>
                <w:bottom w:val="none" w:sz="0" w:space="0" w:color="auto"/>
                <w:right w:val="none" w:sz="0" w:space="0" w:color="auto"/>
              </w:divBdr>
            </w:div>
            <w:div w:id="169950419">
              <w:marLeft w:val="0"/>
              <w:marRight w:val="0"/>
              <w:marTop w:val="0"/>
              <w:marBottom w:val="0"/>
              <w:divBdr>
                <w:top w:val="none" w:sz="0" w:space="0" w:color="auto"/>
                <w:left w:val="none" w:sz="0" w:space="0" w:color="auto"/>
                <w:bottom w:val="none" w:sz="0" w:space="0" w:color="auto"/>
                <w:right w:val="none" w:sz="0" w:space="0" w:color="auto"/>
              </w:divBdr>
            </w:div>
            <w:div w:id="132985548">
              <w:marLeft w:val="0"/>
              <w:marRight w:val="0"/>
              <w:marTop w:val="0"/>
              <w:marBottom w:val="0"/>
              <w:divBdr>
                <w:top w:val="none" w:sz="0" w:space="0" w:color="auto"/>
                <w:left w:val="none" w:sz="0" w:space="0" w:color="auto"/>
                <w:bottom w:val="none" w:sz="0" w:space="0" w:color="auto"/>
                <w:right w:val="none" w:sz="0" w:space="0" w:color="auto"/>
              </w:divBdr>
            </w:div>
            <w:div w:id="1145313057">
              <w:marLeft w:val="0"/>
              <w:marRight w:val="0"/>
              <w:marTop w:val="0"/>
              <w:marBottom w:val="0"/>
              <w:divBdr>
                <w:top w:val="none" w:sz="0" w:space="0" w:color="auto"/>
                <w:left w:val="none" w:sz="0" w:space="0" w:color="auto"/>
                <w:bottom w:val="none" w:sz="0" w:space="0" w:color="auto"/>
                <w:right w:val="none" w:sz="0" w:space="0" w:color="auto"/>
              </w:divBdr>
            </w:div>
            <w:div w:id="1311472743">
              <w:marLeft w:val="0"/>
              <w:marRight w:val="0"/>
              <w:marTop w:val="0"/>
              <w:marBottom w:val="0"/>
              <w:divBdr>
                <w:top w:val="none" w:sz="0" w:space="0" w:color="auto"/>
                <w:left w:val="none" w:sz="0" w:space="0" w:color="auto"/>
                <w:bottom w:val="none" w:sz="0" w:space="0" w:color="auto"/>
                <w:right w:val="none" w:sz="0" w:space="0" w:color="auto"/>
              </w:divBdr>
            </w:div>
            <w:div w:id="761292859">
              <w:marLeft w:val="0"/>
              <w:marRight w:val="0"/>
              <w:marTop w:val="0"/>
              <w:marBottom w:val="0"/>
              <w:divBdr>
                <w:top w:val="none" w:sz="0" w:space="0" w:color="auto"/>
                <w:left w:val="none" w:sz="0" w:space="0" w:color="auto"/>
                <w:bottom w:val="none" w:sz="0" w:space="0" w:color="auto"/>
                <w:right w:val="none" w:sz="0" w:space="0" w:color="auto"/>
              </w:divBdr>
            </w:div>
            <w:div w:id="1124956817">
              <w:marLeft w:val="0"/>
              <w:marRight w:val="0"/>
              <w:marTop w:val="0"/>
              <w:marBottom w:val="0"/>
              <w:divBdr>
                <w:top w:val="none" w:sz="0" w:space="0" w:color="auto"/>
                <w:left w:val="none" w:sz="0" w:space="0" w:color="auto"/>
                <w:bottom w:val="none" w:sz="0" w:space="0" w:color="auto"/>
                <w:right w:val="none" w:sz="0" w:space="0" w:color="auto"/>
              </w:divBdr>
            </w:div>
          </w:divsChild>
        </w:div>
        <w:div w:id="1294945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1012020stockoptionawa.htm" TargetMode="External"/><Relationship Id="rId13" Type="http://schemas.openxmlformats.org/officeDocument/2006/relationships/hyperlink" Target="a1042020cash-settledrs.htm" TargetMode="External"/><Relationship Id="rId18" Type="http://schemas.openxmlformats.org/officeDocument/2006/relationships/hyperlink" Target="ei3312020exhibit312cfo.htm" TargetMode="External"/><Relationship Id="rId3" Type="http://schemas.openxmlformats.org/officeDocument/2006/relationships/webSettings" Target="webSettings.xml"/><Relationship Id="rId21" Type="http://schemas.openxmlformats.org/officeDocument/2006/relationships/hyperlink" Target="ei3312020exhibit322cfo.htm" TargetMode="External"/><Relationship Id="rId7" Type="http://schemas.openxmlformats.org/officeDocument/2006/relationships/hyperlink" Target="a1012020stockoptionawa.htm" TargetMode="External"/><Relationship Id="rId12" Type="http://schemas.openxmlformats.org/officeDocument/2006/relationships/hyperlink" Target="a1032020share-settledr.htm" TargetMode="External"/><Relationship Id="rId17" Type="http://schemas.openxmlformats.org/officeDocument/2006/relationships/hyperlink" Target="ei3312020exhibit312cfo.htm" TargetMode="External"/><Relationship Id="rId2" Type="http://schemas.openxmlformats.org/officeDocument/2006/relationships/settings" Target="settings.xml"/><Relationship Id="rId16" Type="http://schemas.openxmlformats.org/officeDocument/2006/relationships/hyperlink" Target="ei3312020exhibit311ceo.htm" TargetMode="External"/><Relationship Id="rId20" Type="http://schemas.openxmlformats.org/officeDocument/2006/relationships/hyperlink" Target="ei3312020exhibit321ceo.htm" TargetMode="External"/><Relationship Id="rId1" Type="http://schemas.openxmlformats.org/officeDocument/2006/relationships/styles" Target="styles.xml"/><Relationship Id="rId6" Type="http://schemas.openxmlformats.org/officeDocument/2006/relationships/hyperlink" Target="http://www.sec.gov/Archives/edgar/data/1373835/000119312516701430/d247969dex21.htm" TargetMode="External"/><Relationship Id="rId11" Type="http://schemas.openxmlformats.org/officeDocument/2006/relationships/hyperlink" Target="a1032020share-settledr.htm" TargetMode="External"/><Relationship Id="rId24" Type="http://schemas.openxmlformats.org/officeDocument/2006/relationships/theme" Target="theme/theme1.xml"/><Relationship Id="rId5" Type="http://schemas.openxmlformats.org/officeDocument/2006/relationships/hyperlink" Target="http://www.sec.gov/Archives/edgar/data/1373835/000119312516701430/d247969dex21.htm" TargetMode="External"/><Relationship Id="rId15" Type="http://schemas.openxmlformats.org/officeDocument/2006/relationships/hyperlink" Target="ei3312020exhibit311ceo.htm" TargetMode="External"/><Relationship Id="rId23" Type="http://schemas.openxmlformats.org/officeDocument/2006/relationships/fontTable" Target="fontTable.xml"/><Relationship Id="rId10" Type="http://schemas.openxmlformats.org/officeDocument/2006/relationships/hyperlink" Target="a1022020psugrantagreem.htm" TargetMode="External"/><Relationship Id="rId19" Type="http://schemas.openxmlformats.org/officeDocument/2006/relationships/hyperlink" Target="ei3312020exhibit321ceo.htm" TargetMode="External"/><Relationship Id="rId4" Type="http://schemas.openxmlformats.org/officeDocument/2006/relationships/image" Target="file:///E:\projects\LLMs\new_data_collection\data_new\htm\ENBRIDGE%20INC\enblogocolourc12.jpg" TargetMode="External"/><Relationship Id="rId9" Type="http://schemas.openxmlformats.org/officeDocument/2006/relationships/hyperlink" Target="a1022020psugrantagreem.htm" TargetMode="External"/><Relationship Id="rId14" Type="http://schemas.openxmlformats.org/officeDocument/2006/relationships/hyperlink" Target="a1042020cash-settledrs.htm" TargetMode="External"/><Relationship Id="rId22" Type="http://schemas.openxmlformats.org/officeDocument/2006/relationships/hyperlink" Target="ei3312020exhibit322cf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34917</Words>
  <Characters>199029</Characters>
  <Application>Microsoft Office Word</Application>
  <DocSecurity>0</DocSecurity>
  <Lines>1658</Lines>
  <Paragraphs>466</Paragraphs>
  <ScaleCrop>false</ScaleCrop>
  <Company/>
  <LinksUpToDate>false</LinksUpToDate>
  <CharactersWithSpaces>233480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