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E01B0">
      <w:pPr>
        <w:divId w:val="2068457145"/>
        <w:rPr>
          <w:rFonts w:eastAsia="Times New Roman"/>
          <w:vanish/>
        </w:rPr>
      </w:pPr>
      <w:r>
        <w:rPr>
          <w:rFonts w:eastAsia="Times New Roman"/>
          <w:vanish/>
        </w:rPr>
        <w:t>0000895728falseDecember 312021Q1us-gaap:AccountingStandardsUpdate201613Member913.00.8350.810.155010.15349three year1.0one year3.0two500one yearone yearone yearone yeartwo years404.263.164.6000008957282021-01-012021-03-310000895728</w:t>
      </w:r>
      <w:r>
        <w:rPr>
          <w:rFonts w:eastAsia="Times New Roman"/>
          <w:vanish/>
        </w:rPr>
        <w:t>us-gaap:CommonStockMember2021-01-012021-03-310000895728enb:A6.375FixedtoFloatingRateSubordinatedNotesSeries2018BDue2078Member2021-01-012021-03-31xbrli:shares00008957282021-04-30iso4217:CAD0000895728enb:CommoditySalesRevenueMember2021-01-012021-03-310000895</w:t>
      </w:r>
      <w:r>
        <w:rPr>
          <w:rFonts w:eastAsia="Times New Roman"/>
          <w:vanish/>
        </w:rPr>
        <w:t>728enb:CommoditySalesRevenueMember2020-01-012020-03-310000895728enb:TransportationAndOtherServicesRevenuesMember2021-01-012021-03-310000895728enb:TransportationAndOtherServicesRevenuesMember2020-01-012020-03-310000895728enb:GasDistributionRevenueMember2021</w:t>
      </w:r>
      <w:r>
        <w:rPr>
          <w:rFonts w:eastAsia="Times New Roman"/>
          <w:vanish/>
        </w:rPr>
        <w:t>-01-012021-03-310000895728enb:GasDistributionRevenueMember2020-01-012020-03-3100008957282020-01-012020-03-31iso4217:CADxbrli:shares0000895728us-gaap:PreferredStockMember2020-12-310000895728us-gaap:PreferredStockMember2021-03-310000895728us-gaap:PreferredSt</w:t>
      </w:r>
      <w:r>
        <w:rPr>
          <w:rFonts w:eastAsia="Times New Roman"/>
          <w:vanish/>
        </w:rPr>
        <w:t>ockMember2019-12-310000895728us-gaap:PreferredStockMember2020-03-310000895728us-gaap:CommonStockMember2020-12-310000895728us-gaap:CommonStockMember2019-12-310000895728us-gaap:CommonStockMember2021-01-012021-03-310000895728us-gaap:CommonStockMember2020-01-0</w:t>
      </w:r>
      <w:r>
        <w:rPr>
          <w:rFonts w:eastAsia="Times New Roman"/>
          <w:vanish/>
        </w:rPr>
        <w:t>12020-03-310000895728us-gaap:CommonStockMember2021-03-310000895728us-gaap:CommonStockMember2020-03-310000895728us-gaap:AdditionalPaidInCapitalMember2020-12-310000895728us-gaap:AdditionalPaidInCapitalMember2019-12-310000895728us-gaap:AdditionalPaidInCapital</w:t>
      </w:r>
      <w:r>
        <w:rPr>
          <w:rFonts w:eastAsia="Times New Roman"/>
          <w:vanish/>
        </w:rPr>
        <w:t>Member2021-01-012021-03-310000895728us-gaap:AdditionalPaidInCapitalMember2020-01-012020-03-310000895728us-gaap:AdditionalPaidInCapitalMember2021-03-310000895728us-gaap:AdditionalPaidInCapitalMember2020-03-310000895728us-gaap:RetainedEarningsMember2020-12-3</w:t>
      </w:r>
      <w:r>
        <w:rPr>
          <w:rFonts w:eastAsia="Times New Roman"/>
          <w:vanish/>
        </w:rPr>
        <w:t>10000895728us-gaap:RetainedEarningsMember2019-12-310000895728us-gaap:RetainedEarningsMember2021-01-012021-03-310000895728us-gaap:RetainedEarningsMember2020-01-012020-03-3100008957282019-01-012019-12-310000895728srt:CumulativeEffectPeriodOfAdoptionAdjustmen</w:t>
      </w:r>
      <w:r>
        <w:rPr>
          <w:rFonts w:eastAsia="Times New Roman"/>
          <w:vanish/>
        </w:rPr>
        <w:t>tMemberus-gaap:RetainedEarningsMember2020-12-310000895728srt:CumulativeEffectPeriodOfAdoptionAdjustmentMemberus-gaap:RetainedEarningsMember2019-12-310000895728us-gaap:RetainedEarningsMember2021-03-310000895728us-gaap:RetainedEarningsMember2020-03-310000895</w:t>
      </w:r>
      <w:r>
        <w:rPr>
          <w:rFonts w:eastAsia="Times New Roman"/>
          <w:vanish/>
        </w:rPr>
        <w:t>728us-gaap:AccumulatedOtherComprehensiveIncomeMember2020-12-310000895728us-gaap:AccumulatedOtherComprehensiveIncomeMember2019-12-310000895728us-gaap:AccumulatedOtherComprehensiveIncomeMember2021-01-012021-03-310000895728us-gaap:AccumulatedOtherComprehensiv</w:t>
      </w:r>
      <w:r>
        <w:rPr>
          <w:rFonts w:eastAsia="Times New Roman"/>
          <w:vanish/>
        </w:rPr>
        <w:t>eIncomeMember2020-01-012020-03-310000895728us-gaap:AccumulatedOtherComprehensiveIncomeMember2021-03-310000895728us-gaap:AccumulatedOtherComprehensiveIncomeMember2020-03-310000895728us-gaap:TreasuryStockMember2020-12-310000895728us-gaap:TreasuryStockMember2</w:t>
      </w:r>
      <w:r>
        <w:rPr>
          <w:rFonts w:eastAsia="Times New Roman"/>
          <w:vanish/>
        </w:rPr>
        <w:t>019-12-310000895728us-gaap:TreasuryStockMember2021-01-012021-03-310000895728us-gaap:TreasuryStockMember2020-01-012020-03-310000895728us-gaap:TreasuryStockMember2021-03-310000895728us-gaap:TreasuryStockMember2020-03-310000895728us-gaap:ParentMember2021-03-3</w:t>
      </w:r>
      <w:r>
        <w:rPr>
          <w:rFonts w:eastAsia="Times New Roman"/>
          <w:vanish/>
        </w:rPr>
        <w:t>10000895728us-gaap:ParentMember2020-03-310000895728us-gaap:NoncontrollingInterestMember2020-12-310000895728us-gaap:NoncontrollingInterestMember2019-12-310000895728us-gaap:NoncontrollingInterestMember2021-01-012021-03-310000895728us-gaap:NoncontrollingInter</w:t>
      </w:r>
      <w:r>
        <w:rPr>
          <w:rFonts w:eastAsia="Times New Roman"/>
          <w:vanish/>
        </w:rPr>
        <w:t>estMember2020-01-012020-03-310000895728us-gaap:NoncontrollingInterestMember2021-03-310000895728us-gaap:NoncontrollingInterestMember2020-03-3100008957282021-03-3100008957282020-03-3100008957282020-12-3100008957282019-12-310000895728enb:LiquidsPipelinesSegme</w:t>
      </w:r>
      <w:r>
        <w:rPr>
          <w:rFonts w:eastAsia="Times New Roman"/>
          <w:vanish/>
        </w:rPr>
        <w:t>ntMemberenb:TransportationRevenueMemberus-gaap:OperatingSegmentsMember2021-01-012021-03-310000895728enb:GasTransmissionandMidstreamSegmentMemberenb:TransportationRevenueMemberus-gaap:OperatingSegmentsMember2021-01-012021-03-310000895728enb:GasDistributiona</w:t>
      </w:r>
      <w:r>
        <w:rPr>
          <w:rFonts w:eastAsia="Times New Roman"/>
          <w:vanish/>
        </w:rPr>
        <w:t>ndStorageSegmentMemberenb:TransportationRevenueMemberus-gaap:OperatingSegmentsMember2021-01-012021-03-310000895728enb:TransportationRevenueMemberus-gaap:OperatingSegmentsMemberenb:RenewablePowerGenerationSegmentMember2021-01-012021-03-310000895728enb:Energ</w:t>
      </w:r>
      <w:r>
        <w:rPr>
          <w:rFonts w:eastAsia="Times New Roman"/>
          <w:vanish/>
        </w:rPr>
        <w:t>yServicesSegmentMemberenb:TransportationRevenueMemberus-gaap:OperatingSegmentsMember2021-01-012021-03-310000895728enb:EliminationsAndReconcilingItemsMemberenb:TransportationRevenueMember2021-01-012021-03-310000895728enb:TransportationRevenueMember2021-01-0</w:t>
      </w:r>
      <w:r>
        <w:rPr>
          <w:rFonts w:eastAsia="Times New Roman"/>
          <w:vanish/>
        </w:rPr>
        <w:t>12021-03-310000895728enb:LiquidsPipelinesSegmentMemberenb:StorageandOtherRevenueMemberus-gaap:OperatingSegmentsMember2021-01-012021-03-310000895728enb:GasTransmissionandMidstreamSegmentMemberenb:StorageandOtherRevenueMemberus-gaap:OperatingSegmentsMember20</w:t>
      </w:r>
      <w:r>
        <w:rPr>
          <w:rFonts w:eastAsia="Times New Roman"/>
          <w:vanish/>
        </w:rPr>
        <w:t>21-01-012021-03-310000895728enb:GasDistributionandStorageSegmentMemberenb:StorageandOtherRevenueMemberus-gaap:OperatingSegmentsMember2021-01-012021-03-310000895728enb:StorageandOtherRevenueMemberus-gaap:OperatingSegmentsMemberenb:RenewablePowerGenerationSe</w:t>
      </w:r>
      <w:r>
        <w:rPr>
          <w:rFonts w:eastAsia="Times New Roman"/>
          <w:vanish/>
        </w:rPr>
        <w:t>gmentMember2021-01-012021-03-310000895728enb:EnergyServicesSegmentMemberenb:StorageandOtherRevenueMemberus-gaap:OperatingSegmentsMember2021-01-012021-03-310000895728enb:EliminationsAndReconcilingItemsMemberenb:StorageandOtherRevenueMember2021-01-012021-03-</w:t>
      </w:r>
      <w:r>
        <w:rPr>
          <w:rFonts w:eastAsia="Times New Roman"/>
          <w:vanish/>
        </w:rPr>
        <w:t>310000895728enb:StorageandOtherRevenueMember2021-01-012021-03-310000895728enb:LiquidsPipelinesSegmentMemberus-gaap:OperatingSegmentsMemberenb:GasGatheringandProcessingRevenueMember2021-01-012021-03-310000895728enb:GasTransmissionandMidstreamSegmentMemberus</w:t>
      </w:r>
      <w:r>
        <w:rPr>
          <w:rFonts w:eastAsia="Times New Roman"/>
          <w:vanish/>
        </w:rPr>
        <w:t>-gaap:OperatingSegmentsMemberenb:GasGatheringandProcessingRevenueMember2021-01-012021-03-310000895728enb:GasDistributionandStorageSegmentMemberus-gaap:OperatingSegmentsMemberenb:GasGatheringandProcessingRevenueMember2021-01-012021-03-310000895728us-gaap:Op</w:t>
      </w:r>
      <w:r>
        <w:rPr>
          <w:rFonts w:eastAsia="Times New Roman"/>
          <w:vanish/>
        </w:rPr>
        <w:t>eratingSegmentsMemberenb:RenewablePowerGenerationSegmentMemberenb:GasGatheringandProcessingRevenueMember2021-01-012021-03-310000895728enb:EnergyServicesSegmentMemberus-gaap:OperatingSegmentsMemberenb:GasGatheringandProcessingRevenueMember2021-01-012021-03-</w:t>
      </w:r>
      <w:r>
        <w:rPr>
          <w:rFonts w:eastAsia="Times New Roman"/>
          <w:vanish/>
        </w:rPr>
        <w:t>310000895728enb:EliminationsAndReconcilingItemsMemberenb:GasGatheringandProcessingRevenueMember2021-01-012021-03-310000895728enb:GasGatheringandProcessingRevenueMember2021-01-012021-03-310000895728enb:GasDistributionRevenueMemberenb:LiquidsPipelinesSegment</w:t>
      </w:r>
      <w:r>
        <w:rPr>
          <w:rFonts w:eastAsia="Times New Roman"/>
          <w:vanish/>
        </w:rPr>
        <w:t>Memberus-gaap:OperatingSegmentsMember2021-01-012021-03-310000895728enb:GasTransmissionandMidstreamSegmentMemberenb:GasDistributionRevenueMemberus-gaap:OperatingSegmentsMember2021-01-012021-03-310000895728enb:GasDistributionandStorageSegmentMemberenb:GasDis</w:t>
      </w:r>
      <w:r>
        <w:rPr>
          <w:rFonts w:eastAsia="Times New Roman"/>
          <w:vanish/>
        </w:rPr>
        <w:t>tributionRevenueMemberus-gaap:OperatingSegmentsMember2021-01-012021-03-310000895728enb:GasDistributionRevenueMemberus-gaap:OperatingSegmentsMemberenb:RenewablePowerGenerationSegmentMember2021-01-012021-03-310000895728enb:EnergyServicesSegmentMemberenb:GasD</w:t>
      </w:r>
      <w:r>
        <w:rPr>
          <w:rFonts w:eastAsia="Times New Roman"/>
          <w:vanish/>
        </w:rPr>
        <w:t>istributionRevenueMemberus-gaap:OperatingSegmentsMember2021-01-012021-03-310000895728enb:EliminationsAndReconcilingItemsMemberenb:GasDistributionRevenueMember2021-01-012021-03-310000895728enb:LiquidsPipelinesSegmentMemberus-gaap:OperatingSegmentsMemberenb:</w:t>
      </w:r>
      <w:r>
        <w:rPr>
          <w:rFonts w:eastAsia="Times New Roman"/>
          <w:vanish/>
        </w:rPr>
        <w:t>ElectricityandTransmissionRevenueMember2021-01-012021-03-310000895728enb:GasTransmissionandMidstreamSegmentMemberus-gaap:OperatingSegmentsMemberenb:ElectricityandTransmissionRevenueMember2021-01-012021-03-310000895728enb:GasDistributionandStorageSegmentMem</w:t>
      </w:r>
      <w:r>
        <w:rPr>
          <w:rFonts w:eastAsia="Times New Roman"/>
          <w:vanish/>
        </w:rPr>
        <w:t>berus-gaap:OperatingSegmentsMemberenb:ElectricityandTransmissionRevenueMember2021-01-012021-03-310000895728us-gaap:OperatingSegmentsMemberenb:RenewablePowerGenerationSegmentMemberenb:ElectricityandTransmissionRevenueMember2021-01-012021-03-310000895728enb:</w:t>
      </w:r>
      <w:r>
        <w:rPr>
          <w:rFonts w:eastAsia="Times New Roman"/>
          <w:vanish/>
        </w:rPr>
        <w:t>EnergyServicesSegmentMemberus-gaap:OperatingSegmentsMemberenb:ElectricityandTransmissionRevenueMember2021-01-012021-03-310000895728enb:EliminationsAndReconcilingItemsMemberenb:ElectricityandTransmissionRevenueMember2021-01-012021-03-310000895728enb:Electri</w:t>
      </w:r>
      <w:r>
        <w:rPr>
          <w:rFonts w:eastAsia="Times New Roman"/>
          <w:vanish/>
        </w:rPr>
        <w:t>cityandTransmissionRevenueMember2021-01-012021-03-310000895728enb:LiquidsPipelinesSegmentMemberus-gaap:OperatingSegmentsMember2021-01-012021-03-310000895728enb:GasTransmissionandMidstreamSegmentMemberus-gaap:OperatingSegmentsMember2021-01-012021-03-3100008</w:t>
      </w:r>
      <w:r>
        <w:rPr>
          <w:rFonts w:eastAsia="Times New Roman"/>
          <w:vanish/>
        </w:rPr>
        <w:t>95728enb:GasDistributionandStorageSegmentMemberus-gaap:OperatingSegmentsMember2021-01-012021-03-310000895728us-gaap:OperatingSegmentsMemberenb:RenewablePowerGenerationSegmentMember2021-01-012021-03-310000895728enb:EnergyServicesSegmentMemberus-gaap:Operati</w:t>
      </w:r>
      <w:r>
        <w:rPr>
          <w:rFonts w:eastAsia="Times New Roman"/>
          <w:vanish/>
        </w:rPr>
        <w:t>ngSegmentsMember2021-01-012021-03-310000895728enb:EliminationsAndReconcilingItemsMember2021-01-012021-03-310000895728enb:CommoditySalesRevenueMemberenb:LiquidsPipelinesSegmentMemberus-gaap:OperatingSegmentsMember2021-01-012021-03-310000895728enb:GasTransmi</w:t>
      </w:r>
      <w:r>
        <w:rPr>
          <w:rFonts w:eastAsia="Times New Roman"/>
          <w:vanish/>
        </w:rPr>
        <w:t>ssionandMidstreamSegmentMemberenb:CommoditySalesRevenueMemberus-gaap:OperatingSegmentsMember2021-01-012021-03-310000895728enb:GasDistributionandStorageSegmentMemberenb:CommoditySalesRevenueMemberus-gaap:OperatingSegmentsMember2021-01-012021-03-310000895728</w:t>
      </w:r>
      <w:r>
        <w:rPr>
          <w:rFonts w:eastAsia="Times New Roman"/>
          <w:vanish/>
        </w:rPr>
        <w:t>enb:CommoditySalesRevenueMemberus-gaap:OperatingSegmentsMemberenb:RenewablePowerGenerationSegmentMember2021-01-012021-03-310000895728enb:CommoditySalesRevenueMemberenb:EnergyServicesSegmentMemberus-gaap:OperatingSegmentsMember2021-01-012021-03-310000895728</w:t>
      </w:r>
      <w:r>
        <w:rPr>
          <w:rFonts w:eastAsia="Times New Roman"/>
          <w:vanish/>
        </w:rPr>
        <w:t>enb:CommoditySalesRevenueMemberenb:EliminationsAndReconcilingItemsMember2021-01-012021-03-310000895728enb:OtherRevenueMemberenb:LiquidsPipelinesSegmentMemberus-gaap:OperatingSegmentsMember2021-01-012021-03-310000895728enb:GasTransmissionandMidstreamSegment</w:t>
      </w:r>
      <w:r>
        <w:rPr>
          <w:rFonts w:eastAsia="Times New Roman"/>
          <w:vanish/>
        </w:rPr>
        <w:t>Memberenb:OtherRevenueMemberus-gaap:OperatingSegmentsMember2021-01-012021-03-310000895728enb:GasDistributionandStorageSegmentMemberenb:OtherRevenueMemberus-gaap:OperatingSegmentsMember2021-01-012021-03-310000895728enb:OtherRevenueMemberus-gaap:OperatingSeg</w:t>
      </w:r>
      <w:r>
        <w:rPr>
          <w:rFonts w:eastAsia="Times New Roman"/>
          <w:vanish/>
        </w:rPr>
        <w:t>mentsMemberenb:RenewablePowerGenerationSegmentMember2021-01-012021-03-310000895728enb:OtherRevenueMemberenb:EnergyServicesSegmentMemberus-gaap:OperatingSegmentsMember2021-01-012021-03-310000895728enb:OtherRevenueMemberenb:EliminationsAndReconcilingItemsMem</w:t>
      </w:r>
      <w:r>
        <w:rPr>
          <w:rFonts w:eastAsia="Times New Roman"/>
          <w:vanish/>
        </w:rPr>
        <w:t>ber2021-01-012021-03-310000895728enb:OtherRevenueMember2021-01-012021-03-310000895728us-gaap:IntersegmentEliminationMemberenb:LiquidsPipelinesSegmentMember2021-01-012021-03-310000895728enb:GasTransmissionandMidstreamSegmentMemberus-gaap:IntersegmentElimina</w:t>
      </w:r>
      <w:r>
        <w:rPr>
          <w:rFonts w:eastAsia="Times New Roman"/>
          <w:vanish/>
        </w:rPr>
        <w:t>tionMember2021-01-012021-03-310000895728us-gaap:IntersegmentEliminationMemberenb:GasDistributionandStorageSegmentMember2021-01-012021-03-310000895728us-gaap:IntersegmentEliminationMemberenb:RenewablePowerGenerationSegmentMember2021-01-012021-03-31000089572</w:t>
      </w:r>
      <w:r>
        <w:rPr>
          <w:rFonts w:eastAsia="Times New Roman"/>
          <w:vanish/>
        </w:rPr>
        <w:t>8us-gaap:IntersegmentEliminationMemberenb:EnergyServicesSegmentMember2021-01-012021-03-310000895728us-gaap:IntersegmentEliminationMember2021-01-012021-03-310000895728enb:LiquidsPipelinesSegmentMemberenb:TransportationRevenueMemberus-gaap:OperatingSegmentsM</w:t>
      </w:r>
      <w:r>
        <w:rPr>
          <w:rFonts w:eastAsia="Times New Roman"/>
          <w:vanish/>
        </w:rPr>
        <w:t>ember2020-01-012020-03-310000895728enb:GasTransmissionandMidstreamSegmentMemberenb:TransportationRevenueMemberus-gaap:OperatingSegmentsMember2020-01-012020-03-310000895728enb:GasDistributionandStorageSegmentMemberenb:TransportationRevenueMemberus-gaap:Oper</w:t>
      </w:r>
      <w:r>
        <w:rPr>
          <w:rFonts w:eastAsia="Times New Roman"/>
          <w:vanish/>
        </w:rPr>
        <w:t>atingSegmentsMember2020-01-012020-03-310000895728enb:TransportationRevenueMemberus-gaap:OperatingSegmentsMemberenb:RenewablePowerGenerationSegmentMember2020-01-012020-03-310000895728enb:EnergyServicesSegmentMemberenb:TransportationRevenueMemberus-gaap:Oper</w:t>
      </w:r>
      <w:r>
        <w:rPr>
          <w:rFonts w:eastAsia="Times New Roman"/>
          <w:vanish/>
        </w:rPr>
        <w:t>atingSegmentsMember2020-01-012020-03-310000895728enb:EliminationsAndReconcilingItemsMemberenb:TransportationRevenueMember2020-01-012020-03-310000895728enb:TransportationRevenueMember2020-01-012020-03-310000895728enb:LiquidsPipelinesSegmentMemberenb:Storage</w:t>
      </w:r>
      <w:r>
        <w:rPr>
          <w:rFonts w:eastAsia="Times New Roman"/>
          <w:vanish/>
        </w:rPr>
        <w:t>andOtherRevenueMemberus-gaap:OperatingSegmentsMember2020-01-012020-03-310000895728enb:GasTransmissionandMidstreamSegmentMemberenb:StorageandOtherRevenueMemberus-gaap:OperatingSegmentsMember2020-01-012020-03-310000895728enb:GasDistributionandStorageSegmentM</w:t>
      </w:r>
      <w:r>
        <w:rPr>
          <w:rFonts w:eastAsia="Times New Roman"/>
          <w:vanish/>
        </w:rPr>
        <w:t>emberenb:StorageandOtherRevenueMemberus-gaap:OperatingSegmentsMember2020-01-012020-03-310000895728enb:StorageandOtherRevenueMemberus-gaap:OperatingSegmentsMemberenb:RenewablePowerGenerationSegmentMember2020-01-012020-03-310000895728enb:EnergyServicesSegmen</w:t>
      </w:r>
      <w:r>
        <w:rPr>
          <w:rFonts w:eastAsia="Times New Roman"/>
          <w:vanish/>
        </w:rPr>
        <w:t>tMemberenb:StorageandOtherRevenueMemberus-gaap:OperatingSegmentsMember2020-01-012020-03-310000895728enb:EliminationsAndReconcilingItemsMemberenb:StorageandOtherRevenueMember2020-01-012020-03-310000895728enb:StorageandOtherRevenueMember2020-01-012020-03-310</w:t>
      </w:r>
      <w:r>
        <w:rPr>
          <w:rFonts w:eastAsia="Times New Roman"/>
          <w:vanish/>
        </w:rPr>
        <w:t>000895728enb:LiquidsPipelinesSegmentMemberus-gaap:OperatingSegmentsMemberenb:GasGatheringandProcessingRevenueMember2020-01-012020-03-310000895728enb:GasTransmissionandMidstreamSegmentMemberus-gaap:OperatingSegmentsMemberenb:GasGatheringandProcessingRevenue</w:t>
      </w:r>
      <w:r>
        <w:rPr>
          <w:rFonts w:eastAsia="Times New Roman"/>
          <w:vanish/>
        </w:rPr>
        <w:t>Member2020-01-012020-03-310000895728enb:GasDistributionandStorageSegmentMemberus-gaap:OperatingSegmentsMemberenb:GasGatheringandProcessingRevenueMember2020-01-012020-03-310000895728us-gaap:OperatingSegmentsMemberenb:RenewablePowerGenerationSegmentMemberenb</w:t>
      </w:r>
      <w:r>
        <w:rPr>
          <w:rFonts w:eastAsia="Times New Roman"/>
          <w:vanish/>
        </w:rPr>
        <w:t>:GasGatheringandProcessingRevenueMember2020-01-012020-03-310000895728enb:EnergyServicesSegmentMemberus-gaap:OperatingSegmentsMemberenb:GasGatheringandProcessingRevenueMember2020-01-012020-03-310000895728enb:EliminationsAndReconcilingItemsMemberenb:GasGathe</w:t>
      </w:r>
      <w:r>
        <w:rPr>
          <w:rFonts w:eastAsia="Times New Roman"/>
          <w:vanish/>
        </w:rPr>
        <w:t>ringandProcessingRevenueMember2020-01-012020-03-310000895728enb:GasGatheringandProcessingRevenueMember2020-01-012020-03-310000895728enb:GasDistributionRevenueMemberenb:LiquidsPipelinesSegmentMemberus-gaap:OperatingSegmentsMember2020-01-012020-03-3100008957</w:t>
      </w:r>
      <w:r>
        <w:rPr>
          <w:rFonts w:eastAsia="Times New Roman"/>
          <w:vanish/>
        </w:rPr>
        <w:t>28enb:GasTransmissionandMidstreamSegmentMemberenb:GasDistributionRevenueMemberus-gaap:OperatingSegmentsMember2020-01-012020-03-310000895728enb:GasDistributionandStorageSegmentMemberenb:GasDistributionRevenueMemberus-gaap:OperatingSegmentsMember2020-01-0120</w:t>
      </w:r>
      <w:r>
        <w:rPr>
          <w:rFonts w:eastAsia="Times New Roman"/>
          <w:vanish/>
        </w:rPr>
        <w:t>20-03-310000895728enb:GasDistributionRevenueMemberus-gaap:OperatingSegmentsMemberenb:RenewablePowerGenerationSegmentMember2020-01-012020-03-310000895728enb:EnergyServicesSegmentMemberenb:GasDistributionRevenueMemberus-gaap:OperatingSegmentsMember2020-01-01</w:t>
      </w:r>
      <w:r>
        <w:rPr>
          <w:rFonts w:eastAsia="Times New Roman"/>
          <w:vanish/>
        </w:rPr>
        <w:t>2020-03-310000895728enb:EliminationsAndReconcilingItemsMemberenb:GasDistributionRevenueMember2020-01-012020-03-310000895728enb:LiquidsPipelinesSegmentMemberus-gaap:OperatingSegmentsMemberenb:ElectricityandTransmissionRevenueMember2020-01-012020-03-31000089</w:t>
      </w:r>
      <w:r>
        <w:rPr>
          <w:rFonts w:eastAsia="Times New Roman"/>
          <w:vanish/>
        </w:rPr>
        <w:t>5728enb:GasTransmissionandMidstreamSegmentMemberus-gaap:OperatingSegmentsMemberenb:ElectricityandTransmissionRevenueMember2020-01-012020-03-310000895728enb:GasDistributionandStorageSegmentMemberus-gaap:OperatingSegmentsMemberenb:ElectricityandTransmissionR</w:t>
      </w:r>
      <w:r>
        <w:rPr>
          <w:rFonts w:eastAsia="Times New Roman"/>
          <w:vanish/>
        </w:rPr>
        <w:t>evenueMember2020-01-012020-03-310000895728us-gaap:OperatingSegmentsMemberenb:RenewablePowerGenerationSegmentMemberenb:ElectricityandTransmissionRevenueMember2020-01-012020-03-310000895728enb:EnergyServicesSegmentMemberus-gaap:OperatingSegmentsMemberenb:Ele</w:t>
      </w:r>
      <w:r>
        <w:rPr>
          <w:rFonts w:eastAsia="Times New Roman"/>
          <w:vanish/>
        </w:rPr>
        <w:t>ctricityandTransmissionRevenueMember2020-01-012020-03-310000895728enb:EliminationsAndReconcilingItemsMemberenb:ElectricityandTransmissionRevenueMember2020-01-012020-03-310000895728enb:ElectricityandTransmissionRevenueMember2020-01-012020-03-310000895728enb</w:t>
      </w:r>
      <w:r>
        <w:rPr>
          <w:rFonts w:eastAsia="Times New Roman"/>
          <w:vanish/>
        </w:rPr>
        <w:t>:LiquidsPipelinesSegmentMemberus-gaap:OperatingSegmentsMember2020-01-012020-03-310000895728enb:GasTransmissionandMidstreamSegmentMemberus-gaap:OperatingSegmentsMember2020-01-012020-03-310000895728enb:GasDistributionandStorageSegmentMemberus-gaap:OperatingS</w:t>
      </w:r>
      <w:r>
        <w:rPr>
          <w:rFonts w:eastAsia="Times New Roman"/>
          <w:vanish/>
        </w:rPr>
        <w:t>egmentsMember2020-01-012020-03-310000895728us-gaap:OperatingSegmentsMemberenb:RenewablePowerGenerationSegmentMember2020-01-012020-03-310000895728enb:EnergyServicesSegmentMemberus-gaap:OperatingSegmentsMember2020-01-012020-03-310000895728enb:EliminationsAnd</w:t>
      </w:r>
      <w:r>
        <w:rPr>
          <w:rFonts w:eastAsia="Times New Roman"/>
          <w:vanish/>
        </w:rPr>
        <w:t>ReconcilingItemsMember2020-01-012020-03-310000895728enb:CommoditySalesRevenueMemberenb:LiquidsPipelinesSegmentMemberus-gaap:OperatingSegmentsMember2020-01-012020-03-310000895728enb:GasTransmissionandMidstreamSegmentMemberenb:CommoditySalesRevenueMemberus-g</w:t>
      </w:r>
      <w:r>
        <w:rPr>
          <w:rFonts w:eastAsia="Times New Roman"/>
          <w:vanish/>
        </w:rPr>
        <w:t>aap:OperatingSegmentsMember2020-01-012020-03-310000895728enb:GasDistributionandStorageSegmentMemberenb:CommoditySalesRevenueMemberus-gaap:OperatingSegmentsMember2020-01-012020-03-310000895728enb:CommoditySalesRevenueMemberus-gaap:OperatingSegmentsMemberenb</w:t>
      </w:r>
      <w:r>
        <w:rPr>
          <w:rFonts w:eastAsia="Times New Roman"/>
          <w:vanish/>
        </w:rPr>
        <w:t>:RenewablePowerGenerationSegmentMember2020-01-012020-03-310000895728enb:CommoditySalesRevenueMemberenb:EnergyServicesSegmentMemberus-gaap:OperatingSegmentsMember2020-01-012020-03-310000895728enb:CommoditySalesRevenueMemberenb:EliminationsAndReconcilingItem</w:t>
      </w:r>
      <w:r>
        <w:rPr>
          <w:rFonts w:eastAsia="Times New Roman"/>
          <w:vanish/>
        </w:rPr>
        <w:t>sMember2020-01-012020-03-310000895728enb:OtherRevenueMemberenb:LiquidsPipelinesSegmentMemberus-gaap:OperatingSegmentsMember2020-01-012020-03-310000895728enb:GasTransmissionandMidstreamSegmentMemberenb:OtherRevenueMemberus-gaap:OperatingSegmentsMember2020-0</w:t>
      </w:r>
      <w:r>
        <w:rPr>
          <w:rFonts w:eastAsia="Times New Roman"/>
          <w:vanish/>
        </w:rPr>
        <w:t>1-012020-03-310000895728enb:GasDistributionandStorageSegmentMemberenb:OtherRevenueMemberus-gaap:OperatingSegmentsMember2020-01-012020-03-310000895728enb:OtherRevenueMemberus-gaap:OperatingSegmentsMemberenb:RenewablePowerGenerationSegmentMember2020-01-01202</w:t>
      </w:r>
      <w:r>
        <w:rPr>
          <w:rFonts w:eastAsia="Times New Roman"/>
          <w:vanish/>
        </w:rPr>
        <w:t>0-03-310000895728enb:OtherRevenueMemberenb:EnergyServicesSegmentMemberus-gaap:OperatingSegmentsMember2020-01-012020-03-310000895728enb:OtherRevenueMemberenb:EliminationsAndReconcilingItemsMember2020-01-012020-03-310000895728enb:OtherRevenueMember2020-01-01</w:t>
      </w:r>
      <w:r>
        <w:rPr>
          <w:rFonts w:eastAsia="Times New Roman"/>
          <w:vanish/>
        </w:rPr>
        <w:t>2020-03-310000895728us-gaap:IntersegmentEliminationMemberenb:LiquidsPipelinesSegmentMember2020-01-012020-03-310000895728enb:GasTransmissionandMidstreamSegmentMemberus-gaap:IntersegmentEliminationMember2020-01-012020-03-310000895728us-gaap:IntersegmentElimi</w:t>
      </w:r>
      <w:r>
        <w:rPr>
          <w:rFonts w:eastAsia="Times New Roman"/>
          <w:vanish/>
        </w:rPr>
        <w:t>nationMemberenb:GasDistributionandStorageSegmentMember2020-01-012020-03-310000895728us-gaap:IntersegmentEliminationMemberenb:RenewablePowerGenerationSegmentMember2020-01-012020-03-310000895728us-gaap:IntersegmentEliminationMemberenb:EnergyServicesSegmentMe</w:t>
      </w:r>
      <w:r>
        <w:rPr>
          <w:rFonts w:eastAsia="Times New Roman"/>
          <w:vanish/>
        </w:rPr>
        <w:t>mber2020-01-012020-03-310000895728us-gaap:IntersegmentEliminationMember2020-01-012020-03-3100008957282021-04-012021-03-3100008957282022-01-012021-03-310000895728us-gaap:TransferredAtPointInTimeMemberenb:LiquidsPipelinesSegmentMember2021-01-012021-03-310000</w:t>
      </w:r>
      <w:r>
        <w:rPr>
          <w:rFonts w:eastAsia="Times New Roman"/>
          <w:vanish/>
        </w:rPr>
        <w:t>895728enb:GasTransmissionandMidstreamSegmentMemberus-gaap:TransferredAtPointInTimeMember2021-01-012021-03-310000895728enb:GasDistributionandStorageSegmentMemberus-gaap:TransferredAtPointInTimeMember2021-01-012021-03-310000895728us-gaap:TransferredAtPointIn</w:t>
      </w:r>
      <w:r>
        <w:rPr>
          <w:rFonts w:eastAsia="Times New Roman"/>
          <w:vanish/>
        </w:rPr>
        <w:t>TimeMemberenb:RenewablePowerGenerationSegmentMember2021-01-012021-03-310000895728us-gaap:TransferredAtPointInTimeMember2021-01-012021-03-310000895728us-gaap:TransferredOverTimeMemberenb:LiquidsPipelinesSegmentMember2021-01-012021-03-310000895728enb:GasTran</w:t>
      </w:r>
      <w:r>
        <w:rPr>
          <w:rFonts w:eastAsia="Times New Roman"/>
          <w:vanish/>
        </w:rPr>
        <w:t>smissionandMidstreamSegmentMemberus-gaap:TransferredOverTimeMember2021-01-012021-03-310000895728enb:GasDistributionandStorageSegmentMemberus-gaap:TransferredOverTimeMember2021-01-012021-03-310000895728us-gaap:TransferredOverTimeMemberenb:RenewablePowerGene</w:t>
      </w:r>
      <w:r>
        <w:rPr>
          <w:rFonts w:eastAsia="Times New Roman"/>
          <w:vanish/>
        </w:rPr>
        <w:t>rationSegmentMember2021-01-012021-03-310000895728us-gaap:TransferredOverTimeMember2021-01-012021-03-310000895728enb:LiquidsPipelinesSegmentMember2021-01-012021-03-310000895728enb:GasTransmissionandMidstreamSegmentMember2021-01-012021-03-310000895728enb:Gas</w:t>
      </w:r>
      <w:r>
        <w:rPr>
          <w:rFonts w:eastAsia="Times New Roman"/>
          <w:vanish/>
        </w:rPr>
        <w:t>DistributionandStorageSegmentMember2021-01-012021-03-310000895728enb:RenewablePowerGenerationSegmentMember2021-01-012021-03-310000895728us-gaap:TransferredAtPointInTimeMemberenb:LiquidsPipelinesSegmentMember2020-01-012020-03-310000895728enb:GasTransmission</w:t>
      </w:r>
      <w:r>
        <w:rPr>
          <w:rFonts w:eastAsia="Times New Roman"/>
          <w:vanish/>
        </w:rPr>
        <w:t>andMidstreamSegmentMemberus-gaap:TransferredAtPointInTimeMember2020-01-012020-03-310000895728enb:GasDistributionandStorageSegmentMemberus-gaap:TransferredAtPointInTimeMember2020-01-012020-03-310000895728us-gaap:TransferredAtPointInTimeMemberenb:RenewablePo</w:t>
      </w:r>
      <w:r>
        <w:rPr>
          <w:rFonts w:eastAsia="Times New Roman"/>
          <w:vanish/>
        </w:rPr>
        <w:t>werGenerationSegmentMember2020-01-012020-03-310000895728us-gaap:TransferredAtPointInTimeMember2020-01-012020-03-310000895728us-gaap:TransferredOverTimeMemberenb:LiquidsPipelinesSegmentMember2020-01-012020-03-310000895728enb:GasTransmissionandMidstreamSegme</w:t>
      </w:r>
      <w:r>
        <w:rPr>
          <w:rFonts w:eastAsia="Times New Roman"/>
          <w:vanish/>
        </w:rPr>
        <w:t>ntMemberus-gaap:TransferredOverTimeMember2020-01-012020-03-310000895728enb:GasDistributionandStorageSegmentMemberus-gaap:TransferredOverTimeMember2020-01-012020-03-310000895728us-gaap:TransferredOverTimeMemberenb:RenewablePowerGenerationSegmentMember2020-0</w:t>
      </w:r>
      <w:r>
        <w:rPr>
          <w:rFonts w:eastAsia="Times New Roman"/>
          <w:vanish/>
        </w:rPr>
        <w:t>1-012020-03-310000895728us-gaap:TransferredOverTimeMember2020-01-012020-03-310000895728enb:LiquidsPipelinesSegmentMember2020-01-012020-03-310000895728enb:GasTransmissionandMidstreamSegmentMember2020-01-012020-03-310000895728enb:GasDistributionandStorageSeg</w:t>
      </w:r>
      <w:r>
        <w:rPr>
          <w:rFonts w:eastAsia="Times New Roman"/>
          <w:vanish/>
        </w:rPr>
        <w:t>mentMember2020-01-012020-03-310000895728enb:RenewablePowerGenerationSegmentMember2020-01-012020-03-310000895728us-gaap:EmployeeStockOptionMember2021-01-012021-03-310000895728us-gaap:EmployeeStockOptionMember2020-01-012020-03-310000895728us-gaap:CommonStock</w:t>
      </w:r>
      <w:r>
        <w:rPr>
          <w:rFonts w:eastAsia="Times New Roman"/>
          <w:vanish/>
        </w:rPr>
        <w:t>Memberus-gaap:SubsequentEventMember2021-05-042021-05-040000895728us-gaap:PreferredStockMemberus-gaap:SeriesAPreferredStockMemberus-gaap:SubsequentEventMember2021-05-042021-05-040000895728us-gaap:PreferredStockMemberus-gaap:SubsequentEventMemberus-gaap:Seri</w:t>
      </w:r>
      <w:r>
        <w:rPr>
          <w:rFonts w:eastAsia="Times New Roman"/>
          <w:vanish/>
        </w:rPr>
        <w:t>esBPreferredStockMember2021-05-042021-05-040000895728us-gaap:PreferredStockMemberus-gaap:SeriesCPreferredStockMemberus-gaap:SubsequentEventMember2021-05-042021-05-040000895728us-gaap:PreferredStockMemberus-gaap:SeriesDPreferredStockMemberus-gaap:Subsequent</w:t>
      </w:r>
      <w:r>
        <w:rPr>
          <w:rFonts w:eastAsia="Times New Roman"/>
          <w:vanish/>
        </w:rPr>
        <w:t>EventMember2021-05-042021-05-040000895728us-gaap:PreferredStockMemberus-gaap:SubsequentEventMemberus-gaap:SeriesFPreferredStockMember2021-05-042021-05-040000895728us-gaap:PreferredStockMemberus-gaap:SeriesHPreferredStockMemberus-gaap:SubsequentEventMember2</w:t>
      </w:r>
      <w:r>
        <w:rPr>
          <w:rFonts w:eastAsia="Times New Roman"/>
          <w:vanish/>
        </w:rPr>
        <w:t>021-05-042021-05-04iso4217:USDxbrli:shares0000895728us-gaap:PreferredStockMemberus-gaap:SubsequentEventMemberenb:SeriesJPreferredStockMember2021-05-042021-05-040000895728us-gaap:PreferredStockMemberenb:SeriesLPreferredStockMemberus-gaap:SubsequentEventMemb</w:t>
      </w:r>
      <w:r>
        <w:rPr>
          <w:rFonts w:eastAsia="Times New Roman"/>
          <w:vanish/>
        </w:rPr>
        <w:t>er2021-05-042021-05-040000895728us-gaap:PreferredStockMemberenb:SeriesNPreferredStockMemberus-gaap:SubsequentEventMember2021-05-042021-05-040000895728us-gaap:PreferredStockMemberenb:SeriesPPreferredStockMemberus-gaap:SubsequentEventMember2021-05-042021-05-</w:t>
      </w:r>
      <w:r>
        <w:rPr>
          <w:rFonts w:eastAsia="Times New Roman"/>
          <w:vanish/>
        </w:rPr>
        <w:t>040000895728us-gaap:PreferredStockMemberenb:SeriesRPreferredStockMemberus-gaap:SubsequentEventMember2021-05-042021-05-040000895728us-gaap:PreferredStockMemberus-gaap:SubsequentEventMemberenb:Series1PreferredStockMember2021-05-042021-05-040000895728us-gaap:</w:t>
      </w:r>
      <w:r>
        <w:rPr>
          <w:rFonts w:eastAsia="Times New Roman"/>
          <w:vanish/>
        </w:rPr>
        <w:t>PreferredStockMemberenb:Series3PreferredStockMemberus-gaap:SubsequentEventMember2021-05-042021-05-040000895728us-gaap:PreferredStockMemberus-gaap:SubsequentEventMemberenb:Series5PreferredStockMember2021-05-042021-05-040000895728us-gaap:PreferredStockMember</w:t>
      </w:r>
      <w:r>
        <w:rPr>
          <w:rFonts w:eastAsia="Times New Roman"/>
          <w:vanish/>
        </w:rPr>
        <w:t>enb:Series7PreferredStockMemberus-gaap:SubsequentEventMember2021-05-042021-05-040000895728us-gaap:PreferredStockMemberenb:Series9PreferredStockMemberus-gaap:SubsequentEventMember2021-05-042021-05-040000895728us-gaap:PreferredStockMemberenb:Series11Preferre</w:t>
      </w:r>
      <w:r>
        <w:rPr>
          <w:rFonts w:eastAsia="Times New Roman"/>
          <w:vanish/>
        </w:rPr>
        <w:t>dStockMemberus-gaap:SubsequentEventMember2021-05-042021-05-040000895728us-gaap:PreferredStockMemberenb:Series13PreferredStockMemberus-gaap:SubsequentEventMember2021-05-042021-05-040000895728us-gaap:PreferredStockMemberenb:Series15PreferredStockMemberus-gaa</w:t>
      </w:r>
      <w:r>
        <w:rPr>
          <w:rFonts w:eastAsia="Times New Roman"/>
          <w:vanish/>
        </w:rPr>
        <w:t>p:SubsequentEventMember2021-05-042021-05-040000895728us-gaap:PreferredStockMemberus-gaap:SubsequentEventMemberenb:Series17PreferredStockMember2021-05-042021-05-040000895728us-gaap:PreferredStockMemberenb:PreferenceSharesSeries19Memberus-gaap:SubsequentEven</w:t>
      </w:r>
      <w:r>
        <w:rPr>
          <w:rFonts w:eastAsia="Times New Roman"/>
          <w:vanish/>
        </w:rPr>
        <w:t>tMember2021-05-042021-05-04xbrli:pure00008957282021-03-012021-03-0100008957282021-01-012021-02-280000895728us-gaap:PreferredStockMemberus-gaap:SeriesCPreferredStockMember2021-03-012021-03-010000895728us-gaap:PreferredStockMemberus-gaap:SeriesCPreferredStoc</w:t>
      </w:r>
      <w:r>
        <w:rPr>
          <w:rFonts w:eastAsia="Times New Roman"/>
          <w:vanish/>
        </w:rPr>
        <w:t>kMember2021-01-012021-02-280000895728enb:CommittedCreditFacilityMembersrt:ParentCompanyMember2021-03-310000895728enb:CommittedCreditFacilityMemberenb:EnbridgeUSIncMember2021-03-310000895728enb:CommittedCreditFacilityMemberenb:EnbridgePipelinesIncMember2021</w:t>
      </w:r>
      <w:r>
        <w:rPr>
          <w:rFonts w:eastAsia="Times New Roman"/>
          <w:vanish/>
        </w:rPr>
        <w:t>-03-310000895728enb:CommittedCreditFacilityMemberenb:EnbridgeGasInc.Member2021-03-310000895728enb:CommittedCreditFacilityMember2021-03-310000895728enb:UncommittedCreditFacilityMember2021-03-310000895728enb:UncommittedCreditFacilityMember2020-12-31000089572</w:t>
      </w:r>
      <w:r>
        <w:rPr>
          <w:rFonts w:eastAsia="Times New Roman"/>
          <w:vanish/>
        </w:rPr>
        <w:t>8enb:CommercialPaperAndCreditFacilityDrawsMember2021-03-310000895728enb:CommercialPaperAndCreditFacilityDrawsMember2020-12-31iso4217:USD0000895728srt:ParentCompanyMemberenb:FloatingRateNotesIssuedFebruary2021Member2021-02-280000895728srt:ParentCompanyMembe</w:t>
      </w:r>
      <w:r>
        <w:rPr>
          <w:rFonts w:eastAsia="Times New Roman"/>
          <w:vanish/>
        </w:rPr>
        <w:t>renb:FloatingratenotesdueJanuary2020Member2021-02-012021-02-280000895728srt:ParentCompanyMemberenb:A316MediumTermNotesMember2021-03-012021-03-310000895728enb:A460SeniorNotesMemberenb:SpectraEnergyPartnersLPMember2021-03-012021-03-310000895728enb:FixedToFlo</w:t>
      </w:r>
      <w:r>
        <w:rPr>
          <w:rFonts w:eastAsia="Times New Roman"/>
          <w:vanish/>
        </w:rPr>
        <w:t>atingSubordinatedTermNotesMemberus-gaap:SubordinatedDebtMember2020-12-310000895728enb:FixedToFloatingSubordinatedTermNotesMemberus-gaap:SubordinatedDebtMember2021-03-310000895728enb:FixedToFixedSubordinatedTermNotesMemberus-gaap:SubordinatedDebtMember2021-</w:t>
      </w:r>
      <w:r>
        <w:rPr>
          <w:rFonts w:eastAsia="Times New Roman"/>
          <w:vanish/>
        </w:rPr>
        <w:t>03-310000895728enb:FixedToFixedSubordinatedTermNotesMemberus-gaap:SubordinatedDebtMember2020-12-3100008957282020-01-012020-12-310000895728us-gaap:RevolvingCreditFacilityMemberenb:SustainabilityLinkedCreditFacilityMember2021-02-102021-02-100000895728us-gaap</w:t>
      </w:r>
      <w:r>
        <w:rPr>
          <w:rFonts w:eastAsia="Times New Roman"/>
          <w:vanish/>
        </w:rPr>
        <w:t>:RevolvingCreditFacilityMemberenb:SustainabilityLinkedCreditFacilityMember2021-02-100000895728us-gaap:RevolvingCreditFacilityMemberenb:SyndicatedCreditFacilityMember2021-02-102021-02-100000895728us-gaap:RevolvingCreditFacilityMemberenb:SyndicatedCreditFaci</w:t>
      </w:r>
      <w:r>
        <w:rPr>
          <w:rFonts w:eastAsia="Times New Roman"/>
          <w:vanish/>
        </w:rPr>
        <w:t>lityMember2021-02-10enb:debt_instrument0000895728enb:TermLoanMember2021-02-250000895728enb:TermLoanMember2021-02-252021-02-250000895728enb:CommittedCreditFacilityMembersrt:ParentCompanyMember2021-01-012021-03-310000895728enb:CommittedCreditFacilityMemberen</w:t>
      </w:r>
      <w:r>
        <w:rPr>
          <w:rFonts w:eastAsia="Times New Roman"/>
          <w:vanish/>
        </w:rPr>
        <w:t>b:EnbridgePipelinesIncMember2021-01-012021-03-310000895728enb:CommittedCreditFacilityMemberenb:EnbridgeUSIncMember2021-01-012021-03-310000895728enb:CommittedCreditFacilityMemberenb:EnbridgeGasInc.Member2021-01-012021-03-310000895728srt:ParentCompanyMembere</w:t>
      </w:r>
      <w:r>
        <w:rPr>
          <w:rFonts w:eastAsia="Times New Roman"/>
          <w:vanish/>
        </w:rPr>
        <w:t>nb:FloatingRateNotesIssuedFebruary2021Member2021-02-012021-02-280000895728srt:ParentCompanyMemberenb:FloatingRateNotesIssuedFebruary2021Memberus-gaap:SecuredOvernightFinancingRateSofrOvernightIndexSwapRateMember2021-02-012021-02-280000895728srt:ParentCompa</w:t>
      </w:r>
      <w:r>
        <w:rPr>
          <w:rFonts w:eastAsia="Times New Roman"/>
          <w:vanish/>
        </w:rPr>
        <w:t>nyMemberenb:FloatingratenotesdueJanuary2020Member2021-02-280000895728srt:ParentCompanyMemberenb:A316MediumTermNotesMember2021-02-280000895728enb:A460SeniorNotesMemberenb:SpectraEnergyPartnersLPMember2021-02-280000895728us-gaap:AccumulatedGainLossCashFlowHe</w:t>
      </w:r>
      <w:r>
        <w:rPr>
          <w:rFonts w:eastAsia="Times New Roman"/>
          <w:vanish/>
        </w:rPr>
        <w:t>dgeIncludingNoncontrollingInterestMember2020-12-310000895728us-gaap:AccumulatedOtherComprehensiveIncomeLossDerivativeQualifyingAsHedgeExcludedComponentIncludingPortionAttributableToNoncontrollingInterestMember2020-12-310000895728enb:AccumulatedNetGainLossN</w:t>
      </w:r>
      <w:r>
        <w:rPr>
          <w:rFonts w:eastAsia="Times New Roman"/>
          <w:vanish/>
        </w:rPr>
        <w:t>etInvestmentHedgeIncludingNoncontollingInterestMemberMember2020-12-310000895728us-gaap:AccumulatedForeignCurrencyAdjustmentIncludingPortionAttributableToNoncontrollingInterestMember2020-12-310000895728us-gaap:AccumulatedNetInvestmentGainLossIncludingPortio</w:t>
      </w:r>
      <w:r>
        <w:rPr>
          <w:rFonts w:eastAsia="Times New Roman"/>
          <w:vanish/>
        </w:rPr>
        <w:t>nAttributableToNoncontrollingInterestMember2020-12-310000895728us-gaap:AccumulatedDefinedBenefitPlansAdjustmentIncludingPortionAttributableToNoncontrollingInterestMember2020-12-310000895728us-gaap:AociIncludingPortionAttributableToNoncontrollingInterestMem</w:t>
      </w:r>
      <w:r>
        <w:rPr>
          <w:rFonts w:eastAsia="Times New Roman"/>
          <w:vanish/>
        </w:rPr>
        <w:t>ber2020-12-310000895728us-gaap:AccumulatedGainLossCashFlowHedgeIncludingNoncontrollingInterestMember2021-01-012021-03-310000895728us-gaap:AccumulatedOtherComprehensiveIncomeLossDerivativeQualifyingAsHedgeExcludedComponentIncludingPortionAttributableToNonco</w:t>
      </w:r>
      <w:r>
        <w:rPr>
          <w:rFonts w:eastAsia="Times New Roman"/>
          <w:vanish/>
        </w:rPr>
        <w:t>ntrollingInterestMember2021-01-012021-03-310000895728enb:AccumulatedNetGainLossNetInvestmentHedgeIncludingNoncontollingInterestMemberMember2021-01-012021-03-310000895728us-gaap:AccumulatedForeignCurrencyAdjustmentIncludingPortionAttributableToNoncontrollin</w:t>
      </w:r>
      <w:r>
        <w:rPr>
          <w:rFonts w:eastAsia="Times New Roman"/>
          <w:vanish/>
        </w:rPr>
        <w:t>gInterestMember2021-01-012021-03-310000895728us-gaap:AccumulatedNetInvestmentGainLossIncludingPortionAttributableToNoncontrollingInterestMember2021-01-012021-03-310000895728us-gaap:InterestRateContractMemberus-gaap:AccumulatedGainLossCashFlowHedgeIncluding</w:t>
      </w:r>
      <w:r>
        <w:rPr>
          <w:rFonts w:eastAsia="Times New Roman"/>
          <w:vanish/>
        </w:rPr>
        <w:t>NoncontrollingInterestMember2021-01-012021-03-310000895728us-gaap:InterestRateContractMember2021-01-012021-03-310000895728us-gaap:CommodityContractMemberus-gaap:AccumulatedGainLossCashFlowHedgeIncludingNoncontrollingInterestMember2021-01-012021-03-31000089</w:t>
      </w:r>
      <w:r>
        <w:rPr>
          <w:rFonts w:eastAsia="Times New Roman"/>
          <w:vanish/>
        </w:rPr>
        <w:t>5728us-gaap:CommodityContractMember2021-01-012021-03-310000895728us-gaap:AccumulatedGainLossCashFlowHedgeIncludingNoncontrollingInterestMemberus-gaap:ForeignExchangeContractMember2021-01-012021-03-310000895728us-gaap:ForeignExchangeContractMember2021-01-01</w:t>
      </w:r>
      <w:r>
        <w:rPr>
          <w:rFonts w:eastAsia="Times New Roman"/>
          <w:vanish/>
        </w:rPr>
        <w:t>2021-03-310000895728us-gaap:AccumulatedDefinedBenefitPlansAdjustmentIncludingPortionAttributableToNoncontrollingInterestMember2021-01-012021-03-310000895728us-gaap:OtherContractMemberus-gaap:AccumulatedGainLossCashFlowHedgeIncludingNoncontrollingInterestMe</w:t>
      </w:r>
      <w:r>
        <w:rPr>
          <w:rFonts w:eastAsia="Times New Roman"/>
          <w:vanish/>
        </w:rPr>
        <w:t>mber2021-01-012021-03-310000895728us-gaap:AccumulatedForeignCurrencyAdjustmentIncludingPortionAttributableToNoncontrollingInterestMemberus-gaap:OtherContractMember2021-01-012021-03-310000895728us-gaap:OtherContractMemberus-gaap:AccumulatedNetInvestmentGain</w:t>
      </w:r>
      <w:r>
        <w:rPr>
          <w:rFonts w:eastAsia="Times New Roman"/>
          <w:vanish/>
        </w:rPr>
        <w:t>LossIncludingPortionAttributableToNoncontrollingInterestMember2021-01-012021-03-310000895728us-gaap:OtherContractMemberus-gaap:AccumulatedDefinedBenefitPlansAdjustmentIncludingPortionAttributableToNoncontrollingInterestMember2021-01-012021-03-310000895728u</w:t>
      </w:r>
      <w:r>
        <w:rPr>
          <w:rFonts w:eastAsia="Times New Roman"/>
          <w:vanish/>
        </w:rPr>
        <w:t>s-gaap:OtherContractMember2021-01-012021-03-310000895728us-gaap:AccumulatedGainLossCashFlowHedgeIncludingNoncontrollingInterestMember2021-03-310000895728us-gaap:AccumulatedOtherComprehensiveIncomeLossDerivativeQualifyingAsHedgeExcludedComponentIncludingPor</w:t>
      </w:r>
      <w:r>
        <w:rPr>
          <w:rFonts w:eastAsia="Times New Roman"/>
          <w:vanish/>
        </w:rPr>
        <w:t>tionAttributableToNoncontrollingInterestMember2021-03-310000895728enb:AccumulatedNetGainLossNetInvestmentHedgeIncludingNoncontollingInterestMemberMember2021-03-310000895728us-gaap:AccumulatedForeignCurrencyAdjustmentIncludingPortionAttributableToNoncontrol</w:t>
      </w:r>
      <w:r>
        <w:rPr>
          <w:rFonts w:eastAsia="Times New Roman"/>
          <w:vanish/>
        </w:rPr>
        <w:t>lingInterestMember2021-03-310000895728us-gaap:AccumulatedNetInvestmentGainLossIncludingPortionAttributableToNoncontrollingInterestMember2021-03-310000895728us-gaap:AccumulatedDefinedBenefitPlansAdjustmentIncludingPortionAttributableToNoncontrollingInterest</w:t>
      </w:r>
      <w:r>
        <w:rPr>
          <w:rFonts w:eastAsia="Times New Roman"/>
          <w:vanish/>
        </w:rPr>
        <w:t>Member2021-03-310000895728us-gaap:AociIncludingPortionAttributableToNoncontrollingInterestMember2021-03-310000895728us-gaap:AccumulatedGainLossCashFlowHedgeIncludingNoncontrollingInterestMember2019-12-310000895728us-gaap:AccumulatedOtherComprehensiveIncome</w:t>
      </w:r>
      <w:r>
        <w:rPr>
          <w:rFonts w:eastAsia="Times New Roman"/>
          <w:vanish/>
        </w:rPr>
        <w:t>LossDerivativeQualifyingAsHedgeExcludedComponentIncludingPortionAttributableToNoncontrollingInterestMember2019-12-310000895728enb:AccumulatedNetGainLossNetInvestmentHedgeIncludingNoncontollingInterestMemberMember2019-12-310000895728us-gaap:AccumulatedForei</w:t>
      </w:r>
      <w:r>
        <w:rPr>
          <w:rFonts w:eastAsia="Times New Roman"/>
          <w:vanish/>
        </w:rPr>
        <w:t>gnCurrencyAdjustmentIncludingPortionAttributableToNoncontrollingInterestMember2019-12-310000895728us-gaap:AccumulatedNetInvestmentGainLossIncludingPortionAttributableToNoncontrollingInterestMember2019-12-310000895728us-gaap:AccumulatedDefinedBenefitPlansAd</w:t>
      </w:r>
      <w:r>
        <w:rPr>
          <w:rFonts w:eastAsia="Times New Roman"/>
          <w:vanish/>
        </w:rPr>
        <w:t>justmentIncludingPortionAttributableToNoncontrollingInterestMember2019-12-310000895728us-gaap:AociIncludingPortionAttributableToNoncontrollingInterestMember2019-12-310000895728us-gaap:AccumulatedGainLossCashFlowHedgeIncludingNoncontrollingInterestMember202</w:t>
      </w:r>
      <w:r>
        <w:rPr>
          <w:rFonts w:eastAsia="Times New Roman"/>
          <w:vanish/>
        </w:rPr>
        <w:t>0-01-012020-03-310000895728us-gaap:AccumulatedOtherComprehensiveIncomeLossDerivativeQualifyingAsHedgeExcludedComponentIncludingPortionAttributableToNoncontrollingInterestMember2020-01-012020-03-310000895728enb:AccumulatedNetGainLossNetInvestmentHedgeInclud</w:t>
      </w:r>
      <w:r>
        <w:rPr>
          <w:rFonts w:eastAsia="Times New Roman"/>
          <w:vanish/>
        </w:rPr>
        <w:t>ingNoncontollingInterestMemberMember2020-01-012020-03-310000895728us-gaap:AccumulatedForeignCurrencyAdjustmentIncludingPortionAttributableToNoncontrollingInterestMember2020-01-012020-03-310000895728us-gaap:AccumulatedNetInvestmentGainLossIncludingPortionAt</w:t>
      </w:r>
      <w:r>
        <w:rPr>
          <w:rFonts w:eastAsia="Times New Roman"/>
          <w:vanish/>
        </w:rPr>
        <w:t>tributableToNoncontrollingInterestMember2020-01-012020-03-310000895728us-gaap:InterestRateContractMemberus-gaap:AccumulatedGainLossCashFlowHedgeIncludingNoncontrollingInterestMember2020-01-012020-03-310000895728us-gaap:InterestRateContractMember2020-01-012</w:t>
      </w:r>
      <w:r>
        <w:rPr>
          <w:rFonts w:eastAsia="Times New Roman"/>
          <w:vanish/>
        </w:rPr>
        <w:t>020-03-310000895728us-gaap:AccumulatedGainLossCashFlowHedgeIncludingNoncontrollingInterestMemberus-gaap:ForeignExchangeContractMember2020-01-012020-03-310000895728us-gaap:ForeignExchangeContractMember2020-01-012020-03-310000895728us-gaap:AccumulatedDefined</w:t>
      </w:r>
      <w:r>
        <w:rPr>
          <w:rFonts w:eastAsia="Times New Roman"/>
          <w:vanish/>
        </w:rPr>
        <w:t>BenefitPlansAdjustmentIncludingPortionAttributableToNoncontrollingInterestMember2020-01-012020-03-310000895728us-gaap:AccumulatedGainLossCashFlowHedgeIncludingNoncontrollingInterestMember2020-03-310000895728us-gaap:AccumulatedOtherComprehensiveIncomeLossDe</w:t>
      </w:r>
      <w:r>
        <w:rPr>
          <w:rFonts w:eastAsia="Times New Roman"/>
          <w:vanish/>
        </w:rPr>
        <w:t>rivativeQualifyingAsHedgeExcludedComponentIncludingPortionAttributableToNoncontrollingInterestMember2020-03-310000895728enb:AccumulatedNetGainLossNetInvestmentHedgeIncludingNoncontollingInterestMemberMember2020-03-310000895728us-gaap:AccumulatedForeignCurr</w:t>
      </w:r>
      <w:r>
        <w:rPr>
          <w:rFonts w:eastAsia="Times New Roman"/>
          <w:vanish/>
        </w:rPr>
        <w:t>encyAdjustmentIncludingPortionAttributableToNoncontrollingInterestMember2020-03-310000895728us-gaap:AccumulatedNetInvestmentGainLossIncludingPortionAttributableToNoncontrollingInterestMember2020-03-310000895728us-gaap:AccumulatedDefinedBenefitPlansAdjustme</w:t>
      </w:r>
      <w:r>
        <w:rPr>
          <w:rFonts w:eastAsia="Times New Roman"/>
          <w:vanish/>
        </w:rPr>
        <w:t>ntIncludingPortionAttributableToNoncontrollingInterestMember2020-03-310000895728us-gaap:AociIncludingPortionAttributableToNoncontrollingInterestMember2020-03-310000895728enb:DCPMidstreamLLCMember2021-03-310000895728enb:DCPMidstreamLLCMember2020-01-012020-0</w:t>
      </w:r>
      <w:r>
        <w:rPr>
          <w:rFonts w:eastAsia="Times New Roman"/>
          <w:vanish/>
        </w:rPr>
        <w:t>3-310000895728enb:DCPMidstreamLLCMember2020-12-310000895728enb:ShortTermPayFixedReceiveFloatingInterestRateSwapsMember2021-03-310000895728enb:InterestRateContractForLongTermBorrowingsMember2021-03-31enb:equity_type0000895728us-gaap:EquityContractMember2021</w:t>
      </w:r>
      <w:r>
        <w:rPr>
          <w:rFonts w:eastAsia="Times New Roman"/>
          <w:vanish/>
        </w:rPr>
        <w:t>-01-012021-03-310000895728us-gaap:DesignatedAsHedgingInstrumentMemberus-gaap:CashFlowHedgingMemberenb:AccountsReceivableAndOtherMemberus-gaap:ForeignExchangeContractMember2021-03-310000895728us-gaap:DesignatedAsHedgingInstrumentMemberus-gaap:FairValueHedgi</w:t>
      </w:r>
      <w:r>
        <w:rPr>
          <w:rFonts w:eastAsia="Times New Roman"/>
          <w:vanish/>
        </w:rPr>
        <w:t>ngMemberenb:AccountsReceivableAndOtherMemberus-gaap:ForeignExchangeContractMember2021-03-310000895728us-gaap:NondesignatedMemberenb:AccountsReceivableAndOtherMemberus-gaap:ForeignExchangeContractMember2021-03-310000895728enb:AccountsReceivableAndOtherMembe</w:t>
      </w:r>
      <w:r>
        <w:rPr>
          <w:rFonts w:eastAsia="Times New Roman"/>
          <w:vanish/>
        </w:rPr>
        <w:t>rus-gaap:ForeignExchangeContractMember2021-03-310000895728us-gaap:CommodityContractMemberus-gaap:DesignatedAsHedgingInstrumentMemberus-gaap:CashFlowHedgingMemberenb:AccountsReceivableAndOtherMember2021-03-310000895728us-gaap:CommodityContractMemberus-gaap:</w:t>
      </w:r>
      <w:r>
        <w:rPr>
          <w:rFonts w:eastAsia="Times New Roman"/>
          <w:vanish/>
        </w:rPr>
        <w:t>DesignatedAsHedgingInstrumentMemberus-gaap:FairValueHedgingMemberenb:AccountsReceivableAndOtherMember2021-03-310000895728us-gaap:NondesignatedMemberus-gaap:CommodityContractMemberenb:AccountsReceivableAndOtherMember2021-03-310000895728us-gaap:CommodityCont</w:t>
      </w:r>
      <w:r>
        <w:rPr>
          <w:rFonts w:eastAsia="Times New Roman"/>
          <w:vanish/>
        </w:rPr>
        <w:t>ractMemberenb:AccountsReceivableAndOtherMember2021-03-310000895728us-gaap:OtherContractMemberus-gaap:DesignatedAsHedgingInstrumentMemberus-gaap:CashFlowHedgingMemberenb:AccountsReceivableAndOtherMember2021-03-310000895728us-gaap:OtherContractMemberus-gaap:</w:t>
      </w:r>
      <w:r>
        <w:rPr>
          <w:rFonts w:eastAsia="Times New Roman"/>
          <w:vanish/>
        </w:rPr>
        <w:t>DesignatedAsHedgingInstrumentMemberus-gaap:FairValueHedgingMemberenb:AccountsReceivableAndOtherMember2021-03-310000895728us-gaap:NondesignatedMemberus-gaap:OtherContractMemberenb:AccountsReceivableAndOtherMember2021-03-310000895728us-gaap:OtherContractMemb</w:t>
      </w:r>
      <w:r>
        <w:rPr>
          <w:rFonts w:eastAsia="Times New Roman"/>
          <w:vanish/>
        </w:rPr>
        <w:t>erenb:AccountsReceivableAndOtherMember2021-03-310000895728us-gaap:DesignatedAsHedgingInstrumentMemberus-gaap:CashFlowHedgingMemberenb:AccountsReceivableAndOtherMember2021-03-310000895728us-gaap:DesignatedAsHedgingInstrumentMemberus-gaap:FairValueHedgingMem</w:t>
      </w:r>
      <w:r>
        <w:rPr>
          <w:rFonts w:eastAsia="Times New Roman"/>
          <w:vanish/>
        </w:rPr>
        <w:t>berenb:AccountsReceivableAndOtherMember2021-03-310000895728us-gaap:NondesignatedMemberenb:AccountsReceivableAndOtherMember2021-03-310000895728enb:AccountsReceivableAndOtherMember2021-03-310000895728enb:DeferredAmountsAndOtherMemberus-gaap:DesignatedAsHedgi</w:t>
      </w:r>
      <w:r>
        <w:rPr>
          <w:rFonts w:eastAsia="Times New Roman"/>
          <w:vanish/>
        </w:rPr>
        <w:t>ngInstrumentMemberus-gaap:CashFlowHedgingMemberus-gaap:ForeignExchangeContractMember2021-03-310000895728enb:DeferredAmountsAndOtherMemberus-gaap:DesignatedAsHedgingInstrumentMemberus-gaap:FairValueHedgingMemberus-gaap:ForeignExchangeContractMember2021-03-3</w:t>
      </w:r>
      <w:r>
        <w:rPr>
          <w:rFonts w:eastAsia="Times New Roman"/>
          <w:vanish/>
        </w:rPr>
        <w:t>10000895728us-gaap:NondesignatedMemberenb:DeferredAmountsAndOtherMemberus-gaap:ForeignExchangeContractMember2021-03-310000895728enb:DeferredAmountsAndOtherMemberus-gaap:ForeignExchangeContractMember2021-03-310000895728enb:DeferredAmountsAndOtherMemberus-ga</w:t>
      </w:r>
      <w:r>
        <w:rPr>
          <w:rFonts w:eastAsia="Times New Roman"/>
          <w:vanish/>
        </w:rPr>
        <w:t>ap:DesignatedAsHedgingInstrumentMemberus-gaap:InterestRateContractMemberus-gaap:CashFlowHedgingMember2021-03-310000895728enb:DeferredAmountsAndOtherMemberus-gaap:DesignatedAsHedgingInstrumentMemberus-gaap:InterestRateContractMemberus-gaap:FairValueHedgingM</w:t>
      </w:r>
      <w:r>
        <w:rPr>
          <w:rFonts w:eastAsia="Times New Roman"/>
          <w:vanish/>
        </w:rPr>
        <w:t>ember2021-03-310000895728us-gaap:NondesignatedMemberenb:DeferredAmountsAndOtherMemberus-gaap:InterestRateContractMember2021-03-310000895728enb:DeferredAmountsAndOtherMemberus-gaap:InterestRateContractMember2021-03-310000895728enb:DeferredAmountsAndOtherMem</w:t>
      </w:r>
      <w:r>
        <w:rPr>
          <w:rFonts w:eastAsia="Times New Roman"/>
          <w:vanish/>
        </w:rPr>
        <w:t>berus-gaap:CommodityContractMemberus-gaap:DesignatedAsHedgingInstrumentMemberus-gaap:CashFlowHedgingMember2021-03-310000895728enb:DeferredAmountsAndOtherMemberus-gaap:CommodityContractMemberus-gaap:DesignatedAsHedgingInstrumentMemberus-gaap:FairValueHedgin</w:t>
      </w:r>
      <w:r>
        <w:rPr>
          <w:rFonts w:eastAsia="Times New Roman"/>
          <w:vanish/>
        </w:rPr>
        <w:t>gMember2021-03-310000895728us-gaap:NondesignatedMemberenb:DeferredAmountsAndOtherMemberus-gaap:CommodityContractMember2021-03-310000895728us-gaap:CommodityContractMemberenb:DeferredAmountsAndOtherMember2021-03-310000895728enb:DeferredAmountsAndOtherMemberu</w:t>
      </w:r>
      <w:r>
        <w:rPr>
          <w:rFonts w:eastAsia="Times New Roman"/>
          <w:vanish/>
        </w:rPr>
        <w:t>s-gaap:OtherContractMemberus-gaap:DesignatedAsHedgingInstrumentMemberus-gaap:CashFlowHedgingMember2021-03-310000895728enb:DeferredAmountsAndOtherMemberus-gaap:OtherContractMemberus-gaap:DesignatedAsHedgingInstrumentMemberus-gaap:FairValueHedgingMember2021-</w:t>
      </w:r>
      <w:r>
        <w:rPr>
          <w:rFonts w:eastAsia="Times New Roman"/>
          <w:vanish/>
        </w:rPr>
        <w:t>03-310000895728us-gaap:NondesignatedMemberenb:DeferredAmountsAndOtherMemberus-gaap:OtherContractMember2021-03-310000895728us-gaap:OtherContractMemberenb:DeferredAmountsAndOtherMember2021-03-310000895728enb:DeferredAmountsAndOtherMemberus-gaap:DesignatedAsH</w:t>
      </w:r>
      <w:r>
        <w:rPr>
          <w:rFonts w:eastAsia="Times New Roman"/>
          <w:vanish/>
        </w:rPr>
        <w:t>edgingInstrumentMemberus-gaap:CashFlowHedgingMember2021-03-310000895728enb:DeferredAmountsAndOtherMemberus-gaap:DesignatedAsHedgingInstrumentMemberus-gaap:FairValueHedgingMember2021-03-310000895728us-gaap:NondesignatedMemberenb:DeferredAmountsAndOtherMembe</w:t>
      </w:r>
      <w:r>
        <w:rPr>
          <w:rFonts w:eastAsia="Times New Roman"/>
          <w:vanish/>
        </w:rPr>
        <w:t>r2021-03-310000895728enb:DeferredAmountsAndOtherMember2021-03-310000895728us-gaap:DesignatedAsHedgingInstrumentMemberenb:AccountsPayableAndOtherMemberus-gaap:CashFlowHedgingMemberus-gaap:ForeignExchangeContractMember2021-03-310000895728us-gaap:DesignatedAs</w:t>
      </w:r>
      <w:r>
        <w:rPr>
          <w:rFonts w:eastAsia="Times New Roman"/>
          <w:vanish/>
        </w:rPr>
        <w:t>HedgingInstrumentMemberenb:AccountsPayableAndOtherMemberus-gaap:FairValueHedgingMemberus-gaap:ForeignExchangeContractMember2021-03-310000895728us-gaap:NondesignatedMemberenb:AccountsPayableAndOtherMemberus-gaap:ForeignExchangeContractMember2021-03-31000089</w:t>
      </w:r>
      <w:r>
        <w:rPr>
          <w:rFonts w:eastAsia="Times New Roman"/>
          <w:vanish/>
        </w:rPr>
        <w:t>5728enb:AccountsPayableAndOtherMemberus-gaap:ForeignExchangeContractMember2021-03-310000895728us-gaap:DesignatedAsHedgingInstrumentMemberenb:AccountsPayableAndOtherMemberus-gaap:InterestRateContractMemberus-gaap:CashFlowHedgingMember2021-03-310000895728us-</w:t>
      </w:r>
      <w:r>
        <w:rPr>
          <w:rFonts w:eastAsia="Times New Roman"/>
          <w:vanish/>
        </w:rPr>
        <w:t>gaap:DesignatedAsHedgingInstrumentMemberenb:AccountsPayableAndOtherMemberus-gaap:InterestRateContractMemberus-gaap:FairValueHedgingMember2021-03-310000895728us-gaap:NondesignatedMemberenb:AccountsPayableAndOtherMemberus-gaap:InterestRateContractMember2021-</w:t>
      </w:r>
      <w:r>
        <w:rPr>
          <w:rFonts w:eastAsia="Times New Roman"/>
          <w:vanish/>
        </w:rPr>
        <w:t>03-310000895728enb:AccountsPayableAndOtherMemberus-gaap:InterestRateContractMember2021-03-310000895728us-gaap:CommodityContractMemberus-gaap:DesignatedAsHedgingInstrumentMemberenb:AccountsPayableAndOtherMemberus-gaap:CashFlowHedgingMember2021-03-3100008957</w:t>
      </w:r>
      <w:r>
        <w:rPr>
          <w:rFonts w:eastAsia="Times New Roman"/>
          <w:vanish/>
        </w:rPr>
        <w:t>28us-gaap:CommodityContractMemberus-gaap:DesignatedAsHedgingInstrumentMemberenb:AccountsPayableAndOtherMemberus-gaap:FairValueHedgingMember2021-03-310000895728us-gaap:NondesignatedMemberus-gaap:CommodityContractMemberenb:AccountsPayableAndOtherMember2021-0</w:t>
      </w:r>
      <w:r>
        <w:rPr>
          <w:rFonts w:eastAsia="Times New Roman"/>
          <w:vanish/>
        </w:rPr>
        <w:t>3-310000895728us-gaap:CommodityContractMemberenb:AccountsPayableAndOtherMember2021-03-310000895728us-gaap:DesignatedAsHedgingInstrumentMemberenb:AccountsPayableAndOtherMemberus-gaap:CashFlowHedgingMember2021-03-310000895728us-gaap:DesignatedAsHedgingInstru</w:t>
      </w:r>
      <w:r>
        <w:rPr>
          <w:rFonts w:eastAsia="Times New Roman"/>
          <w:vanish/>
        </w:rPr>
        <w:t>mentMemberenb:AccountsPayableAndOtherMemberus-gaap:FairValueHedgingMember2021-03-310000895728us-gaap:NondesignatedMemberenb:AccountsPayableAndOtherMember2021-03-310000895728enb:AccountsPayableAndOtherMember2021-03-310000895728us-gaap:DesignatedAsHedgingIns</w:t>
      </w:r>
      <w:r>
        <w:rPr>
          <w:rFonts w:eastAsia="Times New Roman"/>
          <w:vanish/>
        </w:rPr>
        <w:t>trumentMemberus-gaap:OtherLiabilitiesMemberus-gaap:CashFlowHedgingMemberus-gaap:ForeignExchangeContractMember2021-03-310000895728us-gaap:DesignatedAsHedgingInstrumentMemberus-gaap:OtherLiabilitiesMemberus-gaap:FairValueHedgingMemberus-gaap:ForeignExchangeC</w:t>
      </w:r>
      <w:r>
        <w:rPr>
          <w:rFonts w:eastAsia="Times New Roman"/>
          <w:vanish/>
        </w:rPr>
        <w:t>ontractMember2021-03-310000895728us-gaap:NondesignatedMemberus-gaap:OtherLiabilitiesMemberus-gaap:ForeignExchangeContractMember2021-03-310000895728us-gaap:OtherLiabilitiesMemberus-gaap:ForeignExchangeContractMember2021-03-310000895728us-gaap:DesignatedAsHe</w:t>
      </w:r>
      <w:r>
        <w:rPr>
          <w:rFonts w:eastAsia="Times New Roman"/>
          <w:vanish/>
        </w:rPr>
        <w:t>dgingInstrumentMemberus-gaap:InterestRateContractMemberus-gaap:OtherLiabilitiesMemberus-gaap:CashFlowHedgingMember2021-03-310000895728us-gaap:DesignatedAsHedgingInstrumentMemberus-gaap:InterestRateContractMemberus-gaap:OtherLiabilitiesMemberus-gaap:FairVal</w:t>
      </w:r>
      <w:r>
        <w:rPr>
          <w:rFonts w:eastAsia="Times New Roman"/>
          <w:vanish/>
        </w:rPr>
        <w:t>ueHedgingMember2021-03-310000895728us-gaap:NondesignatedMemberus-gaap:InterestRateContractMemberus-gaap:OtherLiabilitiesMember2021-03-310000895728us-gaap:InterestRateContractMemberus-gaap:OtherLiabilitiesMember2021-03-310000895728us-gaap:CommodityContractM</w:t>
      </w:r>
      <w:r>
        <w:rPr>
          <w:rFonts w:eastAsia="Times New Roman"/>
          <w:vanish/>
        </w:rPr>
        <w:t>emberus-gaap:DesignatedAsHedgingInstrumentMemberus-gaap:OtherLiabilitiesMemberus-gaap:CashFlowHedgingMember2021-03-310000895728us-gaap:CommodityContractMemberus-gaap:DesignatedAsHedgingInstrumentMemberus-gaap:OtherLiabilitiesMemberus-gaap:FairValueHedgingM</w:t>
      </w:r>
      <w:r>
        <w:rPr>
          <w:rFonts w:eastAsia="Times New Roman"/>
          <w:vanish/>
        </w:rPr>
        <w:t>ember2021-03-310000895728us-gaap:NondesignatedMemberus-gaap:CommodityContractMemberus-gaap:OtherLiabilitiesMember2021-03-310000895728us-gaap:CommodityContractMemberus-gaap:OtherLiabilitiesMember2021-03-310000895728us-gaap:DesignatedAsHedgingInstrumentMembe</w:t>
      </w:r>
      <w:r>
        <w:rPr>
          <w:rFonts w:eastAsia="Times New Roman"/>
          <w:vanish/>
        </w:rPr>
        <w:t>rus-gaap:OtherLiabilitiesMemberus-gaap:CashFlowHedgingMember2021-03-310000895728us-gaap:DesignatedAsHedgingInstrumentMemberus-gaap:OtherLiabilitiesMemberus-gaap:FairValueHedgingMember2021-03-310000895728us-gaap:NondesignatedMemberus-gaap:OtherLiabilitiesMe</w:t>
      </w:r>
      <w:r>
        <w:rPr>
          <w:rFonts w:eastAsia="Times New Roman"/>
          <w:vanish/>
        </w:rPr>
        <w:t>mber2021-03-310000895728us-gaap:OtherLiabilitiesMember2021-03-310000895728us-gaap:DesignatedAsHedgingInstrumentMemberus-gaap:CashFlowHedgingMemberus-gaap:ForeignExchangeContractMember2021-03-310000895728us-gaap:DesignatedAsHedgingInstrumentMemberus-gaap:Fa</w:t>
      </w:r>
      <w:r>
        <w:rPr>
          <w:rFonts w:eastAsia="Times New Roman"/>
          <w:vanish/>
        </w:rPr>
        <w:t>irValueHedgingMemberus-gaap:ForeignExchangeContractMember2021-03-310000895728us-gaap:NondesignatedMemberus-gaap:ForeignExchangeContractMember2021-03-310000895728us-gaap:ForeignExchangeContractMember2021-03-310000895728us-gaap:DesignatedAsHedgingInstrumentM</w:t>
      </w:r>
      <w:r>
        <w:rPr>
          <w:rFonts w:eastAsia="Times New Roman"/>
          <w:vanish/>
        </w:rPr>
        <w:t>emberus-gaap:InterestRateContractMemberus-gaap:CashFlowHedgingMember2021-03-310000895728us-gaap:DesignatedAsHedgingInstrumentMemberus-gaap:InterestRateContractMemberus-gaap:FairValueHedgingMember2021-03-310000895728us-gaap:NondesignatedMemberus-gaap:Intere</w:t>
      </w:r>
      <w:r>
        <w:rPr>
          <w:rFonts w:eastAsia="Times New Roman"/>
          <w:vanish/>
        </w:rPr>
        <w:t>stRateContractMember2021-03-310000895728us-gaap:InterestRateContractMember2021-03-310000895728us-gaap:CommodityContractMemberus-gaap:DesignatedAsHedgingInstrumentMemberus-gaap:CashFlowHedgingMember2021-03-310000895728us-gaap:CommodityContractMemberus-gaap:</w:t>
      </w:r>
      <w:r>
        <w:rPr>
          <w:rFonts w:eastAsia="Times New Roman"/>
          <w:vanish/>
        </w:rPr>
        <w:t>DesignatedAsHedgingInstrumentMemberus-gaap:FairValueHedgingMember2021-03-310000895728us-gaap:NondesignatedMemberus-gaap:CommodityContractMember2021-03-310000895728us-gaap:CommodityContractMember2021-03-310000895728us-gaap:OtherContractMemberus-gaap:Designa</w:t>
      </w:r>
      <w:r>
        <w:rPr>
          <w:rFonts w:eastAsia="Times New Roman"/>
          <w:vanish/>
        </w:rPr>
        <w:t>tedAsHedgingInstrumentMemberus-gaap:CashFlowHedgingMember2021-03-310000895728us-gaap:OtherContractMemberus-gaap:DesignatedAsHedgingInstrumentMemberus-gaap:FairValueHedgingMember2021-03-310000895728us-gaap:NondesignatedMemberus-gaap:OtherContractMember2021-</w:t>
      </w:r>
      <w:r>
        <w:rPr>
          <w:rFonts w:eastAsia="Times New Roman"/>
          <w:vanish/>
        </w:rPr>
        <w:t>03-310000895728us-gaap:OtherContractMember2021-03-310000895728us-gaap:DesignatedAsHedgingInstrumentMemberus-gaap:CashFlowHedgingMember2021-03-310000895728us-gaap:DesignatedAsHedgingInstrumentMemberus-gaap:FairValueHedgingMember2021-03-310000895728us-gaap:N</w:t>
      </w:r>
      <w:r>
        <w:rPr>
          <w:rFonts w:eastAsia="Times New Roman"/>
          <w:vanish/>
        </w:rPr>
        <w:t>ondesignatedMember2021-03-310000895728us-gaap:DesignatedAsHedgingInstrumentMemberus-gaap:CashFlowHedgingMemberenb:AccountsReceivableAndOtherMemberus-gaap:ForeignExchangeContractMember2020-12-310000895728us-gaap:DesignatedAsHedgingInstrumentMemberus-gaap:Fa</w:t>
      </w:r>
      <w:r>
        <w:rPr>
          <w:rFonts w:eastAsia="Times New Roman"/>
          <w:vanish/>
        </w:rPr>
        <w:t>irValueHedgingMemberenb:AccountsReceivableAndOtherMemberus-gaap:ForeignExchangeContractMember2020-12-310000895728us-gaap:NondesignatedMemberenb:AccountsReceivableAndOtherMemberus-gaap:ForeignExchangeContractMember2020-12-310000895728enb:AccountsReceivableA</w:t>
      </w:r>
      <w:r>
        <w:rPr>
          <w:rFonts w:eastAsia="Times New Roman"/>
          <w:vanish/>
        </w:rPr>
        <w:t>ndOtherMemberus-gaap:ForeignExchangeContractMember2020-12-310000895728us-gaap:CommodityContractMemberus-gaap:DesignatedAsHedgingInstrumentMemberus-gaap:CashFlowHedgingMemberenb:AccountsReceivableAndOtherMember2020-12-310000895728us-gaap:CommodityContractMe</w:t>
      </w:r>
      <w:r>
        <w:rPr>
          <w:rFonts w:eastAsia="Times New Roman"/>
          <w:vanish/>
        </w:rPr>
        <w:t>mberus-gaap:DesignatedAsHedgingInstrumentMemberus-gaap:FairValueHedgingMemberenb:AccountsReceivableAndOtherMember2020-12-310000895728us-gaap:NondesignatedMemberus-gaap:CommodityContractMemberenb:AccountsReceivableAndOtherMember2020-12-310000895728us-gaap:C</w:t>
      </w:r>
      <w:r>
        <w:rPr>
          <w:rFonts w:eastAsia="Times New Roman"/>
          <w:vanish/>
        </w:rPr>
        <w:t>ommodityContractMemberenb:AccountsReceivableAndOtherMember2020-12-310000895728us-gaap:DesignatedAsHedgingInstrumentMemberus-gaap:CashFlowHedgingMemberenb:AccountsReceivableAndOtherMember2020-12-310000895728us-gaap:DesignatedAsHedgingInstrumentMemberus-gaap</w:t>
      </w:r>
      <w:r>
        <w:rPr>
          <w:rFonts w:eastAsia="Times New Roman"/>
          <w:vanish/>
        </w:rPr>
        <w:t>:FairValueHedgingMemberenb:AccountsReceivableAndOtherMember2020-12-310000895728us-gaap:NondesignatedMemberenb:AccountsReceivableAndOtherMember2020-12-310000895728enb:AccountsReceivableAndOtherMember2020-12-310000895728enb:DeferredAmountsAndOtherMemberus-ga</w:t>
      </w:r>
      <w:r>
        <w:rPr>
          <w:rFonts w:eastAsia="Times New Roman"/>
          <w:vanish/>
        </w:rPr>
        <w:t>ap:DesignatedAsHedgingInstrumentMemberus-gaap:CashFlowHedgingMemberus-gaap:ForeignExchangeContractMember2020-12-310000895728enb:DeferredAmountsAndOtherMemberus-gaap:DesignatedAsHedgingInstrumentMemberus-gaap:FairValueHedgingMemberus-gaap:ForeignExchangeCon</w:t>
      </w:r>
      <w:r>
        <w:rPr>
          <w:rFonts w:eastAsia="Times New Roman"/>
          <w:vanish/>
        </w:rPr>
        <w:t>tractMember2020-12-310000895728us-gaap:NondesignatedMemberenb:DeferredAmountsAndOtherMemberus-gaap:ForeignExchangeContractMember2020-12-310000895728enb:DeferredAmountsAndOtherMemberus-gaap:ForeignExchangeContractMember2020-12-310000895728enb:DeferredAmount</w:t>
      </w:r>
      <w:r>
        <w:rPr>
          <w:rFonts w:eastAsia="Times New Roman"/>
          <w:vanish/>
        </w:rPr>
        <w:t>sAndOtherMemberus-gaap:DesignatedAsHedgingInstrumentMemberus-gaap:InterestRateContractMemberus-gaap:CashFlowHedgingMember2020-12-310000895728enb:DeferredAmountsAndOtherMemberus-gaap:DesignatedAsHedgingInstrumentMemberus-gaap:InterestRateContractMemberus-ga</w:t>
      </w:r>
      <w:r>
        <w:rPr>
          <w:rFonts w:eastAsia="Times New Roman"/>
          <w:vanish/>
        </w:rPr>
        <w:t>ap:FairValueHedgingMember2020-12-310000895728us-gaap:NondesignatedMemberenb:DeferredAmountsAndOtherMemberus-gaap:InterestRateContractMember2020-12-310000895728enb:DeferredAmountsAndOtherMemberus-gaap:InterestRateContractMember2020-12-310000895728enb:Deferr</w:t>
      </w:r>
      <w:r>
        <w:rPr>
          <w:rFonts w:eastAsia="Times New Roman"/>
          <w:vanish/>
        </w:rPr>
        <w:t>edAmountsAndOtherMemberus-gaap:CommodityContractMemberus-gaap:DesignatedAsHedgingInstrumentMemberus-gaap:CashFlowHedgingMember2020-12-310000895728enb:DeferredAmountsAndOtherMemberus-gaap:CommodityContractMemberus-gaap:DesignatedAsHedgingInstrumentMemberus-</w:t>
      </w:r>
      <w:r>
        <w:rPr>
          <w:rFonts w:eastAsia="Times New Roman"/>
          <w:vanish/>
        </w:rPr>
        <w:t>gaap:FairValueHedgingMember2020-12-310000895728us-gaap:NondesignatedMemberenb:DeferredAmountsAndOtherMemberus-gaap:CommodityContractMember2020-12-310000895728us-gaap:CommodityContractMemberenb:DeferredAmountsAndOtherMember2020-12-310000895728enb:DeferredAm</w:t>
      </w:r>
      <w:r>
        <w:rPr>
          <w:rFonts w:eastAsia="Times New Roman"/>
          <w:vanish/>
        </w:rPr>
        <w:t>ountsAndOtherMemberus-gaap:DesignatedAsHedgingInstrumentMemberus-gaap:CashFlowHedgingMember2020-12-310000895728enb:DeferredAmountsAndOtherMemberus-gaap:DesignatedAsHedgingInstrumentMemberus-gaap:FairValueHedgingMember2020-12-310000895728us-gaap:Nondesignat</w:t>
      </w:r>
      <w:r>
        <w:rPr>
          <w:rFonts w:eastAsia="Times New Roman"/>
          <w:vanish/>
        </w:rPr>
        <w:t>edMemberenb:DeferredAmountsAndOtherMember2020-12-310000895728enb:DeferredAmountsAndOtherMember2020-12-310000895728us-gaap:DesignatedAsHedgingInstrumentMemberenb:AccountsPayableAndOtherMemberus-gaap:CashFlowHedgingMemberus-gaap:ForeignExchangeContractMember</w:t>
      </w:r>
      <w:r>
        <w:rPr>
          <w:rFonts w:eastAsia="Times New Roman"/>
          <w:vanish/>
        </w:rPr>
        <w:t>2020-12-310000895728us-gaap:DesignatedAsHedgingInstrumentMemberenb:AccountsPayableAndOtherMemberus-gaap:FairValueHedgingMemberus-gaap:ForeignExchangeContractMember2020-12-310000895728us-gaap:NondesignatedMemberenb:AccountsPayableAndOtherMemberus-gaap:Forei</w:t>
      </w:r>
      <w:r>
        <w:rPr>
          <w:rFonts w:eastAsia="Times New Roman"/>
          <w:vanish/>
        </w:rPr>
        <w:t>gnExchangeContractMember2020-12-310000895728enb:AccountsPayableAndOtherMemberus-gaap:ForeignExchangeContractMember2020-12-310000895728us-gaap:DesignatedAsHedgingInstrumentMemberenb:AccountsPayableAndOtherMemberus-gaap:InterestRateContractMemberus-gaap:Cash</w:t>
      </w:r>
      <w:r>
        <w:rPr>
          <w:rFonts w:eastAsia="Times New Roman"/>
          <w:vanish/>
        </w:rPr>
        <w:t>FlowHedgingMember2020-12-310000895728us-gaap:DesignatedAsHedgingInstrumentMemberenb:AccountsPayableAndOtherMemberus-gaap:InterestRateContractMemberus-gaap:FairValueHedgingMember2020-12-310000895728us-gaap:NondesignatedMemberenb:AccountsPayableAndOtherMembe</w:t>
      </w:r>
      <w:r>
        <w:rPr>
          <w:rFonts w:eastAsia="Times New Roman"/>
          <w:vanish/>
        </w:rPr>
        <w:t>rus-gaap:InterestRateContractMember2020-12-310000895728enb:AccountsPayableAndOtherMemberus-gaap:InterestRateContractMember2020-12-310000895728us-gaap:CommodityContractMemberus-gaap:DesignatedAsHedgingInstrumentMemberenb:AccountsPayableAndOtherMemberus-gaap</w:t>
      </w:r>
      <w:r>
        <w:rPr>
          <w:rFonts w:eastAsia="Times New Roman"/>
          <w:vanish/>
        </w:rPr>
        <w:t>:CashFlowHedgingMember2020-12-310000895728us-gaap:CommodityContractMemberus-gaap:DesignatedAsHedgingInstrumentMemberenb:AccountsPayableAndOtherMemberus-gaap:FairValueHedgingMember2020-12-310000895728us-gaap:NondesignatedMemberus-gaap:CommodityContractMembe</w:t>
      </w:r>
      <w:r>
        <w:rPr>
          <w:rFonts w:eastAsia="Times New Roman"/>
          <w:vanish/>
        </w:rPr>
        <w:t>renb:AccountsPayableAndOtherMember2020-12-310000895728us-gaap:CommodityContractMemberenb:AccountsPayableAndOtherMember2020-12-310000895728us-gaap:OtherContractMemberus-gaap:DesignatedAsHedgingInstrumentMemberenb:AccountsPayableAndOtherMemberus-gaap:CashFlo</w:t>
      </w:r>
      <w:r>
        <w:rPr>
          <w:rFonts w:eastAsia="Times New Roman"/>
          <w:vanish/>
        </w:rPr>
        <w:t>wHedgingMember2020-12-310000895728us-gaap:OtherContractMemberus-gaap:DesignatedAsHedgingInstrumentMemberenb:AccountsPayableAndOtherMemberus-gaap:FairValueHedgingMember2020-12-310000895728us-gaap:NondesignatedMemberus-gaap:OtherContractMemberenb:AccountsPay</w:t>
      </w:r>
      <w:r>
        <w:rPr>
          <w:rFonts w:eastAsia="Times New Roman"/>
          <w:vanish/>
        </w:rPr>
        <w:t>ableAndOtherMember2020-12-310000895728us-gaap:OtherContractMemberenb:AccountsPayableAndOtherMember2020-12-310000895728us-gaap:DesignatedAsHedgingInstrumentMemberenb:AccountsPayableAndOtherMemberus-gaap:CashFlowHedgingMember2020-12-310000895728us-gaap:Desig</w:t>
      </w:r>
      <w:r>
        <w:rPr>
          <w:rFonts w:eastAsia="Times New Roman"/>
          <w:vanish/>
        </w:rPr>
        <w:t>natedAsHedgingInstrumentMemberenb:AccountsPayableAndOtherMemberus-gaap:FairValueHedgingMember2020-12-310000895728us-gaap:NondesignatedMemberenb:AccountsPayableAndOtherMember2020-12-310000895728enb:AccountsPayableAndOtherMember2020-12-310000895728us-gaap:De</w:t>
      </w:r>
      <w:r>
        <w:rPr>
          <w:rFonts w:eastAsia="Times New Roman"/>
          <w:vanish/>
        </w:rPr>
        <w:t>signatedAsHedgingInstrumentMemberus-gaap:OtherLiabilitiesMemberus-gaap:CashFlowHedgingMemberus-gaap:ForeignExchangeContractMember2020-12-310000895728us-gaap:DesignatedAsHedgingInstrumentMemberus-gaap:OtherLiabilitiesMemberus-gaap:FairValueHedgingMemberus-g</w:t>
      </w:r>
      <w:r>
        <w:rPr>
          <w:rFonts w:eastAsia="Times New Roman"/>
          <w:vanish/>
        </w:rPr>
        <w:t>aap:ForeignExchangeContractMember2020-12-310000895728us-gaap:NondesignatedMemberus-gaap:OtherLiabilitiesMemberus-gaap:ForeignExchangeContractMember2020-12-310000895728us-gaap:OtherLiabilitiesMemberus-gaap:ForeignExchangeContractMember2020-12-310000895728us</w:t>
      </w:r>
      <w:r>
        <w:rPr>
          <w:rFonts w:eastAsia="Times New Roman"/>
          <w:vanish/>
        </w:rPr>
        <w:t>-gaap:DesignatedAsHedgingInstrumentMemberus-gaap:InterestRateContractMemberus-gaap:OtherLiabilitiesMemberus-gaap:CashFlowHedgingMember2020-12-310000895728us-gaap:DesignatedAsHedgingInstrumentMemberus-gaap:InterestRateContractMemberus-gaap:OtherLiabilitiesM</w:t>
      </w:r>
      <w:r>
        <w:rPr>
          <w:rFonts w:eastAsia="Times New Roman"/>
          <w:vanish/>
        </w:rPr>
        <w:t>emberus-gaap:FairValueHedgingMember2020-12-310000895728us-gaap:NondesignatedMemberus-gaap:InterestRateContractMemberus-gaap:OtherLiabilitiesMember2020-12-310000895728us-gaap:InterestRateContractMemberus-gaap:OtherLiabilitiesMember2020-12-310000895728us-gaa</w:t>
      </w:r>
      <w:r>
        <w:rPr>
          <w:rFonts w:eastAsia="Times New Roman"/>
          <w:vanish/>
        </w:rPr>
        <w:t>p:CommodityContractMemberus-gaap:DesignatedAsHedgingInstrumentMemberus-gaap:OtherLiabilitiesMemberus-gaap:CashFlowHedgingMember2020-12-310000895728us-gaap:CommodityContractMemberus-gaap:DesignatedAsHedgingInstrumentMemberus-gaap:OtherLiabilitiesMemberus-ga</w:t>
      </w:r>
      <w:r>
        <w:rPr>
          <w:rFonts w:eastAsia="Times New Roman"/>
          <w:vanish/>
        </w:rPr>
        <w:t>ap:FairValueHedgingMember2020-12-310000895728us-gaap:NondesignatedMemberus-gaap:CommodityContractMemberus-gaap:OtherLiabilitiesMember2020-12-310000895728us-gaap:CommodityContractMemberus-gaap:OtherLiabilitiesMember2020-12-310000895728us-gaap:DesignatedAsHe</w:t>
      </w:r>
      <w:r>
        <w:rPr>
          <w:rFonts w:eastAsia="Times New Roman"/>
          <w:vanish/>
        </w:rPr>
        <w:t>dgingInstrumentMemberus-gaap:OtherLiabilitiesMemberus-gaap:CashFlowHedgingMember2020-12-310000895728us-gaap:DesignatedAsHedgingInstrumentMemberus-gaap:OtherLiabilitiesMemberus-gaap:FairValueHedgingMember2020-12-310000895728us-gaap:NondesignatedMemberus-gaa</w:t>
      </w:r>
      <w:r>
        <w:rPr>
          <w:rFonts w:eastAsia="Times New Roman"/>
          <w:vanish/>
        </w:rPr>
        <w:t>p:OtherLiabilitiesMember2020-12-310000895728us-gaap:OtherLiabilitiesMember2020-12-310000895728us-gaap:DesignatedAsHedgingInstrumentMemberus-gaap:CashFlowHedgingMemberus-gaap:ForeignExchangeContractMember2020-12-310000895728us-gaap:DesignatedAsHedgingInstru</w:t>
      </w:r>
      <w:r>
        <w:rPr>
          <w:rFonts w:eastAsia="Times New Roman"/>
          <w:vanish/>
        </w:rPr>
        <w:t>mentMemberus-gaap:FairValueHedgingMemberus-gaap:ForeignExchangeContractMember2020-12-310000895728us-gaap:NondesignatedMemberus-gaap:ForeignExchangeContractMember2020-12-310000895728us-gaap:ForeignExchangeContractMember2020-12-310000895728us-gaap:Designated</w:t>
      </w:r>
      <w:r>
        <w:rPr>
          <w:rFonts w:eastAsia="Times New Roman"/>
          <w:vanish/>
        </w:rPr>
        <w:t>AsHedgingInstrumentMemberus-gaap:InterestRateContractMemberus-gaap:CashFlowHedgingMember2020-12-310000895728us-gaap:DesignatedAsHedgingInstrumentMemberus-gaap:InterestRateContractMemberus-gaap:FairValueHedgingMember2020-12-310000895728us-gaap:Nondesignated</w:t>
      </w:r>
      <w:r>
        <w:rPr>
          <w:rFonts w:eastAsia="Times New Roman"/>
          <w:vanish/>
        </w:rPr>
        <w:t>Memberus-gaap:InterestRateContractMember2020-12-310000895728us-gaap:InterestRateContractMember2020-12-310000895728us-gaap:CommodityContractMemberus-gaap:DesignatedAsHedgingInstrumentMemberus-gaap:CashFlowHedgingMember2020-12-310000895728us-gaap:CommodityCo</w:t>
      </w:r>
      <w:r>
        <w:rPr>
          <w:rFonts w:eastAsia="Times New Roman"/>
          <w:vanish/>
        </w:rPr>
        <w:t>ntractMemberus-gaap:DesignatedAsHedgingInstrumentMemberus-gaap:FairValueHedgingMember2020-12-310000895728us-gaap:NondesignatedMemberus-gaap:CommodityContractMember2020-12-310000895728us-gaap:CommodityContractMember2020-12-310000895728us-gaap:OtherContractM</w:t>
      </w:r>
      <w:r>
        <w:rPr>
          <w:rFonts w:eastAsia="Times New Roman"/>
          <w:vanish/>
        </w:rPr>
        <w:t>emberus-gaap:DesignatedAsHedgingInstrumentMemberus-gaap:CashFlowHedgingMember2020-12-310000895728us-gaap:OtherContractMemberus-gaap:DesignatedAsHedgingInstrumentMemberus-gaap:FairValueHedgingMember2020-12-310000895728us-gaap:NondesignatedMemberus-gaap:Othe</w:t>
      </w:r>
      <w:r>
        <w:rPr>
          <w:rFonts w:eastAsia="Times New Roman"/>
          <w:vanish/>
        </w:rPr>
        <w:t>rContractMember2020-12-310000895728us-gaap:OtherContractMember2020-12-310000895728us-gaap:DesignatedAsHedgingInstrumentMemberus-gaap:CashFlowHedgingMember2020-12-310000895728us-gaap:DesignatedAsHedgingInstrumentMemberus-gaap:FairValueHedgingMember2020-12-3</w:t>
      </w:r>
      <w:r>
        <w:rPr>
          <w:rFonts w:eastAsia="Times New Roman"/>
          <w:vanish/>
        </w:rPr>
        <w:t>10000895728us-gaap:NondesignatedMember2020-12-310000895728enb:ForeignExchangeForwardPurchaseContractMembercurrency:USD2021-03-310000895728currency:USDenb:ForeignExchangeForwardSellContractMember2021-03-31iso4217:GBP0000895728enb:ForeignExchangeForwardSellC</w:t>
      </w:r>
      <w:r>
        <w:rPr>
          <w:rFonts w:eastAsia="Times New Roman"/>
          <w:vanish/>
        </w:rPr>
        <w:t>ontractMembercurrency:GBP2021-03-31iso4217:EUR0000895728currency:EURenb:ForeignExchangeForwardSellContractMember2021-03-31iso4217:JPY0000895728currency:JPYenb:ForeignExchangeForwardPurchaseContractMember2021-03-310000895728enb:InterestRateContractForShortT</w:t>
      </w:r>
      <w:r>
        <w:rPr>
          <w:rFonts w:eastAsia="Times New Roman"/>
          <w:vanish/>
        </w:rPr>
        <w:t>ermBorrowingsMember2021-03-310000895728enb:InterestRateContractForLongTermBorrowingsPayFixedRateMember2021-03-310000895728us-gaap:EquityContractMember2021-03-31utr:Bcf0000895728us-gaap:CommodityContractMembersrt:NaturalGasReservesMember2021-03-31utr:MMBbls</w:t>
      </w:r>
      <w:r>
        <w:rPr>
          <w:rFonts w:eastAsia="Times New Roman"/>
          <w:vanish/>
        </w:rPr>
        <w:t>0000895728us-gaap:CommodityContractMembersrt:CrudeOilMember2021-03-31utr:MWh0000895728us-gaap:CommodityContractMemberenb:PowerMemberus-gaap:LongMember2021-03-310000895728us-gaap:CommodityContractMemberus-gaap:ShortMemberenb:PowerMember2021-03-310000895728u</w:t>
      </w:r>
      <w:r>
        <w:rPr>
          <w:rFonts w:eastAsia="Times New Roman"/>
          <w:vanish/>
        </w:rPr>
        <w:t>s-gaap:FairValueHedgingMember2021-01-012021-03-310000895728us-gaap:FairValueHedgingMember2020-01-012020-03-310000895728us-gaap:InterestRateContractMemberus-gaap:FairValueHedgingMember2021-01-012021-03-310000895728us-gaap:InterestRateContractMemberus-gaap:F</w:t>
      </w:r>
      <w:r>
        <w:rPr>
          <w:rFonts w:eastAsia="Times New Roman"/>
          <w:vanish/>
        </w:rPr>
        <w:t>airValueHedgingMember2020-01-012020-03-310000895728us-gaap:CashFlowHedgingMemberus-gaap:ForeignExchangeContractMember2021-01-012021-03-310000895728us-gaap:CashFlowHedgingMemberus-gaap:ForeignExchangeContractMember2020-01-012020-03-310000895728us-gaap:Inter</w:t>
      </w:r>
      <w:r>
        <w:rPr>
          <w:rFonts w:eastAsia="Times New Roman"/>
          <w:vanish/>
        </w:rPr>
        <w:t>estRateContractMemberus-gaap:CashFlowHedgingMember2021-01-012021-03-310000895728us-gaap:InterestRateContractMemberus-gaap:CashFlowHedgingMember2020-01-012020-03-310000895728us-gaap:CommodityContractMemberus-gaap:CashFlowHedgingMember2021-01-012021-03-31000</w:t>
      </w:r>
      <w:r>
        <w:rPr>
          <w:rFonts w:eastAsia="Times New Roman"/>
          <w:vanish/>
        </w:rPr>
        <w:t>0895728us-gaap:CommodityContractMemberus-gaap:CashFlowHedgingMember2020-01-012020-03-310000895728us-gaap:OtherContractMemberus-gaap:CashFlowHedgingMember2021-01-012021-03-310000895728us-gaap:OtherContractMemberus-gaap:CashFlowHedgingMember2020-01-012020-03</w:t>
      </w:r>
      <w:r>
        <w:rPr>
          <w:rFonts w:eastAsia="Times New Roman"/>
          <w:vanish/>
        </w:rPr>
        <w:t>-310000895728us-gaap:FairValueHedgingMemberus-gaap:ForeignExchangeContractMember2021-01-012021-03-310000895728us-gaap:FairValueHedgingMemberus-gaap:ForeignExchangeContractMember2020-01-012020-03-310000895728us-gaap:ForeignExchangeContractMemberus-gaap:NetI</w:t>
      </w:r>
      <w:r>
        <w:rPr>
          <w:rFonts w:eastAsia="Times New Roman"/>
          <w:vanish/>
        </w:rPr>
        <w:t>nvestmentHedgingMember2021-01-012021-03-310000895728us-gaap:ForeignExchangeContractMemberus-gaap:NetInvestmentHedgingMember2020-01-012020-03-310000895728us-gaap:CommodityContractMember2020-01-012020-03-310000895728us-gaap:OtherContractMember2020-01-012020-</w:t>
      </w:r>
      <w:r>
        <w:rPr>
          <w:rFonts w:eastAsia="Times New Roman"/>
          <w:vanish/>
        </w:rPr>
        <w:t>03-310000895728us-gaap:NondesignatedMemberus-gaap:ForeignExchangeContractMember2021-01-012021-03-310000895728us-gaap:NondesignatedMemberus-gaap:ForeignExchangeContractMember2020-01-012020-03-310000895728us-gaap:NondesignatedMemberus-gaap:InterestRateContra</w:t>
      </w:r>
      <w:r>
        <w:rPr>
          <w:rFonts w:eastAsia="Times New Roman"/>
          <w:vanish/>
        </w:rPr>
        <w:t>ctMember2021-01-012021-03-310000895728us-gaap:NondesignatedMemberus-gaap:InterestRateContractMember2020-01-012020-03-310000895728us-gaap:NondesignatedMemberus-gaap:CommodityContractMember2021-01-012021-03-310000895728us-gaap:NondesignatedMemberus-gaap:Comm</w:t>
      </w:r>
      <w:r>
        <w:rPr>
          <w:rFonts w:eastAsia="Times New Roman"/>
          <w:vanish/>
        </w:rPr>
        <w:t>odityContractMember2020-01-012020-03-310000895728us-gaap:NondesignatedMemberus-gaap:OtherContractMember2021-01-012021-03-310000895728us-gaap:NondesignatedMemberus-gaap:OtherContractMember2020-01-012020-03-310000895728us-gaap:NondesignatedMember2021-01-0120</w:t>
      </w:r>
      <w:r>
        <w:rPr>
          <w:rFonts w:eastAsia="Times New Roman"/>
          <w:vanish/>
        </w:rPr>
        <w:t>21-03-310000895728us-gaap:NondesignatedMember2020-01-012020-03-310000895728us-gaap:NondesignatedMemberenb:TransportationAndOtherServicesRevenuesMemberus-gaap:ForeignExchangeContractMember2021-01-012021-03-310000895728us-gaap:NondesignatedMemberenb:Transpor</w:t>
      </w:r>
      <w:r>
        <w:rPr>
          <w:rFonts w:eastAsia="Times New Roman"/>
          <w:vanish/>
        </w:rPr>
        <w:t>tationAndOtherServicesRevenuesMemberus-gaap:ForeignExchangeContractMember2020-01-012020-03-310000895728us-gaap:NondesignatedMemberenb:OtherIncomeExpenseMemberus-gaap:ForeignExchangeContractMember2021-01-012021-03-310000895728us-gaap:NondesignatedMemberenb:</w:t>
      </w:r>
      <w:r>
        <w:rPr>
          <w:rFonts w:eastAsia="Times New Roman"/>
          <w:vanish/>
        </w:rPr>
        <w:t>OtherIncomeExpenseMemberus-gaap:ForeignExchangeContractMember2020-01-012020-03-310000895728us-gaap:NondesignatedMemberenb:TransportationAndOtherServicesRevenuesMemberus-gaap:CommodityContractMember2021-01-012021-03-310000895728us-gaap:NondesignatedMemberen</w:t>
      </w:r>
      <w:r>
        <w:rPr>
          <w:rFonts w:eastAsia="Times New Roman"/>
          <w:vanish/>
        </w:rPr>
        <w:t>b:TransportationAndOtherServicesRevenuesMemberus-gaap:CommodityContractMember2020-01-012020-03-310000895728us-gaap:NondesignatedMemberenb:CommoditySalesRevenueMemberus-gaap:CommodityContractMember2021-01-012021-03-310000895728us-gaap:NondesignatedMemberenb</w:t>
      </w:r>
      <w:r>
        <w:rPr>
          <w:rFonts w:eastAsia="Times New Roman"/>
          <w:vanish/>
        </w:rPr>
        <w:t>:CommoditySalesRevenueMemberus-gaap:CommodityContractMember2020-01-012020-03-310000895728us-gaap:NondesignatedMemberus-gaap:CommodityContractMemberenb:CommodityCostsMember2021-01-012021-03-310000895728us-gaap:NondesignatedMemberus-gaap:CommodityContractMem</w:t>
      </w:r>
      <w:r>
        <w:rPr>
          <w:rFonts w:eastAsia="Times New Roman"/>
          <w:vanish/>
        </w:rPr>
        <w:t>berenb:CommodityCostsMember2020-01-012020-03-310000895728us-gaap:NondesignatedMemberus-gaap:CommodityContractMemberenb:OperatingAndAdministrativeExpenseMember2021-01-012021-03-310000895728us-gaap:NondesignatedMemberus-gaap:CommodityContractMemberenb:Operat</w:t>
      </w:r>
      <w:r>
        <w:rPr>
          <w:rFonts w:eastAsia="Times New Roman"/>
          <w:vanish/>
        </w:rPr>
        <w:t>ingAndAdministrativeExpenseMember2020-01-012020-03-310000895728enb:CanadianFinancialInstitutionsMemberus-gaap:DerivativeMember2021-01-012021-03-310000895728enb:CanadianFinancialInstitutionsMemberus-gaap:DerivativeMember2020-01-012020-12-310000895728enb:USF</w:t>
      </w:r>
      <w:r>
        <w:rPr>
          <w:rFonts w:eastAsia="Times New Roman"/>
          <w:vanish/>
        </w:rPr>
        <w:t>inancialInstitutionsMemberus-gaap:DerivativeMember2021-01-012021-03-310000895728enb:USFinancialInstitutionsMemberus-gaap:DerivativeMember2020-01-012020-12-310000895728us-gaap:DerivativeMemberenb:EuropeanFinancialInstitutionsMember2021-01-012021-03-31000089</w:t>
      </w:r>
      <w:r>
        <w:rPr>
          <w:rFonts w:eastAsia="Times New Roman"/>
          <w:vanish/>
        </w:rPr>
        <w:t>5728us-gaap:DerivativeMemberenb:EuropeanFinancialInstitutionsMember2020-01-012020-12-310000895728enb:AsianFinancialInstitutionsMemberus-gaap:DerivativeMember2021-01-012021-03-310000895728enb:AsianFinancialInstitutionsMemberus-gaap:DerivativeMember2020-01-0</w:t>
      </w:r>
      <w:r>
        <w:rPr>
          <w:rFonts w:eastAsia="Times New Roman"/>
          <w:vanish/>
        </w:rPr>
        <w:t>12020-12-310000895728us-gaap:DerivativeMemberenb:OtherCounterpartiesMember2021-01-012021-03-310000895728us-gaap:DerivativeMemberenb:OtherCounterpartiesMember2020-01-012020-12-310000895728us-gaap:DerivativeMember2021-01-012021-03-310000895728us-gaap:Derivat</w:t>
      </w:r>
      <w:r>
        <w:rPr>
          <w:rFonts w:eastAsia="Times New Roman"/>
          <w:vanish/>
        </w:rPr>
        <w:t>iveMember2020-01-012020-12-310000895728us-gaap:DerivativeMember2021-03-310000895728us-gaap:DerivativeMember2020-12-310000895728us-gaap:FairValueMeasurementsRecurringMemberus-gaap:FairValueInputsLevel1Memberus-gaap:ForeignExchangeContractMember2021-03-31000</w:t>
      </w:r>
      <w:r>
        <w:rPr>
          <w:rFonts w:eastAsia="Times New Roman"/>
          <w:vanish/>
        </w:rPr>
        <w:t>0895728us-gaap:FairValueMeasurementsRecurringMemberus-gaap:FairValueInputsLevel2Memberus-gaap:ForeignExchangeContractMember2021-03-310000895728us-gaap:FairValueMeasurementsRecurringMemberus-gaap:FairValueInputsLevel3Memberus-gaap:ForeignExchangeContractMem</w:t>
      </w:r>
      <w:r>
        <w:rPr>
          <w:rFonts w:eastAsia="Times New Roman"/>
          <w:vanish/>
        </w:rPr>
        <w:t>ber2021-03-310000895728us-gaap:FairValueMeasurementsRecurringMemberus-gaap:ForeignExchangeContractMember2021-03-310000895728us-gaap:CommodityContractMemberus-gaap:FairValueMeasurementsRecurringMemberus-gaap:FairValueInputsLevel1Member2021-03-310000895728us</w:t>
      </w:r>
      <w:r>
        <w:rPr>
          <w:rFonts w:eastAsia="Times New Roman"/>
          <w:vanish/>
        </w:rPr>
        <w:t>-gaap:CommodityContractMemberus-gaap:FairValueMeasurementsRecurringMemberus-gaap:FairValueInputsLevel2Member2021-03-310000895728us-gaap:CommodityContractMemberus-gaap:FairValueMeasurementsRecurringMemberus-gaap:FairValueInputsLevel3Member2021-03-3100008957</w:t>
      </w:r>
      <w:r>
        <w:rPr>
          <w:rFonts w:eastAsia="Times New Roman"/>
          <w:vanish/>
        </w:rPr>
        <w:t>28us-gaap:CommodityContractMemberus-gaap:FairValueMeasurementsRecurringMember2021-03-310000895728us-gaap:OtherContractMemberus-gaap:FairValueMeasurementsRecurringMemberus-gaap:FairValueInputsLevel1Member2021-03-310000895728us-gaap:OtherContractMemberus-gaa</w:t>
      </w:r>
      <w:r>
        <w:rPr>
          <w:rFonts w:eastAsia="Times New Roman"/>
          <w:vanish/>
        </w:rPr>
        <w:t>p:FairValueMeasurementsRecurringMemberus-gaap:FairValueInputsLevel2Member2021-03-310000895728us-gaap:OtherContractMemberus-gaap:FairValueMeasurementsRecurringMemberus-gaap:FairValueInputsLevel3Member2021-03-310000895728us-gaap:OtherContractMemberus-gaap:Fa</w:t>
      </w:r>
      <w:r>
        <w:rPr>
          <w:rFonts w:eastAsia="Times New Roman"/>
          <w:vanish/>
        </w:rPr>
        <w:t>irValueMeasurementsRecurringMember2021-03-310000895728us-gaap:FairValueMeasurementsRecurringMemberus-gaap:FairValueInputsLevel1Member2021-03-310000895728us-gaap:FairValueMeasurementsRecurringMemberus-gaap:FairValueInputsLevel2Member2021-03-310000895728us-g</w:t>
      </w:r>
      <w:r>
        <w:rPr>
          <w:rFonts w:eastAsia="Times New Roman"/>
          <w:vanish/>
        </w:rPr>
        <w:t>aap:FairValueMeasurementsRecurringMemberus-gaap:FairValueInputsLevel3Member2021-03-310000895728us-gaap:FairValueMeasurementsRecurringMember2021-03-310000895728us-gaap:FairValueMeasurementsRecurringMemberus-gaap:FairValueInputsLevel1Memberus-gaap:InterestRa</w:t>
      </w:r>
      <w:r>
        <w:rPr>
          <w:rFonts w:eastAsia="Times New Roman"/>
          <w:vanish/>
        </w:rPr>
        <w:t>teContractMember2021-03-310000895728us-gaap:FairValueMeasurementsRecurringMemberus-gaap:InterestRateContractMemberus-gaap:FairValueInputsLevel2Member2021-03-310000895728us-gaap:FairValueMeasurementsRecurringMemberus-gaap:InterestRateContractMemberus-gaap:F</w:t>
      </w:r>
      <w:r>
        <w:rPr>
          <w:rFonts w:eastAsia="Times New Roman"/>
          <w:vanish/>
        </w:rPr>
        <w:t>airValueInputsLevel3Member2021-03-310000895728us-gaap:FairValueMeasurementsRecurringMemberus-gaap:InterestRateContractMember2021-03-310000895728us-gaap:FairValueMeasurementsRecurringMemberus-gaap:FairValueInputsLevel1Memberus-gaap:ForeignExchangeContractMe</w:t>
      </w:r>
      <w:r>
        <w:rPr>
          <w:rFonts w:eastAsia="Times New Roman"/>
          <w:vanish/>
        </w:rPr>
        <w:t>mber2020-12-310000895728us-gaap:FairValueMeasurementsRecurringMemberus-gaap:FairValueInputsLevel2Memberus-gaap:ForeignExchangeContractMember2020-12-310000895728us-gaap:FairValueMeasurementsRecurringMemberus-gaap:FairValueInputsLevel3Memberus-gaap:ForeignEx</w:t>
      </w:r>
      <w:r>
        <w:rPr>
          <w:rFonts w:eastAsia="Times New Roman"/>
          <w:vanish/>
        </w:rPr>
        <w:t>changeContractMember2020-12-310000895728us-gaap:FairValueMeasurementsRecurringMemberus-gaap:ForeignExchangeContractMember2020-12-310000895728us-gaap:CommodityContractMemberus-gaap:FairValueMeasurementsRecurringMemberus-gaap:FairValueInputsLevel1Member2020-</w:t>
      </w:r>
      <w:r>
        <w:rPr>
          <w:rFonts w:eastAsia="Times New Roman"/>
          <w:vanish/>
        </w:rPr>
        <w:t>12-310000895728us-gaap:CommodityContractMemberus-gaap:FairValueMeasurementsRecurringMemberus-gaap:FairValueInputsLevel2Member2020-12-310000895728us-gaap:CommodityContractMemberus-gaap:FairValueMeasurementsRecurringMemberus-gaap:FairValueInputsLevel3Member2</w:t>
      </w:r>
      <w:r>
        <w:rPr>
          <w:rFonts w:eastAsia="Times New Roman"/>
          <w:vanish/>
        </w:rPr>
        <w:t>020-12-310000895728us-gaap:CommodityContractMemberus-gaap:FairValueMeasurementsRecurringMember2020-12-310000895728us-gaap:FairValueMeasurementsRecurringMemberus-gaap:FairValueInputsLevel1Member2020-12-310000895728us-gaap:FairValueMeasurementsRecurringMembe</w:t>
      </w:r>
      <w:r>
        <w:rPr>
          <w:rFonts w:eastAsia="Times New Roman"/>
          <w:vanish/>
        </w:rPr>
        <w:t>rus-gaap:FairValueInputsLevel2Member2020-12-310000895728us-gaap:FairValueMeasurementsRecurringMemberus-gaap:FairValueInputsLevel3Member2020-12-310000895728us-gaap:FairValueMeasurementsRecurringMember2020-12-310000895728us-gaap:FairValueMeasurementsRecurrin</w:t>
      </w:r>
      <w:r>
        <w:rPr>
          <w:rFonts w:eastAsia="Times New Roman"/>
          <w:vanish/>
        </w:rPr>
        <w:t>gMemberus-gaap:FairValueInputsLevel1Memberus-gaap:InterestRateContractMember2020-12-310000895728us-gaap:FairValueMeasurementsRecurringMemberus-gaap:InterestRateContractMemberus-gaap:FairValueInputsLevel2Member2020-12-310000895728us-gaap:FairValueMeasuremen</w:t>
      </w:r>
      <w:r>
        <w:rPr>
          <w:rFonts w:eastAsia="Times New Roman"/>
          <w:vanish/>
        </w:rPr>
        <w:t>tsRecurringMemberus-gaap:InterestRateContractMemberus-gaap:FairValueInputsLevel3Member2020-12-310000895728us-gaap:FairValueMeasurementsRecurringMemberus-gaap:InterestRateContractMember2020-12-310000895728us-gaap:OtherContractMemberus-gaap:FairValueMeasurem</w:t>
      </w:r>
      <w:r>
        <w:rPr>
          <w:rFonts w:eastAsia="Times New Roman"/>
          <w:vanish/>
        </w:rPr>
        <w:t>entsRecurringMemberus-gaap:FairValueInputsLevel1Member2020-12-310000895728us-gaap:OtherContractMemberus-gaap:FairValueMeasurementsRecurringMemberus-gaap:FairValueInputsLevel2Member2020-12-310000895728us-gaap:OtherContractMemberus-gaap:FairValueMeasurements</w:t>
      </w:r>
      <w:r>
        <w:rPr>
          <w:rFonts w:eastAsia="Times New Roman"/>
          <w:vanish/>
        </w:rPr>
        <w:t>RecurringMemberus-gaap:FairValueInputsLevel3Member2020-12-310000895728us-gaap:OtherContractMemberus-gaap:FairValueMeasurementsRecurringMember2020-12-310000895728us-gaap:FairValueMeasurementsRecurringMemberus-gaap:MarketApproachValuationTechniqueMemberus-ga</w:t>
      </w:r>
      <w:r>
        <w:rPr>
          <w:rFonts w:eastAsia="Times New Roman"/>
          <w:vanish/>
        </w:rPr>
        <w:t>ap:FairValueInputsLevel3Membersrt:NaturalGasReservesMemberenb:FinancialForwardCommodityContractMember2021-03-31iso4217:CADenb:MillionsofBTU-MMBTU0000895728srt:MinimumMemberus-gaap:MarketApproachValuationTechniqueMemberus-gaap:FairValueInputsLevel3Membersrt</w:t>
      </w:r>
      <w:r>
        <w:rPr>
          <w:rFonts w:eastAsia="Times New Roman"/>
          <w:vanish/>
        </w:rPr>
        <w:t>:NaturalGasReservesMemberenb:FinancialForwardCommodityContractMember2021-03-310000895728srt:MaximumMemberus-gaap:MarketApproachValuationTechniqueMemberus-gaap:FairValueInputsLevel3Membersrt:NaturalGasReservesMemberenb:FinancialForwardCommodityContractMembe</w:t>
      </w:r>
      <w:r>
        <w:rPr>
          <w:rFonts w:eastAsia="Times New Roman"/>
          <w:vanish/>
        </w:rPr>
        <w:t>r2021-03-310000895728srt:WeightedAverageMemberus-gaap:MarketApproachValuationTechniqueMemberus-gaap:FairValueInputsLevel3Membersrt:NaturalGasReservesMemberenb:FinancialForwardCommodityContractMember2021-03-310000895728us-gaap:FairValueMeasurementsRecurring</w:t>
      </w:r>
      <w:r>
        <w:rPr>
          <w:rFonts w:eastAsia="Times New Roman"/>
          <w:vanish/>
        </w:rPr>
        <w:t>Membersrt:CrudeOilMemberus-gaap:MarketApproachValuationTechniqueMemberus-gaap:FairValueInputsLevel3Memberenb:FinancialForwardCommodityContractMember2021-03-31iso4217:CADutr:bbl0000895728srt:CrudeOilMembersrt:MinimumMemberus-gaap:MarketApproachValuationTech</w:t>
      </w:r>
      <w:r>
        <w:rPr>
          <w:rFonts w:eastAsia="Times New Roman"/>
          <w:vanish/>
        </w:rPr>
        <w:t>niqueMemberus-gaap:FairValueInputsLevel3Memberenb:FinancialForwardCommodityContractMember2021-03-310000895728srt:MaximumMembersrt:CrudeOilMemberus-gaap:MarketApproachValuationTechniqueMemberus-gaap:FairValueInputsLevel3Memberenb:FinancialForwardCommodityCo</w:t>
      </w:r>
      <w:r>
        <w:rPr>
          <w:rFonts w:eastAsia="Times New Roman"/>
          <w:vanish/>
        </w:rPr>
        <w:t>ntractMember2021-03-310000895728srt:WeightedAverageMembersrt:CrudeOilMemberus-gaap:MarketApproachValuationTechniqueMemberus-gaap:FairValueInputsLevel3Memberenb:FinancialForwardCommodityContractMember2021-03-310000895728us-gaap:FairValueMeasurementsRecurrin</w:t>
      </w:r>
      <w:r>
        <w:rPr>
          <w:rFonts w:eastAsia="Times New Roman"/>
          <w:vanish/>
        </w:rPr>
        <w:t>gMemberenb:PowerMemberus-gaap:MarketApproachValuationTechniqueMemberus-gaap:FairValueInputsLevel3Memberenb:FinancialForwardCommodityContractMember2021-03-31iso4217:CADutr:MWh0000895728srt:MinimumMemberenb:PowerMemberus-gaap:MarketApproachValuationTechnique</w:t>
      </w:r>
      <w:r>
        <w:rPr>
          <w:rFonts w:eastAsia="Times New Roman"/>
          <w:vanish/>
        </w:rPr>
        <w:t>Memberus-gaap:FairValueInputsLevel3Memberenb:FinancialForwardCommodityContractMember2021-03-310000895728srt:MaximumMemberenb:PowerMemberus-gaap:MarketApproachValuationTechniqueMemberus-gaap:FairValueInputsLevel3Memberenb:FinancialForwardCommodityContractMe</w:t>
      </w:r>
      <w:r>
        <w:rPr>
          <w:rFonts w:eastAsia="Times New Roman"/>
          <w:vanish/>
        </w:rPr>
        <w:t>mber2021-03-310000895728srt:WeightedAverageMemberenb:PowerMemberus-gaap:MarketApproachValuationTechniqueMemberus-gaap:FairValueInputsLevel3Memberenb:FinancialForwardCommodityContractMember2021-03-310000895728enb:PhysicalForwardCommodityContractMemberus-gaa</w:t>
      </w:r>
      <w:r>
        <w:rPr>
          <w:rFonts w:eastAsia="Times New Roman"/>
          <w:vanish/>
        </w:rPr>
        <w:t>p:FairValueMeasurementsRecurringMemberus-gaap:MarketApproachValuationTechniqueMemberus-gaap:FairValueInputsLevel3Membersrt:NaturalGasReservesMember2021-03-310000895728enb:PhysicalForwardCommodityContractMembersrt:MinimumMemberus-gaap:MarketApproachValuatio</w:t>
      </w:r>
      <w:r>
        <w:rPr>
          <w:rFonts w:eastAsia="Times New Roman"/>
          <w:vanish/>
        </w:rPr>
        <w:t>nTechniqueMemberus-gaap:FairValueInputsLevel3Membersrt:NaturalGasReservesMember2021-03-310000895728enb:PhysicalForwardCommodityContractMembersrt:MaximumMemberus-gaap:MarketApproachValuationTechniqueMemberus-gaap:FairValueInputsLevel3Membersrt:NaturalGasRes</w:t>
      </w:r>
      <w:r>
        <w:rPr>
          <w:rFonts w:eastAsia="Times New Roman"/>
          <w:vanish/>
        </w:rPr>
        <w:t>ervesMember2021-03-310000895728enb:PhysicalForwardCommodityContractMembersrt:WeightedAverageMemberus-gaap:MarketApproachValuationTechniqueMemberus-gaap:FairValueInputsLevel3Membersrt:NaturalGasReservesMember2021-03-310000895728enb:PhysicalForwardCommodityC</w:t>
      </w:r>
      <w:r>
        <w:rPr>
          <w:rFonts w:eastAsia="Times New Roman"/>
          <w:vanish/>
        </w:rPr>
        <w:t>ontractMemberus-gaap:FairValueMeasurementsRecurringMembersrt:CrudeOilMemberus-gaap:MarketApproachValuationTechniqueMemberus-gaap:FairValueInputsLevel3Member2021-03-310000895728enb:PhysicalForwardCommodityContractMembersrt:CrudeOilMembersrt:MinimumMemberus-</w:t>
      </w:r>
      <w:r>
        <w:rPr>
          <w:rFonts w:eastAsia="Times New Roman"/>
          <w:vanish/>
        </w:rPr>
        <w:t>gaap:MarketApproachValuationTechniqueMemberus-gaap:FairValueInputsLevel3Member2021-03-310000895728enb:PhysicalForwardCommodityContractMembersrt:MaximumMembersrt:CrudeOilMemberus-gaap:MarketApproachValuationTechniqueMemberus-gaap:FairValueInputsLevel3Member</w:t>
      </w:r>
      <w:r>
        <w:rPr>
          <w:rFonts w:eastAsia="Times New Roman"/>
          <w:vanish/>
        </w:rPr>
        <w:t>2021-03-310000895728enb:PhysicalForwardCommodityContractMembersrt:WeightedAverageMembersrt:CrudeOilMemberus-gaap:MarketApproachValuationTechniqueMemberus-gaap:FairValueInputsLevel3Member2021-03-310000895728enb:PhysicalForwardCommodityContractMemberus-gaap:</w:t>
      </w:r>
      <w:r>
        <w:rPr>
          <w:rFonts w:eastAsia="Times New Roman"/>
          <w:vanish/>
        </w:rPr>
        <w:t>FairValueMeasurementsRecurringMemberus-gaap:MarketApproachValuationTechniqueMemberus-gaap:FairValueInputsLevel3Membersrt:NaturalGasLiquidsReservesMember2021-03-31iso4217:CADenb:Gallon-gal0000895728enb:PhysicalForwardCommodityContractMembersrt:MinimumMember</w:t>
      </w:r>
      <w:r>
        <w:rPr>
          <w:rFonts w:eastAsia="Times New Roman"/>
          <w:vanish/>
        </w:rPr>
        <w:t>us-gaap:MarketApproachValuationTechniqueMemberus-gaap:FairValueInputsLevel3Membersrt:NaturalGasLiquidsReservesMember2021-03-310000895728enb:PhysicalForwardCommodityContractMembersrt:MaximumMemberus-gaap:MarketApproachValuationTechniqueMemberus-gaap:FairVal</w:t>
      </w:r>
      <w:r>
        <w:rPr>
          <w:rFonts w:eastAsia="Times New Roman"/>
          <w:vanish/>
        </w:rPr>
        <w:t>ueInputsLevel3Membersrt:NaturalGasLiquidsReservesMember2021-03-310000895728enb:PhysicalForwardCommodityContractMembersrt:WeightedAverageMemberus-gaap:MarketApproachValuationTechniqueMemberus-gaap:FairValueInputsLevel3Membersrt:NaturalGasLiquidsReservesMemb</w:t>
      </w:r>
      <w:r>
        <w:rPr>
          <w:rFonts w:eastAsia="Times New Roman"/>
          <w:vanish/>
        </w:rPr>
        <w:t>er2021-03-310000895728us-gaap:NetInvestmentHedgingMember2021-01-012021-03-310000895728us-gaap:NetInvestmentHedgingMember2020-01-012020-03-310000895728us-gaap:EstimateOfFairValueFairValueDisclosureMember2021-03-310000895728us-gaap:EstimateOfFairValueFairVal</w:t>
      </w:r>
      <w:r>
        <w:rPr>
          <w:rFonts w:eastAsia="Times New Roman"/>
          <w:vanish/>
        </w:rPr>
        <w:t>ueDisclosureMember2020-12-310000895728us-gaap:PreferredStockMember2021-03-310000895728us-gaap:PreferredStockMember2020-12-310000895728us-gaap:PreferredStockMember2021-01-012021-03-310000895728us-gaap:CarryingReportedAmountFairValueDisclosureMember2021-03-3</w:t>
      </w:r>
      <w:r>
        <w:rPr>
          <w:rFonts w:eastAsia="Times New Roman"/>
          <w:vanish/>
        </w:rPr>
        <w:t>10000895728us-gaap:CarryingReportedAmountFairValueDisclosureMember2020-12-31</w:t>
      </w:r>
    </w:p>
    <w:p w:rsidR="00000000" w:rsidRDefault="009E01B0">
      <w:pPr>
        <w:jc w:val="center"/>
        <w:divId w:val="751584815"/>
        <w:rPr>
          <w:rFonts w:eastAsia="Times New Roman"/>
        </w:rPr>
      </w:pPr>
    </w:p>
    <w:p w:rsidR="00000000" w:rsidRDefault="009E01B0">
      <w:pPr>
        <w:jc w:val="center"/>
        <w:divId w:val="75158481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446079898"/>
          <w:jc w:val="center"/>
        </w:trPr>
        <w:tc>
          <w:tcPr>
            <w:tcW w:w="50" w:type="pct"/>
            <w:vAlign w:val="center"/>
            <w:hideMark/>
          </w:tcPr>
          <w:p w:rsidR="00000000" w:rsidRDefault="009E01B0">
            <w:pPr>
              <w:jc w:val="center"/>
              <w:rPr>
                <w:rFonts w:eastAsia="Times New Roman"/>
              </w:rPr>
            </w:pPr>
          </w:p>
        </w:tc>
        <w:tc>
          <w:tcPr>
            <w:tcW w:w="494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446079898"/>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bl>
    <w:p w:rsidR="00000000" w:rsidRDefault="009E01B0">
      <w:pPr>
        <w:jc w:val="center"/>
        <w:rPr>
          <w:rFonts w:eastAsia="Times New Roman"/>
        </w:rPr>
      </w:pPr>
    </w:p>
    <w:p w:rsidR="00000000" w:rsidRDefault="009E01B0">
      <w:pPr>
        <w:jc w:val="center"/>
        <w:rPr>
          <w:rFonts w:eastAsia="Times New Roman"/>
        </w:rPr>
      </w:pPr>
      <w:r>
        <w:rPr>
          <w:rFonts w:ascii="Arial" w:eastAsia="Times New Roman" w:hAnsi="Arial" w:cs="Arial"/>
          <w:b/>
          <w:bCs/>
          <w:color w:val="000000"/>
          <w:sz w:val="26"/>
          <w:szCs w:val="26"/>
        </w:rPr>
        <w:t>UNITED STATES</w:t>
      </w:r>
    </w:p>
    <w:p w:rsidR="00000000" w:rsidRDefault="009E01B0">
      <w:pPr>
        <w:jc w:val="center"/>
        <w:rPr>
          <w:rFonts w:eastAsia="Times New Roman"/>
        </w:rPr>
      </w:pPr>
      <w:r>
        <w:rPr>
          <w:rFonts w:ascii="Arial" w:eastAsia="Times New Roman" w:hAnsi="Arial" w:cs="Arial"/>
          <w:b/>
          <w:bCs/>
          <w:color w:val="000000"/>
          <w:sz w:val="26"/>
          <w:szCs w:val="26"/>
        </w:rPr>
        <w:t>SECURITIES AND EXCHANGE COMMISSION</w:t>
      </w:r>
    </w:p>
    <w:p w:rsidR="00000000" w:rsidRDefault="009E01B0">
      <w:pPr>
        <w:jc w:val="center"/>
        <w:rPr>
          <w:rFonts w:eastAsia="Times New Roman"/>
        </w:rPr>
      </w:pPr>
      <w:r>
        <w:rPr>
          <w:rFonts w:ascii="Arial" w:eastAsia="Times New Roman" w:hAnsi="Arial" w:cs="Arial"/>
          <w:b/>
          <w:bCs/>
          <w:color w:val="000000"/>
        </w:rPr>
        <w:t>Washington, D.C. 20549</w:t>
      </w:r>
    </w:p>
    <w:tbl>
      <w:tblPr>
        <w:tblW w:w="1500" w:type="dxa"/>
        <w:jc w:val="center"/>
        <w:tblCellMar>
          <w:top w:w="15" w:type="dxa"/>
          <w:left w:w="15" w:type="dxa"/>
          <w:bottom w:w="15" w:type="dxa"/>
          <w:right w:w="15" w:type="dxa"/>
        </w:tblCellMar>
        <w:tblLook w:val="04A0" w:firstRow="1" w:lastRow="0" w:firstColumn="1" w:lastColumn="0" w:noHBand="0" w:noVBand="1"/>
      </w:tblPr>
      <w:tblGrid>
        <w:gridCol w:w="36"/>
        <w:gridCol w:w="781"/>
        <w:gridCol w:w="36"/>
        <w:gridCol w:w="36"/>
        <w:gridCol w:w="575"/>
        <w:gridCol w:w="36"/>
      </w:tblGrid>
      <w:tr w:rsidR="00000000">
        <w:trPr>
          <w:divId w:val="1518226826"/>
          <w:jc w:val="center"/>
        </w:trPr>
        <w:tc>
          <w:tcPr>
            <w:tcW w:w="20" w:type="dxa"/>
            <w:vAlign w:val="center"/>
            <w:hideMark/>
          </w:tcPr>
          <w:p w:rsidR="00000000" w:rsidRDefault="009E01B0">
            <w:pPr>
              <w:jc w:val="center"/>
              <w:rPr>
                <w:rFonts w:eastAsia="Times New Roman"/>
              </w:rPr>
            </w:pPr>
          </w:p>
        </w:tc>
        <w:tc>
          <w:tcPr>
            <w:tcW w:w="80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62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r>
      <w:tr w:rsidR="00000000">
        <w:trPr>
          <w:divId w:val="1518226826"/>
          <w:trHeight w:val="240"/>
          <w:jc w:val="center"/>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9E01B0">
            <w:pPr>
              <w:jc w:val="right"/>
              <w:divId w:val="1217277309"/>
              <w:rPr>
                <w:rFonts w:eastAsia="Times New Roman"/>
              </w:rPr>
            </w:pPr>
            <w:r>
              <w:rPr>
                <w:rFonts w:ascii="Arial" w:eastAsia="Times New Roman" w:hAnsi="Arial" w:cs="Arial"/>
                <w:b/>
                <w:bCs/>
                <w:color w:val="000000"/>
              </w:rPr>
              <w:t>FORM</w:t>
            </w: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9E01B0">
            <w:pPr>
              <w:divId w:val="701711988"/>
              <w:rPr>
                <w:rFonts w:eastAsia="Times New Roman"/>
              </w:rPr>
            </w:pPr>
            <w:r>
              <w:rPr>
                <w:rFonts w:ascii="Arial" w:eastAsia="Times New Roman" w:hAnsi="Arial" w:cs="Arial"/>
                <w:b/>
                <w:bCs/>
                <w:color w:val="000000"/>
              </w:rPr>
              <w:t>10-Q</w:t>
            </w:r>
          </w:p>
        </w:tc>
      </w:tr>
    </w:tbl>
    <w:tbl>
      <w:tblPr>
        <w:tblW w:w="10230" w:type="dxa"/>
        <w:jc w:val="center"/>
        <w:tblCellMar>
          <w:top w:w="15" w:type="dxa"/>
          <w:left w:w="15" w:type="dxa"/>
          <w:bottom w:w="15" w:type="dxa"/>
          <w:right w:w="15" w:type="dxa"/>
        </w:tblCellMar>
        <w:tblLook w:val="04A0" w:firstRow="1" w:lastRow="0" w:firstColumn="1" w:lastColumn="0" w:noHBand="0" w:noVBand="1"/>
      </w:tblPr>
      <w:tblGrid>
        <w:gridCol w:w="36"/>
        <w:gridCol w:w="555"/>
        <w:gridCol w:w="36"/>
        <w:gridCol w:w="38"/>
        <w:gridCol w:w="38"/>
        <w:gridCol w:w="38"/>
        <w:gridCol w:w="36"/>
        <w:gridCol w:w="9417"/>
        <w:gridCol w:w="36"/>
      </w:tblGrid>
      <w:tr w:rsidR="00000000">
        <w:trPr>
          <w:jc w:val="center"/>
        </w:trPr>
        <w:tc>
          <w:tcPr>
            <w:tcW w:w="20" w:type="dxa"/>
            <w:vAlign w:val="center"/>
            <w:hideMark/>
          </w:tcPr>
          <w:p w:rsidR="00000000" w:rsidRDefault="009E01B0">
            <w:pPr>
              <w:jc w:val="center"/>
              <w:rPr>
                <w:rFonts w:eastAsia="Times New Roman"/>
              </w:rPr>
            </w:pPr>
          </w:p>
        </w:tc>
        <w:tc>
          <w:tcPr>
            <w:tcW w:w="56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35"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9515"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r>
      <w:tr w:rsidR="00000000">
        <w:trPr>
          <w:trHeight w:val="420"/>
          <w:jc w:val="center"/>
        </w:trPr>
        <w:tc>
          <w:tcPr>
            <w:tcW w:w="0" w:type="auto"/>
            <w:gridSpan w:val="3"/>
            <w:tcMar>
              <w:top w:w="30" w:type="dxa"/>
              <w:left w:w="20" w:type="dxa"/>
              <w:bottom w:w="30" w:type="dxa"/>
              <w:right w:w="20" w:type="dxa"/>
            </w:tcMar>
            <w:hideMark/>
          </w:tcPr>
          <w:p w:rsidR="00000000" w:rsidRDefault="009E01B0">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9E01B0">
            <w:pPr>
              <w:jc w:val="center"/>
              <w:rPr>
                <w:rFonts w:eastAsia="Times New Roman"/>
              </w:rPr>
            </w:pPr>
            <w:r>
              <w:rPr>
                <w:rFonts w:ascii="Arial" w:eastAsia="Times New Roman" w:hAnsi="Arial" w:cs="Arial"/>
                <w:b/>
                <w:bCs/>
                <w:color w:val="000000"/>
                <w:sz w:val="26"/>
                <w:szCs w:val="26"/>
              </w:rPr>
              <w:t> </w:t>
            </w:r>
          </w:p>
        </w:tc>
        <w:tc>
          <w:tcPr>
            <w:tcW w:w="0" w:type="auto"/>
            <w:gridSpan w:val="3"/>
            <w:tcMar>
              <w:top w:w="30" w:type="dxa"/>
              <w:left w:w="20" w:type="dxa"/>
              <w:bottom w:w="30" w:type="dxa"/>
              <w:right w:w="20" w:type="dxa"/>
            </w:tcMar>
            <w:hideMark/>
          </w:tcPr>
          <w:p w:rsidR="00000000" w:rsidRDefault="009E01B0">
            <w:pPr>
              <w:jc w:val="center"/>
              <w:rPr>
                <w:rFonts w:eastAsia="Times New Roman"/>
              </w:rPr>
            </w:pPr>
            <w:r>
              <w:rPr>
                <w:rFonts w:ascii="Arial" w:eastAsia="Times New Roman" w:hAnsi="Arial" w:cs="Arial"/>
                <w:b/>
                <w:bCs/>
                <w:color w:val="000000"/>
                <w:sz w:val="20"/>
                <w:szCs w:val="20"/>
              </w:rPr>
              <w:t>QUARTERLY REPORT PURSUANT TO SECTION 13 OR 15(d) OF THE</w:t>
            </w:r>
          </w:p>
          <w:p w:rsidR="00000000" w:rsidRDefault="009E01B0">
            <w:pPr>
              <w:jc w:val="center"/>
              <w:rPr>
                <w:rFonts w:eastAsia="Times New Roman"/>
              </w:rPr>
            </w:pPr>
            <w:r>
              <w:rPr>
                <w:rFonts w:ascii="Arial" w:eastAsia="Times New Roman" w:hAnsi="Arial" w:cs="Arial"/>
                <w:b/>
                <w:bCs/>
                <w:color w:val="000000"/>
                <w:sz w:val="20"/>
                <w:szCs w:val="20"/>
              </w:rPr>
              <w:t>SECURITIES EXCHANGE ACT OF 1934</w:t>
            </w:r>
          </w:p>
        </w:tc>
      </w:tr>
    </w:tbl>
    <w:p w:rsidR="00000000" w:rsidRDefault="009E01B0">
      <w:pPr>
        <w:jc w:val="center"/>
        <w:divId w:val="1888830799"/>
        <w:rPr>
          <w:rFonts w:eastAsia="Times New Roman"/>
        </w:rPr>
      </w:pPr>
      <w:r>
        <w:rPr>
          <w:rFonts w:ascii="Arial" w:eastAsia="Times New Roman" w:hAnsi="Arial" w:cs="Arial"/>
          <w:b/>
          <w:bCs/>
          <w:color w:val="000000"/>
          <w:sz w:val="20"/>
          <w:szCs w:val="20"/>
        </w:rPr>
        <w:t>For the quarterly period ended March 31, 2021</w:t>
      </w:r>
      <w:r>
        <w:rPr>
          <w:rFonts w:ascii="Arial" w:eastAsia="Times New Roman" w:hAnsi="Arial" w:cs="Arial"/>
          <w:color w:val="000000"/>
          <w:sz w:val="20"/>
          <w:szCs w:val="20"/>
        </w:rPr>
        <w:t xml:space="preserve"> </w:t>
      </w:r>
    </w:p>
    <w:p w:rsidR="00000000" w:rsidRDefault="009E01B0">
      <w:pPr>
        <w:jc w:val="center"/>
        <w:divId w:val="176234072"/>
        <w:rPr>
          <w:rFonts w:eastAsia="Times New Roman"/>
        </w:rPr>
      </w:pPr>
      <w:r>
        <w:rPr>
          <w:rFonts w:ascii="Arial" w:eastAsia="Times New Roman" w:hAnsi="Arial" w:cs="Arial"/>
          <w:b/>
          <w:bCs/>
          <w:color w:val="000000"/>
          <w:sz w:val="20"/>
          <w:szCs w:val="20"/>
        </w:rPr>
        <w:t>OR</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540"/>
        <w:gridCol w:w="36"/>
        <w:gridCol w:w="38"/>
        <w:gridCol w:w="38"/>
        <w:gridCol w:w="38"/>
        <w:gridCol w:w="36"/>
        <w:gridCol w:w="9447"/>
        <w:gridCol w:w="36"/>
      </w:tblGrid>
      <w:tr w:rsidR="00000000">
        <w:trPr>
          <w:divId w:val="1834951229"/>
          <w:jc w:val="center"/>
        </w:trPr>
        <w:tc>
          <w:tcPr>
            <w:tcW w:w="20" w:type="dxa"/>
            <w:vAlign w:val="center"/>
            <w:hideMark/>
          </w:tcPr>
          <w:p w:rsidR="00000000" w:rsidRDefault="009E01B0">
            <w:pPr>
              <w:jc w:val="center"/>
              <w:rPr>
                <w:rFonts w:eastAsia="Times New Roman"/>
              </w:rPr>
            </w:pPr>
          </w:p>
        </w:tc>
        <w:tc>
          <w:tcPr>
            <w:tcW w:w="545"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35"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9545"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r>
      <w:tr w:rsidR="00000000">
        <w:trPr>
          <w:divId w:val="1834951229"/>
          <w:trHeight w:val="420"/>
          <w:jc w:val="center"/>
        </w:trPr>
        <w:tc>
          <w:tcPr>
            <w:tcW w:w="0" w:type="auto"/>
            <w:gridSpan w:val="3"/>
            <w:tcMar>
              <w:top w:w="30" w:type="dxa"/>
              <w:left w:w="20" w:type="dxa"/>
              <w:bottom w:w="30" w:type="dxa"/>
              <w:right w:w="20" w:type="dxa"/>
            </w:tcMar>
            <w:hideMark/>
          </w:tcPr>
          <w:p w:rsidR="00000000" w:rsidRDefault="009E01B0">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9E01B0">
            <w:pPr>
              <w:jc w:val="center"/>
              <w:rPr>
                <w:rFonts w:eastAsia="Times New Roman"/>
              </w:rPr>
            </w:pPr>
            <w:r>
              <w:rPr>
                <w:rFonts w:ascii="Arial" w:eastAsia="Times New Roman" w:hAnsi="Arial" w:cs="Arial"/>
                <w:b/>
                <w:bCs/>
                <w:color w:val="000000"/>
                <w:sz w:val="26"/>
                <w:szCs w:val="26"/>
              </w:rPr>
              <w:t> </w:t>
            </w:r>
          </w:p>
        </w:tc>
        <w:tc>
          <w:tcPr>
            <w:tcW w:w="0" w:type="auto"/>
            <w:gridSpan w:val="3"/>
            <w:tcMar>
              <w:top w:w="30" w:type="dxa"/>
              <w:left w:w="20" w:type="dxa"/>
              <w:bottom w:w="30" w:type="dxa"/>
              <w:right w:w="20" w:type="dxa"/>
            </w:tcMar>
            <w:hideMark/>
          </w:tcPr>
          <w:p w:rsidR="00000000" w:rsidRDefault="009E01B0">
            <w:pPr>
              <w:jc w:val="center"/>
              <w:rPr>
                <w:rFonts w:eastAsia="Times New Roman"/>
              </w:rPr>
            </w:pPr>
            <w:r>
              <w:rPr>
                <w:rFonts w:ascii="Arial" w:eastAsia="Times New Roman" w:hAnsi="Arial" w:cs="Arial"/>
                <w:b/>
                <w:bCs/>
                <w:color w:val="000000"/>
                <w:sz w:val="20"/>
                <w:szCs w:val="20"/>
              </w:rPr>
              <w:t>TRANSITION REPORT PURSUANT TO SECTION 13 OR 15(d) OF THE</w:t>
            </w:r>
          </w:p>
          <w:p w:rsidR="00000000" w:rsidRDefault="009E01B0">
            <w:pPr>
              <w:jc w:val="center"/>
              <w:rPr>
                <w:rFonts w:eastAsia="Times New Roman"/>
              </w:rPr>
            </w:pPr>
            <w:r>
              <w:rPr>
                <w:rFonts w:ascii="Arial" w:eastAsia="Times New Roman" w:hAnsi="Arial" w:cs="Arial"/>
                <w:b/>
                <w:bCs/>
                <w:color w:val="000000"/>
                <w:sz w:val="20"/>
                <w:szCs w:val="20"/>
              </w:rPr>
              <w:t>SECURITIES EXCHANGE ACT OF 1934</w:t>
            </w:r>
          </w:p>
        </w:tc>
      </w:tr>
    </w:tbl>
    <w:p w:rsidR="00000000" w:rsidRDefault="009E01B0">
      <w:pPr>
        <w:jc w:val="center"/>
        <w:divId w:val="242683768"/>
        <w:rPr>
          <w:rFonts w:eastAsia="Times New Roman"/>
        </w:rPr>
      </w:pPr>
      <w:r>
        <w:rPr>
          <w:rFonts w:ascii="Arial" w:eastAsia="Times New Roman" w:hAnsi="Arial" w:cs="Arial"/>
          <w:b/>
          <w:bCs/>
          <w:color w:val="000000"/>
          <w:sz w:val="20"/>
          <w:szCs w:val="20"/>
        </w:rPr>
        <w:t>For the transition period from            to           </w:t>
      </w:r>
    </w:p>
    <w:p w:rsidR="00000000" w:rsidRDefault="009E01B0">
      <w:pPr>
        <w:jc w:val="center"/>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color w:val="000000"/>
          <w:sz w:val="20"/>
          <w:szCs w:val="20"/>
        </w:rPr>
        <w:t>1-10934</w:t>
      </w:r>
      <w:r>
        <w:rPr>
          <w:rFonts w:ascii="Arial" w:eastAsia="Times New Roman" w:hAnsi="Arial" w:cs="Arial"/>
          <w:b/>
          <w:bCs/>
          <w:color w:val="000000"/>
          <w:sz w:val="20"/>
          <w:szCs w:val="20"/>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3347"/>
        <w:gridCol w:w="36"/>
        <w:gridCol w:w="36"/>
        <w:gridCol w:w="3351"/>
        <w:gridCol w:w="36"/>
        <w:gridCol w:w="36"/>
        <w:gridCol w:w="3346"/>
        <w:gridCol w:w="36"/>
      </w:tblGrid>
      <w:tr w:rsidR="00000000">
        <w:trPr>
          <w:divId w:val="54280225"/>
          <w:jc w:val="center"/>
        </w:trPr>
        <w:tc>
          <w:tcPr>
            <w:tcW w:w="20" w:type="dxa"/>
            <w:vAlign w:val="center"/>
            <w:hideMark/>
          </w:tcPr>
          <w:p w:rsidR="00000000" w:rsidRDefault="009E01B0">
            <w:pPr>
              <w:jc w:val="center"/>
              <w:rPr>
                <w:rFonts w:eastAsia="Times New Roman"/>
              </w:rPr>
            </w:pPr>
          </w:p>
        </w:tc>
        <w:tc>
          <w:tcPr>
            <w:tcW w:w="338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338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338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r>
      <w:tr w:rsidR="00000000">
        <w:trPr>
          <w:divId w:val="54280225"/>
          <w:trHeight w:val="880"/>
          <w:jc w:val="center"/>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0" w:type="dxa"/>
              <w:left w:w="20" w:type="dxa"/>
              <w:bottom w:w="0" w:type="dxa"/>
              <w:right w:w="20" w:type="dxa"/>
            </w:tcMar>
            <w:vAlign w:val="center"/>
            <w:hideMark/>
          </w:tcPr>
          <w:p w:rsidR="00000000" w:rsidRDefault="009E01B0">
            <w:pPr>
              <w:jc w:val="center"/>
              <w:rPr>
                <w:rFonts w:eastAsia="Times New Roman"/>
              </w:rPr>
            </w:pPr>
          </w:p>
        </w:tc>
      </w:tr>
      <w:tr w:rsidR="00000000">
        <w:trPr>
          <w:divId w:val="54280225"/>
          <w:trHeight w:val="300"/>
          <w:jc w:val="center"/>
        </w:trPr>
        <w:tc>
          <w:tcPr>
            <w:tcW w:w="0" w:type="auto"/>
            <w:gridSpan w:val="9"/>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b/>
                <w:bCs/>
                <w:color w:val="000000"/>
              </w:rPr>
              <w:t>ENBRIDGE INC.</w:t>
            </w:r>
          </w:p>
        </w:tc>
      </w:tr>
      <w:tr w:rsidR="00000000">
        <w:trPr>
          <w:divId w:val="54280225"/>
          <w:trHeight w:val="240"/>
          <w:jc w:val="center"/>
        </w:trPr>
        <w:tc>
          <w:tcPr>
            <w:tcW w:w="0" w:type="auto"/>
            <w:gridSpan w:val="9"/>
            <w:tcMar>
              <w:top w:w="30" w:type="dxa"/>
              <w:left w:w="20" w:type="dxa"/>
              <w:bottom w:w="30" w:type="dxa"/>
              <w:right w:w="20" w:type="dxa"/>
            </w:tcMar>
            <w:vAlign w:val="bottom"/>
            <w:hideMark/>
          </w:tcPr>
          <w:p w:rsidR="00000000" w:rsidRDefault="009E01B0">
            <w:pPr>
              <w:ind w:firstLine="45"/>
              <w:jc w:val="center"/>
              <w:rPr>
                <w:rFonts w:eastAsia="Times New Roman"/>
              </w:rPr>
            </w:pPr>
            <w:r>
              <w:rPr>
                <w:rFonts w:ascii="Arial" w:eastAsia="Times New Roman" w:hAnsi="Arial" w:cs="Arial"/>
                <w:color w:val="000000"/>
                <w:sz w:val="16"/>
                <w:szCs w:val="16"/>
              </w:rPr>
              <w:t>(Exact Name of Registrant as Specified in Its Charter)</w:t>
            </w:r>
          </w:p>
        </w:tc>
      </w:tr>
    </w:tbl>
    <w:tbl>
      <w:tblPr>
        <w:tblW w:w="4992" w:type="pct"/>
        <w:tblCellMar>
          <w:top w:w="15" w:type="dxa"/>
          <w:left w:w="15" w:type="dxa"/>
          <w:bottom w:w="15" w:type="dxa"/>
          <w:right w:w="15" w:type="dxa"/>
        </w:tblCellMar>
        <w:tblLook w:val="04A0" w:firstRow="1" w:lastRow="0" w:firstColumn="1" w:lastColumn="0" w:noHBand="0" w:noVBand="1"/>
      </w:tblPr>
      <w:tblGrid>
        <w:gridCol w:w="69"/>
        <w:gridCol w:w="3865"/>
        <w:gridCol w:w="36"/>
        <w:gridCol w:w="69"/>
        <w:gridCol w:w="246"/>
        <w:gridCol w:w="36"/>
        <w:gridCol w:w="70"/>
        <w:gridCol w:w="3866"/>
        <w:gridCol w:w="36"/>
      </w:tblGrid>
      <w:tr w:rsidR="00000000">
        <w:tc>
          <w:tcPr>
            <w:tcW w:w="50" w:type="pct"/>
            <w:vAlign w:val="center"/>
            <w:hideMark/>
          </w:tcPr>
          <w:p w:rsidR="00000000" w:rsidRDefault="009E01B0">
            <w:pPr>
              <w:jc w:val="center"/>
              <w:rPr>
                <w:rFonts w:eastAsia="Times New Roman"/>
              </w:rPr>
            </w:pPr>
          </w:p>
        </w:tc>
        <w:tc>
          <w:tcPr>
            <w:tcW w:w="2338"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15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2338"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b/>
                <w:bCs/>
                <w:color w:val="000000"/>
                <w:sz w:val="20"/>
                <w:szCs w:val="20"/>
              </w:rPr>
              <w:t>Canada</w:t>
            </w:r>
          </w:p>
        </w:tc>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hideMark/>
          </w:tcPr>
          <w:p w:rsidR="00000000" w:rsidRDefault="009E01B0">
            <w:pPr>
              <w:jc w:val="center"/>
              <w:rPr>
                <w:rFonts w:eastAsia="Times New Roman"/>
              </w:rPr>
            </w:pPr>
            <w:r>
              <w:rPr>
                <w:rFonts w:ascii="Arial" w:eastAsia="Times New Roman" w:hAnsi="Arial" w:cs="Arial"/>
                <w:b/>
                <w:bCs/>
                <w:color w:val="000000"/>
                <w:sz w:val="20"/>
                <w:szCs w:val="20"/>
              </w:rPr>
              <w:t>98-0377957</w:t>
            </w:r>
          </w:p>
        </w:tc>
      </w:tr>
      <w:tr w:rsidR="00000000">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(State or Other Jurisdiction of</w:t>
            </w:r>
          </w:p>
          <w:p w:rsidR="00000000" w:rsidRDefault="009E01B0">
            <w:pPr>
              <w:jc w:val="center"/>
              <w:rPr>
                <w:rFonts w:eastAsia="Times New Roman"/>
              </w:rPr>
            </w:pPr>
            <w:r>
              <w:rPr>
                <w:rFonts w:ascii="Arial" w:eastAsia="Times New Roman" w:hAnsi="Arial" w:cs="Arial"/>
                <w:color w:val="000000"/>
                <w:sz w:val="20"/>
                <w:szCs w:val="20"/>
              </w:rPr>
              <w:t>Incorporation or Organization)</w:t>
            </w:r>
          </w:p>
        </w:tc>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(I.R.S. Employer</w:t>
            </w:r>
          </w:p>
          <w:p w:rsidR="00000000" w:rsidRDefault="009E01B0">
            <w:pPr>
              <w:jc w:val="center"/>
              <w:rPr>
                <w:rFonts w:eastAsia="Times New Roman"/>
              </w:rPr>
            </w:pPr>
            <w:r>
              <w:rPr>
                <w:rFonts w:ascii="Arial" w:eastAsia="Times New Roman" w:hAnsi="Arial" w:cs="Arial"/>
                <w:color w:val="000000"/>
                <w:sz w:val="20"/>
                <w:szCs w:val="20"/>
              </w:rPr>
              <w:t>Identification No.)</w:t>
            </w:r>
          </w:p>
        </w:tc>
      </w:tr>
    </w:tbl>
    <w:p w:rsidR="00000000" w:rsidRDefault="009E01B0">
      <w:pPr>
        <w:jc w:val="center"/>
        <w:rPr>
          <w:rFonts w:eastAsia="Times New Roman"/>
        </w:rPr>
      </w:pPr>
      <w:r>
        <w:rPr>
          <w:rFonts w:ascii="Arial" w:eastAsia="Times New Roman" w:hAnsi="Arial" w:cs="Arial"/>
          <w:color w:val="000000"/>
          <w:sz w:val="20"/>
          <w:szCs w:val="20"/>
        </w:rPr>
        <w:t>200, 425 - 1st Street S.W.</w:t>
      </w:r>
      <w:r>
        <w:rPr>
          <w:rFonts w:ascii="Arial" w:eastAsia="Times New Roman" w:hAnsi="Arial" w:cs="Arial"/>
          <w:b/>
          <w:bCs/>
          <w:color w:val="000000"/>
          <w:sz w:val="20"/>
          <w:szCs w:val="20"/>
        </w:rPr>
        <w:t xml:space="preserve"> </w:t>
      </w:r>
    </w:p>
    <w:p w:rsidR="00000000" w:rsidRDefault="009E01B0">
      <w:pPr>
        <w:jc w:val="center"/>
        <w:rPr>
          <w:rFonts w:eastAsia="Times New Roman"/>
        </w:rPr>
      </w:pPr>
      <w:r>
        <w:rPr>
          <w:rFonts w:ascii="Arial" w:eastAsia="Times New Roman" w:hAnsi="Arial" w:cs="Arial"/>
          <w:color w:val="000000"/>
          <w:sz w:val="20"/>
          <w:szCs w:val="20"/>
        </w:rPr>
        <w:t>Calgary</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Alberta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Canada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T2P 3L8</w:t>
      </w:r>
      <w:r>
        <w:rPr>
          <w:rFonts w:ascii="Arial" w:eastAsia="Times New Roman" w:hAnsi="Arial" w:cs="Arial"/>
          <w:b/>
          <w:bCs/>
          <w:color w:val="000000"/>
          <w:sz w:val="20"/>
          <w:szCs w:val="20"/>
        </w:rPr>
        <w:t xml:space="preserve"> </w:t>
      </w:r>
    </w:p>
    <w:p w:rsidR="00000000" w:rsidRDefault="009E01B0">
      <w:pPr>
        <w:ind w:firstLine="45"/>
        <w:jc w:val="center"/>
        <w:rPr>
          <w:rFonts w:eastAsia="Times New Roman"/>
        </w:rPr>
      </w:pPr>
      <w:r>
        <w:rPr>
          <w:rFonts w:ascii="Arial" w:eastAsia="Times New Roman" w:hAnsi="Arial" w:cs="Arial"/>
          <w:color w:val="000000"/>
          <w:sz w:val="16"/>
          <w:szCs w:val="16"/>
        </w:rPr>
        <w:t>(Address of Principal Executive Offices) (Zip Code)</w:t>
      </w:r>
    </w:p>
    <w:p w:rsidR="00000000" w:rsidRDefault="009E01B0">
      <w:pPr>
        <w:ind w:firstLine="45"/>
        <w:jc w:val="center"/>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403</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231-3900</w:t>
      </w:r>
      <w:r>
        <w:rPr>
          <w:rFonts w:ascii="Arial" w:eastAsia="Times New Roman" w:hAnsi="Arial" w:cs="Arial"/>
          <w:b/>
          <w:bCs/>
          <w:color w:val="000000"/>
          <w:sz w:val="20"/>
          <w:szCs w:val="20"/>
        </w:rPr>
        <w:t xml:space="preserve"> </w:t>
      </w:r>
    </w:p>
    <w:p w:rsidR="00000000" w:rsidRDefault="009E01B0">
      <w:pPr>
        <w:ind w:firstLine="45"/>
        <w:jc w:val="center"/>
        <w:rPr>
          <w:rFonts w:eastAsia="Times New Roman"/>
        </w:rPr>
      </w:pPr>
      <w:r>
        <w:rPr>
          <w:rFonts w:ascii="Arial" w:eastAsia="Times New Roman" w:hAnsi="Arial" w:cs="Arial"/>
          <w:color w:val="000000"/>
          <w:sz w:val="16"/>
          <w:szCs w:val="16"/>
        </w:rPr>
        <w:t>(Registrant’s Telephone Number, Including Area Code)</w:t>
      </w:r>
    </w:p>
    <w:p w:rsidR="00000000" w:rsidRDefault="009E01B0">
      <w:pPr>
        <w:jc w:val="center"/>
        <w:rPr>
          <w:rFonts w:eastAsia="Times New Roman"/>
        </w:rPr>
      </w:pPr>
      <w:r>
        <w:rPr>
          <w:rFonts w:ascii="Arial" w:eastAsia="Times New Roman" w:hAnsi="Arial" w:cs="Arial"/>
          <w:color w:val="000000"/>
          <w:sz w:val="12"/>
          <w:szCs w:val="12"/>
        </w:rPr>
        <w:t>_______________________________</w:t>
      </w:r>
    </w:p>
    <w:p w:rsidR="00000000" w:rsidRDefault="009E01B0">
      <w:pPr>
        <w:ind w:firstLine="45"/>
        <w:jc w:val="center"/>
        <w:rPr>
          <w:rFonts w:eastAsia="Times New Roman"/>
        </w:rPr>
      </w:pPr>
      <w:r>
        <w:rPr>
          <w:rFonts w:ascii="Arial" w:eastAsia="Times New Roman" w:hAnsi="Arial" w:cs="Arial"/>
          <w:color w:val="000000"/>
          <w:sz w:val="18"/>
          <w:szCs w:val="18"/>
        </w:rPr>
        <w:t>Securities registered pursuant to Section 12(b) of the Act:</w:t>
      </w:r>
    </w:p>
    <w:tbl>
      <w:tblPr>
        <w:tblW w:w="4963" w:type="pct"/>
        <w:jc w:val="center"/>
        <w:tblCellMar>
          <w:top w:w="15" w:type="dxa"/>
          <w:left w:w="15" w:type="dxa"/>
          <w:bottom w:w="15" w:type="dxa"/>
          <w:right w:w="15" w:type="dxa"/>
        </w:tblCellMar>
        <w:tblLook w:val="04A0" w:firstRow="1" w:lastRow="0" w:firstColumn="1" w:lastColumn="0" w:noHBand="0" w:noVBand="1"/>
      </w:tblPr>
      <w:tblGrid>
        <w:gridCol w:w="57"/>
        <w:gridCol w:w="2363"/>
        <w:gridCol w:w="38"/>
        <w:gridCol w:w="36"/>
        <w:gridCol w:w="36"/>
        <w:gridCol w:w="36"/>
        <w:gridCol w:w="42"/>
        <w:gridCol w:w="1875"/>
        <w:gridCol w:w="36"/>
        <w:gridCol w:w="36"/>
        <w:gridCol w:w="36"/>
        <w:gridCol w:w="36"/>
        <w:gridCol w:w="41"/>
        <w:gridCol w:w="3541"/>
        <w:gridCol w:w="36"/>
      </w:tblGrid>
      <w:tr w:rsidR="00000000">
        <w:trPr>
          <w:divId w:val="384763575"/>
          <w:jc w:val="center"/>
        </w:trPr>
        <w:tc>
          <w:tcPr>
            <w:tcW w:w="50" w:type="pct"/>
            <w:vAlign w:val="center"/>
            <w:hideMark/>
          </w:tcPr>
          <w:p w:rsidR="00000000" w:rsidRDefault="009E01B0">
            <w:pPr>
              <w:ind w:firstLine="45"/>
              <w:jc w:val="center"/>
              <w:rPr>
                <w:rFonts w:eastAsia="Times New Roman"/>
              </w:rPr>
            </w:pPr>
          </w:p>
        </w:tc>
        <w:tc>
          <w:tcPr>
            <w:tcW w:w="144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26"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1152"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26"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216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384763575"/>
          <w:jc w:val="center"/>
        </w:trPr>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b/>
                <w:bCs/>
                <w:color w:val="000000"/>
                <w:sz w:val="20"/>
                <w:szCs w:val="20"/>
                <w:u w:val="single"/>
              </w:rPr>
              <w:t>Title of each class</w:t>
            </w:r>
          </w:p>
        </w:tc>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b/>
                <w:bCs/>
                <w:color w:val="000000"/>
                <w:sz w:val="20"/>
                <w:szCs w:val="20"/>
                <w:u w:val="single"/>
              </w:rPr>
              <w:t>Trading Symbol(s)</w:t>
            </w:r>
          </w:p>
        </w:tc>
        <w:tc>
          <w:tcPr>
            <w:tcW w:w="0" w:type="auto"/>
            <w:gridSpan w:val="3"/>
            <w:tcMar>
              <w:top w:w="0" w:type="dxa"/>
              <w:left w:w="20" w:type="dxa"/>
              <w:bottom w:w="0" w:type="dxa"/>
              <w:right w:w="20" w:type="dxa"/>
            </w:tcMar>
            <w:vAlign w:val="center"/>
            <w:hideMark/>
          </w:tcPr>
          <w:p w:rsidR="00000000" w:rsidRDefault="009E01B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b/>
                <w:bCs/>
                <w:color w:val="000000"/>
                <w:sz w:val="20"/>
                <w:szCs w:val="20"/>
                <w:u w:val="single"/>
              </w:rPr>
              <w:t>Name of each exchange on which registered</w:t>
            </w:r>
          </w:p>
        </w:tc>
      </w:tr>
      <w:tr w:rsidR="00000000">
        <w:trPr>
          <w:divId w:val="384763575"/>
          <w:jc w:val="center"/>
        </w:trPr>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Common Shares</w:t>
            </w:r>
          </w:p>
        </w:tc>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ENB</w:t>
            </w:r>
          </w:p>
        </w:tc>
        <w:tc>
          <w:tcPr>
            <w:tcW w:w="0" w:type="auto"/>
            <w:gridSpan w:val="3"/>
            <w:tcMar>
              <w:top w:w="0" w:type="dxa"/>
              <w:left w:w="20" w:type="dxa"/>
              <w:bottom w:w="0" w:type="dxa"/>
              <w:right w:w="20" w:type="dxa"/>
            </w:tcMar>
            <w:vAlign w:val="center"/>
            <w:hideMark/>
          </w:tcPr>
          <w:p w:rsidR="00000000" w:rsidRDefault="009E01B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New York Stock Exchange</w:t>
            </w:r>
          </w:p>
        </w:tc>
      </w:tr>
      <w:tr w:rsidR="00000000">
        <w:trPr>
          <w:divId w:val="384763575"/>
          <w:jc w:val="center"/>
        </w:trPr>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6.375% Fixed-to-Floating Rate Subordinated Notes Series 2018-B due 2078</w:t>
            </w:r>
          </w:p>
        </w:tc>
        <w:tc>
          <w:tcPr>
            <w:tcW w:w="0" w:type="auto"/>
            <w:gridSpan w:val="3"/>
            <w:tcMar>
              <w:top w:w="0" w:type="dxa"/>
              <w:left w:w="20" w:type="dxa"/>
              <w:bottom w:w="0" w:type="dxa"/>
              <w:right w:w="20" w:type="dxa"/>
            </w:tcMar>
            <w:vAlign w:val="center"/>
            <w:hideMark/>
          </w:tcPr>
          <w:p w:rsidR="00000000" w:rsidRDefault="009E01B0">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E01B0">
            <w:pPr>
              <w:jc w:val="center"/>
              <w:rPr>
                <w:rFonts w:eastAsia="Times New Roman"/>
              </w:rPr>
            </w:pPr>
            <w:r>
              <w:rPr>
                <w:rFonts w:ascii="Arial" w:eastAsia="Times New Roman" w:hAnsi="Arial" w:cs="Arial"/>
                <w:color w:val="000000"/>
                <w:sz w:val="20"/>
                <w:szCs w:val="20"/>
              </w:rPr>
              <w:t>ENBA</w:t>
            </w:r>
          </w:p>
        </w:tc>
        <w:tc>
          <w:tcPr>
            <w:tcW w:w="0" w:type="auto"/>
            <w:gridSpan w:val="3"/>
            <w:tcMar>
              <w:top w:w="0" w:type="dxa"/>
              <w:left w:w="20" w:type="dxa"/>
              <w:bottom w:w="0" w:type="dxa"/>
              <w:right w:w="20" w:type="dxa"/>
            </w:tcMar>
            <w:vAlign w:val="center"/>
            <w:hideMark/>
          </w:tcPr>
          <w:p w:rsidR="00000000" w:rsidRDefault="009E01B0">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E01B0">
            <w:pPr>
              <w:jc w:val="center"/>
              <w:rPr>
                <w:rFonts w:eastAsia="Times New Roman"/>
              </w:rPr>
            </w:pPr>
            <w:r>
              <w:rPr>
                <w:rFonts w:ascii="Arial" w:eastAsia="Times New Roman" w:hAnsi="Arial" w:cs="Arial"/>
                <w:color w:val="000000"/>
                <w:sz w:val="20"/>
                <w:szCs w:val="20"/>
              </w:rPr>
              <w:t>New York Stock Exchange</w:t>
            </w:r>
          </w:p>
        </w:tc>
      </w:tr>
    </w:tbl>
    <w:p w:rsidR="00000000" w:rsidRDefault="009E01B0">
      <w:pPr>
        <w:ind w:firstLine="45"/>
        <w:jc w:val="center"/>
        <w:rPr>
          <w:rFonts w:eastAsia="Times New Roman"/>
        </w:rPr>
      </w:pPr>
      <w:r>
        <w:rPr>
          <w:rFonts w:ascii="Arial" w:eastAsia="Times New Roman" w:hAnsi="Arial" w:cs="Arial"/>
          <w:color w:val="000000"/>
          <w:sz w:val="18"/>
          <w:szCs w:val="18"/>
        </w:rPr>
        <w:t xml:space="preserve">Securities registered pursuant to Section 12(g) of the Act: </w:t>
      </w:r>
      <w:r>
        <w:rPr>
          <w:rFonts w:ascii="Arial" w:eastAsia="Times New Roman" w:hAnsi="Arial" w:cs="Arial"/>
          <w:b/>
          <w:bCs/>
          <w:color w:val="000000"/>
          <w:sz w:val="18"/>
          <w:szCs w:val="18"/>
        </w:rPr>
        <w:t>None</w:t>
      </w:r>
    </w:p>
    <w:p w:rsidR="00000000" w:rsidRDefault="009E01B0">
      <w:pPr>
        <w:jc w:val="both"/>
        <w:divId w:val="922030743"/>
        <w:rPr>
          <w:rFonts w:eastAsia="Times New Roman"/>
        </w:rPr>
      </w:pPr>
      <w:r>
        <w:rPr>
          <w:rFonts w:ascii="Arial" w:eastAsia="Times New Roman" w:hAnsi="Arial" w:cs="Arial"/>
          <w:color w:val="000000"/>
          <w:sz w:val="16"/>
          <w:szCs w:val="16"/>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rFonts w:ascii="Arial" w:eastAsia="Times New Roman" w:hAnsi="Arial" w:cs="Arial"/>
          <w:color w:val="000000"/>
          <w:sz w:val="16"/>
          <w:szCs w:val="16"/>
        </w:rPr>
        <w:t>such reports), and (2) has been subject to such filing requirements for the past 90 days. Yes</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r>
        <w:rPr>
          <w:rFonts w:ascii="Wingdings" w:eastAsia="Times New Roman" w:hAnsi="Wingdings"/>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9E01B0">
      <w:pPr>
        <w:jc w:val="both"/>
        <w:divId w:val="896626610"/>
        <w:rPr>
          <w:rFonts w:eastAsia="Times New Roman"/>
        </w:rPr>
      </w:pPr>
      <w:r>
        <w:rPr>
          <w:rFonts w:ascii="Arial" w:eastAsia="Times New Roman" w:hAnsi="Arial" w:cs="Arial"/>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Arial" w:eastAsia="Times New Roman" w:hAnsi="Arial" w:cs="Arial"/>
          <w:color w:val="000000"/>
          <w:sz w:val="16"/>
          <w:szCs w:val="16"/>
        </w:rPr>
        <w:t>t the registrant was required to submit such files). Yes</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r>
        <w:rPr>
          <w:rFonts w:ascii="Wingdings" w:eastAsia="Times New Roman" w:hAnsi="Wingdings"/>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9E01B0">
      <w:pPr>
        <w:jc w:val="both"/>
        <w:rPr>
          <w:rFonts w:eastAsia="Times New Roman"/>
        </w:rPr>
      </w:pPr>
      <w:r>
        <w:rPr>
          <w:rFonts w:ascii="Arial" w:eastAsia="Times New Roman" w:hAnsi="Arial" w:cs="Arial"/>
          <w:color w:val="000000"/>
          <w:sz w:val="16"/>
          <w:szCs w:val="16"/>
        </w:rPr>
        <w:t>Indicate by check mark whether the registrant is a large accelerated filer, an accelerated filer, a non-accelerated filer, a smaller reporting company, or an emerging growth company. See the d</w:t>
      </w:r>
      <w:r>
        <w:rPr>
          <w:rFonts w:ascii="Arial" w:eastAsia="Times New Roman" w:hAnsi="Arial" w:cs="Arial"/>
          <w:color w:val="000000"/>
          <w:sz w:val="16"/>
          <w:szCs w:val="16"/>
        </w:rPr>
        <w:t>efinitions of “large accelerated filer,” “accelerated filer,” “smaller reporting company,” and “emerging growth company” in Rule 12b-2 of the Exchange Act.</w:t>
      </w:r>
    </w:p>
    <w:tbl>
      <w:tblPr>
        <w:tblW w:w="10260" w:type="dxa"/>
        <w:tblCellMar>
          <w:top w:w="15" w:type="dxa"/>
          <w:left w:w="15" w:type="dxa"/>
          <w:bottom w:w="15" w:type="dxa"/>
          <w:right w:w="15" w:type="dxa"/>
        </w:tblCellMar>
        <w:tblLook w:val="04A0" w:firstRow="1" w:lastRow="0" w:firstColumn="1" w:lastColumn="0" w:noHBand="0" w:noVBand="1"/>
      </w:tblPr>
      <w:tblGrid>
        <w:gridCol w:w="36"/>
        <w:gridCol w:w="1975"/>
        <w:gridCol w:w="36"/>
        <w:gridCol w:w="36"/>
        <w:gridCol w:w="303"/>
        <w:gridCol w:w="36"/>
        <w:gridCol w:w="36"/>
        <w:gridCol w:w="5387"/>
        <w:gridCol w:w="36"/>
        <w:gridCol w:w="36"/>
        <w:gridCol w:w="1977"/>
        <w:gridCol w:w="36"/>
        <w:gridCol w:w="36"/>
        <w:gridCol w:w="258"/>
        <w:gridCol w:w="36"/>
      </w:tblGrid>
      <w:tr w:rsidR="00000000">
        <w:trPr>
          <w:divId w:val="701514996"/>
        </w:trPr>
        <w:tc>
          <w:tcPr>
            <w:tcW w:w="20" w:type="dxa"/>
            <w:vAlign w:val="center"/>
            <w:hideMark/>
          </w:tcPr>
          <w:p w:rsidR="00000000" w:rsidRDefault="009E01B0">
            <w:pPr>
              <w:jc w:val="both"/>
              <w:rPr>
                <w:rFonts w:eastAsia="Times New Roman"/>
              </w:rPr>
            </w:pPr>
          </w:p>
        </w:tc>
        <w:tc>
          <w:tcPr>
            <w:tcW w:w="200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305"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5495"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200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c>
          <w:tcPr>
            <w:tcW w:w="260" w:type="dxa"/>
            <w:vAlign w:val="center"/>
            <w:hideMark/>
          </w:tcPr>
          <w:p w:rsidR="00000000" w:rsidRDefault="009E01B0">
            <w:pPr>
              <w:rPr>
                <w:rFonts w:eastAsia="Times New Roman"/>
                <w:sz w:val="20"/>
                <w:szCs w:val="20"/>
              </w:rPr>
            </w:pPr>
          </w:p>
        </w:tc>
        <w:tc>
          <w:tcPr>
            <w:tcW w:w="20" w:type="dxa"/>
            <w:vAlign w:val="center"/>
            <w:hideMark/>
          </w:tcPr>
          <w:p w:rsidR="00000000" w:rsidRDefault="009E01B0">
            <w:pPr>
              <w:rPr>
                <w:rFonts w:eastAsia="Times New Roman"/>
                <w:sz w:val="20"/>
                <w:szCs w:val="20"/>
              </w:rPr>
            </w:pPr>
          </w:p>
        </w:tc>
      </w:tr>
      <w:tr w:rsidR="00000000">
        <w:trPr>
          <w:divId w:val="701514996"/>
          <w:trHeight w:val="240"/>
        </w:trPr>
        <w:tc>
          <w:tcPr>
            <w:tcW w:w="0" w:type="auto"/>
            <w:gridSpan w:val="3"/>
            <w:tcMar>
              <w:top w:w="30" w:type="dxa"/>
              <w:left w:w="20" w:type="dxa"/>
              <w:bottom w:w="30" w:type="dxa"/>
              <w:right w:w="20" w:type="dxa"/>
            </w:tcMar>
            <w:vAlign w:val="bottom"/>
            <w:hideMark/>
          </w:tcPr>
          <w:p w:rsidR="00000000" w:rsidRDefault="009E01B0">
            <w:pPr>
              <w:divId w:val="632714112"/>
              <w:rPr>
                <w:rFonts w:eastAsia="Times New Roman"/>
              </w:rPr>
            </w:pPr>
            <w:r>
              <w:rPr>
                <w:rFonts w:ascii="Arial" w:eastAsia="Times New Roman" w:hAnsi="Arial" w:cs="Arial"/>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Accelerated filer</w:t>
            </w:r>
            <w:r>
              <w:rPr>
                <w:rFonts w:ascii="Arial" w:eastAsia="Times New Roman" w:hAnsi="Arial" w:cs="Arial"/>
                <w:color w:val="000000"/>
                <w:sz w:val="20"/>
                <w:szCs w:val="20"/>
              </w:rPr>
              <w:t xml:space="preserve"> </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Segoe UI Symbol" w:eastAsia="Times New Roman" w:hAnsi="Segoe UI Symbol" w:cs="Segoe UI Symbol"/>
                <w:color w:val="000000"/>
                <w:sz w:val="20"/>
                <w:szCs w:val="20"/>
              </w:rPr>
              <w:t>☐</w:t>
            </w:r>
          </w:p>
        </w:tc>
      </w:tr>
      <w:tr w:rsidR="00000000">
        <w:trPr>
          <w:divId w:val="701514996"/>
          <w:trHeight w:val="240"/>
        </w:trPr>
        <w:tc>
          <w:tcPr>
            <w:tcW w:w="0" w:type="auto"/>
            <w:gridSpan w:val="3"/>
            <w:tcMar>
              <w:top w:w="30" w:type="dxa"/>
              <w:left w:w="20" w:type="dxa"/>
              <w:bottom w:w="30" w:type="dxa"/>
              <w:right w:w="20" w:type="dxa"/>
            </w:tcMar>
            <w:vAlign w:val="bottom"/>
            <w:hideMark/>
          </w:tcPr>
          <w:p w:rsidR="00000000" w:rsidRDefault="009E01B0">
            <w:pPr>
              <w:divId w:val="558707443"/>
              <w:rPr>
                <w:rFonts w:eastAsia="Times New Roman"/>
              </w:rPr>
            </w:pPr>
            <w:r>
              <w:rPr>
                <w:rFonts w:ascii="Arial" w:eastAsia="Times New Roman" w:hAnsi="Arial" w:cs="Arial"/>
                <w:color w:val="000000"/>
                <w:sz w:val="16"/>
                <w:szCs w:val="16"/>
              </w:rPr>
              <w:lastRenderedPageBreak/>
              <w:t>Non-accelerated filer</w:t>
            </w:r>
            <w:r>
              <w:rPr>
                <w:rFonts w:ascii="Arial" w:eastAsia="Times New Roman" w:hAnsi="Arial" w:cs="Arial"/>
                <w:color w:val="000000"/>
                <w:sz w:val="20"/>
                <w:szCs w:val="20"/>
              </w:rPr>
              <w:t xml:space="preserve"> </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xml:space="preserve">Smaller reporting company </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Segoe UI Symbol" w:eastAsia="Times New Roman" w:hAnsi="Segoe UI Symbol" w:cs="Segoe UI Symbol"/>
                <w:color w:val="000000"/>
                <w:sz w:val="20"/>
                <w:szCs w:val="20"/>
              </w:rPr>
              <w:t>☐</w:t>
            </w:r>
          </w:p>
        </w:tc>
      </w:tr>
      <w:tr w:rsidR="00000000">
        <w:trPr>
          <w:divId w:val="701514996"/>
          <w:trHeight w:val="240"/>
        </w:trPr>
        <w:tc>
          <w:tcPr>
            <w:tcW w:w="0" w:type="auto"/>
            <w:gridSpan w:val="3"/>
            <w:tcMar>
              <w:top w:w="30" w:type="dxa"/>
              <w:left w:w="20" w:type="dxa"/>
              <w:bottom w:w="30" w:type="dxa"/>
              <w:right w:w="20" w:type="dxa"/>
            </w:tcMar>
            <w:vAlign w:val="bottom"/>
            <w:hideMark/>
          </w:tcPr>
          <w:p w:rsidR="00000000" w:rsidRDefault="009E01B0">
            <w:pPr>
              <w:divId w:val="735474531"/>
              <w:rPr>
                <w:rFonts w:eastAsia="Times New Roman"/>
              </w:rPr>
            </w:pPr>
            <w:r>
              <w:rPr>
                <w:rFonts w:ascii="Arial" w:eastAsia="Times New Roman" w:hAnsi="Arial" w:cs="Arial"/>
                <w:color w:val="000000"/>
                <w:sz w:val="16"/>
                <w:szCs w:val="16"/>
              </w:rPr>
              <w:t>Emerging growth company</w:t>
            </w:r>
            <w:r>
              <w:rPr>
                <w:rFonts w:ascii="Arial" w:eastAsia="Times New Roman" w:hAnsi="Arial" w:cs="Arial"/>
                <w:color w:val="000000"/>
                <w:sz w:val="18"/>
                <w:szCs w:val="18"/>
              </w:rPr>
              <w:t xml:space="preserve"> </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9E01B0">
            <w:pPr>
              <w:rPr>
                <w:rFonts w:eastAsia="Times New Roman"/>
              </w:rPr>
            </w:pPr>
          </w:p>
        </w:tc>
      </w:tr>
    </w:tbl>
    <w:p w:rsidR="00000000" w:rsidRDefault="009E01B0">
      <w:pPr>
        <w:jc w:val="both"/>
        <w:divId w:val="1603689004"/>
        <w:rPr>
          <w:rFonts w:eastAsia="Times New Roman"/>
        </w:rPr>
      </w:pPr>
      <w:r>
        <w:rPr>
          <w:rFonts w:ascii="Arial" w:eastAsia="Times New Roman" w:hAnsi="Arial" w:cs="Arial"/>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9E01B0">
      <w:pPr>
        <w:jc w:val="both"/>
        <w:divId w:val="1702783008"/>
        <w:rPr>
          <w:rFonts w:eastAsia="Times New Roman"/>
        </w:rPr>
      </w:pPr>
      <w:r>
        <w:rPr>
          <w:rFonts w:ascii="Arial" w:eastAsia="Times New Roman" w:hAnsi="Arial" w:cs="Arial"/>
          <w:color w:val="000000"/>
          <w:sz w:val="16"/>
          <w:szCs w:val="16"/>
        </w:rPr>
        <w:t>Indicate by check mark whether the registrant is a shell company (as defined in Rule 12b-2 of the Exchange Act). Yes</w:t>
      </w:r>
      <w:r>
        <w:rPr>
          <w:rFonts w:ascii="Arial" w:eastAsia="Times New Roman" w:hAnsi="Arial" w:cs="Arial"/>
          <w:color w:val="000000"/>
          <w:sz w:val="20"/>
          <w:szCs w:val="20"/>
        </w:rPr>
        <w:t xml:space="preserve">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p>
    <w:p w:rsidR="00000000" w:rsidRDefault="009E01B0">
      <w:pPr>
        <w:divId w:val="1135952925"/>
        <w:rPr>
          <w:rFonts w:eastAsia="Times New Roman"/>
        </w:rPr>
      </w:pPr>
      <w:r>
        <w:rPr>
          <w:rFonts w:ascii="Arial" w:eastAsia="Times New Roman" w:hAnsi="Arial" w:cs="Arial"/>
          <w:color w:val="000000"/>
          <w:sz w:val="16"/>
          <w:szCs w:val="16"/>
        </w:rPr>
        <w:t>The registrant had 2,025,576,385 common shares outstanding as at April 30, 2021.</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531385666"/>
        </w:trPr>
        <w:tc>
          <w:tcPr>
            <w:tcW w:w="50" w:type="pct"/>
            <w:vAlign w:val="center"/>
            <w:hideMark/>
          </w:tcPr>
          <w:p w:rsidR="00000000" w:rsidRDefault="009E01B0">
            <w:pPr>
              <w:rPr>
                <w:rFonts w:eastAsia="Times New Roman"/>
              </w:rPr>
            </w:pPr>
          </w:p>
        </w:tc>
        <w:tc>
          <w:tcPr>
            <w:tcW w:w="494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531385666"/>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bl>
    <w:p w:rsidR="00000000" w:rsidRDefault="009E01B0">
      <w:pPr>
        <w:jc w:val="center"/>
        <w:divId w:val="2062631781"/>
        <w:rPr>
          <w:rFonts w:eastAsia="Times New Roman"/>
        </w:rPr>
      </w:pPr>
      <w:r>
        <w:rPr>
          <w:rFonts w:ascii="Arial" w:eastAsia="Times New Roman" w:hAnsi="Arial" w:cs="Arial"/>
          <w:color w:val="000000"/>
          <w:sz w:val="20"/>
          <w:szCs w:val="20"/>
        </w:rPr>
        <w:t>1</w:t>
      </w:r>
    </w:p>
    <w:p w:rsidR="00000000" w:rsidRDefault="009E01B0">
      <w:pPr>
        <w:rPr>
          <w:rFonts w:eastAsia="Times New Roman"/>
        </w:rPr>
      </w:pPr>
      <w:r>
        <w:rPr>
          <w:rFonts w:eastAsia="Times New Roman"/>
        </w:rPr>
        <w:pict>
          <v:rect id="_x0000_i1026" style="width:0;height:1.5pt" o:hralign="center" o:hrstd="t" o:hr="t" fillcolor="#a0a0a0" stroked="f"/>
        </w:pict>
      </w:r>
    </w:p>
    <w:p w:rsidR="00000000" w:rsidRDefault="009E01B0">
      <w:pPr>
        <w:jc w:val="center"/>
        <w:divId w:val="903949082"/>
        <w:rPr>
          <w:rFonts w:eastAsia="Times New Roman"/>
        </w:rPr>
      </w:pPr>
    </w:p>
    <w:p w:rsidR="00000000" w:rsidRDefault="009E01B0">
      <w:pPr>
        <w:jc w:val="center"/>
        <w:divId w:val="90394908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32"/>
        <w:gridCol w:w="36"/>
        <w:gridCol w:w="69"/>
        <w:gridCol w:w="6473"/>
        <w:gridCol w:w="37"/>
        <w:gridCol w:w="69"/>
        <w:gridCol w:w="785"/>
        <w:gridCol w:w="36"/>
      </w:tblGrid>
      <w:tr w:rsidR="00000000">
        <w:trPr>
          <w:divId w:val="1729525691"/>
          <w:jc w:val="center"/>
        </w:trPr>
        <w:tc>
          <w:tcPr>
            <w:tcW w:w="50" w:type="pct"/>
            <w:vAlign w:val="center"/>
            <w:hideMark/>
          </w:tcPr>
          <w:p w:rsidR="00000000" w:rsidRDefault="009E01B0">
            <w:pPr>
              <w:jc w:val="center"/>
              <w:rPr>
                <w:rFonts w:eastAsia="Times New Roman"/>
              </w:rPr>
            </w:pPr>
          </w:p>
        </w:tc>
        <w:tc>
          <w:tcPr>
            <w:tcW w:w="44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90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8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729525691"/>
          <w:jc w:val="center"/>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b/>
                <w:bCs/>
                <w:color w:val="000000"/>
                <w:sz w:val="16"/>
                <w:szCs w:val="16"/>
              </w:rPr>
              <w:t>Page</w:t>
            </w:r>
          </w:p>
        </w:tc>
      </w:tr>
      <w:tr w:rsidR="00000000">
        <w:trPr>
          <w:divId w:val="1729525691"/>
          <w:jc w:val="center"/>
        </w:trPr>
        <w:tc>
          <w:tcPr>
            <w:tcW w:w="0" w:type="auto"/>
            <w:gridSpan w:val="3"/>
            <w:tcMar>
              <w:top w:w="0" w:type="dxa"/>
              <w:left w:w="20" w:type="dxa"/>
              <w:bottom w:w="0" w:type="dxa"/>
              <w:right w:w="20" w:type="dxa"/>
            </w:tcMar>
            <w:vAlign w:val="center"/>
            <w:hideMark/>
          </w:tcPr>
          <w:p w:rsidR="00000000" w:rsidRDefault="009E01B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b/>
                <w:bCs/>
                <w:color w:val="000000"/>
                <w:sz w:val="20"/>
                <w:szCs w:val="20"/>
              </w:rPr>
              <w:t>PART I</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1729525691"/>
          <w:jc w:val="center"/>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hideMark/>
          </w:tcPr>
          <w:p w:rsidR="00000000" w:rsidRDefault="009E01B0">
            <w:pPr>
              <w:divId w:val="435515528"/>
              <w:rPr>
                <w:rFonts w:eastAsia="Times New Roman"/>
              </w:rPr>
            </w:pPr>
            <w:hyperlink w:anchor="id5ac85700e574d7da208322beb1b5a44_22" w:history="1">
              <w:r>
                <w:rPr>
                  <w:rStyle w:val="a3"/>
                  <w:rFonts w:ascii="Arial" w:eastAsia="Times New Roman" w:hAnsi="Arial" w:cs="Arial"/>
                  <w:sz w:val="20"/>
                  <w:szCs w:val="20"/>
                </w:rPr>
                <w:t>Financial Statements</w:t>
              </w:r>
            </w:hyperlink>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hyperlink w:anchor="id5ac85700e574d7da208322beb1b5a44_22" w:history="1">
              <w:r>
                <w:rPr>
                  <w:rStyle w:val="a3"/>
                  <w:rFonts w:ascii="Arial" w:eastAsia="Times New Roman" w:hAnsi="Arial" w:cs="Arial"/>
                  <w:sz w:val="20"/>
                  <w:szCs w:val="20"/>
                </w:rPr>
                <w:t>6</w:t>
              </w:r>
            </w:hyperlink>
          </w:p>
        </w:tc>
      </w:tr>
      <w:tr w:rsidR="00000000">
        <w:trPr>
          <w:divId w:val="1729525691"/>
          <w:jc w:val="center"/>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hideMark/>
          </w:tcPr>
          <w:p w:rsidR="00000000" w:rsidRDefault="009E01B0">
            <w:pPr>
              <w:divId w:val="680157314"/>
              <w:rPr>
                <w:rFonts w:eastAsia="Times New Roman"/>
              </w:rPr>
            </w:pPr>
            <w:hyperlink w:anchor="id5ac85700e574d7da208322beb1b5a44_121" w:history="1">
              <w:r>
                <w:rPr>
                  <w:rStyle w:val="a3"/>
                  <w:rFonts w:ascii="Arial" w:eastAsia="Times New Roman" w:hAnsi="Arial" w:cs="Arial"/>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hyperlink w:anchor="id5ac85700e574d7da208322beb1b5a44_121" w:history="1">
              <w:r>
                <w:rPr>
                  <w:rStyle w:val="a3"/>
                  <w:rFonts w:ascii="Arial" w:eastAsia="Times New Roman" w:hAnsi="Arial" w:cs="Arial"/>
                  <w:sz w:val="20"/>
                  <w:szCs w:val="20"/>
                </w:rPr>
                <w:t>33</w:t>
              </w:r>
            </w:hyperlink>
          </w:p>
        </w:tc>
      </w:tr>
      <w:tr w:rsidR="00000000">
        <w:trPr>
          <w:divId w:val="1729525691"/>
          <w:jc w:val="center"/>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hideMark/>
          </w:tcPr>
          <w:p w:rsidR="00000000" w:rsidRDefault="009E01B0">
            <w:pPr>
              <w:divId w:val="2046715879"/>
              <w:rPr>
                <w:rFonts w:eastAsia="Times New Roman"/>
              </w:rPr>
            </w:pPr>
            <w:hyperlink w:anchor="id5ac85700e574d7da208322beb1b5a44_211" w:history="1">
              <w:r>
                <w:rPr>
                  <w:rStyle w:val="a3"/>
                  <w:rFonts w:ascii="Arial" w:eastAsia="Times New Roman" w:hAnsi="Arial" w:cs="Arial"/>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hyperlink w:anchor="id5ac85700e574d7da208322beb1b5a44_211" w:history="1">
              <w:r>
                <w:rPr>
                  <w:rStyle w:val="a3"/>
                  <w:rFonts w:ascii="Arial" w:eastAsia="Times New Roman" w:hAnsi="Arial" w:cs="Arial"/>
                  <w:sz w:val="20"/>
                  <w:szCs w:val="20"/>
                </w:rPr>
                <w:t>51</w:t>
              </w:r>
            </w:hyperlink>
          </w:p>
        </w:tc>
      </w:tr>
      <w:tr w:rsidR="00000000">
        <w:trPr>
          <w:divId w:val="1729525691"/>
          <w:jc w:val="center"/>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hideMark/>
          </w:tcPr>
          <w:p w:rsidR="00000000" w:rsidRDefault="009E01B0">
            <w:pPr>
              <w:divId w:val="665205713"/>
              <w:rPr>
                <w:rFonts w:eastAsia="Times New Roman"/>
              </w:rPr>
            </w:pPr>
            <w:hyperlink w:anchor="id5ac85700e574d7da208322beb1b5a44_214" w:history="1">
              <w:r>
                <w:rPr>
                  <w:rStyle w:val="a3"/>
                  <w:rFonts w:ascii="Arial" w:eastAsia="Times New Roman" w:hAnsi="Arial" w:cs="Arial"/>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hyperlink w:anchor="id5ac85700e574d7da208322beb1b5a44_214" w:history="1">
              <w:r>
                <w:rPr>
                  <w:rStyle w:val="a3"/>
                  <w:rFonts w:ascii="Arial" w:eastAsia="Times New Roman" w:hAnsi="Arial" w:cs="Arial"/>
                  <w:sz w:val="20"/>
                  <w:szCs w:val="20"/>
                </w:rPr>
                <w:t>51</w:t>
              </w:r>
            </w:hyperlink>
          </w:p>
        </w:tc>
      </w:tr>
      <w:tr w:rsidR="00000000">
        <w:trPr>
          <w:divId w:val="1729525691"/>
          <w:jc w:val="center"/>
        </w:trPr>
        <w:tc>
          <w:tcPr>
            <w:tcW w:w="0" w:type="auto"/>
            <w:gridSpan w:val="3"/>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9E01B0">
            <w:pPr>
              <w:rPr>
                <w:rFonts w:eastAsia="Times New Roman"/>
              </w:rPr>
            </w:pPr>
          </w:p>
        </w:tc>
      </w:tr>
      <w:tr w:rsidR="00000000">
        <w:trPr>
          <w:divId w:val="1729525691"/>
          <w:jc w:val="center"/>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hideMark/>
          </w:tcPr>
          <w:p w:rsidR="00000000" w:rsidRDefault="009E01B0">
            <w:pPr>
              <w:divId w:val="1227571279"/>
              <w:rPr>
                <w:rFonts w:eastAsia="Times New Roman"/>
              </w:rPr>
            </w:pPr>
            <w:hyperlink w:anchor="id5ac85700e574d7da208322beb1b5a44_220" w:history="1">
              <w:r>
                <w:rPr>
                  <w:rStyle w:val="a3"/>
                  <w:rFonts w:ascii="Arial" w:eastAsia="Times New Roman" w:hAnsi="Arial" w:cs="Arial"/>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hyperlink w:anchor="id5ac85700e574d7da208322beb1b5a44_220" w:history="1">
              <w:r>
                <w:rPr>
                  <w:rStyle w:val="a3"/>
                  <w:rFonts w:ascii="Arial" w:eastAsia="Times New Roman" w:hAnsi="Arial" w:cs="Arial"/>
                  <w:sz w:val="20"/>
                  <w:szCs w:val="20"/>
                </w:rPr>
                <w:t>52</w:t>
              </w:r>
            </w:hyperlink>
          </w:p>
        </w:tc>
      </w:tr>
      <w:tr w:rsidR="00000000">
        <w:trPr>
          <w:divId w:val="1729525691"/>
          <w:jc w:val="center"/>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Item 1A.</w:t>
            </w:r>
          </w:p>
        </w:tc>
        <w:tc>
          <w:tcPr>
            <w:tcW w:w="0" w:type="auto"/>
            <w:gridSpan w:val="3"/>
            <w:tcMar>
              <w:top w:w="30" w:type="dxa"/>
              <w:left w:w="20" w:type="dxa"/>
              <w:bottom w:w="30" w:type="dxa"/>
              <w:right w:w="20" w:type="dxa"/>
            </w:tcMar>
            <w:hideMark/>
          </w:tcPr>
          <w:p w:rsidR="00000000" w:rsidRDefault="009E01B0">
            <w:pPr>
              <w:divId w:val="630090686"/>
              <w:rPr>
                <w:rFonts w:eastAsia="Times New Roman"/>
              </w:rPr>
            </w:pPr>
            <w:hyperlink w:anchor="id5ac85700e574d7da208322beb1b5a44_223" w:history="1">
              <w:r>
                <w:rPr>
                  <w:rStyle w:val="a3"/>
                  <w:rFonts w:ascii="Arial" w:eastAsia="Times New Roman" w:hAnsi="Arial" w:cs="Arial"/>
                  <w:sz w:val="20"/>
                  <w:szCs w:val="20"/>
                </w:rPr>
                <w:t>Risk Factors</w:t>
              </w:r>
            </w:hyperlink>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hyperlink w:anchor="id5ac85700e574d7da208322beb1b5a44_223" w:history="1">
              <w:r>
                <w:rPr>
                  <w:rStyle w:val="a3"/>
                  <w:rFonts w:ascii="Arial" w:eastAsia="Times New Roman" w:hAnsi="Arial" w:cs="Arial"/>
                  <w:sz w:val="20"/>
                  <w:szCs w:val="20"/>
                </w:rPr>
                <w:t>52</w:t>
              </w:r>
            </w:hyperlink>
          </w:p>
        </w:tc>
      </w:tr>
      <w:tr w:rsidR="00000000">
        <w:trPr>
          <w:divId w:val="1729525691"/>
          <w:jc w:val="center"/>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hideMark/>
          </w:tcPr>
          <w:p w:rsidR="00000000" w:rsidRDefault="009E01B0">
            <w:pPr>
              <w:divId w:val="2146584240"/>
              <w:rPr>
                <w:rFonts w:eastAsia="Times New Roman"/>
              </w:rPr>
            </w:pPr>
            <w:hyperlink w:anchor="id5ac85700e574d7da208322beb1b5a44_226" w:history="1">
              <w:r>
                <w:rPr>
                  <w:rStyle w:val="a3"/>
                  <w:rFonts w:ascii="Arial" w:eastAsia="Times New Roman" w:hAnsi="Arial" w:cs="Arial"/>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hyperlink w:anchor="id5ac85700e574d7da208322beb1b5a44_226" w:history="1">
              <w:r>
                <w:rPr>
                  <w:rStyle w:val="a3"/>
                  <w:rFonts w:ascii="Arial" w:eastAsia="Times New Roman" w:hAnsi="Arial" w:cs="Arial"/>
                  <w:sz w:val="20"/>
                  <w:szCs w:val="20"/>
                </w:rPr>
                <w:t>52</w:t>
              </w:r>
            </w:hyperlink>
          </w:p>
        </w:tc>
      </w:tr>
      <w:tr w:rsidR="00000000">
        <w:trPr>
          <w:divId w:val="1729525691"/>
          <w:jc w:val="center"/>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hideMark/>
          </w:tcPr>
          <w:p w:rsidR="00000000" w:rsidRDefault="009E01B0">
            <w:pPr>
              <w:divId w:val="1997369562"/>
              <w:rPr>
                <w:rFonts w:eastAsia="Times New Roman"/>
              </w:rPr>
            </w:pPr>
            <w:hyperlink w:anchor="id5ac85700e574d7da208322beb1b5a44_229" w:history="1">
              <w:r>
                <w:rPr>
                  <w:rStyle w:val="a3"/>
                  <w:rFonts w:ascii="Arial" w:eastAsia="Times New Roman" w:hAnsi="Arial" w:cs="Arial"/>
                  <w:sz w:val="20"/>
                  <w:szCs w:val="20"/>
                </w:rPr>
                <w:t>Defaults Upon Senior Securities</w:t>
              </w:r>
            </w:hyperlink>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hyperlink w:anchor="id5ac85700e574d7da208322beb1b5a44_229" w:history="1">
              <w:r>
                <w:rPr>
                  <w:rStyle w:val="a3"/>
                  <w:rFonts w:ascii="Arial" w:eastAsia="Times New Roman" w:hAnsi="Arial" w:cs="Arial"/>
                  <w:sz w:val="20"/>
                  <w:szCs w:val="20"/>
                </w:rPr>
                <w:t>52</w:t>
              </w:r>
            </w:hyperlink>
          </w:p>
        </w:tc>
      </w:tr>
      <w:tr w:rsidR="00000000">
        <w:trPr>
          <w:divId w:val="1729525691"/>
          <w:jc w:val="center"/>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hideMark/>
          </w:tcPr>
          <w:p w:rsidR="00000000" w:rsidRDefault="009E01B0">
            <w:pPr>
              <w:divId w:val="2129616239"/>
              <w:rPr>
                <w:rFonts w:eastAsia="Times New Roman"/>
              </w:rPr>
            </w:pPr>
            <w:hyperlink w:anchor="id5ac85700e574d7da208322beb1b5a44_232" w:history="1">
              <w:r>
                <w:rPr>
                  <w:rStyle w:val="a3"/>
                  <w:rFonts w:ascii="Arial" w:eastAsia="Times New Roman" w:hAnsi="Arial" w:cs="Arial"/>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hyperlink w:anchor="id5ac85700e574d7da208322beb1b5a44_232" w:history="1">
              <w:r>
                <w:rPr>
                  <w:rStyle w:val="a3"/>
                  <w:rFonts w:ascii="Arial" w:eastAsia="Times New Roman" w:hAnsi="Arial" w:cs="Arial"/>
                  <w:sz w:val="20"/>
                  <w:szCs w:val="20"/>
                </w:rPr>
                <w:t>52</w:t>
              </w:r>
            </w:hyperlink>
          </w:p>
        </w:tc>
      </w:tr>
      <w:tr w:rsidR="00000000">
        <w:trPr>
          <w:divId w:val="1729525691"/>
          <w:jc w:val="center"/>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Item 5.</w:t>
            </w:r>
          </w:p>
        </w:tc>
        <w:tc>
          <w:tcPr>
            <w:tcW w:w="0" w:type="auto"/>
            <w:gridSpan w:val="3"/>
            <w:tcMar>
              <w:top w:w="30" w:type="dxa"/>
              <w:left w:w="20" w:type="dxa"/>
              <w:bottom w:w="30" w:type="dxa"/>
              <w:right w:w="20" w:type="dxa"/>
            </w:tcMar>
            <w:hideMark/>
          </w:tcPr>
          <w:p w:rsidR="00000000" w:rsidRDefault="009E01B0">
            <w:pPr>
              <w:divId w:val="454300625"/>
              <w:rPr>
                <w:rFonts w:eastAsia="Times New Roman"/>
              </w:rPr>
            </w:pPr>
            <w:hyperlink w:anchor="id5ac85700e574d7da208322beb1b5a44_235" w:history="1">
              <w:r>
                <w:rPr>
                  <w:rStyle w:val="a3"/>
                  <w:rFonts w:ascii="Arial" w:eastAsia="Times New Roman" w:hAnsi="Arial" w:cs="Arial"/>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hyperlink w:anchor="id5ac85700e574d7da208322beb1b5a44_235" w:history="1">
              <w:r>
                <w:rPr>
                  <w:rStyle w:val="a3"/>
                  <w:rFonts w:ascii="Arial" w:eastAsia="Times New Roman" w:hAnsi="Arial" w:cs="Arial"/>
                  <w:sz w:val="20"/>
                  <w:szCs w:val="20"/>
                </w:rPr>
                <w:t>52</w:t>
              </w:r>
            </w:hyperlink>
          </w:p>
        </w:tc>
      </w:tr>
      <w:tr w:rsidR="00000000">
        <w:trPr>
          <w:divId w:val="1729525691"/>
          <w:jc w:val="center"/>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Item 6.</w:t>
            </w:r>
          </w:p>
        </w:tc>
        <w:tc>
          <w:tcPr>
            <w:tcW w:w="0" w:type="auto"/>
            <w:gridSpan w:val="3"/>
            <w:tcMar>
              <w:top w:w="30" w:type="dxa"/>
              <w:left w:w="20" w:type="dxa"/>
              <w:bottom w:w="30" w:type="dxa"/>
              <w:right w:w="20" w:type="dxa"/>
            </w:tcMar>
            <w:hideMark/>
          </w:tcPr>
          <w:p w:rsidR="00000000" w:rsidRDefault="009E01B0">
            <w:pPr>
              <w:divId w:val="1039205410"/>
              <w:rPr>
                <w:rFonts w:eastAsia="Times New Roman"/>
              </w:rPr>
            </w:pPr>
            <w:hyperlink w:anchor="id5ac85700e574d7da208322beb1b5a44_238" w:history="1">
              <w:r>
                <w:rPr>
                  <w:rStyle w:val="a3"/>
                  <w:rFonts w:ascii="Arial" w:eastAsia="Times New Roman" w:hAnsi="Arial" w:cs="Arial"/>
                  <w:sz w:val="20"/>
                  <w:szCs w:val="20"/>
                </w:rPr>
                <w:t>Exhibits</w:t>
              </w:r>
            </w:hyperlink>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hyperlink w:anchor="id5ac85700e574d7da208322beb1b5a44_238" w:history="1">
              <w:r>
                <w:rPr>
                  <w:rStyle w:val="a3"/>
                  <w:rFonts w:ascii="Arial" w:eastAsia="Times New Roman" w:hAnsi="Arial" w:cs="Arial"/>
                  <w:sz w:val="20"/>
                  <w:szCs w:val="20"/>
                </w:rPr>
                <w:t>53</w:t>
              </w:r>
            </w:hyperlink>
          </w:p>
        </w:tc>
      </w:tr>
      <w:tr w:rsidR="00000000">
        <w:trPr>
          <w:divId w:val="1729525691"/>
          <w:jc w:val="center"/>
        </w:trPr>
        <w:tc>
          <w:tcPr>
            <w:tcW w:w="0" w:type="auto"/>
            <w:gridSpan w:val="3"/>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Mar>
              <w:top w:w="30" w:type="dxa"/>
              <w:left w:w="20" w:type="dxa"/>
              <w:bottom w:w="30" w:type="dxa"/>
              <w:right w:w="20" w:type="dxa"/>
            </w:tcMar>
            <w:hideMark/>
          </w:tcPr>
          <w:p w:rsidR="00000000" w:rsidRDefault="009E01B0">
            <w:pPr>
              <w:divId w:val="435096628"/>
              <w:rPr>
                <w:rFonts w:eastAsia="Times New Roman"/>
              </w:rPr>
            </w:pPr>
            <w:hyperlink w:anchor="id5ac85700e574d7da208322beb1b5a44_241" w:history="1">
              <w:r>
                <w:rPr>
                  <w:rStyle w:val="a3"/>
                  <w:rFonts w:ascii="Arial" w:eastAsia="Times New Roman" w:hAnsi="Arial" w:cs="Arial"/>
                  <w:sz w:val="20"/>
                  <w:szCs w:val="20"/>
                </w:rPr>
                <w:t>Signatures</w:t>
              </w:r>
            </w:hyperlink>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hyperlink w:anchor="id5ac85700e574d7da208322beb1b5a44_241" w:history="1">
              <w:r>
                <w:rPr>
                  <w:rStyle w:val="a3"/>
                  <w:rFonts w:ascii="Arial" w:eastAsia="Times New Roman" w:hAnsi="Arial" w:cs="Arial"/>
                  <w:sz w:val="20"/>
                  <w:szCs w:val="20"/>
                </w:rPr>
                <w:t>54</w:t>
              </w:r>
            </w:hyperlink>
          </w:p>
        </w:tc>
      </w:tr>
    </w:tbl>
    <w:p w:rsidR="00000000" w:rsidRDefault="009E01B0">
      <w:pPr>
        <w:divId w:val="1718309664"/>
        <w:rPr>
          <w:rFonts w:eastAsia="Times New Roman"/>
        </w:rPr>
      </w:pPr>
    </w:p>
    <w:p w:rsidR="00000000" w:rsidRDefault="009E01B0">
      <w:pPr>
        <w:jc w:val="center"/>
        <w:divId w:val="381178391"/>
        <w:rPr>
          <w:rFonts w:eastAsia="Times New Roman"/>
        </w:rPr>
      </w:pPr>
      <w:r>
        <w:rPr>
          <w:rFonts w:ascii="Arial" w:eastAsia="Times New Roman" w:hAnsi="Arial" w:cs="Arial"/>
          <w:color w:val="000000"/>
          <w:sz w:val="20"/>
          <w:szCs w:val="20"/>
        </w:rPr>
        <w:t>2</w:t>
      </w:r>
    </w:p>
    <w:p w:rsidR="00000000" w:rsidRDefault="009E01B0">
      <w:pPr>
        <w:rPr>
          <w:rFonts w:eastAsia="Times New Roman"/>
        </w:rPr>
      </w:pPr>
      <w:r>
        <w:rPr>
          <w:rFonts w:eastAsia="Times New Roman"/>
        </w:rPr>
        <w:pict>
          <v:rect id="_x0000_i1027" style="width:0;height:1.5pt" o:hralign="center" o:hrstd="t" o:hr="t" fillcolor="#a0a0a0" stroked="f"/>
        </w:pict>
      </w:r>
    </w:p>
    <w:p w:rsidR="00000000" w:rsidRDefault="009E01B0">
      <w:pPr>
        <w:jc w:val="center"/>
        <w:divId w:val="1442258976"/>
        <w:rPr>
          <w:rFonts w:eastAsia="Times New Roman"/>
        </w:rPr>
      </w:pPr>
    </w:p>
    <w:p w:rsidR="00000000" w:rsidRDefault="009E01B0">
      <w:pPr>
        <w:jc w:val="center"/>
        <w:divId w:val="1442258976"/>
        <w:rPr>
          <w:rFonts w:eastAsia="Times New Roman"/>
        </w:rPr>
      </w:pPr>
    </w:p>
    <w:p w:rsidR="00000000" w:rsidRDefault="009E01B0">
      <w:pPr>
        <w:divId w:val="146019734"/>
        <w:rPr>
          <w:rFonts w:eastAsia="Times New Roman"/>
        </w:rPr>
      </w:pPr>
      <w:r>
        <w:rPr>
          <w:rFonts w:ascii="Arial" w:eastAsia="Times New Roman" w:hAnsi="Arial" w:cs="Arial"/>
          <w:b/>
          <w:bCs/>
          <w:color w:val="000000"/>
          <w:sz w:val="26"/>
          <w:szCs w:val="26"/>
        </w:rPr>
        <w:t>GLOSSARY</w:t>
      </w:r>
    </w:p>
    <w:p w:rsidR="00000000" w:rsidRDefault="009E01B0">
      <w:pPr>
        <w:divId w:val="393820846"/>
        <w:rPr>
          <w:rFonts w:eastAsia="Times New Roman"/>
        </w:rPr>
      </w:pPr>
      <w:r>
        <w:rPr>
          <w:rFonts w:ascii="Arial" w:eastAsia="Times New Roman" w:hAnsi="Arial" w:cs="Arial"/>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2024"/>
        <w:gridCol w:w="36"/>
        <w:gridCol w:w="69"/>
        <w:gridCol w:w="6072"/>
        <w:gridCol w:w="36"/>
      </w:tblGrid>
      <w:tr w:rsidR="00000000">
        <w:trPr>
          <w:divId w:val="262348649"/>
        </w:trPr>
        <w:tc>
          <w:tcPr>
            <w:tcW w:w="50" w:type="pct"/>
            <w:vAlign w:val="center"/>
            <w:hideMark/>
          </w:tcPr>
          <w:p w:rsidR="00000000" w:rsidRDefault="009E01B0">
            <w:pPr>
              <w:rPr>
                <w:rFonts w:eastAsia="Times New Roman"/>
              </w:rPr>
            </w:pPr>
          </w:p>
        </w:tc>
        <w:tc>
          <w:tcPr>
            <w:tcW w:w="122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662"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262348649"/>
          <w:trHeight w:val="240"/>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AOCI</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Accumulated other comprehensive income/(loss)</w:t>
            </w: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Army Corps</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United States Army Corps of Engineers</w:t>
            </w:r>
          </w:p>
        </w:tc>
      </w:tr>
      <w:tr w:rsidR="00000000">
        <w:trPr>
          <w:divId w:val="262348649"/>
        </w:trPr>
        <w:tc>
          <w:tcPr>
            <w:tcW w:w="0" w:type="auto"/>
            <w:gridSpan w:val="3"/>
            <w:vAlign w:val="center"/>
            <w:hideMark/>
          </w:tcPr>
          <w:p w:rsidR="00000000" w:rsidRDefault="009E01B0">
            <w:pPr>
              <w:rPr>
                <w:rFonts w:eastAsia="Times New Roman"/>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ASU</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Accounting Standards Update</w:t>
            </w:r>
          </w:p>
        </w:tc>
      </w:tr>
      <w:tr w:rsidR="00000000">
        <w:trPr>
          <w:divId w:val="262348649"/>
        </w:trPr>
        <w:tc>
          <w:tcPr>
            <w:tcW w:w="0" w:type="auto"/>
            <w:gridSpan w:val="3"/>
            <w:vAlign w:val="center"/>
            <w:hideMark/>
          </w:tcPr>
          <w:p w:rsidR="00000000" w:rsidRDefault="009E01B0">
            <w:pPr>
              <w:rPr>
                <w:rFonts w:eastAsia="Times New Roman"/>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CPP Investments</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Canada Pension Plan Investment Board</w:t>
            </w: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DAPL</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Dakota Access Pipeline</w:t>
            </w: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DCP Midstream</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DCP Midstream, LLC</w:t>
            </w: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EBITDA</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Earnings before interest, income taxes and depreciation and amortization</w:t>
            </w:r>
          </w:p>
        </w:tc>
      </w:tr>
      <w:tr w:rsidR="00000000">
        <w:trPr>
          <w:divId w:val="262348649"/>
        </w:trPr>
        <w:tc>
          <w:tcPr>
            <w:tcW w:w="0" w:type="auto"/>
            <w:gridSpan w:val="3"/>
            <w:vAlign w:val="center"/>
            <w:hideMark/>
          </w:tcPr>
          <w:p w:rsidR="00000000" w:rsidRDefault="009E01B0">
            <w:pPr>
              <w:rPr>
                <w:rFonts w:eastAsia="Times New Roman"/>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EEP</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Enbridge Energy Partners, L.P.</w:t>
            </w:r>
          </w:p>
        </w:tc>
      </w:tr>
      <w:tr w:rsidR="00000000">
        <w:trPr>
          <w:divId w:val="262348649"/>
        </w:trPr>
        <w:tc>
          <w:tcPr>
            <w:tcW w:w="0" w:type="auto"/>
            <w:gridSpan w:val="3"/>
            <w:vAlign w:val="center"/>
            <w:hideMark/>
          </w:tcPr>
          <w:p w:rsidR="00000000" w:rsidRDefault="009E01B0">
            <w:pPr>
              <w:rPr>
                <w:rFonts w:eastAsia="Times New Roman"/>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EIS</w:t>
            </w:r>
          </w:p>
        </w:tc>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Environmental Impact Statement</w:t>
            </w:r>
          </w:p>
        </w:tc>
      </w:tr>
      <w:tr w:rsidR="00000000">
        <w:trPr>
          <w:divId w:val="262348649"/>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lastRenderedPageBreak/>
              <w:t>EMF</w:t>
            </w:r>
          </w:p>
        </w:tc>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Éolien Maritime France SAS</w:t>
            </w: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Enbridge</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Enbridge Inc.</w:t>
            </w:r>
          </w:p>
        </w:tc>
      </w:tr>
      <w:tr w:rsidR="00000000">
        <w:trPr>
          <w:divId w:val="262348649"/>
        </w:trPr>
        <w:tc>
          <w:tcPr>
            <w:tcW w:w="0" w:type="auto"/>
            <w:gridSpan w:val="3"/>
            <w:vAlign w:val="center"/>
            <w:hideMark/>
          </w:tcPr>
          <w:p w:rsidR="00000000" w:rsidRDefault="009E01B0">
            <w:pPr>
              <w:rPr>
                <w:rFonts w:eastAsia="Times New Roman"/>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Exchange Act</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United States Securities Exchange Act of 1934, as amended</w:t>
            </w:r>
          </w:p>
        </w:tc>
      </w:tr>
      <w:tr w:rsidR="00000000">
        <w:trPr>
          <w:divId w:val="262348649"/>
        </w:trPr>
        <w:tc>
          <w:tcPr>
            <w:tcW w:w="0" w:type="auto"/>
            <w:gridSpan w:val="3"/>
            <w:vAlign w:val="center"/>
            <w:hideMark/>
          </w:tcPr>
          <w:p w:rsidR="00000000" w:rsidRDefault="009E01B0">
            <w:pPr>
              <w:rPr>
                <w:rFonts w:eastAsia="Times New Roman"/>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LNG</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Liquified natural gas</w:t>
            </w:r>
          </w:p>
        </w:tc>
      </w:tr>
      <w:tr w:rsidR="00000000">
        <w:trPr>
          <w:divId w:val="262348649"/>
        </w:trPr>
        <w:tc>
          <w:tcPr>
            <w:tcW w:w="0" w:type="auto"/>
            <w:gridSpan w:val="3"/>
            <w:vAlign w:val="center"/>
            <w:hideMark/>
          </w:tcPr>
          <w:p w:rsidR="00000000" w:rsidRDefault="009E01B0">
            <w:pPr>
              <w:rPr>
                <w:rFonts w:eastAsia="Times New Roman"/>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NGL</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Natural gas liquids</w:t>
            </w: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SEC</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US Securities and Exchange Commission</w:t>
            </w: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SEP</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Spectra Energy Partners, LP</w:t>
            </w: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the Straits</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Straits of Mackinac</w:t>
            </w: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OCI</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Other comprehensive income/(loss)</w:t>
            </w:r>
          </w:p>
        </w:tc>
      </w:tr>
      <w:tr w:rsidR="00000000">
        <w:trPr>
          <w:divId w:val="262348649"/>
        </w:trPr>
        <w:tc>
          <w:tcPr>
            <w:tcW w:w="0" w:type="auto"/>
            <w:gridSpan w:val="3"/>
            <w:vAlign w:val="center"/>
            <w:hideMark/>
          </w:tcPr>
          <w:p w:rsidR="00000000" w:rsidRDefault="009E01B0">
            <w:pPr>
              <w:rPr>
                <w:rFonts w:eastAsia="Times New Roman"/>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OPEB</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Other postretirement benefit obligations</w:t>
            </w:r>
          </w:p>
        </w:tc>
      </w:tr>
      <w:tr w:rsidR="00000000">
        <w:trPr>
          <w:divId w:val="262348649"/>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Texas Eastern</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Texas Eastern Transmission, LP</w:t>
            </w:r>
          </w:p>
        </w:tc>
      </w:tr>
      <w:tr w:rsidR="00000000">
        <w:trPr>
          <w:divId w:val="262348649"/>
        </w:trPr>
        <w:tc>
          <w:tcPr>
            <w:tcW w:w="0" w:type="auto"/>
            <w:gridSpan w:val="3"/>
            <w:vAlign w:val="center"/>
            <w:hideMark/>
          </w:tcPr>
          <w:p w:rsidR="00000000" w:rsidRDefault="009E01B0">
            <w:pPr>
              <w:rPr>
                <w:rFonts w:eastAsia="Times New Roman"/>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2348649"/>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bl>
    <w:p w:rsidR="00000000" w:rsidRDefault="009E01B0">
      <w:pPr>
        <w:jc w:val="center"/>
        <w:divId w:val="517163935"/>
        <w:rPr>
          <w:rFonts w:eastAsia="Times New Roman"/>
        </w:rPr>
      </w:pPr>
      <w:r>
        <w:rPr>
          <w:rFonts w:ascii="Arial" w:eastAsia="Times New Roman" w:hAnsi="Arial" w:cs="Arial"/>
          <w:color w:val="000000"/>
          <w:sz w:val="20"/>
          <w:szCs w:val="20"/>
        </w:rPr>
        <w:t>3</w:t>
      </w:r>
    </w:p>
    <w:p w:rsidR="00000000" w:rsidRDefault="009E01B0">
      <w:pPr>
        <w:rPr>
          <w:rFonts w:eastAsia="Times New Roman"/>
        </w:rPr>
      </w:pPr>
      <w:r>
        <w:rPr>
          <w:rFonts w:eastAsia="Times New Roman"/>
        </w:rPr>
        <w:pict>
          <v:rect id="_x0000_i1028" style="width:0;height:1.5pt" o:hralign="center" o:hrstd="t" o:hr="t" fillcolor="#a0a0a0" stroked="f"/>
        </w:pict>
      </w:r>
    </w:p>
    <w:p w:rsidR="00000000" w:rsidRDefault="009E01B0">
      <w:pPr>
        <w:jc w:val="center"/>
        <w:divId w:val="2115592783"/>
        <w:rPr>
          <w:rFonts w:eastAsia="Times New Roman"/>
        </w:rPr>
      </w:pPr>
    </w:p>
    <w:p w:rsidR="00000000" w:rsidRDefault="009E01B0">
      <w:pPr>
        <w:jc w:val="center"/>
        <w:divId w:val="2115592783"/>
        <w:rPr>
          <w:rFonts w:eastAsia="Times New Roman"/>
        </w:rPr>
      </w:pPr>
    </w:p>
    <w:p w:rsidR="00000000" w:rsidRDefault="009E01B0">
      <w:pPr>
        <w:divId w:val="470514972"/>
        <w:rPr>
          <w:rFonts w:eastAsia="Times New Roman"/>
        </w:rPr>
      </w:pPr>
      <w:r>
        <w:rPr>
          <w:rFonts w:ascii="Arial" w:eastAsia="Times New Roman" w:hAnsi="Arial" w:cs="Arial"/>
          <w:b/>
          <w:bCs/>
          <w:color w:val="000000"/>
          <w:sz w:val="26"/>
          <w:szCs w:val="26"/>
        </w:rPr>
        <w:t>CONVENTIONS</w:t>
      </w:r>
    </w:p>
    <w:p w:rsidR="00000000" w:rsidRDefault="009E01B0">
      <w:pPr>
        <w:divId w:val="1079403589"/>
        <w:rPr>
          <w:rFonts w:eastAsia="Times New Roman"/>
        </w:rPr>
      </w:pPr>
    </w:p>
    <w:p w:rsidR="00000000" w:rsidRDefault="009E01B0">
      <w:pPr>
        <w:divId w:val="1531992145"/>
        <w:rPr>
          <w:rFonts w:eastAsia="Times New Roman"/>
        </w:rPr>
      </w:pPr>
      <w:r>
        <w:rPr>
          <w:rFonts w:ascii="Arial" w:eastAsia="Times New Roman" w:hAnsi="Arial" w:cs="Arial"/>
          <w:color w:val="000000"/>
          <w:sz w:val="20"/>
          <w:szCs w:val="20"/>
        </w:rPr>
        <w:t>The terms "we", "our", "us" and "Enbridge" as used in this report refer collectively to Enbridge Inc. unless the context suggests otherwise. These terms are used for convenience only and are not intended as a precise description of any separate legal entit</w:t>
      </w:r>
      <w:r>
        <w:rPr>
          <w:rFonts w:ascii="Arial" w:eastAsia="Times New Roman" w:hAnsi="Arial" w:cs="Arial"/>
          <w:color w:val="000000"/>
          <w:sz w:val="20"/>
          <w:szCs w:val="20"/>
        </w:rPr>
        <w:t>y within Enbridge.</w:t>
      </w:r>
    </w:p>
    <w:p w:rsidR="00000000" w:rsidRDefault="009E01B0">
      <w:pPr>
        <w:divId w:val="1250820341"/>
        <w:rPr>
          <w:rFonts w:eastAsia="Times New Roman"/>
        </w:rPr>
      </w:pPr>
    </w:p>
    <w:p w:rsidR="00000000" w:rsidRDefault="009E01B0">
      <w:pPr>
        <w:divId w:val="995690810"/>
        <w:rPr>
          <w:rFonts w:eastAsia="Times New Roman"/>
        </w:rPr>
      </w:pPr>
      <w:r>
        <w:rPr>
          <w:rFonts w:ascii="Arial" w:eastAsia="Times New Roman" w:hAnsi="Arial" w:cs="Arial"/>
          <w:color w:val="000000"/>
          <w:sz w:val="20"/>
          <w:szCs w:val="20"/>
        </w:rPr>
        <w:t xml:space="preserve">Unless otherwise specified, all dollar amounts are expressed in Canadian dollars, all references to “dollars”, “$” or “C$” are to Canadian dollars and all references to “US$” are to United States (US) dollars. All amounts are provided </w:t>
      </w:r>
      <w:r>
        <w:rPr>
          <w:rFonts w:ascii="Arial" w:eastAsia="Times New Roman" w:hAnsi="Arial" w:cs="Arial"/>
          <w:color w:val="000000"/>
          <w:sz w:val="20"/>
          <w:szCs w:val="20"/>
        </w:rPr>
        <w:t>on a before tax basis, unless otherwise stated.</w:t>
      </w:r>
    </w:p>
    <w:p w:rsidR="00000000" w:rsidRDefault="009E01B0">
      <w:pPr>
        <w:divId w:val="197788056"/>
        <w:rPr>
          <w:rFonts w:eastAsia="Times New Roman"/>
        </w:rPr>
      </w:pPr>
    </w:p>
    <w:p w:rsidR="00000000" w:rsidRDefault="009E01B0">
      <w:pPr>
        <w:divId w:val="778063254"/>
        <w:rPr>
          <w:rFonts w:eastAsia="Times New Roman"/>
        </w:rPr>
      </w:pPr>
      <w:r>
        <w:rPr>
          <w:rFonts w:ascii="Arial" w:eastAsia="Times New Roman" w:hAnsi="Arial" w:cs="Arial"/>
          <w:b/>
          <w:bCs/>
          <w:color w:val="000000"/>
          <w:sz w:val="26"/>
          <w:szCs w:val="26"/>
        </w:rPr>
        <w:t>FORWARD-LOOKING INFORMATION</w:t>
      </w:r>
    </w:p>
    <w:p w:rsidR="00000000" w:rsidRDefault="009E01B0">
      <w:pPr>
        <w:divId w:val="11147371"/>
        <w:rPr>
          <w:rFonts w:eastAsia="Times New Roman"/>
        </w:rPr>
      </w:pPr>
    </w:p>
    <w:p w:rsidR="00000000" w:rsidRDefault="009E01B0">
      <w:pPr>
        <w:divId w:val="1043097917"/>
        <w:rPr>
          <w:rFonts w:eastAsia="Times New Roman"/>
        </w:rPr>
      </w:pPr>
      <w:r>
        <w:rPr>
          <w:rFonts w:ascii="Arial" w:eastAsia="Times New Roman" w:hAnsi="Arial" w:cs="Arial"/>
          <w:i/>
          <w:iCs/>
          <w:color w:val="000000"/>
          <w:sz w:val="18"/>
          <w:szCs w:val="18"/>
        </w:rPr>
        <w:t>Forward-looking information, or forward-looking statements, have been included in this quarterly report on Form 10-Q to provide information about us and our subsidiaries and af</w:t>
      </w:r>
      <w:r>
        <w:rPr>
          <w:rFonts w:ascii="Arial" w:eastAsia="Times New Roman" w:hAnsi="Arial" w:cs="Arial"/>
          <w:i/>
          <w:iCs/>
          <w:color w:val="000000"/>
          <w:sz w:val="18"/>
          <w:szCs w:val="18"/>
        </w:rPr>
        <w:t>filiates, including management’s assessment of our and our subsidiaries’ future plans and operations. This information may not be appropriate for other purposes. Forward-looking statements are typically identified by words such as ‘‘anticipate”, “believe”,</w:t>
      </w:r>
      <w:r>
        <w:rPr>
          <w:rFonts w:ascii="Arial" w:eastAsia="Times New Roman" w:hAnsi="Arial" w:cs="Arial"/>
          <w:i/>
          <w:iCs/>
          <w:color w:val="000000"/>
          <w:sz w:val="18"/>
          <w:szCs w:val="18"/>
        </w:rPr>
        <w:t xml:space="preserve"> “estimate”, “expect”, “forecast”, “intend”, “likely”, “plan”, “project”, “target” and similar words suggesting future outcomes or statements regarding an outlook. Forward-looking information or statements included or incorporated by reference in this docu</w:t>
      </w:r>
      <w:r>
        <w:rPr>
          <w:rFonts w:ascii="Arial" w:eastAsia="Times New Roman" w:hAnsi="Arial" w:cs="Arial"/>
          <w:i/>
          <w:iCs/>
          <w:color w:val="000000"/>
          <w:sz w:val="18"/>
          <w:szCs w:val="18"/>
        </w:rPr>
        <w:t>ment include, but are not limited to, statements with respect to the following: our corporate vision and strategy, including strategic priorities and enablers; the COVID-19 pandemic and the duration and impact thereof; energy intensity and emissions reduct</w:t>
      </w:r>
      <w:r>
        <w:rPr>
          <w:rFonts w:ascii="Arial" w:eastAsia="Times New Roman" w:hAnsi="Arial" w:cs="Arial"/>
          <w:i/>
          <w:iCs/>
          <w:color w:val="000000"/>
          <w:sz w:val="18"/>
          <w:szCs w:val="18"/>
        </w:rPr>
        <w:t>ion targets and related environment, social and governance matters; diversity and inclusion goals; expected supply of, demand for and prices of crude oil, natural gas, natural gas liquids (NGL), liquified natural gas (LNG) and renewable energy; energy tran</w:t>
      </w:r>
      <w:r>
        <w:rPr>
          <w:rFonts w:ascii="Arial" w:eastAsia="Times New Roman" w:hAnsi="Arial" w:cs="Arial"/>
          <w:i/>
          <w:iCs/>
          <w:color w:val="000000"/>
          <w:sz w:val="18"/>
          <w:szCs w:val="18"/>
        </w:rPr>
        <w:t>sition; anticipated utilization of our existing assets; expected earnings before interest, income taxes and depreciation and amortization (EBITDA); expected earnings/(loss); expected future cash flows and distributable cash flow; dividend growth and payout</w:t>
      </w:r>
      <w:r>
        <w:rPr>
          <w:rFonts w:ascii="Arial" w:eastAsia="Times New Roman" w:hAnsi="Arial" w:cs="Arial"/>
          <w:i/>
          <w:iCs/>
          <w:color w:val="000000"/>
          <w:sz w:val="18"/>
          <w:szCs w:val="18"/>
        </w:rPr>
        <w:t xml:space="preserve"> policy; financial strength and flexibility; expectations on sources of liquidity and sufficiency of financial resources; expected strategic priorities and performance of the Liquids Pipelines, Gas Transmission and Midstream, Gas Distribution and Storage, </w:t>
      </w:r>
      <w:r>
        <w:rPr>
          <w:rFonts w:ascii="Arial" w:eastAsia="Times New Roman" w:hAnsi="Arial" w:cs="Arial"/>
          <w:i/>
          <w:iCs/>
          <w:color w:val="000000"/>
          <w:sz w:val="18"/>
          <w:szCs w:val="18"/>
        </w:rPr>
        <w:t xml:space="preserve">Renewable Power Generation and Energy Services businesses; expected costs related to announced projects and projects under construction; expected in-service dates for announced projects and projects under construction and for maintenance; expected capital </w:t>
      </w:r>
      <w:r>
        <w:rPr>
          <w:rFonts w:ascii="Arial" w:eastAsia="Times New Roman" w:hAnsi="Arial" w:cs="Arial"/>
          <w:i/>
          <w:iCs/>
          <w:color w:val="000000"/>
          <w:sz w:val="18"/>
          <w:szCs w:val="18"/>
        </w:rPr>
        <w:t>expenditures, investment capacity and capital allocation priorities; expected equity funding requirements for our commercially secured growth program; expected future growth and expansion opportunities; expectations about our joint venture partners’ abilit</w:t>
      </w:r>
      <w:r>
        <w:rPr>
          <w:rFonts w:ascii="Arial" w:eastAsia="Times New Roman" w:hAnsi="Arial" w:cs="Arial"/>
          <w:i/>
          <w:iCs/>
          <w:color w:val="000000"/>
          <w:sz w:val="18"/>
          <w:szCs w:val="18"/>
        </w:rPr>
        <w:t>y to complete and finance projects under construction; expected closing of acquisitions and dispositions and the timing thereof; expected benefits of transactions, including the realization of efficiencies, synergies and cost savings; expected future actio</w:t>
      </w:r>
      <w:r>
        <w:rPr>
          <w:rFonts w:ascii="Arial" w:eastAsia="Times New Roman" w:hAnsi="Arial" w:cs="Arial"/>
          <w:i/>
          <w:iCs/>
          <w:color w:val="000000"/>
          <w:sz w:val="18"/>
          <w:szCs w:val="18"/>
        </w:rPr>
        <w:t xml:space="preserve">ns of regulators and courts; toll and rate cases discussions and filings, including Mainline System contracting; anticipated competition; US Line 3 Replacement Program (US </w:t>
      </w:r>
      <w:r>
        <w:rPr>
          <w:rFonts w:ascii="Arial" w:eastAsia="Times New Roman" w:hAnsi="Arial" w:cs="Arial"/>
          <w:i/>
          <w:iCs/>
          <w:color w:val="000000"/>
          <w:sz w:val="18"/>
          <w:szCs w:val="18"/>
        </w:rPr>
        <w:lastRenderedPageBreak/>
        <w:t>L3R Program), including anticipated in-service dates and capital costs; and Line 5 d</w:t>
      </w:r>
      <w:r>
        <w:rPr>
          <w:rFonts w:ascii="Arial" w:eastAsia="Times New Roman" w:hAnsi="Arial" w:cs="Arial"/>
          <w:i/>
          <w:iCs/>
          <w:color w:val="000000"/>
          <w:sz w:val="18"/>
          <w:szCs w:val="18"/>
        </w:rPr>
        <w:t xml:space="preserve">ual pipelines and related litigation and other matters. </w:t>
      </w:r>
    </w:p>
    <w:p w:rsidR="00000000" w:rsidRDefault="009E01B0">
      <w:pPr>
        <w:divId w:val="1629356887"/>
        <w:rPr>
          <w:rFonts w:eastAsia="Times New Roman"/>
        </w:rPr>
      </w:pPr>
    </w:p>
    <w:p w:rsidR="00000000" w:rsidRDefault="009E01B0">
      <w:pPr>
        <w:divId w:val="504707378"/>
        <w:rPr>
          <w:rFonts w:eastAsia="Times New Roman"/>
        </w:rPr>
      </w:pPr>
      <w:r>
        <w:rPr>
          <w:rFonts w:ascii="Arial" w:eastAsia="Times New Roman" w:hAnsi="Arial" w:cs="Arial"/>
          <w:i/>
          <w:iCs/>
          <w:color w:val="000000"/>
          <w:sz w:val="18"/>
          <w:szCs w:val="18"/>
        </w:rPr>
        <w:t>Although we believe these forward-looking statements are reasonable based on the information available on the date such statements are made and processes used to prepare the information, such state</w:t>
      </w:r>
      <w:r>
        <w:rPr>
          <w:rFonts w:ascii="Arial" w:eastAsia="Times New Roman" w:hAnsi="Arial" w:cs="Arial"/>
          <w:i/>
          <w:iCs/>
          <w:color w:val="000000"/>
          <w:sz w:val="18"/>
          <w:szCs w:val="18"/>
        </w:rPr>
        <w:t>ments are not guarantees of future performance and readers are cautioned against placing undue reliance on forward-looking statements. By their nature, these statements involve a variety of assumptions, known and unknown risks and uncertainties and other f</w:t>
      </w:r>
      <w:r>
        <w:rPr>
          <w:rFonts w:ascii="Arial" w:eastAsia="Times New Roman" w:hAnsi="Arial" w:cs="Arial"/>
          <w:i/>
          <w:iCs/>
          <w:color w:val="000000"/>
          <w:sz w:val="18"/>
          <w:szCs w:val="18"/>
        </w:rPr>
        <w:t>actors, which may cause actual results, levels of activity and achievements to differ materially from those expressed or implied by such statements. Material assumptions include assumptions about the following: the COVID-19 pandemic and the duration and im</w:t>
      </w:r>
      <w:r>
        <w:rPr>
          <w:rFonts w:ascii="Arial" w:eastAsia="Times New Roman" w:hAnsi="Arial" w:cs="Arial"/>
          <w:i/>
          <w:iCs/>
          <w:color w:val="000000"/>
          <w:sz w:val="18"/>
          <w:szCs w:val="18"/>
        </w:rPr>
        <w:t>pact thereof; the expected supply of and demand for crude oil, natural gas, NGL and renewable energy; prices of crude oil, natural gas, NGL and renewable energy; anticipated utilization of assets; exchange rates; inflation; interest rates; availability and</w:t>
      </w:r>
      <w:r>
        <w:rPr>
          <w:rFonts w:ascii="Arial" w:eastAsia="Times New Roman" w:hAnsi="Arial" w:cs="Arial"/>
          <w:i/>
          <w:iCs/>
          <w:color w:val="000000"/>
          <w:sz w:val="18"/>
          <w:szCs w:val="18"/>
        </w:rPr>
        <w:t xml:space="preserve"> price of labor and construction materials; operational reliability; customer and regulatory approvals; maintenance of support and regulatory approvals for our projects; anticipated in-service dates; weather; the timing and closing of acquisitions and disp</w:t>
      </w:r>
      <w:r>
        <w:rPr>
          <w:rFonts w:ascii="Arial" w:eastAsia="Times New Roman" w:hAnsi="Arial" w:cs="Arial"/>
          <w:i/>
          <w:iCs/>
          <w:color w:val="000000"/>
          <w:sz w:val="18"/>
          <w:szCs w:val="18"/>
        </w:rPr>
        <w:t>ositions; the realization of anticipated benefits and synergies of transactions; governmental legislation; litigation; estimated future dividends and impact of our dividend policy on our future cash flows; our credit ratings; capital project funding; hedgi</w:t>
      </w:r>
      <w:r>
        <w:rPr>
          <w:rFonts w:ascii="Arial" w:eastAsia="Times New Roman" w:hAnsi="Arial" w:cs="Arial"/>
          <w:i/>
          <w:iCs/>
          <w:color w:val="000000"/>
          <w:sz w:val="18"/>
          <w:szCs w:val="18"/>
        </w:rPr>
        <w:t>ng program; expected EBITDA; expected earnings/(loss); expected future cash flows; and expected distributable cash flow. Assumptions regarding the expected supply of and demand for crude oil, natural gas, NGL and renewable energy, and the prices of these c</w:t>
      </w:r>
      <w:r>
        <w:rPr>
          <w:rFonts w:ascii="Arial" w:eastAsia="Times New Roman" w:hAnsi="Arial" w:cs="Arial"/>
          <w:i/>
          <w:iCs/>
          <w:color w:val="000000"/>
          <w:sz w:val="18"/>
          <w:szCs w:val="18"/>
        </w:rPr>
        <w:t>ommodities, are material to and underlie all forward-looking statements, as they may impact current and future levels of demand for our services. Similarly, exchange rates, inflation and interest rates and the COVID-19 pandemic impact the economies and bus</w:t>
      </w:r>
      <w:r>
        <w:rPr>
          <w:rFonts w:ascii="Arial" w:eastAsia="Times New Roman" w:hAnsi="Arial" w:cs="Arial"/>
          <w:i/>
          <w:iCs/>
          <w:color w:val="000000"/>
          <w:sz w:val="18"/>
          <w:szCs w:val="18"/>
        </w:rPr>
        <w:t>iness environments in which we operate and may impact levels of demand for our services and cost of inputs, and are therefore inherent in all forward-looking statements. Due to the interdependencies and correlation of these macroeconomic factors, the impac</w:t>
      </w:r>
      <w:r>
        <w:rPr>
          <w:rFonts w:ascii="Arial" w:eastAsia="Times New Roman" w:hAnsi="Arial" w:cs="Arial"/>
          <w:i/>
          <w:iCs/>
          <w:color w:val="000000"/>
          <w:sz w:val="18"/>
          <w:szCs w:val="18"/>
        </w:rPr>
        <w:t xml:space="preserve">t of any one assumption on a forward-looking statement cannot be determined with certainty, particularly with respect to expected EBITDA, expected </w:t>
      </w:r>
    </w:p>
    <w:p w:rsidR="00000000" w:rsidRDefault="009E01B0">
      <w:pPr>
        <w:jc w:val="center"/>
        <w:divId w:val="1096831850"/>
        <w:rPr>
          <w:rFonts w:eastAsia="Times New Roman"/>
        </w:rPr>
      </w:pPr>
      <w:r>
        <w:rPr>
          <w:rFonts w:ascii="Arial" w:eastAsia="Times New Roman" w:hAnsi="Arial" w:cs="Arial"/>
          <w:color w:val="000000"/>
          <w:sz w:val="20"/>
          <w:szCs w:val="20"/>
        </w:rPr>
        <w:t>4</w:t>
      </w:r>
    </w:p>
    <w:p w:rsidR="00000000" w:rsidRDefault="009E01B0">
      <w:pPr>
        <w:rPr>
          <w:rFonts w:eastAsia="Times New Roman"/>
        </w:rPr>
      </w:pPr>
      <w:r>
        <w:rPr>
          <w:rFonts w:eastAsia="Times New Roman"/>
        </w:rPr>
        <w:pict>
          <v:rect id="_x0000_i1029" style="width:0;height:1.5pt" o:hralign="center" o:hrstd="t" o:hr="t" fillcolor="#a0a0a0" stroked="f"/>
        </w:pict>
      </w:r>
    </w:p>
    <w:p w:rsidR="00000000" w:rsidRDefault="009E01B0">
      <w:pPr>
        <w:jc w:val="center"/>
        <w:divId w:val="296952445"/>
        <w:rPr>
          <w:rFonts w:eastAsia="Times New Roman"/>
        </w:rPr>
      </w:pPr>
    </w:p>
    <w:p w:rsidR="00000000" w:rsidRDefault="009E01B0">
      <w:pPr>
        <w:jc w:val="center"/>
        <w:divId w:val="296952445"/>
        <w:rPr>
          <w:rFonts w:eastAsia="Times New Roman"/>
        </w:rPr>
      </w:pPr>
    </w:p>
    <w:p w:rsidR="00000000" w:rsidRDefault="009E01B0">
      <w:pPr>
        <w:divId w:val="582762184"/>
        <w:rPr>
          <w:rFonts w:eastAsia="Times New Roman"/>
        </w:rPr>
      </w:pPr>
      <w:r>
        <w:rPr>
          <w:rFonts w:ascii="Arial" w:eastAsia="Times New Roman" w:hAnsi="Arial" w:cs="Arial"/>
          <w:i/>
          <w:iCs/>
          <w:color w:val="000000"/>
          <w:sz w:val="18"/>
          <w:szCs w:val="18"/>
        </w:rPr>
        <w:t>earnings/(loss), expected future cash flows, expected distributabl</w:t>
      </w:r>
      <w:r>
        <w:rPr>
          <w:rFonts w:ascii="Arial" w:eastAsia="Times New Roman" w:hAnsi="Arial" w:cs="Arial"/>
          <w:i/>
          <w:iCs/>
          <w:color w:val="000000"/>
          <w:sz w:val="18"/>
          <w:szCs w:val="18"/>
        </w:rPr>
        <w:t>e cash flow or estimated future dividends. The most relevant assumptions associated with forward-looking statements regarding announced projects and projects under construction, including estimated completion dates and expected capital expenditures, includ</w:t>
      </w:r>
      <w:r>
        <w:rPr>
          <w:rFonts w:ascii="Arial" w:eastAsia="Times New Roman" w:hAnsi="Arial" w:cs="Arial"/>
          <w:i/>
          <w:iCs/>
          <w:color w:val="000000"/>
          <w:sz w:val="18"/>
          <w:szCs w:val="18"/>
        </w:rPr>
        <w:t>e the following: the availability and price of labor and construction materials; the effects of inflation and foreign exchange rates on labor and material costs; the effects of interest rates on borrowing costs; the impact of weather, customer, government,</w:t>
      </w:r>
      <w:r>
        <w:rPr>
          <w:rFonts w:ascii="Arial" w:eastAsia="Times New Roman" w:hAnsi="Arial" w:cs="Arial"/>
          <w:i/>
          <w:iCs/>
          <w:color w:val="000000"/>
          <w:sz w:val="18"/>
          <w:szCs w:val="18"/>
        </w:rPr>
        <w:t xml:space="preserve"> court and regulatory approvals on construction and in-service schedules and cost recovery regimes; and the COVID-19 pandemic and the duration and impact thereof. </w:t>
      </w:r>
    </w:p>
    <w:p w:rsidR="00000000" w:rsidRDefault="009E01B0">
      <w:pPr>
        <w:divId w:val="309755068"/>
        <w:rPr>
          <w:rFonts w:eastAsia="Times New Roman"/>
        </w:rPr>
      </w:pPr>
    </w:p>
    <w:p w:rsidR="00000000" w:rsidRDefault="009E01B0">
      <w:pPr>
        <w:divId w:val="1799100661"/>
        <w:rPr>
          <w:rFonts w:eastAsia="Times New Roman"/>
        </w:rPr>
      </w:pPr>
      <w:r>
        <w:rPr>
          <w:rFonts w:ascii="Arial" w:eastAsia="Times New Roman" w:hAnsi="Arial" w:cs="Arial"/>
          <w:i/>
          <w:iCs/>
          <w:color w:val="000000"/>
          <w:sz w:val="18"/>
          <w:szCs w:val="18"/>
        </w:rPr>
        <w:t xml:space="preserve">Our forward-looking statements are subject to risks and uncertainties pertaining to the successful execution of our strategic priorities, operating performance, legislative and regulatory parameters; litigation, including with respect to the Dakota Access </w:t>
      </w:r>
      <w:r>
        <w:rPr>
          <w:rFonts w:ascii="Arial" w:eastAsia="Times New Roman" w:hAnsi="Arial" w:cs="Arial"/>
          <w:i/>
          <w:iCs/>
          <w:color w:val="000000"/>
          <w:sz w:val="18"/>
          <w:szCs w:val="18"/>
        </w:rPr>
        <w:t>Pipeline (DAPL) and the Line 5 dual pipelines; acquisitions, dispositions and other transactions and the realization of anticipated benefits therefrom; our dividend policy; project approval and support; renewals of rights-of-way; weather; economic and comp</w:t>
      </w:r>
      <w:r>
        <w:rPr>
          <w:rFonts w:ascii="Arial" w:eastAsia="Times New Roman" w:hAnsi="Arial" w:cs="Arial"/>
          <w:i/>
          <w:iCs/>
          <w:color w:val="000000"/>
          <w:sz w:val="18"/>
          <w:szCs w:val="18"/>
        </w:rPr>
        <w:t>etitive conditions; public opinion; changes in tax laws and tax rates; exchange rates; interest rates; commodity prices; political decisions; the supply of, demand for and prices of commodities; and the COVID-19 pandemic, including but not limited to those</w:t>
      </w:r>
      <w:r>
        <w:rPr>
          <w:rFonts w:ascii="Arial" w:eastAsia="Times New Roman" w:hAnsi="Arial" w:cs="Arial"/>
          <w:i/>
          <w:iCs/>
          <w:color w:val="000000"/>
          <w:sz w:val="18"/>
          <w:szCs w:val="18"/>
        </w:rPr>
        <w:t xml:space="preserve"> risks and uncertainties discussed in this quarterly report on Form 10-Q and in our other filings with Canadian and US securities regulators. The impact of any one risk, uncertainty or factor on a particular forward-looking statement is not determinable wi</w:t>
      </w:r>
      <w:r>
        <w:rPr>
          <w:rFonts w:ascii="Arial" w:eastAsia="Times New Roman" w:hAnsi="Arial" w:cs="Arial"/>
          <w:i/>
          <w:iCs/>
          <w:color w:val="000000"/>
          <w:sz w:val="18"/>
          <w:szCs w:val="18"/>
        </w:rPr>
        <w:t>th certainty as these are interdependent and our future course of action depends on management’s assessment of all information available at the relevant time. Except to the extent required by applicable law, Enbridge assumes no obligation to publicly updat</w:t>
      </w:r>
      <w:r>
        <w:rPr>
          <w:rFonts w:ascii="Arial" w:eastAsia="Times New Roman" w:hAnsi="Arial" w:cs="Arial"/>
          <w:i/>
          <w:iCs/>
          <w:color w:val="000000"/>
          <w:sz w:val="18"/>
          <w:szCs w:val="18"/>
        </w:rPr>
        <w:t>e or revise any forward-looking statement made in this quarterly report on Form 10-Q or otherwise, whether as a result of new information, future events or otherwise. All forward-looking statements, whether written or oral, attributable to us or persons ac</w:t>
      </w:r>
      <w:r>
        <w:rPr>
          <w:rFonts w:ascii="Arial" w:eastAsia="Times New Roman" w:hAnsi="Arial" w:cs="Arial"/>
          <w:i/>
          <w:iCs/>
          <w:color w:val="000000"/>
          <w:sz w:val="18"/>
          <w:szCs w:val="18"/>
        </w:rPr>
        <w:t xml:space="preserve">ting on our behalf, are expressly qualified in their entirety by these cautionary statements. </w:t>
      </w:r>
    </w:p>
    <w:p w:rsidR="00000000" w:rsidRDefault="009E01B0">
      <w:pPr>
        <w:divId w:val="2018077578"/>
        <w:rPr>
          <w:rFonts w:eastAsia="Times New Roman"/>
        </w:rPr>
      </w:pPr>
    </w:p>
    <w:p w:rsidR="00000000" w:rsidRDefault="009E01B0">
      <w:pPr>
        <w:jc w:val="center"/>
        <w:divId w:val="949319583"/>
        <w:rPr>
          <w:rFonts w:eastAsia="Times New Roman"/>
        </w:rPr>
      </w:pPr>
      <w:r>
        <w:rPr>
          <w:rFonts w:ascii="Arial" w:eastAsia="Times New Roman" w:hAnsi="Arial" w:cs="Arial"/>
          <w:color w:val="000000"/>
          <w:sz w:val="20"/>
          <w:szCs w:val="20"/>
        </w:rPr>
        <w:t>5</w:t>
      </w:r>
    </w:p>
    <w:p w:rsidR="00000000" w:rsidRDefault="009E01B0">
      <w:pPr>
        <w:rPr>
          <w:rFonts w:eastAsia="Times New Roman"/>
        </w:rPr>
      </w:pPr>
      <w:r>
        <w:rPr>
          <w:rFonts w:eastAsia="Times New Roman"/>
        </w:rPr>
        <w:pict>
          <v:rect id="_x0000_i1030" style="width:0;height:1.5pt" o:hralign="center" o:hrstd="t" o:hr="t" fillcolor="#a0a0a0" stroked="f"/>
        </w:pict>
      </w:r>
    </w:p>
    <w:p w:rsidR="00000000" w:rsidRDefault="009E01B0">
      <w:pPr>
        <w:jc w:val="center"/>
        <w:divId w:val="1616868674"/>
        <w:rPr>
          <w:rFonts w:eastAsia="Times New Roman"/>
        </w:rPr>
      </w:pPr>
    </w:p>
    <w:p w:rsidR="00000000" w:rsidRDefault="009E01B0">
      <w:pPr>
        <w:jc w:val="center"/>
        <w:divId w:val="1616868674"/>
        <w:rPr>
          <w:rFonts w:eastAsia="Times New Roman"/>
        </w:rPr>
      </w:pPr>
    </w:p>
    <w:p w:rsidR="00000000" w:rsidRDefault="009E01B0">
      <w:pPr>
        <w:jc w:val="center"/>
        <w:rPr>
          <w:rFonts w:eastAsia="Times New Roman"/>
        </w:rPr>
      </w:pPr>
      <w:r>
        <w:rPr>
          <w:rFonts w:ascii="Arial" w:eastAsia="Times New Roman" w:hAnsi="Arial" w:cs="Arial"/>
          <w:b/>
          <w:bCs/>
          <w:color w:val="000000"/>
          <w:sz w:val="30"/>
          <w:szCs w:val="30"/>
        </w:rPr>
        <w:t>PART I - FINANCIAL INFORMATION</w:t>
      </w:r>
    </w:p>
    <w:p w:rsidR="00000000" w:rsidRDefault="009E01B0">
      <w:pPr>
        <w:jc w:val="center"/>
        <w:rPr>
          <w:rFonts w:eastAsia="Times New Roman"/>
        </w:rPr>
      </w:pPr>
    </w:p>
    <w:p w:rsidR="00000000" w:rsidRDefault="009E01B0">
      <w:pPr>
        <w:divId w:val="540478957"/>
        <w:rPr>
          <w:rFonts w:eastAsia="Times New Roman"/>
        </w:rPr>
      </w:pPr>
      <w:r>
        <w:rPr>
          <w:rFonts w:ascii="Arial" w:eastAsia="Times New Roman" w:hAnsi="Arial" w:cs="Arial"/>
          <w:b/>
          <w:bCs/>
          <w:color w:val="000000"/>
          <w:sz w:val="28"/>
          <w:szCs w:val="28"/>
        </w:rPr>
        <w:lastRenderedPageBreak/>
        <w:t>ITEM 1. FINANCIAL STATEMENTS</w:t>
      </w:r>
    </w:p>
    <w:p w:rsidR="00000000" w:rsidRDefault="009E01B0">
      <w:pPr>
        <w:divId w:val="1380010531"/>
        <w:rPr>
          <w:rFonts w:eastAsia="Times New Roman"/>
        </w:rPr>
      </w:pPr>
    </w:p>
    <w:p w:rsidR="00000000" w:rsidRDefault="009E01B0">
      <w:pPr>
        <w:ind w:firstLine="720"/>
        <w:jc w:val="center"/>
        <w:rPr>
          <w:rFonts w:eastAsia="Times New Roman"/>
        </w:rPr>
      </w:pPr>
      <w:r>
        <w:rPr>
          <w:rFonts w:ascii="Arial" w:eastAsia="Times New Roman" w:hAnsi="Arial" w:cs="Arial"/>
          <w:b/>
          <w:bCs/>
          <w:color w:val="000000"/>
          <w:sz w:val="30"/>
          <w:szCs w:val="30"/>
        </w:rPr>
        <w:t>ENBRIDGE INC.</w:t>
      </w:r>
    </w:p>
    <w:p w:rsidR="00000000" w:rsidRDefault="009E01B0">
      <w:pPr>
        <w:jc w:val="center"/>
        <w:rPr>
          <w:rFonts w:eastAsia="Times New Roman"/>
        </w:rPr>
      </w:pPr>
      <w:r>
        <w:rPr>
          <w:rFonts w:ascii="Arial" w:eastAsia="Times New Roman" w:hAnsi="Arial" w:cs="Arial"/>
          <w:b/>
          <w:bCs/>
          <w:color w:val="000000"/>
          <w:sz w:val="30"/>
          <w:szCs w:val="30"/>
        </w:rPr>
        <w:t xml:space="preserve">CONSOLIDATED STATEMENTS OF EARNINGS </w:t>
      </w:r>
    </w:p>
    <w:p w:rsidR="00000000" w:rsidRDefault="009E01B0">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6"/>
        <w:gridCol w:w="6228"/>
        <w:gridCol w:w="41"/>
        <w:gridCol w:w="66"/>
        <w:gridCol w:w="792"/>
        <w:gridCol w:w="37"/>
        <w:gridCol w:w="66"/>
        <w:gridCol w:w="793"/>
        <w:gridCol w:w="37"/>
        <w:gridCol w:w="36"/>
        <w:gridCol w:w="36"/>
        <w:gridCol w:w="36"/>
        <w:gridCol w:w="36"/>
        <w:gridCol w:w="36"/>
      </w:tblGrid>
      <w:tr w:rsidR="00000000">
        <w:trPr>
          <w:divId w:val="1235049265"/>
        </w:trPr>
        <w:tc>
          <w:tcPr>
            <w:tcW w:w="50" w:type="pct"/>
            <w:vAlign w:val="center"/>
            <w:hideMark/>
          </w:tcPr>
          <w:p w:rsidR="00000000" w:rsidRDefault="009E01B0">
            <w:pPr>
              <w:jc w:val="center"/>
              <w:rPr>
                <w:rFonts w:eastAsia="Times New Roman"/>
              </w:rPr>
            </w:pPr>
          </w:p>
        </w:tc>
        <w:tc>
          <w:tcPr>
            <w:tcW w:w="383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9E01B0">
            <w:pPr>
              <w:jc w:val="cente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235049265"/>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2020</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i/>
                <w:iCs/>
                <w:color w:val="000000"/>
                <w:sz w:val="16"/>
                <w:szCs w:val="16"/>
              </w:rPr>
              <w:t>(unaudited; millions of Canadian dollars, except per share amounts)</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Operating revenues</w:t>
            </w:r>
          </w:p>
        </w:tc>
        <w:tc>
          <w:tcPr>
            <w:tcW w:w="0" w:type="auto"/>
            <w:gridSpan w:val="3"/>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6,429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7,389 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Transportation and other services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4,218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3,208 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Gas distribution sales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1,540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1,416 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divId w:val="1317296408"/>
              <w:rPr>
                <w:rFonts w:eastAsia="Times New Roman"/>
              </w:rPr>
            </w:pPr>
            <w:r>
              <w:rPr>
                <w:rFonts w:ascii="Arial" w:eastAsia="Times New Roman" w:hAnsi="Arial" w:cs="Arial"/>
                <w:color w:val="000000"/>
                <w:sz w:val="20"/>
                <w:szCs w:val="20"/>
              </w:rPr>
              <w:t xml:space="preserve">Total operating revenues </w:t>
            </w:r>
            <w:r>
              <w:rPr>
                <w:rFonts w:ascii="Arial" w:eastAsia="Times New Roman" w:hAnsi="Arial" w:cs="Arial"/>
                <w:i/>
                <w:iCs/>
                <w:color w:val="000000"/>
                <w:sz w:val="16"/>
                <w:szCs w:val="16"/>
              </w:rPr>
              <w:t>(Note 3)</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12,187</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12,013 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Operating expenses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Commodity costs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6,198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7,163 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Gas distribution costs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950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855 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Operating and administrative</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1,559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1,600 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932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882 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Borders>
              <w:top w:val="single" w:sz="8" w:space="0" w:color="000000"/>
            </w:tcBorders>
            <w:tcMar>
              <w:top w:w="30" w:type="dxa"/>
              <w:left w:w="20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Total operating expenses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9,639</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10,500 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Operating income</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2,548</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1,513 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Income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163 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 w:type="dxa"/>
              <w:bottom w:w="30" w:type="dxa"/>
              <w:right w:w="20" w:type="dxa"/>
            </w:tcMar>
            <w:vAlign w:val="center"/>
            <w:hideMark/>
          </w:tcPr>
          <w:p w:rsidR="00000000" w:rsidRDefault="009E01B0">
            <w:pPr>
              <w:divId w:val="318660498"/>
              <w:rPr>
                <w:rFonts w:eastAsia="Times New Roman"/>
              </w:rPr>
            </w:pPr>
            <w:r>
              <w:rPr>
                <w:rFonts w:ascii="Arial" w:eastAsia="Times New Roman" w:hAnsi="Arial" w:cs="Arial"/>
                <w:color w:val="000000"/>
                <w:sz w:val="20"/>
                <w:szCs w:val="20"/>
              </w:rPr>
              <w:t xml:space="preserve">Impairment of equity investments </w:t>
            </w:r>
            <w:r>
              <w:rPr>
                <w:rFonts w:ascii="Arial" w:eastAsia="Times New Roman" w:hAnsi="Arial" w:cs="Arial"/>
                <w:i/>
                <w:iCs/>
                <w:color w:val="000000"/>
                <w:sz w:val="16"/>
                <w:szCs w:val="16"/>
              </w:rPr>
              <w:t>(Note 8)</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(1,736)</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Other income/(expense)</w:t>
            </w: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Net foreign currency gain/(loss)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(956)</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59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(191)</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Interest expense</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(657)</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(706)</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Earnings/(loss) before income taxes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2,497</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(1,913)</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 w:type="dxa"/>
              <w:bottom w:w="30" w:type="dxa"/>
              <w:right w:w="20" w:type="dxa"/>
            </w:tcMar>
            <w:vAlign w:val="center"/>
            <w:hideMark/>
          </w:tcPr>
          <w:p w:rsidR="00000000" w:rsidRDefault="009E01B0">
            <w:pPr>
              <w:divId w:val="246891693"/>
              <w:rPr>
                <w:rFonts w:eastAsia="Times New Roman"/>
              </w:rPr>
            </w:pPr>
            <w:r>
              <w:rPr>
                <w:rFonts w:ascii="Arial" w:eastAsia="Times New Roman" w:hAnsi="Arial" w:cs="Arial"/>
                <w:color w:val="000000"/>
                <w:sz w:val="20"/>
                <w:szCs w:val="20"/>
              </w:rPr>
              <w:t xml:space="preserve">Income tax (expense)/recovery </w:t>
            </w:r>
            <w:r>
              <w:rPr>
                <w:rFonts w:ascii="Arial" w:eastAsia="Times New Roman" w:hAnsi="Arial" w:cs="Arial"/>
                <w:i/>
                <w:iCs/>
                <w:color w:val="000000"/>
                <w:sz w:val="16"/>
                <w:szCs w:val="16"/>
              </w:rPr>
              <w:t>(Note 10)</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(483)</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549 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Earnings/(loss)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2,014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(1,364)</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0" w:type="dxa"/>
              <w:bottom w:w="30" w:type="dxa"/>
              <w:right w:w="20" w:type="dxa"/>
            </w:tcMar>
            <w:vAlign w:val="center"/>
            <w:hideMark/>
          </w:tcPr>
          <w:p w:rsidR="00000000" w:rsidRDefault="009E01B0">
            <w:pPr>
              <w:ind w:hanging="180"/>
              <w:rPr>
                <w:rFonts w:eastAsia="Times New Roman"/>
              </w:rPr>
            </w:pPr>
            <w:r>
              <w:rPr>
                <w:rFonts w:ascii="Arial" w:eastAsia="Times New Roman" w:hAnsi="Arial" w:cs="Arial"/>
                <w:color w:val="000000"/>
                <w:sz w:val="20"/>
                <w:szCs w:val="20"/>
              </w:rPr>
              <w:t>(Earnings)/loss attributable to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(22)</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Earnings/(loss) attributable to controlling interests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1,992</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(1,333)</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(92)</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(96)</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Borders>
              <w:top w:val="single" w:sz="8" w:space="0" w:color="000000"/>
            </w:tcBorders>
            <w:tcMar>
              <w:top w:w="30" w:type="dxa"/>
              <w:left w:w="200" w:type="dxa"/>
              <w:bottom w:w="30" w:type="dxa"/>
              <w:right w:w="20" w:type="dxa"/>
            </w:tcMar>
            <w:vAlign w:val="center"/>
            <w:hideMark/>
          </w:tcPr>
          <w:p w:rsidR="00000000" w:rsidRDefault="009E01B0">
            <w:pPr>
              <w:ind w:hanging="180"/>
              <w:rPr>
                <w:rFonts w:eastAsia="Times New Roman"/>
              </w:rPr>
            </w:pPr>
            <w:r>
              <w:rPr>
                <w:rFonts w:ascii="Arial" w:eastAsia="Times New Roman" w:hAnsi="Arial" w:cs="Arial"/>
                <w:color w:val="000000"/>
                <w:sz w:val="20"/>
                <w:szCs w:val="20"/>
              </w:rPr>
              <w:t>Earnings/(loss) attributable to common shareholders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1,900</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(1,429)</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Borders>
              <w:top w:val="single" w:sz="12" w:space="0" w:color="000000"/>
            </w:tcBorders>
            <w:tcMar>
              <w:top w:w="30" w:type="dxa"/>
              <w:left w:w="20" w:type="dxa"/>
              <w:bottom w:w="30" w:type="dxa"/>
              <w:right w:w="20" w:type="dxa"/>
            </w:tcMar>
            <w:vAlign w:val="center"/>
            <w:hideMark/>
          </w:tcPr>
          <w:p w:rsidR="00000000" w:rsidRDefault="009E01B0">
            <w:pPr>
              <w:ind w:hanging="180"/>
              <w:divId w:val="1162820587"/>
              <w:rPr>
                <w:rFonts w:eastAsia="Times New Roman"/>
              </w:rPr>
            </w:pPr>
            <w:r>
              <w:rPr>
                <w:rFonts w:ascii="Arial" w:eastAsia="Times New Roman" w:hAnsi="Arial" w:cs="Arial"/>
                <w:color w:val="000000"/>
                <w:sz w:val="20"/>
                <w:szCs w:val="20"/>
              </w:rPr>
              <w:t xml:space="preserve">Earnings/(loss) per common share attributable to common shareholders </w:t>
            </w:r>
            <w:r>
              <w:rPr>
                <w:rFonts w:ascii="Arial" w:eastAsia="Times New Roman" w:hAnsi="Arial" w:cs="Arial"/>
                <w:i/>
                <w:iCs/>
                <w:color w:val="000000"/>
                <w:sz w:val="16"/>
                <w:szCs w:val="16"/>
              </w:rPr>
              <w:t>(Note 5)</w:t>
            </w:r>
          </w:p>
        </w:tc>
        <w:tc>
          <w:tcPr>
            <w:tcW w:w="0" w:type="auto"/>
            <w:gridSpan w:val="2"/>
            <w:tcBorders>
              <w:top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0.94</w:t>
            </w:r>
            <w:r>
              <w:rPr>
                <w:rFonts w:ascii="Arial" w:eastAsia="Times New Roman" w:hAnsi="Arial" w:cs="Arial"/>
                <w:color w:val="000000"/>
                <w:sz w:val="20"/>
                <w:szCs w:val="20"/>
              </w:rPr>
              <w:t> </w:t>
            </w:r>
          </w:p>
        </w:tc>
        <w:tc>
          <w:tcPr>
            <w:tcW w:w="0" w:type="auto"/>
            <w:tcBorders>
              <w:top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12"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(0.71)</w:t>
            </w:r>
          </w:p>
        </w:tc>
        <w:tc>
          <w:tcPr>
            <w:tcW w:w="0" w:type="auto"/>
            <w:tcBorders>
              <w:top w:val="single" w:sz="12"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35049265"/>
        </w:trPr>
        <w:tc>
          <w:tcPr>
            <w:tcW w:w="0" w:type="auto"/>
            <w:gridSpan w:val="3"/>
            <w:tcBorders>
              <w:top w:val="single" w:sz="12" w:space="0" w:color="000000"/>
              <w:bottom w:val="single" w:sz="12" w:space="0" w:color="000000"/>
            </w:tcBorders>
            <w:tcMar>
              <w:top w:w="30" w:type="dxa"/>
              <w:left w:w="20" w:type="dxa"/>
              <w:bottom w:w="30" w:type="dxa"/>
              <w:right w:w="20" w:type="dxa"/>
            </w:tcMar>
            <w:vAlign w:val="center"/>
            <w:hideMark/>
          </w:tcPr>
          <w:p w:rsidR="00000000" w:rsidRDefault="009E01B0">
            <w:pPr>
              <w:ind w:hanging="180"/>
              <w:divId w:val="1253978033"/>
              <w:rPr>
                <w:rFonts w:eastAsia="Times New Roman"/>
              </w:rPr>
            </w:pPr>
            <w:r>
              <w:rPr>
                <w:rFonts w:ascii="Arial" w:eastAsia="Times New Roman" w:hAnsi="Arial" w:cs="Arial"/>
                <w:color w:val="000000"/>
                <w:sz w:val="20"/>
                <w:szCs w:val="20"/>
              </w:rPr>
              <w:t xml:space="preserve">Diluted earnings/(loss) per common share attributable to common shareholders </w:t>
            </w:r>
            <w:r>
              <w:rPr>
                <w:rFonts w:ascii="Arial" w:eastAsia="Times New Roman" w:hAnsi="Arial" w:cs="Arial"/>
                <w:i/>
                <w:iCs/>
                <w:color w:val="000000"/>
                <w:sz w:val="16"/>
                <w:szCs w:val="16"/>
              </w:rPr>
              <w:t>(Note 5)</w:t>
            </w:r>
          </w:p>
        </w:tc>
        <w:tc>
          <w:tcPr>
            <w:tcW w:w="0" w:type="auto"/>
            <w:gridSpan w:val="2"/>
            <w:tcBorders>
              <w:top w:val="single" w:sz="12" w:space="0" w:color="000000"/>
              <w:bottom w:val="single" w:sz="12"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0.94</w:t>
            </w:r>
            <w:r>
              <w:rPr>
                <w:rFonts w:ascii="Arial" w:eastAsia="Times New Roman" w:hAnsi="Arial" w:cs="Arial"/>
                <w:color w:val="000000"/>
                <w:sz w:val="20"/>
                <w:szCs w:val="20"/>
              </w:rPr>
              <w:t> </w:t>
            </w:r>
          </w:p>
        </w:tc>
        <w:tc>
          <w:tcPr>
            <w:tcW w:w="0" w:type="auto"/>
            <w:tcBorders>
              <w:top w:val="single" w:sz="12" w:space="0" w:color="000000"/>
              <w:bottom w:val="single" w:sz="12"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12" w:space="0" w:color="000000"/>
              <w:bottom w:val="single" w:sz="12"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(0.71)</w:t>
            </w:r>
          </w:p>
        </w:tc>
        <w:tc>
          <w:tcPr>
            <w:tcW w:w="0" w:type="auto"/>
            <w:tcBorders>
              <w:top w:val="single" w:sz="12" w:space="0" w:color="000000"/>
              <w:bottom w:val="single" w:sz="12"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bl>
    <w:p w:rsidR="00000000" w:rsidRDefault="009E01B0">
      <w:pPr>
        <w:divId w:val="2015644877"/>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9E01B0">
      <w:pPr>
        <w:jc w:val="center"/>
        <w:divId w:val="88740800"/>
        <w:rPr>
          <w:rFonts w:eastAsia="Times New Roman"/>
        </w:rPr>
      </w:pPr>
      <w:r>
        <w:rPr>
          <w:rFonts w:ascii="Arial" w:eastAsia="Times New Roman" w:hAnsi="Arial" w:cs="Arial"/>
          <w:color w:val="000000"/>
          <w:sz w:val="20"/>
          <w:szCs w:val="20"/>
        </w:rPr>
        <w:t>6</w:t>
      </w:r>
    </w:p>
    <w:p w:rsidR="00000000" w:rsidRDefault="009E01B0">
      <w:pPr>
        <w:rPr>
          <w:rFonts w:eastAsia="Times New Roman"/>
        </w:rPr>
      </w:pPr>
      <w:r>
        <w:rPr>
          <w:rFonts w:eastAsia="Times New Roman"/>
        </w:rPr>
        <w:pict>
          <v:rect id="_x0000_i1031" style="width:0;height:1.5pt" o:hralign="center" o:hrstd="t" o:hr="t" fillcolor="#a0a0a0" stroked="f"/>
        </w:pict>
      </w:r>
    </w:p>
    <w:p w:rsidR="00000000" w:rsidRDefault="009E01B0">
      <w:pPr>
        <w:jc w:val="center"/>
        <w:divId w:val="451637635"/>
        <w:rPr>
          <w:rFonts w:eastAsia="Times New Roman"/>
        </w:rPr>
      </w:pPr>
    </w:p>
    <w:p w:rsidR="00000000" w:rsidRDefault="009E01B0">
      <w:pPr>
        <w:jc w:val="center"/>
        <w:divId w:val="451637635"/>
        <w:rPr>
          <w:rFonts w:eastAsia="Times New Roman"/>
        </w:rPr>
      </w:pPr>
    </w:p>
    <w:p w:rsidR="00000000" w:rsidRDefault="009E01B0">
      <w:pPr>
        <w:jc w:val="center"/>
        <w:rPr>
          <w:rFonts w:eastAsia="Times New Roman"/>
        </w:rPr>
      </w:pPr>
      <w:r>
        <w:rPr>
          <w:rFonts w:ascii="Arial" w:eastAsia="Times New Roman" w:hAnsi="Arial" w:cs="Arial"/>
          <w:b/>
          <w:bCs/>
          <w:color w:val="000000"/>
          <w:sz w:val="30"/>
          <w:szCs w:val="30"/>
        </w:rPr>
        <w:t>ENBRIDGE INC.</w:t>
      </w:r>
    </w:p>
    <w:p w:rsidR="00000000" w:rsidRDefault="009E01B0">
      <w:pPr>
        <w:jc w:val="center"/>
        <w:rPr>
          <w:rFonts w:eastAsia="Times New Roman"/>
        </w:rPr>
      </w:pPr>
      <w:r>
        <w:rPr>
          <w:rFonts w:ascii="Arial" w:eastAsia="Times New Roman" w:hAnsi="Arial" w:cs="Arial"/>
          <w:b/>
          <w:bCs/>
          <w:color w:val="000000"/>
          <w:sz w:val="30"/>
          <w:szCs w:val="30"/>
        </w:rPr>
        <w:t>CONSOLIDATED STATEMENTS OF COMPREHENSIVE INCOME</w:t>
      </w:r>
    </w:p>
    <w:p w:rsidR="00000000" w:rsidRDefault="009E01B0">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5832"/>
        <w:gridCol w:w="39"/>
        <w:gridCol w:w="36"/>
        <w:gridCol w:w="36"/>
        <w:gridCol w:w="621"/>
        <w:gridCol w:w="61"/>
        <w:gridCol w:w="743"/>
        <w:gridCol w:w="36"/>
        <w:gridCol w:w="61"/>
        <w:gridCol w:w="744"/>
        <w:gridCol w:w="36"/>
      </w:tblGrid>
      <w:tr w:rsidR="00000000">
        <w:trPr>
          <w:divId w:val="1672565470"/>
        </w:trPr>
        <w:tc>
          <w:tcPr>
            <w:tcW w:w="50" w:type="pct"/>
            <w:vAlign w:val="center"/>
            <w:hideMark/>
          </w:tcPr>
          <w:p w:rsidR="00000000" w:rsidRDefault="009E01B0">
            <w:pPr>
              <w:jc w:val="center"/>
              <w:rPr>
                <w:rFonts w:eastAsia="Times New Roman"/>
              </w:rPr>
            </w:pPr>
          </w:p>
        </w:tc>
        <w:tc>
          <w:tcPr>
            <w:tcW w:w="383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672565470"/>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4"/>
            <w:tcMar>
              <w:top w:w="30" w:type="dxa"/>
              <w:left w:w="20" w:type="dxa"/>
              <w:bottom w:w="30" w:type="dxa"/>
              <w:right w:w="20" w:type="dxa"/>
            </w:tcMar>
            <w:vAlign w:val="center"/>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672565470"/>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2020</w:t>
            </w:r>
          </w:p>
        </w:tc>
      </w:tr>
      <w:tr w:rsidR="00000000">
        <w:trPr>
          <w:divId w:val="167256547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i/>
                <w:iCs/>
                <w:color w:val="000000"/>
                <w:sz w:val="16"/>
                <w:szCs w:val="16"/>
              </w:rPr>
              <w:t>(unaudited; millions of Canadian dollars)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
                <w:szCs w:val="2"/>
              </w:rPr>
              <w:t> </w:t>
            </w:r>
          </w:p>
        </w:tc>
      </w:tr>
      <w:tr w:rsidR="00000000">
        <w:trPr>
          <w:divId w:val="1672565470"/>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Earnings/(loss)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2,014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(1,364)</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672565470"/>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Other comprehensive income/(loss), net of tax</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672565470"/>
        </w:trPr>
        <w:tc>
          <w:tcPr>
            <w:tcW w:w="0" w:type="auto"/>
            <w:gridSpan w:val="3"/>
            <w:tcMar>
              <w:top w:w="30" w:type="dxa"/>
              <w:left w:w="20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Change in unrealized gain/(loss) on cash flow hedges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370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(513)</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672565470"/>
        </w:trPr>
        <w:tc>
          <w:tcPr>
            <w:tcW w:w="0" w:type="auto"/>
            <w:gridSpan w:val="3"/>
            <w:tcMar>
              <w:top w:w="30" w:type="dxa"/>
              <w:left w:w="20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Change in unrealized gain/(loss) on net investment hedges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93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(715)</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672565470"/>
        </w:trPr>
        <w:tc>
          <w:tcPr>
            <w:tcW w:w="0" w:type="auto"/>
            <w:gridSpan w:val="3"/>
            <w:tcMar>
              <w:top w:w="30" w:type="dxa"/>
              <w:left w:w="20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Other comprehensive loss from equity investees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(22)</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(10)</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672565470"/>
        </w:trPr>
        <w:tc>
          <w:tcPr>
            <w:tcW w:w="0" w:type="auto"/>
            <w:gridSpan w:val="3"/>
            <w:tcMar>
              <w:top w:w="30" w:type="dxa"/>
              <w:left w:w="20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Excluded components of fair value hedges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672565470"/>
        </w:trPr>
        <w:tc>
          <w:tcPr>
            <w:tcW w:w="0" w:type="auto"/>
            <w:gridSpan w:val="3"/>
            <w:tcMar>
              <w:top w:w="30" w:type="dxa"/>
              <w:left w:w="20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Reclassification to earnings of loss on cash flow hedges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672565470"/>
        </w:trPr>
        <w:tc>
          <w:tcPr>
            <w:tcW w:w="0" w:type="auto"/>
            <w:gridSpan w:val="3"/>
            <w:tcMar>
              <w:top w:w="30" w:type="dxa"/>
              <w:left w:w="380" w:type="dxa"/>
              <w:bottom w:w="30" w:type="dxa"/>
              <w:right w:w="20" w:type="dxa"/>
            </w:tcMar>
            <w:vAlign w:val="center"/>
            <w:hideMark/>
          </w:tcPr>
          <w:p w:rsidR="00000000" w:rsidRDefault="009E01B0">
            <w:pPr>
              <w:ind w:hanging="180"/>
              <w:rPr>
                <w:rFonts w:eastAsia="Times New Roman"/>
              </w:rPr>
            </w:pPr>
            <w:r>
              <w:rPr>
                <w:rFonts w:ascii="Arial" w:eastAsia="Times New Roman" w:hAnsi="Arial" w:cs="Arial"/>
                <w:color w:val="000000"/>
                <w:sz w:val="20"/>
                <w:szCs w:val="20"/>
              </w:rPr>
              <w:t>Reclassification to earnings of pension and other postretirement benefits (OPEB) amounts</w:t>
            </w:r>
          </w:p>
        </w:tc>
        <w:tc>
          <w:tcPr>
            <w:tcW w:w="0" w:type="auto"/>
            <w:vAlign w:val="center"/>
            <w:hideMark/>
          </w:tcPr>
          <w:p w:rsidR="00000000" w:rsidRDefault="009E01B0">
            <w:pPr>
              <w:ind w:hanging="180"/>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672565470"/>
        </w:trPr>
        <w:tc>
          <w:tcPr>
            <w:tcW w:w="0" w:type="auto"/>
            <w:gridSpan w:val="3"/>
            <w:tcMar>
              <w:top w:w="30" w:type="dxa"/>
              <w:left w:w="20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Foreign currency translation adjustments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(796)</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5,637 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67256547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Other comprehensive (loss)/income, net of tax</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(299)</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4,437 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67256547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Comprehensive income</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1,715</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3,073 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672565470"/>
        </w:trPr>
        <w:tc>
          <w:tcPr>
            <w:tcW w:w="0" w:type="auto"/>
            <w:gridSpan w:val="3"/>
            <w:tcMar>
              <w:top w:w="30" w:type="dxa"/>
              <w:left w:w="200" w:type="dxa"/>
              <w:bottom w:w="30" w:type="dxa"/>
              <w:right w:w="20" w:type="dxa"/>
            </w:tcMar>
            <w:vAlign w:val="center"/>
            <w:hideMark/>
          </w:tcPr>
          <w:p w:rsidR="00000000" w:rsidRDefault="009E01B0">
            <w:pPr>
              <w:ind w:hanging="180"/>
              <w:rPr>
                <w:rFonts w:eastAsia="Times New Roman"/>
              </w:rPr>
            </w:pPr>
            <w:r>
              <w:rPr>
                <w:rFonts w:ascii="Arial" w:eastAsia="Times New Roman" w:hAnsi="Arial" w:cs="Arial"/>
                <w:color w:val="000000"/>
                <w:sz w:val="20"/>
                <w:szCs w:val="20"/>
              </w:rPr>
              <w:t>Comprehensive loss/(income) attributable to noncontrolling interests</w:t>
            </w:r>
          </w:p>
        </w:tc>
        <w:tc>
          <w:tcPr>
            <w:tcW w:w="0" w:type="auto"/>
            <w:vAlign w:val="center"/>
            <w:hideMark/>
          </w:tcPr>
          <w:p w:rsidR="00000000" w:rsidRDefault="009E01B0">
            <w:pPr>
              <w:ind w:hanging="180"/>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(145)</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672565470"/>
        </w:trPr>
        <w:tc>
          <w:tcPr>
            <w:tcW w:w="0" w:type="auto"/>
            <w:gridSpan w:val="3"/>
            <w:tcBorders>
              <w:top w:val="single" w:sz="8" w:space="0" w:color="000000"/>
            </w:tcBorders>
            <w:tcMar>
              <w:top w:w="30" w:type="dxa"/>
              <w:left w:w="200" w:type="dxa"/>
              <w:bottom w:w="30" w:type="dxa"/>
              <w:right w:w="20" w:type="dxa"/>
            </w:tcMar>
            <w:vAlign w:val="center"/>
            <w:hideMark/>
          </w:tcPr>
          <w:p w:rsidR="00000000" w:rsidRDefault="009E01B0">
            <w:pPr>
              <w:ind w:hanging="180"/>
              <w:rPr>
                <w:rFonts w:eastAsia="Times New Roman"/>
              </w:rPr>
            </w:pPr>
            <w:r>
              <w:rPr>
                <w:rFonts w:ascii="Arial" w:eastAsia="Times New Roman" w:hAnsi="Arial" w:cs="Arial"/>
                <w:color w:val="000000"/>
                <w:sz w:val="20"/>
                <w:szCs w:val="20"/>
              </w:rPr>
              <w:t>Comprehensive income attributable to controlling interests</w:t>
            </w:r>
          </w:p>
        </w:tc>
        <w:tc>
          <w:tcPr>
            <w:tcW w:w="0" w:type="auto"/>
            <w:vAlign w:val="center"/>
            <w:hideMark/>
          </w:tcPr>
          <w:p w:rsidR="00000000" w:rsidRDefault="009E01B0">
            <w:pPr>
              <w:ind w:hanging="180"/>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1,718</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2,928 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672565470"/>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Preference share dividends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(92)</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(96)</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672565470"/>
        </w:trPr>
        <w:tc>
          <w:tcPr>
            <w:tcW w:w="0" w:type="auto"/>
            <w:gridSpan w:val="3"/>
            <w:tcBorders>
              <w:top w:val="single" w:sz="8" w:space="0" w:color="000000"/>
              <w:bottom w:val="single" w:sz="12" w:space="0" w:color="000000"/>
            </w:tcBorders>
            <w:tcMar>
              <w:top w:w="30" w:type="dxa"/>
              <w:left w:w="200" w:type="dxa"/>
              <w:bottom w:w="30" w:type="dxa"/>
              <w:right w:w="20" w:type="dxa"/>
            </w:tcMar>
            <w:vAlign w:val="center"/>
            <w:hideMark/>
          </w:tcPr>
          <w:p w:rsidR="00000000" w:rsidRDefault="009E01B0">
            <w:pPr>
              <w:ind w:hanging="180"/>
              <w:rPr>
                <w:rFonts w:eastAsia="Times New Roman"/>
              </w:rPr>
            </w:pPr>
            <w:r>
              <w:rPr>
                <w:rFonts w:ascii="Arial" w:eastAsia="Times New Roman" w:hAnsi="Arial" w:cs="Arial"/>
                <w:color w:val="000000"/>
                <w:sz w:val="20"/>
                <w:szCs w:val="20"/>
              </w:rPr>
              <w:t>Comprehensive income attributable to common shareholders</w:t>
            </w:r>
          </w:p>
        </w:tc>
        <w:tc>
          <w:tcPr>
            <w:tcW w:w="0" w:type="auto"/>
            <w:vAlign w:val="center"/>
            <w:hideMark/>
          </w:tcPr>
          <w:p w:rsidR="00000000" w:rsidRDefault="009E01B0">
            <w:pPr>
              <w:ind w:hanging="180"/>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1,626</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2,832 </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9E01B0">
            <w:pPr>
              <w:jc w:val="right"/>
              <w:rPr>
                <w:rFonts w:eastAsia="Times New Roman"/>
              </w:rPr>
            </w:pPr>
          </w:p>
        </w:tc>
      </w:tr>
    </w:tbl>
    <w:p w:rsidR="00000000" w:rsidRDefault="009E01B0">
      <w:pPr>
        <w:divId w:val="930044008"/>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9E01B0">
      <w:pPr>
        <w:jc w:val="center"/>
        <w:divId w:val="972828074"/>
        <w:rPr>
          <w:rFonts w:eastAsia="Times New Roman"/>
        </w:rPr>
      </w:pPr>
      <w:r>
        <w:rPr>
          <w:rFonts w:ascii="Arial" w:eastAsia="Times New Roman" w:hAnsi="Arial" w:cs="Arial"/>
          <w:color w:val="000000"/>
          <w:sz w:val="20"/>
          <w:szCs w:val="20"/>
        </w:rPr>
        <w:t>7</w:t>
      </w:r>
    </w:p>
    <w:p w:rsidR="00000000" w:rsidRDefault="009E01B0">
      <w:pPr>
        <w:rPr>
          <w:rFonts w:eastAsia="Times New Roman"/>
        </w:rPr>
      </w:pPr>
      <w:r>
        <w:rPr>
          <w:rFonts w:eastAsia="Times New Roman"/>
        </w:rPr>
        <w:pict>
          <v:rect id="_x0000_i1032" style="width:0;height:1.5pt" o:hralign="center" o:hrstd="t" o:hr="t" fillcolor="#a0a0a0" stroked="f"/>
        </w:pict>
      </w:r>
    </w:p>
    <w:p w:rsidR="00000000" w:rsidRDefault="009E01B0">
      <w:pPr>
        <w:jc w:val="center"/>
        <w:divId w:val="853687329"/>
        <w:rPr>
          <w:rFonts w:eastAsia="Times New Roman"/>
        </w:rPr>
      </w:pPr>
    </w:p>
    <w:p w:rsidR="00000000" w:rsidRDefault="009E01B0">
      <w:pPr>
        <w:jc w:val="center"/>
        <w:divId w:val="853687329"/>
        <w:rPr>
          <w:rFonts w:eastAsia="Times New Roman"/>
        </w:rPr>
      </w:pPr>
    </w:p>
    <w:p w:rsidR="00000000" w:rsidRDefault="009E01B0">
      <w:pPr>
        <w:jc w:val="center"/>
        <w:rPr>
          <w:rFonts w:eastAsia="Times New Roman"/>
        </w:rPr>
      </w:pPr>
      <w:r>
        <w:rPr>
          <w:rFonts w:ascii="Arial" w:eastAsia="Times New Roman" w:hAnsi="Arial" w:cs="Arial"/>
          <w:b/>
          <w:bCs/>
          <w:color w:val="000000"/>
          <w:sz w:val="30"/>
          <w:szCs w:val="30"/>
        </w:rPr>
        <w:t>ENBRIDGE INC.</w:t>
      </w:r>
    </w:p>
    <w:p w:rsidR="00000000" w:rsidRDefault="009E01B0">
      <w:pPr>
        <w:jc w:val="center"/>
        <w:rPr>
          <w:rFonts w:eastAsia="Times New Roman"/>
        </w:rPr>
      </w:pPr>
      <w:r>
        <w:rPr>
          <w:rFonts w:ascii="Arial" w:eastAsia="Times New Roman" w:hAnsi="Arial" w:cs="Arial"/>
          <w:b/>
          <w:bCs/>
          <w:color w:val="000000"/>
          <w:sz w:val="30"/>
          <w:szCs w:val="30"/>
        </w:rPr>
        <w:t>CONSOLIDATED STATEMENTS OF CHANGES IN EQUITY</w:t>
      </w:r>
    </w:p>
    <w:p w:rsidR="00000000" w:rsidRDefault="009E01B0">
      <w:pPr>
        <w:divId w:val="121631137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2"/>
        <w:gridCol w:w="6239"/>
        <w:gridCol w:w="40"/>
        <w:gridCol w:w="36"/>
        <w:gridCol w:w="515"/>
        <w:gridCol w:w="63"/>
        <w:gridCol w:w="608"/>
        <w:gridCol w:w="36"/>
        <w:gridCol w:w="63"/>
        <w:gridCol w:w="608"/>
        <w:gridCol w:w="36"/>
      </w:tblGrid>
      <w:tr w:rsidR="00000000">
        <w:trPr>
          <w:divId w:val="230771739"/>
          <w:jc w:val="center"/>
        </w:trPr>
        <w:tc>
          <w:tcPr>
            <w:tcW w:w="50" w:type="pct"/>
            <w:vAlign w:val="center"/>
            <w:hideMark/>
          </w:tcPr>
          <w:p w:rsidR="00000000" w:rsidRDefault="009E01B0">
            <w:pPr>
              <w:rPr>
                <w:rFonts w:eastAsia="Times New Roman"/>
              </w:rPr>
            </w:pPr>
          </w:p>
        </w:tc>
        <w:tc>
          <w:tcPr>
            <w:tcW w:w="403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0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0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230771739"/>
          <w:jc w:val="center"/>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4"/>
            <w:tcMar>
              <w:top w:w="30" w:type="dxa"/>
              <w:left w:w="20" w:type="dxa"/>
              <w:bottom w:w="30" w:type="dxa"/>
              <w:right w:w="20" w:type="dxa"/>
            </w:tcMar>
            <w:vAlign w:val="center"/>
            <w:hideMark/>
          </w:tcPr>
          <w:p w:rsidR="00000000" w:rsidRDefault="009E01B0">
            <w:pPr>
              <w:jc w:val="center"/>
              <w:rPr>
                <w:rFonts w:eastAsia="Times New Roman"/>
              </w:rPr>
            </w:pPr>
            <w:r>
              <w:rPr>
                <w:rFonts w:ascii="Arial" w:eastAsia="Times New Roman" w:hAnsi="Arial" w:cs="Arial"/>
                <w:color w:val="000000"/>
                <w:sz w:val="16"/>
                <w:szCs w:val="16"/>
              </w:rPr>
              <w:t>Three months ended</w:t>
            </w:r>
            <w:r>
              <w:rPr>
                <w:rFonts w:ascii="Arial" w:eastAsia="Times New Roman" w:hAnsi="Arial" w:cs="Arial"/>
                <w:color w:val="000000"/>
                <w:sz w:val="16"/>
                <w:szCs w:val="16"/>
              </w:rPr>
              <w:br/>
              <w:t>March 31,</w:t>
            </w: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230771739"/>
          <w:jc w:val="center"/>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2020</w:t>
            </w:r>
          </w:p>
        </w:tc>
      </w:tr>
      <w:tr w:rsidR="00000000">
        <w:trPr>
          <w:divId w:val="230771739"/>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i/>
                <w:iCs/>
                <w:color w:val="000000"/>
                <w:sz w:val="14"/>
                <w:szCs w:val="14"/>
              </w:rPr>
              <w:t>(unaudited; millions of Canadian dollars, except per share amounts)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r>
      <w:tr w:rsidR="00000000">
        <w:trPr>
          <w:divId w:val="230771739"/>
          <w:jc w:val="center"/>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Preference shares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Balance at beginning and end of period</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7,747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7,747 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divId w:val="531311562"/>
              <w:rPr>
                <w:rFonts w:eastAsia="Times New Roman"/>
              </w:rPr>
            </w:pPr>
            <w:r>
              <w:rPr>
                <w:rFonts w:ascii="Arial" w:eastAsia="Times New Roman" w:hAnsi="Arial" w:cs="Arial"/>
                <w:color w:val="000000"/>
                <w:sz w:val="16"/>
                <w:szCs w:val="16"/>
              </w:rPr>
              <w:t>Common share</w:t>
            </w:r>
            <w:r>
              <w:rPr>
                <w:rFonts w:ascii="Arial" w:eastAsia="Times New Roman" w:hAnsi="Arial" w:cs="Arial"/>
                <w:color w:val="000000"/>
                <w:sz w:val="16"/>
                <w:szCs w:val="16"/>
              </w:rPr>
              <w:t>s</w:t>
            </w:r>
            <w:r>
              <w:rPr>
                <w:rFonts w:ascii="Arial" w:eastAsia="Times New Roman" w:hAnsi="Arial" w:cs="Arial"/>
                <w:color w:val="000000"/>
                <w:sz w:val="10"/>
                <w:szCs w:val="10"/>
              </w:rPr>
              <w:t xml:space="preserve"> </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Balance at beginning of period</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64,768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64,746 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Shares issued on exercise of stock options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14 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Balance at end of period</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64,772</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64,760 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Additional paid-in capital</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Balance at beginning of period</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187 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Stock-based compensation</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14 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 xml:space="preserve">Options exercised </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(16)</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Change in reciprocal interest</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39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Other</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Balance at end of period</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324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202 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Deficit</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Balance at beginning of period</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(9,995)</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(6,314)</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Earnings/(loss) attributable to controlling interests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1,992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(1,333)</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Preference share dividends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(92)</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(96)</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Dividends paid to reciprocal shareholder</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30771739"/>
          <w:jc w:val="center"/>
        </w:trPr>
        <w:tc>
          <w:tcPr>
            <w:tcW w:w="0" w:type="auto"/>
            <w:gridSpan w:val="3"/>
            <w:tcMar>
              <w:top w:w="30" w:type="dxa"/>
              <w:left w:w="20" w:type="dxa"/>
              <w:bottom w:w="30" w:type="dxa"/>
              <w:right w:w="20" w:type="dxa"/>
            </w:tcMar>
            <w:vAlign w:val="center"/>
            <w:hideMark/>
          </w:tcPr>
          <w:p w:rsidR="00000000" w:rsidRDefault="009E01B0">
            <w:pPr>
              <w:ind w:hanging="180"/>
              <w:divId w:val="1881699534"/>
              <w:rPr>
                <w:rFonts w:eastAsia="Times New Roman"/>
              </w:rPr>
            </w:pPr>
            <w:r>
              <w:rPr>
                <w:rFonts w:ascii="Arial" w:eastAsia="Times New Roman" w:hAnsi="Arial" w:cs="Arial"/>
                <w:color w:val="000000"/>
                <w:sz w:val="16"/>
                <w:szCs w:val="16"/>
              </w:rPr>
              <w:t xml:space="preserve">Modified retrospective adoption of </w:t>
            </w:r>
            <w:r>
              <w:rPr>
                <w:rFonts w:ascii="Arial" w:eastAsia="Times New Roman" w:hAnsi="Arial" w:cs="Arial"/>
                <w:i/>
                <w:iCs/>
                <w:color w:val="000000"/>
                <w:sz w:val="16"/>
                <w:szCs w:val="16"/>
              </w:rPr>
              <w:t>ASU 2016-13 Financial Instruments - Credit Losse</w:t>
            </w:r>
            <w:r>
              <w:rPr>
                <w:rFonts w:ascii="Arial" w:eastAsia="Times New Roman" w:hAnsi="Arial" w:cs="Arial"/>
                <w:i/>
                <w:iCs/>
                <w:color w:val="000000"/>
                <w:sz w:val="16"/>
                <w:szCs w:val="16"/>
              </w:rPr>
              <w:t>s</w:t>
            </w:r>
          </w:p>
        </w:tc>
        <w:tc>
          <w:tcPr>
            <w:tcW w:w="0" w:type="auto"/>
            <w:vAlign w:val="center"/>
            <w:hideMark/>
          </w:tcPr>
          <w:p w:rsidR="00000000" w:rsidRDefault="009E01B0">
            <w:pPr>
              <w:ind w:hanging="180"/>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(66)</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Other</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Balance at end of period</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(8,093)</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(7,808)</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divId w:val="926694771"/>
              <w:rPr>
                <w:rFonts w:eastAsia="Times New Roman"/>
              </w:rPr>
            </w:pPr>
            <w:r>
              <w:rPr>
                <w:rFonts w:ascii="Arial" w:eastAsia="Times New Roman" w:hAnsi="Arial" w:cs="Arial"/>
                <w:color w:val="000000"/>
                <w:sz w:val="16"/>
                <w:szCs w:val="16"/>
              </w:rPr>
              <w:t xml:space="preserve">Accumulated other comprehensive (loss)/income </w:t>
            </w:r>
            <w:r>
              <w:rPr>
                <w:rFonts w:ascii="Arial" w:eastAsia="Times New Roman" w:hAnsi="Arial" w:cs="Arial"/>
                <w:i/>
                <w:iCs/>
                <w:color w:val="000000"/>
                <w:sz w:val="14"/>
                <w:szCs w:val="14"/>
              </w:rPr>
              <w:t>(Note 7)</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Balance at beginning of period</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(1,401)</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(272)</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Mar>
              <w:top w:w="30" w:type="dxa"/>
              <w:left w:w="335" w:type="dxa"/>
              <w:bottom w:w="30" w:type="dxa"/>
              <w:right w:w="20" w:type="dxa"/>
            </w:tcMar>
            <w:vAlign w:val="center"/>
            <w:hideMark/>
          </w:tcPr>
          <w:p w:rsidR="00000000" w:rsidRDefault="009E01B0">
            <w:pPr>
              <w:ind w:hanging="180"/>
              <w:rPr>
                <w:rFonts w:eastAsia="Times New Roman"/>
              </w:rPr>
            </w:pPr>
            <w:r>
              <w:rPr>
                <w:rFonts w:ascii="Arial" w:eastAsia="Times New Roman" w:hAnsi="Arial" w:cs="Arial"/>
                <w:color w:val="000000"/>
                <w:sz w:val="16"/>
                <w:szCs w:val="16"/>
              </w:rPr>
              <w:t>Other comprehensive (loss)/income attributable to common shareholders, net of tax</w:t>
            </w:r>
          </w:p>
        </w:tc>
        <w:tc>
          <w:tcPr>
            <w:tcW w:w="0" w:type="auto"/>
            <w:vAlign w:val="center"/>
            <w:hideMark/>
          </w:tcPr>
          <w:p w:rsidR="00000000" w:rsidRDefault="009E01B0">
            <w:pPr>
              <w:ind w:hanging="180"/>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(274)</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4,261 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30771739"/>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Balance at end of period</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(1,675)</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3,989 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Reciprocal shareholding</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Balance at beginning of period</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(29)</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(51)</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Change in reciprocal interest</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Balance at end of period</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(17)</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(47)</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Total Enbridge Inc. shareholders’ equity</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63,058</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68,843 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Noncontrolling interests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Balance at beginning of period</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2,996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3,364 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Earnings/(loss) attributable to noncontrolling interests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(31)</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Mar>
              <w:top w:w="30" w:type="dxa"/>
              <w:left w:w="20" w:type="dxa"/>
              <w:bottom w:w="30" w:type="dxa"/>
              <w:right w:w="20" w:type="dxa"/>
            </w:tcMar>
            <w:vAlign w:val="center"/>
            <w:hideMark/>
          </w:tcPr>
          <w:p w:rsidR="00000000" w:rsidRDefault="009E01B0">
            <w:pPr>
              <w:ind w:hanging="180"/>
              <w:divId w:val="2170928"/>
              <w:rPr>
                <w:rFonts w:eastAsia="Times New Roman"/>
              </w:rPr>
            </w:pPr>
            <w:r>
              <w:rPr>
                <w:rFonts w:ascii="Arial" w:eastAsia="Times New Roman" w:hAnsi="Arial" w:cs="Arial"/>
                <w:color w:val="000000"/>
                <w:sz w:val="16"/>
                <w:szCs w:val="16"/>
              </w:rPr>
              <w:t>Other comprehensive (loss)/income attributable to noncontrolling interests, net of tax</w:t>
            </w:r>
          </w:p>
        </w:tc>
        <w:tc>
          <w:tcPr>
            <w:tcW w:w="0" w:type="auto"/>
            <w:vAlign w:val="center"/>
            <w:hideMark/>
          </w:tcPr>
          <w:p w:rsidR="00000000" w:rsidRDefault="009E01B0">
            <w:pPr>
              <w:ind w:hanging="180"/>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230771739"/>
          <w:jc w:val="center"/>
        </w:trPr>
        <w:tc>
          <w:tcPr>
            <w:tcW w:w="0" w:type="auto"/>
            <w:gridSpan w:val="3"/>
            <w:tcMar>
              <w:top w:w="30" w:type="dxa"/>
              <w:left w:w="38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Change in unrealized loss on cash flow hedges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Mar>
              <w:top w:w="30" w:type="dxa"/>
              <w:left w:w="38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Foreign currency translation adjustments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(22)</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178 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30771739"/>
          <w:jc w:val="center"/>
        </w:trPr>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30771739"/>
          <w:jc w:val="center"/>
        </w:trPr>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Contributions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Distributions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(66)</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(76)</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30771739"/>
          <w:jc w:val="center"/>
        </w:trPr>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30771739"/>
          <w:jc w:val="center"/>
        </w:trPr>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30771739"/>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Balance at end of period</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2,930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3,448 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Total equity</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65,988</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72,291 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tcBorders>
              <w:top w:val="single" w:sz="12" w:space="0" w:color="000000"/>
              <w:bottom w:val="single" w:sz="12"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Dividends paid per common share</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2"/>
            <w:tcBorders>
              <w:top w:val="single" w:sz="12"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0.835</w:t>
            </w:r>
            <w:r>
              <w:rPr>
                <w:rFonts w:ascii="Arial" w:eastAsia="Times New Roman" w:hAnsi="Arial" w:cs="Arial"/>
                <w:color w:val="000000"/>
                <w:sz w:val="16"/>
                <w:szCs w:val="16"/>
              </w:rPr>
              <w:t> </w:t>
            </w:r>
          </w:p>
        </w:tc>
        <w:tc>
          <w:tcPr>
            <w:tcW w:w="0" w:type="auto"/>
            <w:tcBorders>
              <w:top w:val="single" w:sz="12"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12" w:space="0" w:color="000000"/>
              <w:bottom w:val="single" w:sz="12"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0.810 </w:t>
            </w:r>
          </w:p>
        </w:tc>
        <w:tc>
          <w:tcPr>
            <w:tcW w:w="0" w:type="auto"/>
            <w:tcBorders>
              <w:top w:val="single" w:sz="12" w:space="0" w:color="000000"/>
              <w:bottom w:val="single" w:sz="12"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30771739"/>
          <w:jc w:val="center"/>
        </w:trPr>
        <w:tc>
          <w:tcPr>
            <w:tcW w:w="0" w:type="auto"/>
            <w:gridSpan w:val="3"/>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30771739"/>
          <w:jc w:val="center"/>
        </w:trPr>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bl>
    <w:p w:rsidR="00000000" w:rsidRDefault="009E01B0">
      <w:pPr>
        <w:divId w:val="1155997184"/>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9E01B0">
      <w:pPr>
        <w:jc w:val="center"/>
        <w:divId w:val="2140150213"/>
        <w:rPr>
          <w:rFonts w:eastAsia="Times New Roman"/>
        </w:rPr>
      </w:pPr>
      <w:r>
        <w:rPr>
          <w:rFonts w:ascii="Arial" w:eastAsia="Times New Roman" w:hAnsi="Arial" w:cs="Arial"/>
          <w:color w:val="000000"/>
          <w:sz w:val="20"/>
          <w:szCs w:val="20"/>
        </w:rPr>
        <w:t>8</w:t>
      </w:r>
    </w:p>
    <w:p w:rsidR="00000000" w:rsidRDefault="009E01B0">
      <w:pPr>
        <w:rPr>
          <w:rFonts w:eastAsia="Times New Roman"/>
        </w:rPr>
      </w:pPr>
      <w:r>
        <w:rPr>
          <w:rFonts w:eastAsia="Times New Roman"/>
        </w:rPr>
        <w:pict>
          <v:rect id="_x0000_i1033" style="width:0;height:1.5pt" o:hralign="center" o:hrstd="t" o:hr="t" fillcolor="#a0a0a0" stroked="f"/>
        </w:pict>
      </w:r>
    </w:p>
    <w:p w:rsidR="00000000" w:rsidRDefault="009E01B0">
      <w:pPr>
        <w:jc w:val="center"/>
        <w:divId w:val="1042561751"/>
        <w:rPr>
          <w:rFonts w:eastAsia="Times New Roman"/>
        </w:rPr>
      </w:pPr>
    </w:p>
    <w:p w:rsidR="00000000" w:rsidRDefault="009E01B0">
      <w:pPr>
        <w:jc w:val="center"/>
        <w:divId w:val="1042561751"/>
        <w:rPr>
          <w:rFonts w:eastAsia="Times New Roman"/>
        </w:rPr>
      </w:pPr>
    </w:p>
    <w:p w:rsidR="00000000" w:rsidRDefault="009E01B0">
      <w:pPr>
        <w:jc w:val="center"/>
        <w:rPr>
          <w:rFonts w:eastAsia="Times New Roman"/>
        </w:rPr>
      </w:pPr>
      <w:r>
        <w:rPr>
          <w:rFonts w:ascii="Arial" w:eastAsia="Times New Roman" w:hAnsi="Arial" w:cs="Arial"/>
          <w:b/>
          <w:bCs/>
          <w:color w:val="000000"/>
          <w:sz w:val="30"/>
          <w:szCs w:val="30"/>
        </w:rPr>
        <w:t>ENBRIDGE INC.</w:t>
      </w:r>
    </w:p>
    <w:p w:rsidR="00000000" w:rsidRDefault="009E01B0">
      <w:pPr>
        <w:jc w:val="center"/>
        <w:rPr>
          <w:rFonts w:eastAsia="Times New Roman"/>
        </w:rPr>
      </w:pPr>
      <w:r>
        <w:rPr>
          <w:rFonts w:ascii="Arial" w:eastAsia="Times New Roman" w:hAnsi="Arial" w:cs="Arial"/>
          <w:b/>
          <w:bCs/>
          <w:color w:val="000000"/>
          <w:sz w:val="30"/>
          <w:szCs w:val="30"/>
        </w:rPr>
        <w:t>CONSOLIDATED STATEMENTS OF CASH FLOWS</w:t>
      </w:r>
    </w:p>
    <w:p w:rsidR="00000000" w:rsidRDefault="009E01B0">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6366"/>
        <w:gridCol w:w="40"/>
        <w:gridCol w:w="68"/>
        <w:gridCol w:w="811"/>
        <w:gridCol w:w="37"/>
        <w:gridCol w:w="68"/>
        <w:gridCol w:w="811"/>
        <w:gridCol w:w="37"/>
      </w:tblGrid>
      <w:tr w:rsidR="00000000">
        <w:trPr>
          <w:divId w:val="1219588132"/>
        </w:trPr>
        <w:tc>
          <w:tcPr>
            <w:tcW w:w="50" w:type="pct"/>
            <w:vAlign w:val="center"/>
            <w:hideMark/>
          </w:tcPr>
          <w:p w:rsidR="00000000" w:rsidRDefault="009E01B0">
            <w:pPr>
              <w:jc w:val="center"/>
              <w:rPr>
                <w:rFonts w:eastAsia="Times New Roman"/>
              </w:rPr>
            </w:pPr>
          </w:p>
        </w:tc>
        <w:tc>
          <w:tcPr>
            <w:tcW w:w="383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219588132"/>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r>
      <w:tr w:rsidR="00000000">
        <w:trPr>
          <w:divId w:val="1219588132"/>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2020</w:t>
            </w:r>
          </w:p>
        </w:tc>
      </w:tr>
      <w:tr w:rsidR="00000000">
        <w:trPr>
          <w:divId w:val="121958813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i/>
                <w:iCs/>
                <w:color w:val="000000"/>
                <w:sz w:val="16"/>
                <w:szCs w:val="16"/>
              </w:rPr>
              <w:t>(unaudited; 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 </w:t>
            </w:r>
          </w:p>
        </w:tc>
      </w:tr>
      <w:tr w:rsidR="00000000">
        <w:trPr>
          <w:divId w:val="1219588132"/>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b/>
                <w:bCs/>
                <w:color w:val="000000"/>
                <w:sz w:val="20"/>
                <w:szCs w:val="20"/>
              </w:rPr>
              <w:t>Operating activities</w:t>
            </w:r>
          </w:p>
        </w:tc>
        <w:tc>
          <w:tcPr>
            <w:tcW w:w="0" w:type="auto"/>
            <w:gridSpan w:val="3"/>
            <w:shd w:val="clear" w:color="auto" w:fill="D9D9D9"/>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 </w:t>
            </w:r>
          </w:p>
        </w:tc>
      </w:tr>
      <w:tr w:rsidR="00000000">
        <w:trPr>
          <w:divId w:val="1219588132"/>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Earnings/(loss)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2,014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(1,364)</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335" w:type="dxa"/>
              <w:bottom w:w="30" w:type="dxa"/>
              <w:right w:w="20" w:type="dxa"/>
            </w:tcMar>
            <w:vAlign w:val="center"/>
            <w:hideMark/>
          </w:tcPr>
          <w:p w:rsidR="00000000" w:rsidRDefault="009E01B0">
            <w:pPr>
              <w:ind w:hanging="180"/>
              <w:rPr>
                <w:rFonts w:eastAsia="Times New Roman"/>
              </w:rPr>
            </w:pPr>
            <w:r>
              <w:rPr>
                <w:rFonts w:ascii="Arial" w:eastAsia="Times New Roman" w:hAnsi="Arial" w:cs="Arial"/>
                <w:color w:val="000000"/>
                <w:sz w:val="20"/>
                <w:szCs w:val="20"/>
              </w:rPr>
              <w:t>Adjustments to reconcile earnings/(loss) to net cash provided by operating activities:</w:t>
            </w:r>
          </w:p>
        </w:tc>
        <w:tc>
          <w:tcPr>
            <w:tcW w:w="0" w:type="auto"/>
            <w:gridSpan w:val="3"/>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1219588132"/>
        </w:trPr>
        <w:tc>
          <w:tcPr>
            <w:tcW w:w="0" w:type="auto"/>
            <w:gridSpan w:val="3"/>
            <w:tcMar>
              <w:top w:w="30" w:type="dxa"/>
              <w:left w:w="24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932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882 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24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Deferred income tax expense/(recovery)</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(713)</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20" w:type="dxa"/>
              <w:bottom w:w="30" w:type="dxa"/>
              <w:right w:w="20" w:type="dxa"/>
            </w:tcMar>
            <w:vAlign w:val="center"/>
            <w:hideMark/>
          </w:tcPr>
          <w:p w:rsidR="00000000" w:rsidRDefault="009E01B0">
            <w:pPr>
              <w:ind w:hanging="180"/>
              <w:divId w:val="1876116337"/>
              <w:rPr>
                <w:rFonts w:eastAsia="Times New Roman"/>
              </w:rPr>
            </w:pPr>
            <w:r>
              <w:rPr>
                <w:rFonts w:ascii="Arial" w:eastAsia="Times New Roman" w:hAnsi="Arial" w:cs="Arial"/>
                <w:color w:val="000000"/>
                <w:sz w:val="20"/>
                <w:szCs w:val="20"/>
              </w:rPr>
              <w:t xml:space="preserve">Changes in unrealized (gain)/loss on derivative instruments, net </w:t>
            </w:r>
            <w:r>
              <w:rPr>
                <w:rFonts w:ascii="Arial" w:eastAsia="Times New Roman" w:hAnsi="Arial" w:cs="Arial"/>
                <w:i/>
                <w:iCs/>
                <w:color w:val="000000"/>
                <w:sz w:val="16"/>
                <w:szCs w:val="16"/>
              </w:rPr>
              <w:t>(Note 9)</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(315)</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1,556 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24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Income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(395)</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(163)</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24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Distributions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428 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20" w:type="dxa"/>
              <w:bottom w:w="30" w:type="dxa"/>
              <w:right w:w="20" w:type="dxa"/>
            </w:tcMar>
            <w:vAlign w:val="center"/>
            <w:hideMark/>
          </w:tcPr>
          <w:p w:rsidR="00000000" w:rsidRDefault="009E01B0">
            <w:pPr>
              <w:divId w:val="1923098756"/>
              <w:rPr>
                <w:rFonts w:eastAsia="Times New Roman"/>
              </w:rPr>
            </w:pPr>
            <w:r>
              <w:rPr>
                <w:rFonts w:ascii="Arial" w:eastAsia="Times New Roman" w:hAnsi="Arial" w:cs="Arial"/>
                <w:color w:val="000000"/>
                <w:sz w:val="20"/>
                <w:szCs w:val="20"/>
              </w:rPr>
              <w:t xml:space="preserve">Impairment of equity investments </w:t>
            </w:r>
            <w:r>
              <w:rPr>
                <w:rFonts w:ascii="Arial" w:eastAsia="Times New Roman" w:hAnsi="Arial" w:cs="Arial"/>
                <w:i/>
                <w:iCs/>
                <w:color w:val="000000"/>
                <w:sz w:val="16"/>
                <w:szCs w:val="16"/>
              </w:rPr>
              <w:t>(Note 8)</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1,736 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219588132"/>
        </w:trPr>
        <w:tc>
          <w:tcPr>
            <w:tcW w:w="0" w:type="auto"/>
            <w:gridSpan w:val="3"/>
            <w:tcMar>
              <w:top w:w="30" w:type="dxa"/>
              <w:left w:w="24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Gain on disposition</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(41)</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24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253 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Changes in operating assets and liabilities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(418)</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194 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Net cash provided by operating activities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2,564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2,809 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b/>
                <w:bCs/>
                <w:color w:val="000000"/>
                <w:sz w:val="20"/>
                <w:szCs w:val="20"/>
              </w:rPr>
              <w:t>Investing activities</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1219588132"/>
        </w:trPr>
        <w:tc>
          <w:tcPr>
            <w:tcW w:w="0" w:type="auto"/>
            <w:gridSpan w:val="3"/>
            <w:tcMar>
              <w:top w:w="30" w:type="dxa"/>
              <w:left w:w="20" w:type="dxa"/>
              <w:bottom w:w="30" w:type="dxa"/>
              <w:right w:w="20" w:type="dxa"/>
            </w:tcMar>
            <w:vAlign w:val="center"/>
            <w:hideMark/>
          </w:tcPr>
          <w:p w:rsidR="00000000" w:rsidRDefault="009E01B0">
            <w:pPr>
              <w:ind w:hanging="180"/>
              <w:divId w:val="1433478309"/>
              <w:rPr>
                <w:rFonts w:eastAsia="Times New Roman"/>
              </w:rPr>
            </w:pPr>
            <w:r>
              <w:rPr>
                <w:rFonts w:ascii="Arial" w:eastAsia="Times New Roman" w:hAnsi="Arial" w:cs="Arial"/>
                <w:color w:val="000000"/>
                <w:sz w:val="20"/>
                <w:szCs w:val="20"/>
              </w:rPr>
              <w:t>Capital expenditures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(2,059)</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(1,147)</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20" w:type="dxa"/>
              <w:bottom w:w="30" w:type="dxa"/>
              <w:right w:w="20" w:type="dxa"/>
            </w:tcMar>
            <w:vAlign w:val="center"/>
            <w:hideMark/>
          </w:tcPr>
          <w:p w:rsidR="00000000" w:rsidRDefault="009E01B0">
            <w:pPr>
              <w:ind w:hanging="180"/>
              <w:divId w:val="1451320542"/>
              <w:rPr>
                <w:rFonts w:eastAsia="Times New Roman"/>
              </w:rPr>
            </w:pPr>
            <w:r>
              <w:rPr>
                <w:rFonts w:ascii="Arial" w:eastAsia="Times New Roman" w:hAnsi="Arial" w:cs="Arial"/>
                <w:color w:val="000000"/>
                <w:sz w:val="20"/>
                <w:szCs w:val="20"/>
              </w:rPr>
              <w:t>Long-term investments and restricted long-term investments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(61)</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(87)</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20" w:type="dxa"/>
              <w:bottom w:w="30" w:type="dxa"/>
              <w:right w:w="20" w:type="dxa"/>
            </w:tcMar>
            <w:vAlign w:val="center"/>
            <w:hideMark/>
          </w:tcPr>
          <w:p w:rsidR="00000000" w:rsidRDefault="009E01B0">
            <w:pPr>
              <w:ind w:hanging="180"/>
              <w:divId w:val="884291423"/>
              <w:rPr>
                <w:rFonts w:eastAsia="Times New Roman"/>
              </w:rPr>
            </w:pPr>
            <w:r>
              <w:rPr>
                <w:rFonts w:ascii="Arial" w:eastAsia="Times New Roman" w:hAnsi="Arial" w:cs="Arial"/>
                <w:color w:val="000000"/>
                <w:sz w:val="20"/>
                <w:szCs w:val="20"/>
              </w:rPr>
              <w:t>Distributions from equity investments in excess of cumulative earnings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61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77 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Additions to intangible assets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(65)</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(69)</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Proceeds from disposition</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Affiliate loans, net</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44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(44)</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Net cash used in investing activities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(1,958)</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(1,270)</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b/>
                <w:bCs/>
                <w:color w:val="000000"/>
                <w:sz w:val="20"/>
                <w:szCs w:val="20"/>
              </w:rPr>
              <w:t>Financing activities</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1219588132"/>
        </w:trPr>
        <w:tc>
          <w:tcPr>
            <w:tcW w:w="0" w:type="auto"/>
            <w:gridSpan w:val="3"/>
            <w:tcMar>
              <w:top w:w="30" w:type="dxa"/>
              <w:left w:w="20" w:type="dxa"/>
              <w:bottom w:w="30" w:type="dxa"/>
              <w:right w:w="20" w:type="dxa"/>
            </w:tcMar>
            <w:vAlign w:val="center"/>
            <w:hideMark/>
          </w:tcPr>
          <w:p w:rsidR="00000000" w:rsidRDefault="009E01B0">
            <w:pPr>
              <w:ind w:hanging="180"/>
              <w:divId w:val="1192576015"/>
              <w:rPr>
                <w:rFonts w:eastAsia="Times New Roman"/>
              </w:rPr>
            </w:pPr>
            <w:r>
              <w:rPr>
                <w:rFonts w:ascii="Arial" w:eastAsia="Times New Roman" w:hAnsi="Arial" w:cs="Arial"/>
                <w:color w:val="000000"/>
                <w:sz w:val="20"/>
                <w:szCs w:val="20"/>
              </w:rPr>
              <w:t xml:space="preserve">Net change in short-term borrowings </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(27)</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(63)</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20" w:type="dxa"/>
              <w:bottom w:w="30" w:type="dxa"/>
              <w:right w:w="20" w:type="dxa"/>
            </w:tcMar>
            <w:vAlign w:val="center"/>
            <w:hideMark/>
          </w:tcPr>
          <w:p w:rsidR="00000000" w:rsidRDefault="009E01B0">
            <w:pPr>
              <w:ind w:hanging="180"/>
              <w:divId w:val="260375087"/>
              <w:rPr>
                <w:rFonts w:eastAsia="Times New Roman"/>
              </w:rPr>
            </w:pPr>
            <w:r>
              <w:rPr>
                <w:rFonts w:ascii="Arial" w:eastAsia="Times New Roman" w:hAnsi="Arial" w:cs="Arial"/>
                <w:color w:val="000000"/>
                <w:sz w:val="20"/>
                <w:szCs w:val="20"/>
              </w:rPr>
              <w:t>Net change in commercial paper and credit facility draws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1,727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1,159 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Debenture and term note issues, net of issue costs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629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990 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Debenture and term note repayments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(912)</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(1,657)</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Contributions from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15 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Distributions to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(66)</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(76)</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Common shares issued</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(92)</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(96)</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Common share dividends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(1,691)</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(1,641)</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Redemption of preferred shares held by subsidiary</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(115)</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(21)</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(18)</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Net cash used in financing activities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(565)</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(1,386)</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ind w:hanging="180"/>
              <w:divId w:val="1526676416"/>
              <w:rPr>
                <w:rFonts w:eastAsia="Times New Roman"/>
              </w:rPr>
            </w:pPr>
            <w:r>
              <w:rPr>
                <w:rFonts w:ascii="Arial" w:eastAsia="Times New Roman" w:hAnsi="Arial" w:cs="Arial"/>
                <w:color w:val="000000"/>
                <w:sz w:val="20"/>
                <w:szCs w:val="20"/>
              </w:rPr>
              <w:t>Effect of translation of foreign denominated cash and cash equivalents and restricted cash</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(7)</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11 </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21958813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Net increase in cash and cash equivalents and restricted cash</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164 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Cash and cash equivalents and restricted cash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490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676 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219588132"/>
        </w:trPr>
        <w:tc>
          <w:tcPr>
            <w:tcW w:w="0" w:type="auto"/>
            <w:gridSpan w:val="3"/>
            <w:tcBorders>
              <w:top w:val="single" w:sz="8" w:space="0" w:color="000000"/>
              <w:bottom w:val="single" w:sz="12"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 xml:space="preserve">Cash and cash equivalents and restricted cash at end of period </w:t>
            </w: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524</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840 </w:t>
            </w:r>
          </w:p>
        </w:tc>
        <w:tc>
          <w:tcPr>
            <w:tcW w:w="0" w:type="auto"/>
            <w:tcBorders>
              <w:top w:val="single" w:sz="8" w:space="0" w:color="000000"/>
              <w:bottom w:val="single" w:sz="12"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bl>
    <w:p w:rsidR="00000000" w:rsidRDefault="009E01B0">
      <w:pPr>
        <w:divId w:val="1143158224"/>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9E01B0">
      <w:pPr>
        <w:jc w:val="center"/>
        <w:divId w:val="377827121"/>
        <w:rPr>
          <w:rFonts w:eastAsia="Times New Roman"/>
        </w:rPr>
      </w:pPr>
      <w:r>
        <w:rPr>
          <w:rFonts w:ascii="Arial" w:eastAsia="Times New Roman" w:hAnsi="Arial" w:cs="Arial"/>
          <w:color w:val="000000"/>
          <w:sz w:val="20"/>
          <w:szCs w:val="20"/>
        </w:rPr>
        <w:t>9</w:t>
      </w:r>
    </w:p>
    <w:p w:rsidR="00000000" w:rsidRDefault="009E01B0">
      <w:pPr>
        <w:rPr>
          <w:rFonts w:eastAsia="Times New Roman"/>
        </w:rPr>
      </w:pPr>
      <w:r>
        <w:rPr>
          <w:rFonts w:eastAsia="Times New Roman"/>
        </w:rPr>
        <w:pict>
          <v:rect id="_x0000_i1034" style="width:0;height:1.5pt" o:hralign="center" o:hrstd="t" o:hr="t" fillcolor="#a0a0a0" stroked="f"/>
        </w:pict>
      </w:r>
    </w:p>
    <w:p w:rsidR="00000000" w:rsidRDefault="009E01B0">
      <w:pPr>
        <w:jc w:val="center"/>
        <w:divId w:val="1160385174"/>
        <w:rPr>
          <w:rFonts w:eastAsia="Times New Roman"/>
        </w:rPr>
      </w:pPr>
    </w:p>
    <w:p w:rsidR="00000000" w:rsidRDefault="009E01B0">
      <w:pPr>
        <w:jc w:val="center"/>
        <w:divId w:val="1160385174"/>
        <w:rPr>
          <w:rFonts w:eastAsia="Times New Roman"/>
        </w:rPr>
      </w:pPr>
    </w:p>
    <w:p w:rsidR="00000000" w:rsidRDefault="009E01B0">
      <w:pPr>
        <w:jc w:val="center"/>
        <w:rPr>
          <w:rFonts w:eastAsia="Times New Roman"/>
        </w:rPr>
      </w:pPr>
      <w:r>
        <w:rPr>
          <w:rFonts w:ascii="Arial" w:eastAsia="Times New Roman" w:hAnsi="Arial" w:cs="Arial"/>
          <w:b/>
          <w:bCs/>
          <w:color w:val="000000"/>
          <w:sz w:val="30"/>
          <w:szCs w:val="30"/>
        </w:rPr>
        <w:t>ENBRIDGE INC.</w:t>
      </w:r>
    </w:p>
    <w:p w:rsidR="00000000" w:rsidRDefault="009E01B0">
      <w:pPr>
        <w:jc w:val="center"/>
        <w:rPr>
          <w:rFonts w:eastAsia="Times New Roman"/>
        </w:rPr>
      </w:pPr>
      <w:r>
        <w:rPr>
          <w:rFonts w:ascii="Arial" w:eastAsia="Times New Roman" w:hAnsi="Arial" w:cs="Arial"/>
          <w:b/>
          <w:bCs/>
          <w:color w:val="000000"/>
          <w:sz w:val="30"/>
          <w:szCs w:val="30"/>
        </w:rPr>
        <w:t>CONSOLIDATED STATEMENTS OF FINANCIAL POSITION</w:t>
      </w:r>
    </w:p>
    <w:p w:rsidR="00000000" w:rsidRDefault="009E01B0">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5538"/>
        <w:gridCol w:w="40"/>
        <w:gridCol w:w="69"/>
        <w:gridCol w:w="1225"/>
        <w:gridCol w:w="36"/>
        <w:gridCol w:w="69"/>
        <w:gridCol w:w="1225"/>
        <w:gridCol w:w="36"/>
      </w:tblGrid>
      <w:tr w:rsidR="00000000">
        <w:trPr>
          <w:divId w:val="742994005"/>
        </w:trPr>
        <w:tc>
          <w:tcPr>
            <w:tcW w:w="50" w:type="pct"/>
            <w:vAlign w:val="center"/>
            <w:hideMark/>
          </w:tcPr>
          <w:p w:rsidR="00000000" w:rsidRDefault="009E01B0">
            <w:pPr>
              <w:jc w:val="center"/>
              <w:rPr>
                <w:rFonts w:eastAsia="Times New Roman"/>
              </w:rPr>
            </w:pPr>
          </w:p>
        </w:tc>
        <w:tc>
          <w:tcPr>
            <w:tcW w:w="3342"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746"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746"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742994005"/>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March 31,</w:t>
            </w:r>
            <w:r>
              <w:rPr>
                <w:rFonts w:ascii="Arial" w:eastAsia="Times New Roman" w:hAnsi="Arial" w:cs="Arial"/>
                <w:b/>
                <w:bCs/>
                <w:color w:val="000000"/>
                <w:sz w:val="20"/>
                <w:szCs w:val="20"/>
              </w:rPr>
              <w:br/>
              <w:t>2021</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2020</w:t>
            </w:r>
          </w:p>
        </w:tc>
      </w:tr>
      <w:tr w:rsidR="00000000">
        <w:trPr>
          <w:divId w:val="74299400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i/>
                <w:iCs/>
                <w:color w:val="000000"/>
                <w:sz w:val="16"/>
                <w:szCs w:val="16"/>
              </w:rPr>
              <w:t>(unaudited; millions of Canadian dollars; number of shares in millions)</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b/>
                <w:bCs/>
                <w:color w:val="000000"/>
                <w:sz w:val="20"/>
                <w:szCs w:val="20"/>
              </w:rPr>
              <w:t>Assets</w:t>
            </w:r>
          </w:p>
        </w:tc>
        <w:tc>
          <w:tcPr>
            <w:tcW w:w="0" w:type="auto"/>
            <w:gridSpan w:val="3"/>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Current assets</w:t>
            </w:r>
          </w:p>
        </w:tc>
        <w:tc>
          <w:tcPr>
            <w:tcW w:w="0" w:type="auto"/>
            <w:gridSpan w:val="3"/>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742994005"/>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Cash and cash equivalents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465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452 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Restricted cash</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59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Accounts receivable and other</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6,227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5,258 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Accounts receivable from affiliates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66 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Inventory</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853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1,536 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7,634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7,350 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Property, plant and equipment, net</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95,141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94,571 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Long-term investments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13,627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13,818 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Restricted long-term investments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529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553 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8,542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8,446 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Intangible assets, net</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2,219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2,080 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Goodwill</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32,365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32,688 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638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770 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Total assets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160,695</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160,276 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Height w:val="24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b/>
                <w:bCs/>
                <w:color w:val="000000"/>
                <w:sz w:val="20"/>
                <w:szCs w:val="20"/>
              </w:rPr>
              <w:t>Liabilities and equity</w:t>
            </w:r>
          </w:p>
        </w:tc>
        <w:tc>
          <w:tcPr>
            <w:tcW w:w="0" w:type="auto"/>
            <w:gridSpan w:val="3"/>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742994005"/>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Short-term borrowings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1,094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1,121 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7,211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9,228 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Accounts payable to affiliates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divId w:val="248932541"/>
              <w:rPr>
                <w:rFonts w:eastAsia="Times New Roman"/>
              </w:rPr>
            </w:pPr>
            <w:r>
              <w:rPr>
                <w:rFonts w:ascii="Arial" w:eastAsia="Times New Roman" w:hAnsi="Arial" w:cs="Arial"/>
                <w:color w:val="000000"/>
                <w:sz w:val="20"/>
                <w:szCs w:val="20"/>
              </w:rPr>
              <w:t>Interest payable</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589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651 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Current portion of long-term debt</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4,014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2,957 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12,926</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13,979 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Long-term debt</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62,688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62,819 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8,360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8,783 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10,733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10,332 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94,707</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95,913 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divId w:val="812715645"/>
              <w:rPr>
                <w:rFonts w:eastAsia="Times New Roman"/>
              </w:rPr>
            </w:pPr>
            <w:r>
              <w:rPr>
                <w:rFonts w:ascii="Arial" w:eastAsia="Times New Roman" w:hAnsi="Arial" w:cs="Arial"/>
                <w:color w:val="000000"/>
                <w:sz w:val="20"/>
                <w:szCs w:val="20"/>
              </w:rPr>
              <w:t xml:space="preserve">Contingencies </w:t>
            </w:r>
            <w:r>
              <w:rPr>
                <w:rFonts w:ascii="Arial" w:eastAsia="Times New Roman" w:hAnsi="Arial" w:cs="Arial"/>
                <w:i/>
                <w:iCs/>
                <w:color w:val="000000"/>
                <w:sz w:val="16"/>
                <w:szCs w:val="16"/>
              </w:rPr>
              <w:t>(Note 12)</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Equity</w:t>
            </w:r>
          </w:p>
        </w:tc>
        <w:tc>
          <w:tcPr>
            <w:tcW w:w="0" w:type="auto"/>
            <w:gridSpan w:val="3"/>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742994005"/>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Share capital</w:t>
            </w:r>
          </w:p>
        </w:tc>
        <w:tc>
          <w:tcPr>
            <w:tcW w:w="0" w:type="auto"/>
            <w:gridSpan w:val="3"/>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742994005"/>
        </w:trPr>
        <w:tc>
          <w:tcPr>
            <w:tcW w:w="0" w:type="auto"/>
            <w:gridSpan w:val="3"/>
            <w:tcMar>
              <w:top w:w="30" w:type="dxa"/>
              <w:left w:w="38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Preference shares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7,747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7,747 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ind w:hanging="180"/>
              <w:divId w:val="1619096482"/>
              <w:rPr>
                <w:rFonts w:eastAsia="Times New Roman"/>
              </w:rPr>
            </w:pPr>
            <w:r>
              <w:rPr>
                <w:rFonts w:ascii="Arial" w:eastAsia="Times New Roman" w:hAnsi="Arial" w:cs="Arial"/>
                <w:color w:val="000000"/>
                <w:sz w:val="20"/>
                <w:szCs w:val="20"/>
              </w:rPr>
              <w:t xml:space="preserve">Common shares </w:t>
            </w:r>
            <w:r>
              <w:rPr>
                <w:rFonts w:ascii="Arial" w:eastAsia="Times New Roman" w:hAnsi="Arial" w:cs="Arial"/>
                <w:i/>
                <w:iCs/>
                <w:color w:val="000000"/>
                <w:sz w:val="16"/>
                <w:szCs w:val="16"/>
              </w:rPr>
              <w:t>(2,026 outstanding at March 31, 2021 and December 31, 2020)</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64,772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64,768 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742994005"/>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Additional paid-in capital</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277 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Deficit</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(8,093)</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(9,995)</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20" w:type="dxa"/>
              <w:bottom w:w="30" w:type="dxa"/>
              <w:right w:w="20" w:type="dxa"/>
            </w:tcMar>
            <w:vAlign w:val="center"/>
            <w:hideMark/>
          </w:tcPr>
          <w:p w:rsidR="00000000" w:rsidRDefault="009E01B0">
            <w:pPr>
              <w:divId w:val="1106081060"/>
              <w:rPr>
                <w:rFonts w:eastAsia="Times New Roman"/>
              </w:rPr>
            </w:pPr>
            <w:r>
              <w:rPr>
                <w:rFonts w:ascii="Arial" w:eastAsia="Times New Roman" w:hAnsi="Arial" w:cs="Arial"/>
                <w:color w:val="000000"/>
                <w:sz w:val="20"/>
                <w:szCs w:val="20"/>
              </w:rPr>
              <w:t xml:space="preserve">Accumulated other comprehensive loss </w:t>
            </w:r>
            <w:r>
              <w:rPr>
                <w:rFonts w:ascii="Arial" w:eastAsia="Times New Roman" w:hAnsi="Arial" w:cs="Arial"/>
                <w:i/>
                <w:iCs/>
                <w:color w:val="000000"/>
                <w:sz w:val="16"/>
                <w:szCs w:val="16"/>
              </w:rPr>
              <w:t>(Note 7)</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(1,675)</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(1,401)</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Reciprocal shareholding</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(17)</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(29)</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Borders>
              <w:top w:val="single" w:sz="8" w:space="0" w:color="000000"/>
            </w:tcBorders>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Total Enbridge Inc. shareholders’ equity</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63,058</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61,367 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Mar>
              <w:top w:w="30" w:type="dxa"/>
              <w:left w:w="155"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2,930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2,996 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65,988</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64,363 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742994005"/>
        </w:trPr>
        <w:tc>
          <w:tcPr>
            <w:tcW w:w="0" w:type="auto"/>
            <w:gridSpan w:val="3"/>
            <w:tcBorders>
              <w:top w:val="single" w:sz="8" w:space="0" w:color="000000"/>
              <w:bottom w:val="single" w:sz="12"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Total liabilities and equity</w:t>
            </w: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160,695</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160,276 </w:t>
            </w:r>
          </w:p>
        </w:tc>
        <w:tc>
          <w:tcPr>
            <w:tcW w:w="0" w:type="auto"/>
            <w:tcBorders>
              <w:top w:val="single" w:sz="8" w:space="0" w:color="000000"/>
              <w:bottom w:val="single" w:sz="12"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bl>
    <w:p w:rsidR="00000000" w:rsidRDefault="009E01B0">
      <w:pPr>
        <w:divId w:val="1079787272"/>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9E01B0">
      <w:pPr>
        <w:divId w:val="513689401"/>
        <w:rPr>
          <w:rFonts w:eastAsia="Times New Roman"/>
        </w:rPr>
      </w:pPr>
    </w:p>
    <w:p w:rsidR="00000000" w:rsidRDefault="009E01B0">
      <w:pPr>
        <w:jc w:val="center"/>
        <w:divId w:val="1841043807"/>
        <w:rPr>
          <w:rFonts w:eastAsia="Times New Roman"/>
        </w:rPr>
      </w:pPr>
      <w:r>
        <w:rPr>
          <w:rFonts w:ascii="Arial" w:eastAsia="Times New Roman" w:hAnsi="Arial" w:cs="Arial"/>
          <w:color w:val="000000"/>
          <w:sz w:val="20"/>
          <w:szCs w:val="20"/>
        </w:rPr>
        <w:t>10</w:t>
      </w:r>
    </w:p>
    <w:p w:rsidR="00000000" w:rsidRDefault="009E01B0">
      <w:pPr>
        <w:rPr>
          <w:rFonts w:eastAsia="Times New Roman"/>
        </w:rPr>
      </w:pPr>
      <w:r>
        <w:rPr>
          <w:rFonts w:eastAsia="Times New Roman"/>
        </w:rPr>
        <w:pict>
          <v:rect id="_x0000_i1035" style="width:0;height:1.5pt" o:hralign="center" o:hrstd="t" o:hr="t" fillcolor="#a0a0a0" stroked="f"/>
        </w:pict>
      </w:r>
    </w:p>
    <w:p w:rsidR="00000000" w:rsidRDefault="009E01B0">
      <w:pPr>
        <w:jc w:val="center"/>
        <w:divId w:val="868252673"/>
        <w:rPr>
          <w:rFonts w:eastAsia="Times New Roman"/>
        </w:rPr>
      </w:pPr>
    </w:p>
    <w:p w:rsidR="00000000" w:rsidRDefault="009E01B0">
      <w:pPr>
        <w:jc w:val="center"/>
        <w:divId w:val="868252673"/>
        <w:rPr>
          <w:rFonts w:eastAsia="Times New Roman"/>
        </w:rPr>
      </w:pPr>
    </w:p>
    <w:p w:rsidR="00000000" w:rsidRDefault="009E01B0">
      <w:pPr>
        <w:jc w:val="center"/>
        <w:rPr>
          <w:rFonts w:eastAsia="Times New Roman"/>
        </w:rPr>
      </w:pPr>
      <w:r>
        <w:rPr>
          <w:rFonts w:ascii="Arial" w:eastAsia="Times New Roman" w:hAnsi="Arial" w:cs="Arial"/>
          <w:b/>
          <w:bCs/>
          <w:color w:val="000000"/>
          <w:sz w:val="28"/>
          <w:szCs w:val="28"/>
        </w:rPr>
        <w:t>NOTES TO THE INTERIM CONSOLIDATED FINANCIAL STATEMENTS</w:t>
      </w:r>
    </w:p>
    <w:p w:rsidR="00000000" w:rsidRDefault="009E01B0">
      <w:pPr>
        <w:jc w:val="center"/>
        <w:rPr>
          <w:rFonts w:eastAsia="Times New Roman"/>
        </w:rPr>
      </w:pPr>
      <w:r>
        <w:rPr>
          <w:rFonts w:ascii="Arial" w:eastAsia="Times New Roman" w:hAnsi="Arial" w:cs="Arial"/>
          <w:i/>
          <w:iCs/>
          <w:color w:val="000000"/>
          <w:sz w:val="26"/>
          <w:szCs w:val="26"/>
        </w:rPr>
        <w:t>(unaudited)</w:t>
      </w:r>
    </w:p>
    <w:p w:rsidR="00000000" w:rsidRDefault="009E01B0">
      <w:pPr>
        <w:jc w:val="both"/>
        <w:rPr>
          <w:rFonts w:eastAsia="Times New Roman"/>
        </w:rPr>
      </w:pPr>
    </w:p>
    <w:p w:rsidR="00000000" w:rsidRDefault="009E01B0">
      <w:pPr>
        <w:ind w:hanging="360"/>
        <w:jc w:val="both"/>
        <w:rPr>
          <w:rFonts w:eastAsia="Times New Roman"/>
        </w:rPr>
      </w:pPr>
      <w:r>
        <w:rPr>
          <w:rFonts w:ascii="Arial" w:eastAsia="Times New Roman" w:hAnsi="Arial" w:cs="Arial"/>
          <w:b/>
          <w:bCs/>
          <w:color w:val="000000"/>
          <w:sz w:val="26"/>
          <w:szCs w:val="26"/>
        </w:rPr>
        <w:t>1. BASIS OF PRESENTATION</w:t>
      </w:r>
    </w:p>
    <w:p w:rsidR="00000000" w:rsidRDefault="009E01B0">
      <w:pPr>
        <w:divId w:val="1842155600"/>
        <w:rPr>
          <w:rFonts w:eastAsia="Times New Roman"/>
        </w:rPr>
      </w:pPr>
      <w:r>
        <w:rPr>
          <w:rFonts w:ascii="Arial" w:eastAsia="Times New Roman" w:hAnsi="Arial" w:cs="Arial"/>
          <w:color w:val="000000"/>
          <w:sz w:val="20"/>
          <w:szCs w:val="20"/>
        </w:rPr>
        <w:t> </w:t>
      </w:r>
    </w:p>
    <w:p w:rsidR="00000000" w:rsidRDefault="009E01B0">
      <w:pPr>
        <w:divId w:val="1441530998"/>
        <w:rPr>
          <w:rFonts w:eastAsia="Times New Roman"/>
        </w:rPr>
      </w:pPr>
      <w:r>
        <w:rPr>
          <w:rFonts w:ascii="Arial" w:eastAsia="Times New Roman" w:hAnsi="Arial" w:cs="Arial"/>
          <w:color w:val="000000"/>
          <w:sz w:val="20"/>
          <w:szCs w:val="20"/>
        </w:rPr>
        <w:t>The accompanying unaudited interim consolidated financial statements of Enbridge Inc. ("we", "our", "us" and "Enbridge") have been prepared in accordance with generally accepted accounting principles in the United States of America (US GAAP) and Regulation</w:t>
      </w:r>
      <w:r>
        <w:rPr>
          <w:rFonts w:ascii="Arial" w:eastAsia="Times New Roman" w:hAnsi="Arial" w:cs="Arial"/>
          <w:color w:val="000000"/>
          <w:sz w:val="20"/>
          <w:szCs w:val="20"/>
        </w:rPr>
        <w:t xml:space="preserve"> S-X for interim consolidated financial information. They do not include all of the information and notes required by US GAAP for annual consolidated financial statements and should therefore be read in conjunction with our audited consolidated financial s</w:t>
      </w:r>
      <w:r>
        <w:rPr>
          <w:rFonts w:ascii="Arial" w:eastAsia="Times New Roman" w:hAnsi="Arial" w:cs="Arial"/>
          <w:color w:val="000000"/>
          <w:sz w:val="20"/>
          <w:szCs w:val="20"/>
        </w:rPr>
        <w:t>tatements and notes for the year ended December 31, 2020. In the opinion of management, the interim consolidated financial statements contain all normal recurring adjustments necessary to present fairly our financial position, results of operations and cas</w:t>
      </w:r>
      <w:r>
        <w:rPr>
          <w:rFonts w:ascii="Arial" w:eastAsia="Times New Roman" w:hAnsi="Arial" w:cs="Arial"/>
          <w:color w:val="000000"/>
          <w:sz w:val="20"/>
          <w:szCs w:val="20"/>
        </w:rPr>
        <w:t>h flows for the interim periods reported. These interim consolidated financial statements follow the same significant accounting policies as those included in our audited consolidated financial statements for the year ended December 31, 2020, except for th</w:t>
      </w:r>
      <w:r>
        <w:rPr>
          <w:rFonts w:ascii="Arial" w:eastAsia="Times New Roman" w:hAnsi="Arial" w:cs="Arial"/>
          <w:color w:val="000000"/>
          <w:sz w:val="20"/>
          <w:szCs w:val="20"/>
        </w:rPr>
        <w:t xml:space="preserve">e adoption of new standards </w:t>
      </w:r>
      <w:r>
        <w:rPr>
          <w:rFonts w:ascii="Arial" w:eastAsia="Times New Roman" w:hAnsi="Arial" w:cs="Arial"/>
          <w:i/>
          <w:iCs/>
          <w:color w:val="000000"/>
          <w:sz w:val="16"/>
          <w:szCs w:val="16"/>
        </w:rPr>
        <w:t>(Note 2)</w:t>
      </w:r>
      <w:r>
        <w:rPr>
          <w:rFonts w:ascii="Arial" w:eastAsia="Times New Roman" w:hAnsi="Arial" w:cs="Arial"/>
          <w:color w:val="000000"/>
          <w:sz w:val="20"/>
          <w:szCs w:val="20"/>
        </w:rPr>
        <w:t>. Amounts are stated in Canadian dollars unless otherwise noted.</w:t>
      </w:r>
    </w:p>
    <w:p w:rsidR="00000000" w:rsidRDefault="009E01B0">
      <w:pPr>
        <w:divId w:val="654645705"/>
        <w:rPr>
          <w:rFonts w:eastAsia="Times New Roman"/>
        </w:rPr>
      </w:pPr>
      <w:r>
        <w:rPr>
          <w:rFonts w:ascii="Arial" w:eastAsia="Times New Roman" w:hAnsi="Arial" w:cs="Arial"/>
          <w:color w:val="000000"/>
          <w:sz w:val="20"/>
          <w:szCs w:val="20"/>
        </w:rPr>
        <w:t> </w:t>
      </w:r>
    </w:p>
    <w:p w:rsidR="00000000" w:rsidRDefault="009E01B0">
      <w:pPr>
        <w:divId w:val="1327394539"/>
        <w:rPr>
          <w:rFonts w:eastAsia="Times New Roman"/>
        </w:rPr>
      </w:pPr>
      <w:r>
        <w:rPr>
          <w:rFonts w:ascii="Arial" w:eastAsia="Times New Roman" w:hAnsi="Arial" w:cs="Arial"/>
          <w:color w:val="000000"/>
          <w:sz w:val="20"/>
          <w:szCs w:val="20"/>
        </w:rPr>
        <w:t>Our operations and earnings for interim periods can be affected by seasonal fluctuations within the gas distribution utility businesses, as well as other</w:t>
      </w:r>
      <w:r>
        <w:rPr>
          <w:rFonts w:ascii="Arial" w:eastAsia="Times New Roman" w:hAnsi="Arial" w:cs="Arial"/>
          <w:color w:val="000000"/>
          <w:sz w:val="20"/>
          <w:szCs w:val="20"/>
        </w:rPr>
        <w:t xml:space="preserve"> factors such as the supply of and demand for crude oil and natural gas, and may not be indicative of annual results.</w:t>
      </w:r>
    </w:p>
    <w:p w:rsidR="00000000" w:rsidRDefault="009E01B0">
      <w:pPr>
        <w:divId w:val="1615671668"/>
        <w:rPr>
          <w:rFonts w:eastAsia="Times New Roman"/>
        </w:rPr>
      </w:pPr>
    </w:p>
    <w:p w:rsidR="00000000" w:rsidRDefault="009E01B0">
      <w:pPr>
        <w:ind w:hanging="360"/>
        <w:divId w:val="990408640"/>
        <w:rPr>
          <w:rFonts w:eastAsia="Times New Roman"/>
        </w:rPr>
      </w:pPr>
      <w:r>
        <w:rPr>
          <w:rFonts w:ascii="Arial" w:eastAsia="Times New Roman" w:hAnsi="Arial" w:cs="Arial"/>
          <w:b/>
          <w:bCs/>
          <w:color w:val="000000"/>
          <w:sz w:val="26"/>
          <w:szCs w:val="26"/>
        </w:rPr>
        <w:t>2. CHANGES IN ACCOUNTING POLICIES</w:t>
      </w:r>
    </w:p>
    <w:p w:rsidR="00000000" w:rsidRDefault="009E01B0">
      <w:pPr>
        <w:divId w:val="895120045"/>
        <w:rPr>
          <w:rFonts w:eastAsia="Times New Roman"/>
        </w:rPr>
      </w:pPr>
      <w:r>
        <w:rPr>
          <w:rFonts w:ascii="Arial" w:eastAsia="Times New Roman" w:hAnsi="Arial" w:cs="Arial"/>
          <w:color w:val="000000"/>
          <w:sz w:val="20"/>
          <w:szCs w:val="20"/>
        </w:rPr>
        <w:t> </w:t>
      </w:r>
    </w:p>
    <w:p w:rsidR="00000000" w:rsidRDefault="009E01B0">
      <w:pPr>
        <w:divId w:val="1975941411"/>
        <w:rPr>
          <w:rFonts w:eastAsia="Times New Roman"/>
        </w:rPr>
      </w:pPr>
      <w:r>
        <w:rPr>
          <w:rFonts w:ascii="Arial" w:eastAsia="Times New Roman" w:hAnsi="Arial" w:cs="Arial"/>
          <w:b/>
          <w:bCs/>
          <w:color w:val="000000"/>
          <w:sz w:val="20"/>
          <w:szCs w:val="20"/>
        </w:rPr>
        <w:t>ADOPTION OF NEW ACCOUNTING STANDARDS</w:t>
      </w:r>
    </w:p>
    <w:p w:rsidR="00000000" w:rsidRDefault="009E01B0">
      <w:pPr>
        <w:divId w:val="1861628197"/>
        <w:rPr>
          <w:rFonts w:eastAsia="Times New Roman"/>
        </w:rPr>
      </w:pPr>
      <w:r>
        <w:rPr>
          <w:rFonts w:ascii="Arial" w:eastAsia="Times New Roman" w:hAnsi="Arial" w:cs="Arial"/>
          <w:b/>
          <w:bCs/>
          <w:color w:val="000000"/>
          <w:sz w:val="20"/>
          <w:szCs w:val="20"/>
        </w:rPr>
        <w:t>Reference Rate Reform</w:t>
      </w:r>
    </w:p>
    <w:p w:rsidR="00000000" w:rsidRDefault="009E01B0">
      <w:pPr>
        <w:divId w:val="1910311134"/>
        <w:rPr>
          <w:rFonts w:eastAsia="Times New Roman"/>
        </w:rPr>
      </w:pPr>
      <w:r>
        <w:rPr>
          <w:rFonts w:ascii="Arial" w:eastAsia="Times New Roman" w:hAnsi="Arial" w:cs="Arial"/>
          <w:color w:val="000000"/>
          <w:sz w:val="20"/>
          <w:szCs w:val="20"/>
        </w:rPr>
        <w:t>For eligible hedging relationships existing as at January 1, 2021 and prospectively, we have applied the optional expedient in Accounting Standards Update (ASU) 2020-04 whereby the modification of the hedging instrument does not result in an automatic hedg</w:t>
      </w:r>
      <w:r>
        <w:rPr>
          <w:rFonts w:ascii="Arial" w:eastAsia="Times New Roman" w:hAnsi="Arial" w:cs="Arial"/>
          <w:color w:val="000000"/>
          <w:sz w:val="20"/>
          <w:szCs w:val="20"/>
        </w:rPr>
        <w:t>ing relationship de-designation. The adoption of this ASU did not have a material impact on our consolidated financial statements.</w:t>
      </w:r>
    </w:p>
    <w:p w:rsidR="00000000" w:rsidRDefault="009E01B0">
      <w:pPr>
        <w:divId w:val="790787098"/>
        <w:rPr>
          <w:rFonts w:eastAsia="Times New Roman"/>
        </w:rPr>
      </w:pPr>
    </w:p>
    <w:p w:rsidR="00000000" w:rsidRDefault="009E01B0">
      <w:pPr>
        <w:divId w:val="1153716097"/>
        <w:rPr>
          <w:rFonts w:eastAsia="Times New Roman"/>
        </w:rPr>
      </w:pPr>
      <w:r>
        <w:rPr>
          <w:rFonts w:ascii="Arial" w:eastAsia="Times New Roman" w:hAnsi="Arial" w:cs="Arial"/>
          <w:b/>
          <w:bCs/>
          <w:color w:val="000000"/>
          <w:sz w:val="20"/>
          <w:szCs w:val="20"/>
        </w:rPr>
        <w:t>Clarifying Interaction between Equity Securities, Equity Method Investments and Derivatives</w:t>
      </w:r>
    </w:p>
    <w:p w:rsidR="00000000" w:rsidRDefault="009E01B0">
      <w:pPr>
        <w:divId w:val="534197749"/>
        <w:rPr>
          <w:rFonts w:eastAsia="Times New Roman"/>
        </w:rPr>
      </w:pPr>
      <w:r>
        <w:rPr>
          <w:rFonts w:ascii="Arial" w:eastAsia="Times New Roman" w:hAnsi="Arial" w:cs="Arial"/>
          <w:color w:val="000000"/>
          <w:sz w:val="20"/>
          <w:szCs w:val="20"/>
        </w:rPr>
        <w:t>Effective January 1, 2021, we a</w:t>
      </w:r>
      <w:r>
        <w:rPr>
          <w:rFonts w:ascii="Arial" w:eastAsia="Times New Roman" w:hAnsi="Arial" w:cs="Arial"/>
          <w:color w:val="000000"/>
          <w:sz w:val="20"/>
          <w:szCs w:val="20"/>
        </w:rPr>
        <w:t>dopted ASU 2020-01 on a prospective basis. The new standard was issued in January 2020 and clarifies that observable transactions should be considered for the purpose of applying the measurement alternative in accordance with Accounting Standards Codificat</w:t>
      </w:r>
      <w:r>
        <w:rPr>
          <w:rFonts w:ascii="Arial" w:eastAsia="Times New Roman" w:hAnsi="Arial" w:cs="Arial"/>
          <w:color w:val="000000"/>
          <w:sz w:val="20"/>
          <w:szCs w:val="20"/>
        </w:rPr>
        <w:t xml:space="preserve">ion (ASC) 321 </w:t>
      </w:r>
      <w:r>
        <w:rPr>
          <w:rFonts w:ascii="Arial" w:eastAsia="Times New Roman" w:hAnsi="Arial" w:cs="Arial"/>
          <w:i/>
          <w:iCs/>
          <w:color w:val="000000"/>
          <w:sz w:val="20"/>
          <w:szCs w:val="20"/>
        </w:rPr>
        <w:t>Investments - Equity Securities</w:t>
      </w:r>
      <w:r>
        <w:rPr>
          <w:rFonts w:ascii="Arial" w:eastAsia="Times New Roman" w:hAnsi="Arial" w:cs="Arial"/>
          <w:color w:val="000000"/>
          <w:sz w:val="20"/>
          <w:szCs w:val="20"/>
        </w:rPr>
        <w:t xml:space="preserve"> immediately before the application or upon discontinuance of the equity method of accounting. Furthermore, the ASU clarifies that forward contracts or purchased options on equity securities are not out of scope</w:t>
      </w:r>
      <w:r>
        <w:rPr>
          <w:rFonts w:ascii="Arial" w:eastAsia="Times New Roman" w:hAnsi="Arial" w:cs="Arial"/>
          <w:color w:val="000000"/>
          <w:sz w:val="20"/>
          <w:szCs w:val="20"/>
        </w:rPr>
        <w:t xml:space="preserve"> of ASC 815 </w:t>
      </w:r>
      <w:r>
        <w:rPr>
          <w:rFonts w:ascii="Arial" w:eastAsia="Times New Roman" w:hAnsi="Arial" w:cs="Arial"/>
          <w:i/>
          <w:iCs/>
          <w:color w:val="000000"/>
          <w:sz w:val="20"/>
          <w:szCs w:val="20"/>
        </w:rPr>
        <w:t>Derivatives and Hedging</w:t>
      </w:r>
      <w:r>
        <w:rPr>
          <w:rFonts w:ascii="Arial" w:eastAsia="Times New Roman" w:hAnsi="Arial" w:cs="Arial"/>
          <w:color w:val="000000"/>
          <w:sz w:val="20"/>
          <w:szCs w:val="20"/>
        </w:rPr>
        <w:t xml:space="preserve"> guidance only because, upon the contracts’ exercise, the equity securities could be accounted for under the equity method of accounting or fair value option. The adoption of this ASU did not have a material impact on our</w:t>
      </w:r>
      <w:r>
        <w:rPr>
          <w:rFonts w:ascii="Arial" w:eastAsia="Times New Roman" w:hAnsi="Arial" w:cs="Arial"/>
          <w:color w:val="000000"/>
          <w:sz w:val="20"/>
          <w:szCs w:val="20"/>
        </w:rPr>
        <w:t xml:space="preserve"> consolidated financial statements.</w:t>
      </w:r>
    </w:p>
    <w:p w:rsidR="00000000" w:rsidRDefault="009E01B0">
      <w:pPr>
        <w:divId w:val="265238263"/>
        <w:rPr>
          <w:rFonts w:eastAsia="Times New Roman"/>
        </w:rPr>
      </w:pPr>
    </w:p>
    <w:p w:rsidR="00000000" w:rsidRDefault="009E01B0">
      <w:pPr>
        <w:divId w:val="654919734"/>
        <w:rPr>
          <w:rFonts w:eastAsia="Times New Roman"/>
        </w:rPr>
      </w:pPr>
      <w:r>
        <w:rPr>
          <w:rFonts w:ascii="Arial" w:eastAsia="Times New Roman" w:hAnsi="Arial" w:cs="Arial"/>
          <w:b/>
          <w:bCs/>
          <w:color w:val="000000"/>
          <w:sz w:val="20"/>
          <w:szCs w:val="20"/>
        </w:rPr>
        <w:t>Accounting for Income Taxes</w:t>
      </w:r>
    </w:p>
    <w:p w:rsidR="00000000" w:rsidRDefault="009E01B0">
      <w:pPr>
        <w:divId w:val="1691030008"/>
        <w:rPr>
          <w:rFonts w:eastAsia="Times New Roman"/>
        </w:rPr>
      </w:pPr>
      <w:r>
        <w:rPr>
          <w:rFonts w:ascii="Arial" w:eastAsia="Times New Roman" w:hAnsi="Arial" w:cs="Arial"/>
          <w:color w:val="000000"/>
          <w:sz w:val="20"/>
          <w:szCs w:val="20"/>
        </w:rPr>
        <w:t>Effective January 1, 2021, we adopted ASU 2019-12 on a prospective basis. The new standard was issued in December 2019 with the intent of simplifying the accounting for income taxes. The acc</w:t>
      </w:r>
      <w:r>
        <w:rPr>
          <w:rFonts w:ascii="Arial" w:eastAsia="Times New Roman" w:hAnsi="Arial" w:cs="Arial"/>
          <w:color w:val="000000"/>
          <w:sz w:val="20"/>
          <w:szCs w:val="20"/>
        </w:rPr>
        <w:t xml:space="preserve">ounting update removes certain exceptions to the general principles in ASC 740 </w:t>
      </w:r>
      <w:r>
        <w:rPr>
          <w:rFonts w:ascii="Arial" w:eastAsia="Times New Roman" w:hAnsi="Arial" w:cs="Arial"/>
          <w:i/>
          <w:iCs/>
          <w:color w:val="000000"/>
          <w:sz w:val="20"/>
          <w:szCs w:val="20"/>
        </w:rPr>
        <w:t>Income Taxes</w:t>
      </w:r>
      <w:r>
        <w:rPr>
          <w:rFonts w:ascii="Arial" w:eastAsia="Times New Roman" w:hAnsi="Arial" w:cs="Arial"/>
          <w:color w:val="000000"/>
          <w:sz w:val="20"/>
          <w:szCs w:val="20"/>
        </w:rPr>
        <w:t xml:space="preserve"> as well as provides simplification by clarifying and amending existing guidance. The adoption of this ASU did not have a material impact on our consolidated financi</w:t>
      </w:r>
      <w:r>
        <w:rPr>
          <w:rFonts w:ascii="Arial" w:eastAsia="Times New Roman" w:hAnsi="Arial" w:cs="Arial"/>
          <w:color w:val="000000"/>
          <w:sz w:val="20"/>
          <w:szCs w:val="20"/>
        </w:rPr>
        <w:t>al statements.</w:t>
      </w:r>
    </w:p>
    <w:p w:rsidR="00000000" w:rsidRDefault="009E01B0">
      <w:pPr>
        <w:divId w:val="1899394860"/>
        <w:rPr>
          <w:rFonts w:eastAsia="Times New Roman"/>
        </w:rPr>
      </w:pPr>
    </w:p>
    <w:p w:rsidR="00000000" w:rsidRDefault="009E01B0">
      <w:pPr>
        <w:jc w:val="center"/>
        <w:divId w:val="1848326629"/>
        <w:rPr>
          <w:rFonts w:eastAsia="Times New Roman"/>
        </w:rPr>
      </w:pPr>
      <w:r>
        <w:rPr>
          <w:rFonts w:ascii="Arial" w:eastAsia="Times New Roman" w:hAnsi="Arial" w:cs="Arial"/>
          <w:color w:val="000000"/>
          <w:sz w:val="20"/>
          <w:szCs w:val="20"/>
        </w:rPr>
        <w:t>11</w:t>
      </w:r>
    </w:p>
    <w:p w:rsidR="00000000" w:rsidRDefault="009E01B0">
      <w:pPr>
        <w:rPr>
          <w:rFonts w:eastAsia="Times New Roman"/>
        </w:rPr>
      </w:pPr>
      <w:r>
        <w:rPr>
          <w:rFonts w:eastAsia="Times New Roman"/>
        </w:rPr>
        <w:pict>
          <v:rect id="_x0000_i1036" style="width:0;height:1.5pt" o:hralign="center" o:hrstd="t" o:hr="t" fillcolor="#a0a0a0" stroked="f"/>
        </w:pict>
      </w:r>
    </w:p>
    <w:p w:rsidR="00000000" w:rsidRDefault="009E01B0">
      <w:pPr>
        <w:jc w:val="center"/>
        <w:divId w:val="2142922633"/>
        <w:rPr>
          <w:rFonts w:eastAsia="Times New Roman"/>
        </w:rPr>
      </w:pPr>
    </w:p>
    <w:p w:rsidR="00000000" w:rsidRDefault="009E01B0">
      <w:pPr>
        <w:jc w:val="center"/>
        <w:divId w:val="2142922633"/>
        <w:rPr>
          <w:rFonts w:eastAsia="Times New Roman"/>
        </w:rPr>
      </w:pPr>
    </w:p>
    <w:p w:rsidR="00000000" w:rsidRDefault="009E01B0">
      <w:pPr>
        <w:divId w:val="323970436"/>
        <w:rPr>
          <w:rFonts w:eastAsia="Times New Roman"/>
        </w:rPr>
      </w:pPr>
      <w:r>
        <w:rPr>
          <w:rFonts w:ascii="Arial" w:eastAsia="Times New Roman" w:hAnsi="Arial" w:cs="Arial"/>
          <w:b/>
          <w:bCs/>
          <w:color w:val="000000"/>
          <w:sz w:val="20"/>
          <w:szCs w:val="20"/>
        </w:rPr>
        <w:t>FUTURE ACCOUNTING POLICY CHANGES</w:t>
      </w:r>
    </w:p>
    <w:p w:rsidR="00000000" w:rsidRDefault="009E01B0">
      <w:pPr>
        <w:divId w:val="827943206"/>
        <w:rPr>
          <w:rFonts w:eastAsia="Times New Roman"/>
        </w:rPr>
      </w:pPr>
      <w:r>
        <w:rPr>
          <w:rFonts w:ascii="Arial" w:eastAsia="Times New Roman" w:hAnsi="Arial" w:cs="Arial"/>
          <w:b/>
          <w:bCs/>
          <w:color w:val="000000"/>
          <w:sz w:val="20"/>
          <w:szCs w:val="20"/>
        </w:rPr>
        <w:t xml:space="preserve">Accounting for Convertible Instruments and Contracts in an Entity’s Own Equity </w:t>
      </w:r>
    </w:p>
    <w:p w:rsidR="00000000" w:rsidRDefault="009E01B0">
      <w:pPr>
        <w:divId w:val="92169997"/>
        <w:rPr>
          <w:rFonts w:eastAsia="Times New Roman"/>
        </w:rPr>
      </w:pPr>
      <w:r>
        <w:rPr>
          <w:rFonts w:ascii="Arial" w:eastAsia="Times New Roman" w:hAnsi="Arial" w:cs="Arial"/>
          <w:color w:val="000000"/>
          <w:sz w:val="20"/>
          <w:szCs w:val="20"/>
        </w:rPr>
        <w:t xml:space="preserve">ASU 2020-06 was issued in August 2020 to simplify accounting for certain financial </w:t>
      </w:r>
      <w:r>
        <w:rPr>
          <w:rFonts w:ascii="Arial" w:eastAsia="Times New Roman" w:hAnsi="Arial" w:cs="Arial"/>
          <w:color w:val="000000"/>
          <w:sz w:val="20"/>
          <w:szCs w:val="20"/>
        </w:rPr>
        <w:t>instruments. The ASU eliminates the current models that require separation of beneficial conversion and cash conversion features from convertible instruments and simplifies the derivative scope exception guidance pertaining to equity classification of cont</w:t>
      </w:r>
      <w:r>
        <w:rPr>
          <w:rFonts w:ascii="Arial" w:eastAsia="Times New Roman" w:hAnsi="Arial" w:cs="Arial"/>
          <w:color w:val="000000"/>
          <w:sz w:val="20"/>
          <w:szCs w:val="20"/>
        </w:rPr>
        <w:t>racts in an entity’s own equity. The ASU also introduces additional disclosures for convertible debt and freestanding instruments that are indexed to and settled in an entity’s own equity. The ASU amends the diluted earnings per share guidance, including t</w:t>
      </w:r>
      <w:r>
        <w:rPr>
          <w:rFonts w:ascii="Arial" w:eastAsia="Times New Roman" w:hAnsi="Arial" w:cs="Arial"/>
          <w:color w:val="000000"/>
          <w:sz w:val="20"/>
          <w:szCs w:val="20"/>
        </w:rPr>
        <w:t xml:space="preserve">he requirement to use if-converted method for all convertible instruments and an update for instruments that can be settled in either cash or shares. ASU 2020-06 is effective January 1, 2022 and should be applied on a full or modified retrospective basis. </w:t>
      </w:r>
      <w:r>
        <w:rPr>
          <w:rFonts w:ascii="Arial" w:eastAsia="Times New Roman" w:hAnsi="Arial" w:cs="Arial"/>
          <w:color w:val="000000"/>
          <w:sz w:val="20"/>
          <w:szCs w:val="20"/>
        </w:rPr>
        <w:t>We are currently assessing the impact of the new standard on our consolidated financial statements.</w:t>
      </w:r>
    </w:p>
    <w:p w:rsidR="00000000" w:rsidRDefault="009E01B0">
      <w:pPr>
        <w:divId w:val="2122339013"/>
        <w:rPr>
          <w:rFonts w:eastAsia="Times New Roman"/>
        </w:rPr>
      </w:pPr>
    </w:p>
    <w:p w:rsidR="00000000" w:rsidRDefault="009E01B0">
      <w:pPr>
        <w:divId w:val="1968512790"/>
        <w:rPr>
          <w:rFonts w:eastAsia="Times New Roman"/>
        </w:rPr>
      </w:pPr>
      <w:r>
        <w:rPr>
          <w:rFonts w:ascii="Arial" w:eastAsia="Times New Roman" w:hAnsi="Arial" w:cs="Arial"/>
          <w:b/>
          <w:bCs/>
          <w:color w:val="000000"/>
          <w:sz w:val="26"/>
          <w:szCs w:val="26"/>
        </w:rPr>
        <w:t>3. REVENUES</w:t>
      </w:r>
    </w:p>
    <w:p w:rsidR="00000000" w:rsidRDefault="009E01B0">
      <w:pPr>
        <w:ind w:hanging="360"/>
        <w:divId w:val="416634588"/>
        <w:rPr>
          <w:rFonts w:eastAsia="Times New Roman"/>
        </w:rPr>
      </w:pPr>
    </w:p>
    <w:p w:rsidR="00000000" w:rsidRDefault="009E01B0">
      <w:pPr>
        <w:ind w:hanging="360"/>
        <w:divId w:val="1518737591"/>
        <w:rPr>
          <w:rFonts w:eastAsia="Times New Roman"/>
        </w:rPr>
      </w:pPr>
      <w:r>
        <w:rPr>
          <w:rFonts w:ascii="Arial" w:eastAsia="Times New Roman" w:hAnsi="Arial" w:cs="Arial"/>
          <w:b/>
          <w:bCs/>
          <w:color w:val="000000"/>
          <w:sz w:val="20"/>
          <w:szCs w:val="20"/>
        </w:rPr>
        <w:t xml:space="preserve">REVENUE FROM CONTRACTS WITH CUSTOMERS </w:t>
      </w:r>
    </w:p>
    <w:p w:rsidR="00000000" w:rsidRDefault="009E01B0">
      <w:pPr>
        <w:divId w:val="956762493"/>
        <w:rPr>
          <w:rFonts w:eastAsia="Times New Roman"/>
        </w:rPr>
      </w:pPr>
      <w:r>
        <w:rPr>
          <w:rFonts w:ascii="Arial" w:eastAsia="Times New Roman" w:hAnsi="Arial" w:cs="Arial"/>
          <w:b/>
          <w:bCs/>
          <w:color w:val="000000"/>
          <w:sz w:val="20"/>
          <w:szCs w:val="20"/>
        </w:rPr>
        <w:t>Major Products and Services</w:t>
      </w:r>
    </w:p>
    <w:tbl>
      <w:tblPr>
        <w:tblW w:w="5000" w:type="pct"/>
        <w:tblCellMar>
          <w:top w:w="15" w:type="dxa"/>
          <w:left w:w="15" w:type="dxa"/>
          <w:bottom w:w="15" w:type="dxa"/>
          <w:right w:w="15" w:type="dxa"/>
        </w:tblCellMar>
        <w:tblLook w:val="04A0" w:firstRow="1" w:lastRow="0" w:firstColumn="1" w:lastColumn="0" w:noHBand="0" w:noVBand="1"/>
      </w:tblPr>
      <w:tblGrid>
        <w:gridCol w:w="40"/>
        <w:gridCol w:w="2136"/>
        <w:gridCol w:w="37"/>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714690470"/>
        </w:trPr>
        <w:tc>
          <w:tcPr>
            <w:tcW w:w="50" w:type="pct"/>
            <w:vAlign w:val="center"/>
            <w:hideMark/>
          </w:tcPr>
          <w:p w:rsidR="00000000" w:rsidRDefault="009E01B0">
            <w:pPr>
              <w:rPr>
                <w:rFonts w:eastAsia="Times New Roman"/>
              </w:rPr>
            </w:pPr>
          </w:p>
        </w:tc>
        <w:tc>
          <w:tcPr>
            <w:tcW w:w="131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6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4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4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6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8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1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714690470"/>
          <w:trHeight w:val="600"/>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Consolidated</w:t>
            </w:r>
          </w:p>
        </w:tc>
      </w:tr>
      <w:tr w:rsidR="00000000">
        <w:trPr>
          <w:divId w:val="1714690470"/>
          <w:trHeight w:val="400"/>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March 31, 2021</w:t>
            </w: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r>
      <w:tr w:rsidR="00000000">
        <w:trPr>
          <w:divId w:val="171469047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r>
      <w:tr w:rsidR="00000000">
        <w:trPr>
          <w:divId w:val="1714690470"/>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Transportation revenues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2,329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1,121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216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3,666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714690470"/>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Storage and other revenues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74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714690470"/>
        </w:trPr>
        <w:tc>
          <w:tcPr>
            <w:tcW w:w="0" w:type="auto"/>
            <w:gridSpan w:val="3"/>
            <w:tcMar>
              <w:top w:w="30" w:type="dxa"/>
              <w:left w:w="20" w:type="dxa"/>
              <w:bottom w:w="30" w:type="dxa"/>
              <w:right w:w="20" w:type="dxa"/>
            </w:tcMar>
            <w:vAlign w:val="center"/>
            <w:hideMark/>
          </w:tcPr>
          <w:p w:rsidR="00000000" w:rsidRDefault="009E01B0">
            <w:pPr>
              <w:ind w:hanging="180"/>
              <w:divId w:val="380373328"/>
              <w:rPr>
                <w:rFonts w:eastAsia="Times New Roman"/>
              </w:rPr>
            </w:pPr>
            <w:r>
              <w:rPr>
                <w:rFonts w:ascii="Arial" w:eastAsia="Times New Roman" w:hAnsi="Arial" w:cs="Arial"/>
                <w:color w:val="000000"/>
                <w:sz w:val="16"/>
                <w:szCs w:val="16"/>
              </w:rPr>
              <w:t>Gas gathering and processing revenues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714690470"/>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Gas distribution revenue</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1,534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1,534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714690470"/>
        </w:trPr>
        <w:tc>
          <w:tcPr>
            <w:tcW w:w="0" w:type="auto"/>
            <w:gridSpan w:val="3"/>
            <w:tcMar>
              <w:top w:w="30" w:type="dxa"/>
              <w:left w:w="20" w:type="dxa"/>
              <w:bottom w:w="30" w:type="dxa"/>
              <w:right w:w="20" w:type="dxa"/>
            </w:tcMar>
            <w:vAlign w:val="bottom"/>
            <w:hideMark/>
          </w:tcPr>
          <w:p w:rsidR="00000000" w:rsidRDefault="009E01B0">
            <w:pPr>
              <w:ind w:hanging="180"/>
              <w:divId w:val="1596590822"/>
              <w:rPr>
                <w:rFonts w:eastAsia="Times New Roman"/>
              </w:rPr>
            </w:pPr>
            <w:r>
              <w:rPr>
                <w:rFonts w:ascii="Arial" w:eastAsia="Times New Roman" w:hAnsi="Arial" w:cs="Arial"/>
                <w:color w:val="000000"/>
                <w:sz w:val="16"/>
                <w:szCs w:val="16"/>
              </w:rPr>
              <w:t>Electricity and transmission revenues</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76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76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714690470"/>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71469047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ind w:hanging="180"/>
              <w:divId w:val="853030416"/>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2,355</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1,202</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1,808</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76</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5,441</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714690470"/>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6,429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6,429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714690470"/>
        </w:trPr>
        <w:tc>
          <w:tcPr>
            <w:tcW w:w="0" w:type="auto"/>
            <w:gridSpan w:val="3"/>
            <w:tcMar>
              <w:top w:w="30" w:type="dxa"/>
              <w:left w:w="20" w:type="dxa"/>
              <w:bottom w:w="30" w:type="dxa"/>
              <w:right w:w="20" w:type="dxa"/>
            </w:tcMar>
            <w:vAlign w:val="center"/>
            <w:hideMark/>
          </w:tcPr>
          <w:p w:rsidR="00000000" w:rsidRDefault="009E01B0">
            <w:pPr>
              <w:divId w:val="487211322"/>
              <w:rPr>
                <w:rFonts w:eastAsia="Times New Roman"/>
              </w:rPr>
            </w:pPr>
            <w:r>
              <w:rPr>
                <w:rFonts w:ascii="Arial" w:eastAsia="Times New Roman" w:hAnsi="Arial" w:cs="Arial"/>
                <w:color w:val="000000"/>
                <w:sz w:val="16"/>
                <w:szCs w:val="16"/>
              </w:rPr>
              <w:t>Other revenue</w:t>
            </w:r>
            <w:r>
              <w:rPr>
                <w:rFonts w:ascii="Arial" w:eastAsia="Times New Roman" w:hAnsi="Arial" w:cs="Arial"/>
                <w:color w:val="000000"/>
                <w:sz w:val="16"/>
                <w:szCs w:val="16"/>
              </w:rPr>
              <w:t>s</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317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714690470"/>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Intersegment revenues</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(145)</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714690470"/>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Total revenues</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2,699</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1,214</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1,823</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167</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6,433</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(149)</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12,187</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bl>
    <w:p w:rsidR="00000000" w:rsidRDefault="009E01B0">
      <w:pPr>
        <w:divId w:val="2011758882"/>
        <w:rPr>
          <w:rFonts w:eastAsia="Times New Roman"/>
        </w:rPr>
      </w:pPr>
    </w:p>
    <w:p w:rsidR="00000000" w:rsidRDefault="009E01B0">
      <w:pPr>
        <w:jc w:val="center"/>
        <w:divId w:val="28999208"/>
        <w:rPr>
          <w:rFonts w:eastAsia="Times New Roman"/>
        </w:rPr>
      </w:pPr>
      <w:r>
        <w:rPr>
          <w:rFonts w:ascii="Arial" w:eastAsia="Times New Roman" w:hAnsi="Arial" w:cs="Arial"/>
          <w:color w:val="000000"/>
          <w:sz w:val="20"/>
          <w:szCs w:val="20"/>
        </w:rPr>
        <w:t>12</w:t>
      </w:r>
    </w:p>
    <w:p w:rsidR="00000000" w:rsidRDefault="009E01B0">
      <w:pPr>
        <w:rPr>
          <w:rFonts w:eastAsia="Times New Roman"/>
        </w:rPr>
      </w:pPr>
      <w:r>
        <w:rPr>
          <w:rFonts w:eastAsia="Times New Roman"/>
        </w:rPr>
        <w:pict>
          <v:rect id="_x0000_i1037" style="width:0;height:1.5pt" o:hralign="center" o:hrstd="t" o:hr="t" fillcolor="#a0a0a0" stroked="f"/>
        </w:pict>
      </w:r>
    </w:p>
    <w:p w:rsidR="00000000" w:rsidRDefault="009E01B0">
      <w:pPr>
        <w:jc w:val="center"/>
        <w:divId w:val="481241610"/>
        <w:rPr>
          <w:rFonts w:eastAsia="Times New Roman"/>
        </w:rPr>
      </w:pPr>
    </w:p>
    <w:p w:rsidR="00000000" w:rsidRDefault="009E01B0">
      <w:pPr>
        <w:jc w:val="center"/>
        <w:divId w:val="48124161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134"/>
        <w:gridCol w:w="37"/>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263853573"/>
        </w:trPr>
        <w:tc>
          <w:tcPr>
            <w:tcW w:w="50" w:type="pct"/>
            <w:vAlign w:val="center"/>
            <w:hideMark/>
          </w:tcPr>
          <w:p w:rsidR="00000000" w:rsidRDefault="009E01B0">
            <w:pPr>
              <w:jc w:val="center"/>
              <w:rPr>
                <w:rFonts w:eastAsia="Times New Roman"/>
              </w:rPr>
            </w:pPr>
          </w:p>
        </w:tc>
        <w:tc>
          <w:tcPr>
            <w:tcW w:w="130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6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4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4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6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8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14"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263853573"/>
          <w:trHeight w:val="600"/>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Consolidated</w:t>
            </w:r>
          </w:p>
        </w:tc>
      </w:tr>
      <w:tr w:rsidR="00000000">
        <w:trPr>
          <w:divId w:val="263853573"/>
          <w:trHeight w:val="400"/>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March 31, 2020</w:t>
            </w: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r>
      <w:tr w:rsidR="00000000">
        <w:trPr>
          <w:divId w:val="263853573"/>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r>
      <w:tr w:rsidR="00000000">
        <w:trPr>
          <w:divId w:val="263853573"/>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Transportation revenues</w:t>
            </w: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2,440 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1,255 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215 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3,910 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63853573"/>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Storage and other revenues</w:t>
            </w: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26 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79 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47 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152 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63853573"/>
        </w:trPr>
        <w:tc>
          <w:tcPr>
            <w:tcW w:w="0" w:type="auto"/>
            <w:gridSpan w:val="3"/>
            <w:tcMar>
              <w:top w:w="30" w:type="dxa"/>
              <w:left w:w="20" w:type="dxa"/>
              <w:bottom w:w="30" w:type="dxa"/>
              <w:right w:w="20" w:type="dxa"/>
            </w:tcMar>
            <w:vAlign w:val="center"/>
            <w:hideMark/>
          </w:tcPr>
          <w:p w:rsidR="00000000" w:rsidRDefault="009E01B0">
            <w:pPr>
              <w:ind w:hanging="180"/>
              <w:divId w:val="1746419156"/>
              <w:rPr>
                <w:rFonts w:eastAsia="Times New Roman"/>
              </w:rPr>
            </w:pPr>
            <w:r>
              <w:rPr>
                <w:rFonts w:ascii="Arial" w:eastAsia="Times New Roman" w:hAnsi="Arial" w:cs="Arial"/>
                <w:color w:val="000000"/>
                <w:sz w:val="16"/>
                <w:szCs w:val="16"/>
              </w:rPr>
              <w:t>Gas gathering and processing revenues</w:t>
            </w: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63853573"/>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Gas distribution revenues</w:t>
            </w: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1,417 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1,417 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63853573"/>
        </w:trPr>
        <w:tc>
          <w:tcPr>
            <w:tcW w:w="0" w:type="auto"/>
            <w:gridSpan w:val="3"/>
            <w:tcMar>
              <w:top w:w="30" w:type="dxa"/>
              <w:left w:w="20" w:type="dxa"/>
              <w:bottom w:w="30" w:type="dxa"/>
              <w:right w:w="20" w:type="dxa"/>
            </w:tcMar>
            <w:vAlign w:val="center"/>
            <w:hideMark/>
          </w:tcPr>
          <w:p w:rsidR="00000000" w:rsidRDefault="009E01B0">
            <w:pPr>
              <w:ind w:hanging="180"/>
              <w:divId w:val="2144149668"/>
              <w:rPr>
                <w:rFonts w:eastAsia="Times New Roman"/>
              </w:rPr>
            </w:pPr>
            <w:r>
              <w:rPr>
                <w:rFonts w:ascii="Arial" w:eastAsia="Times New Roman" w:hAnsi="Arial" w:cs="Arial"/>
                <w:color w:val="000000"/>
                <w:sz w:val="16"/>
                <w:szCs w:val="16"/>
              </w:rPr>
              <w:t>Electricity and transmission revenues</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50 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50 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263853573"/>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63853573"/>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ind w:hanging="180"/>
              <w:divId w:val="855079604"/>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2,466 </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1,341 </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1,679 </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50 </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5,536 </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263853573"/>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7,389 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7,389 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63853573"/>
        </w:trPr>
        <w:tc>
          <w:tcPr>
            <w:tcW w:w="0" w:type="auto"/>
            <w:gridSpan w:val="3"/>
            <w:tcMar>
              <w:top w:w="30" w:type="dxa"/>
              <w:left w:w="20" w:type="dxa"/>
              <w:bottom w:w="30" w:type="dxa"/>
              <w:right w:w="20" w:type="dxa"/>
            </w:tcMar>
            <w:vAlign w:val="center"/>
            <w:hideMark/>
          </w:tcPr>
          <w:p w:rsidR="00000000" w:rsidRDefault="009E01B0">
            <w:pPr>
              <w:divId w:val="128283670"/>
              <w:rPr>
                <w:rFonts w:eastAsia="Times New Roman"/>
              </w:rPr>
            </w:pPr>
            <w:r>
              <w:rPr>
                <w:rFonts w:ascii="Arial" w:eastAsia="Times New Roman" w:hAnsi="Arial" w:cs="Arial"/>
                <w:color w:val="000000"/>
                <w:sz w:val="16"/>
                <w:szCs w:val="16"/>
              </w:rPr>
              <w:t>Other revenue</w:t>
            </w:r>
            <w:r>
              <w:rPr>
                <w:rFonts w:ascii="Arial" w:eastAsia="Times New Roman" w:hAnsi="Arial" w:cs="Arial"/>
                <w:color w:val="000000"/>
                <w:sz w:val="16"/>
                <w:szCs w:val="16"/>
              </w:rPr>
              <w:t>s</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(1,017)</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16 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103 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(7)</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(6)</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(912)</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63853573"/>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Intersegment revenues</w:t>
            </w: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85 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16 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(105)</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263853573"/>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6"/>
                <w:szCs w:val="16"/>
              </w:rPr>
              <w:t>Total revenues</w:t>
            </w: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1,534 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1,357 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1,682 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153 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7,398 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(111)</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12,013 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bl>
    <w:p w:rsidR="00000000" w:rsidRDefault="009E01B0">
      <w:pPr>
        <w:ind w:hanging="180"/>
        <w:divId w:val="1138958157"/>
        <w:rPr>
          <w:rFonts w:eastAsia="Times New Roman"/>
        </w:rPr>
      </w:pPr>
      <w:r>
        <w:rPr>
          <w:rFonts w:ascii="Arial" w:eastAsia="Times New Roman" w:hAnsi="Arial" w:cs="Arial"/>
          <w:i/>
          <w:iCs/>
          <w:color w:val="000000"/>
          <w:sz w:val="16"/>
          <w:szCs w:val="16"/>
        </w:rPr>
        <w:t xml:space="preserve">1 Includes mark-to-market gains/(losses) from our hedging program for the three months ended </w:t>
      </w:r>
      <w:r>
        <w:rPr>
          <w:rFonts w:ascii="Arial" w:eastAsia="Times New Roman" w:hAnsi="Arial" w:cs="Arial"/>
          <w:i/>
          <w:iCs/>
          <w:color w:val="000000"/>
          <w:sz w:val="16"/>
          <w:szCs w:val="16"/>
        </w:rPr>
        <w:t>March 31, 2021 and 2020 of $130 million gain and $1,106 million loss, respectively.</w:t>
      </w:r>
    </w:p>
    <w:p w:rsidR="00000000" w:rsidRDefault="009E01B0">
      <w:pPr>
        <w:ind w:hanging="180"/>
        <w:divId w:val="1406563960"/>
        <w:rPr>
          <w:rFonts w:eastAsia="Times New Roman"/>
        </w:rPr>
      </w:pPr>
      <w:r>
        <w:rPr>
          <w:rFonts w:ascii="Arial" w:eastAsia="Times New Roman" w:hAnsi="Arial" w:cs="Arial"/>
          <w:i/>
          <w:iCs/>
          <w:color w:val="000000"/>
          <w:sz w:val="16"/>
          <w:szCs w:val="16"/>
        </w:rPr>
        <w:t xml:space="preserve">2 </w:t>
      </w:r>
      <w:r>
        <w:rPr>
          <w:rFonts w:ascii="Arial" w:eastAsia="Times New Roman" w:hAnsi="Arial" w:cs="Arial"/>
          <w:i/>
          <w:iCs/>
          <w:color w:val="000000"/>
          <w:sz w:val="16"/>
          <w:szCs w:val="16"/>
        </w:rPr>
        <w:t>Includes revenues from lease contracts for the three months ended March 31, 2021 and 2020 of $159 million and $158 million, respectively.</w:t>
      </w:r>
    </w:p>
    <w:p w:rsidR="00000000" w:rsidRDefault="009E01B0">
      <w:pPr>
        <w:ind w:hanging="360"/>
        <w:jc w:val="both"/>
        <w:rPr>
          <w:rFonts w:eastAsia="Times New Roman"/>
        </w:rPr>
      </w:pPr>
    </w:p>
    <w:p w:rsidR="00000000" w:rsidRDefault="009E01B0">
      <w:pPr>
        <w:divId w:val="2035181175"/>
        <w:rPr>
          <w:rFonts w:eastAsia="Times New Roman"/>
        </w:rPr>
      </w:pPr>
      <w:r>
        <w:rPr>
          <w:rFonts w:ascii="Arial" w:eastAsia="Times New Roman" w:hAnsi="Arial" w:cs="Arial"/>
          <w:color w:val="000000"/>
          <w:sz w:val="20"/>
          <w:szCs w:val="20"/>
        </w:rPr>
        <w:t xml:space="preserve">We disaggregate revenues into categories which represent our principal performance obligations within each business </w:t>
      </w:r>
      <w:r>
        <w:rPr>
          <w:rFonts w:ascii="Arial" w:eastAsia="Times New Roman" w:hAnsi="Arial" w:cs="Arial"/>
          <w:color w:val="000000"/>
          <w:sz w:val="20"/>
          <w:szCs w:val="20"/>
        </w:rPr>
        <w:t xml:space="preserve">segment. These revenue categories represent the most significant revenue streams in each segment and consequently are considered to be the most relevant revenue information for management to consider in evaluating performance. </w:t>
      </w:r>
    </w:p>
    <w:p w:rsidR="00000000" w:rsidRDefault="009E01B0">
      <w:pPr>
        <w:divId w:val="397361555"/>
        <w:rPr>
          <w:rFonts w:eastAsia="Times New Roman"/>
        </w:rPr>
      </w:pPr>
      <w:r>
        <w:rPr>
          <w:rFonts w:ascii="Arial" w:eastAsia="Times New Roman" w:hAnsi="Arial" w:cs="Arial"/>
          <w:b/>
          <w:bCs/>
          <w:color w:val="000000"/>
          <w:sz w:val="20"/>
          <w:szCs w:val="20"/>
        </w:rPr>
        <w:t xml:space="preserve">Contract Balances </w:t>
      </w:r>
    </w:p>
    <w:tbl>
      <w:tblPr>
        <w:tblW w:w="4991" w:type="pct"/>
        <w:tblCellMar>
          <w:top w:w="15" w:type="dxa"/>
          <w:left w:w="15" w:type="dxa"/>
          <w:bottom w:w="15" w:type="dxa"/>
          <w:right w:w="15" w:type="dxa"/>
        </w:tblCellMar>
        <w:tblLook w:val="04A0" w:firstRow="1" w:lastRow="0" w:firstColumn="1" w:lastColumn="0" w:noHBand="0" w:noVBand="1"/>
      </w:tblPr>
      <w:tblGrid>
        <w:gridCol w:w="55"/>
        <w:gridCol w:w="4938"/>
        <w:gridCol w:w="37"/>
        <w:gridCol w:w="87"/>
        <w:gridCol w:w="1035"/>
        <w:gridCol w:w="36"/>
        <w:gridCol w:w="62"/>
        <w:gridCol w:w="953"/>
        <w:gridCol w:w="36"/>
        <w:gridCol w:w="67"/>
        <w:gridCol w:w="949"/>
        <w:gridCol w:w="36"/>
      </w:tblGrid>
      <w:tr w:rsidR="00000000">
        <w:trPr>
          <w:divId w:val="1648624481"/>
        </w:trPr>
        <w:tc>
          <w:tcPr>
            <w:tcW w:w="50" w:type="pct"/>
            <w:vAlign w:val="center"/>
            <w:hideMark/>
          </w:tcPr>
          <w:p w:rsidR="00000000" w:rsidRDefault="009E01B0">
            <w:pPr>
              <w:rPr>
                <w:rFonts w:eastAsia="Times New Roman"/>
              </w:rPr>
            </w:pPr>
          </w:p>
        </w:tc>
        <w:tc>
          <w:tcPr>
            <w:tcW w:w="2994"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9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9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9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648624481"/>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Contract Receivables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Contract Assets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Contract Liabilities</w:t>
            </w:r>
          </w:p>
        </w:tc>
      </w:tr>
      <w:tr w:rsidR="00000000">
        <w:trPr>
          <w:divId w:val="164862448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648624481"/>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Balance as at March 31, 2021</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2,120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214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1,724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648624481"/>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Balance as at December 31, 2020</w:t>
            </w:r>
          </w:p>
        </w:tc>
        <w:tc>
          <w:tcPr>
            <w:tcW w:w="0" w:type="auto"/>
            <w:gridSpan w:val="2"/>
            <w:tcBorders>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2,042 </w:t>
            </w:r>
          </w:p>
        </w:tc>
        <w:tc>
          <w:tcPr>
            <w:tcW w:w="0" w:type="auto"/>
            <w:tcBorders>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226 </w:t>
            </w:r>
          </w:p>
        </w:tc>
        <w:tc>
          <w:tcPr>
            <w:tcW w:w="0" w:type="auto"/>
            <w:tcBorders>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1,815 </w:t>
            </w:r>
          </w:p>
        </w:tc>
        <w:tc>
          <w:tcPr>
            <w:tcW w:w="0" w:type="auto"/>
            <w:tcBorders>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bl>
    <w:p w:rsidR="00000000" w:rsidRDefault="009E01B0">
      <w:pPr>
        <w:ind w:hanging="360"/>
        <w:jc w:val="both"/>
        <w:rPr>
          <w:rFonts w:eastAsia="Times New Roman"/>
        </w:rPr>
      </w:pPr>
    </w:p>
    <w:p w:rsidR="00000000" w:rsidRDefault="009E01B0">
      <w:pPr>
        <w:divId w:val="556017401"/>
        <w:rPr>
          <w:rFonts w:eastAsia="Times New Roman"/>
        </w:rPr>
      </w:pPr>
      <w:r>
        <w:rPr>
          <w:rFonts w:ascii="Arial" w:eastAsia="Times New Roman" w:hAnsi="Arial" w:cs="Arial"/>
          <w:color w:val="000000"/>
          <w:sz w:val="20"/>
          <w:szCs w:val="20"/>
        </w:rPr>
        <w:t xml:space="preserve">Contract receivables represent the amount of receivables derived from contracts with customers. </w:t>
      </w:r>
    </w:p>
    <w:p w:rsidR="00000000" w:rsidRDefault="009E01B0">
      <w:pPr>
        <w:divId w:val="590238655"/>
        <w:rPr>
          <w:rFonts w:eastAsia="Times New Roman"/>
        </w:rPr>
      </w:pPr>
    </w:p>
    <w:p w:rsidR="00000000" w:rsidRDefault="009E01B0">
      <w:pPr>
        <w:divId w:val="1456482629"/>
        <w:rPr>
          <w:rFonts w:eastAsia="Times New Roman"/>
        </w:rPr>
      </w:pPr>
      <w:r>
        <w:rPr>
          <w:rFonts w:ascii="Arial" w:eastAsia="Times New Roman" w:hAnsi="Arial" w:cs="Arial"/>
          <w:color w:val="000000"/>
          <w:sz w:val="20"/>
          <w:szCs w:val="20"/>
        </w:rPr>
        <w:t xml:space="preserve">Contract assets represent the amount of revenues which has been recognized in advance of payments received for performance obligations we have fulfilled (or </w:t>
      </w:r>
      <w:r>
        <w:rPr>
          <w:rFonts w:ascii="Arial" w:eastAsia="Times New Roman" w:hAnsi="Arial" w:cs="Arial"/>
          <w:color w:val="000000"/>
          <w:sz w:val="20"/>
          <w:szCs w:val="20"/>
        </w:rPr>
        <w:t xml:space="preserve">partially fulfilled) and prior to the point in time at which our right to payment is unconditional. Amounts included in contract assets are transferred to accounts receivable when our right to receive the consideration becomes unconditional. </w:t>
      </w:r>
    </w:p>
    <w:p w:rsidR="00000000" w:rsidRDefault="009E01B0">
      <w:pPr>
        <w:divId w:val="1491097101"/>
        <w:rPr>
          <w:rFonts w:eastAsia="Times New Roman"/>
        </w:rPr>
      </w:pPr>
    </w:p>
    <w:p w:rsidR="00000000" w:rsidRDefault="009E01B0">
      <w:pPr>
        <w:divId w:val="1147208817"/>
        <w:rPr>
          <w:rFonts w:eastAsia="Times New Roman"/>
        </w:rPr>
      </w:pPr>
      <w:r>
        <w:rPr>
          <w:rFonts w:ascii="Arial" w:eastAsia="Times New Roman" w:hAnsi="Arial" w:cs="Arial"/>
          <w:color w:val="000000"/>
          <w:sz w:val="20"/>
          <w:szCs w:val="20"/>
        </w:rPr>
        <w:t>Contract li</w:t>
      </w:r>
      <w:r>
        <w:rPr>
          <w:rFonts w:ascii="Arial" w:eastAsia="Times New Roman" w:hAnsi="Arial" w:cs="Arial"/>
          <w:color w:val="000000"/>
          <w:sz w:val="20"/>
          <w:szCs w:val="20"/>
        </w:rPr>
        <w:t>abilities represent payments received for performance obligations which have not been fulfilled. Contract liabilities primarily relate to make-up rights and deferred revenues. Revenue recognized during the three months ended March 31, 2021 included in cont</w:t>
      </w:r>
      <w:r>
        <w:rPr>
          <w:rFonts w:ascii="Arial" w:eastAsia="Times New Roman" w:hAnsi="Arial" w:cs="Arial"/>
          <w:color w:val="000000"/>
          <w:sz w:val="20"/>
          <w:szCs w:val="20"/>
        </w:rPr>
        <w:t>ract liabilities at the beginning of the period was $145 million. Increases in contract liabilities from cash received, net of amounts recognized as revenues during the three months ended March 31, 2021 were $69 million.</w:t>
      </w:r>
    </w:p>
    <w:p w:rsidR="00000000" w:rsidRDefault="009E01B0">
      <w:pPr>
        <w:divId w:val="1993673564"/>
        <w:rPr>
          <w:rFonts w:eastAsia="Times New Roman"/>
        </w:rPr>
      </w:pPr>
      <w:r>
        <w:rPr>
          <w:rFonts w:ascii="Arial" w:eastAsia="Times New Roman" w:hAnsi="Arial" w:cs="Arial"/>
          <w:b/>
          <w:bCs/>
          <w:color w:val="000000"/>
          <w:sz w:val="20"/>
          <w:szCs w:val="20"/>
        </w:rPr>
        <w:t xml:space="preserve">Performance Obligations </w:t>
      </w:r>
    </w:p>
    <w:p w:rsidR="00000000" w:rsidRDefault="009E01B0">
      <w:pPr>
        <w:divId w:val="1388065237"/>
        <w:rPr>
          <w:rFonts w:eastAsia="Times New Roman"/>
        </w:rPr>
      </w:pPr>
      <w:r>
        <w:rPr>
          <w:rFonts w:ascii="Arial" w:eastAsia="Times New Roman" w:hAnsi="Arial" w:cs="Arial"/>
          <w:color w:val="000000"/>
          <w:sz w:val="20"/>
          <w:szCs w:val="20"/>
        </w:rPr>
        <w:t>There were</w:t>
      </w:r>
      <w:r>
        <w:rPr>
          <w:rFonts w:ascii="Arial" w:eastAsia="Times New Roman" w:hAnsi="Arial" w:cs="Arial"/>
          <w:color w:val="000000"/>
          <w:sz w:val="20"/>
          <w:szCs w:val="20"/>
        </w:rPr>
        <w:t xml:space="preserve"> no material revenues recognized in the three months ended March 31, 2021 from performance obligations satisfied in previous periods. </w:t>
      </w:r>
    </w:p>
    <w:p w:rsidR="00000000" w:rsidRDefault="009E01B0">
      <w:pPr>
        <w:divId w:val="1587113043"/>
        <w:rPr>
          <w:rFonts w:eastAsia="Times New Roman"/>
        </w:rPr>
      </w:pPr>
    </w:p>
    <w:p w:rsidR="00000000" w:rsidRDefault="009E01B0">
      <w:pPr>
        <w:jc w:val="center"/>
        <w:divId w:val="1333993072"/>
        <w:rPr>
          <w:rFonts w:eastAsia="Times New Roman"/>
        </w:rPr>
      </w:pPr>
      <w:r>
        <w:rPr>
          <w:rFonts w:ascii="Arial" w:eastAsia="Times New Roman" w:hAnsi="Arial" w:cs="Arial"/>
          <w:color w:val="000000"/>
          <w:sz w:val="20"/>
          <w:szCs w:val="20"/>
        </w:rPr>
        <w:t>13</w:t>
      </w:r>
    </w:p>
    <w:p w:rsidR="00000000" w:rsidRDefault="009E01B0">
      <w:pPr>
        <w:rPr>
          <w:rFonts w:eastAsia="Times New Roman"/>
        </w:rPr>
      </w:pPr>
      <w:r>
        <w:rPr>
          <w:rFonts w:eastAsia="Times New Roman"/>
        </w:rPr>
        <w:pict>
          <v:rect id="_x0000_i1038" style="width:0;height:1.5pt" o:hralign="center" o:hrstd="t" o:hr="t" fillcolor="#a0a0a0" stroked="f"/>
        </w:pict>
      </w:r>
    </w:p>
    <w:p w:rsidR="00000000" w:rsidRDefault="009E01B0">
      <w:pPr>
        <w:jc w:val="center"/>
        <w:divId w:val="659038767"/>
        <w:rPr>
          <w:rFonts w:eastAsia="Times New Roman"/>
        </w:rPr>
      </w:pPr>
    </w:p>
    <w:p w:rsidR="00000000" w:rsidRDefault="009E01B0">
      <w:pPr>
        <w:jc w:val="center"/>
        <w:divId w:val="659038767"/>
        <w:rPr>
          <w:rFonts w:eastAsia="Times New Roman"/>
        </w:rPr>
      </w:pPr>
    </w:p>
    <w:p w:rsidR="00000000" w:rsidRDefault="009E01B0">
      <w:pPr>
        <w:divId w:val="1836411269"/>
        <w:rPr>
          <w:rFonts w:eastAsia="Times New Roman"/>
        </w:rPr>
      </w:pPr>
      <w:r>
        <w:rPr>
          <w:rFonts w:ascii="Arial" w:eastAsia="Times New Roman" w:hAnsi="Arial" w:cs="Arial"/>
          <w:b/>
          <w:bCs/>
          <w:color w:val="000000"/>
          <w:sz w:val="20"/>
          <w:szCs w:val="20"/>
        </w:rPr>
        <w:t>Revenues to be Recognized from Unfulfilled Performance Obligations</w:t>
      </w:r>
    </w:p>
    <w:p w:rsidR="00000000" w:rsidRDefault="009E01B0">
      <w:pPr>
        <w:divId w:val="1097334947"/>
        <w:rPr>
          <w:rFonts w:eastAsia="Times New Roman"/>
        </w:rPr>
      </w:pPr>
      <w:r>
        <w:rPr>
          <w:rFonts w:ascii="Arial" w:eastAsia="Times New Roman" w:hAnsi="Arial" w:cs="Arial"/>
          <w:color w:val="000000"/>
          <w:sz w:val="20"/>
          <w:szCs w:val="20"/>
        </w:rPr>
        <w:t>Total revenues from performance obligations expected to be fulfilled in future periods is $57.4 billion, of which $5.0 billion and $5.7 billion is ex</w:t>
      </w:r>
      <w:r>
        <w:rPr>
          <w:rFonts w:ascii="Arial" w:eastAsia="Times New Roman" w:hAnsi="Arial" w:cs="Arial"/>
          <w:color w:val="000000"/>
          <w:sz w:val="20"/>
          <w:szCs w:val="20"/>
        </w:rPr>
        <w:t>pected to be recognized during the nine months ending December 31, 2021 and the year ending December 31, 2022, respectively.</w:t>
      </w:r>
    </w:p>
    <w:p w:rsidR="00000000" w:rsidRDefault="009E01B0">
      <w:pPr>
        <w:jc w:val="both"/>
        <w:rPr>
          <w:rFonts w:eastAsia="Times New Roman"/>
        </w:rPr>
      </w:pPr>
    </w:p>
    <w:p w:rsidR="00000000" w:rsidRDefault="009E01B0">
      <w:pPr>
        <w:divId w:val="26681916"/>
        <w:rPr>
          <w:rFonts w:eastAsia="Times New Roman"/>
        </w:rPr>
      </w:pPr>
      <w:r>
        <w:rPr>
          <w:rFonts w:ascii="Arial" w:eastAsia="Times New Roman" w:hAnsi="Arial" w:cs="Arial"/>
          <w:color w:val="000000"/>
          <w:sz w:val="20"/>
          <w:szCs w:val="20"/>
        </w:rPr>
        <w:t xml:space="preserve">The revenues excluded from the amounts above based on optional exemptions available under ASC 606, as explained below, represent </w:t>
      </w:r>
      <w:r>
        <w:rPr>
          <w:rFonts w:ascii="Arial" w:eastAsia="Times New Roman" w:hAnsi="Arial" w:cs="Arial"/>
          <w:color w:val="000000"/>
          <w:sz w:val="20"/>
          <w:szCs w:val="20"/>
        </w:rPr>
        <w:t>a significant portion of our overall revenues and revenue from contracts with customers. Certain revenues such as flow-through operating costs charged to shippers are recognized at the amount for which we have the right to invoice our customers and are exc</w:t>
      </w:r>
      <w:r>
        <w:rPr>
          <w:rFonts w:ascii="Arial" w:eastAsia="Times New Roman" w:hAnsi="Arial" w:cs="Arial"/>
          <w:color w:val="000000"/>
          <w:sz w:val="20"/>
          <w:szCs w:val="20"/>
        </w:rPr>
        <w:t>luded from the amounts for revenues to be recognized in the future from unfulfilled performance obligations above. Variable consideration is excluded from the amounts above due to the uncertainty of the associated consideration, which is generally resolved</w:t>
      </w:r>
      <w:r>
        <w:rPr>
          <w:rFonts w:ascii="Arial" w:eastAsia="Times New Roman" w:hAnsi="Arial" w:cs="Arial"/>
          <w:color w:val="000000"/>
          <w:sz w:val="20"/>
          <w:szCs w:val="20"/>
        </w:rPr>
        <w:t xml:space="preserve"> when actual volumes and prices are determined. For example, we consider interruptible transportation service revenues to be variable revenues since volumes cannot be estimated. Additionally, the effect of escalation on certain tolls which are contractuall</w:t>
      </w:r>
      <w:r>
        <w:rPr>
          <w:rFonts w:ascii="Arial" w:eastAsia="Times New Roman" w:hAnsi="Arial" w:cs="Arial"/>
          <w:color w:val="000000"/>
          <w:sz w:val="20"/>
          <w:szCs w:val="20"/>
        </w:rPr>
        <w:t>y escalated for inflation has not been reflected in the amounts above as it is not possible to reliably estimate future inflation rates. Revenues for periods extending beyond the current rate settlement term for regulated contracts where the tolls are peri</w:t>
      </w:r>
      <w:r>
        <w:rPr>
          <w:rFonts w:ascii="Arial" w:eastAsia="Times New Roman" w:hAnsi="Arial" w:cs="Arial"/>
          <w:color w:val="000000"/>
          <w:sz w:val="20"/>
          <w:szCs w:val="20"/>
        </w:rPr>
        <w:t xml:space="preserve">odically reset by the regulator are excluded from the amounts above since future tolls remain unknown. Finally, revenue from contracts with customers which have an original expected duration of one year or less are excluded from the amounts above. </w:t>
      </w:r>
    </w:p>
    <w:p w:rsidR="00000000" w:rsidRDefault="009E01B0">
      <w:pPr>
        <w:divId w:val="1713916707"/>
        <w:rPr>
          <w:rFonts w:eastAsia="Times New Roman"/>
        </w:rPr>
      </w:pPr>
    </w:p>
    <w:p w:rsidR="00000000" w:rsidRDefault="009E01B0">
      <w:pPr>
        <w:divId w:val="733747380"/>
        <w:rPr>
          <w:rFonts w:eastAsia="Times New Roman"/>
        </w:rPr>
      </w:pPr>
      <w:r>
        <w:rPr>
          <w:rFonts w:ascii="Arial" w:eastAsia="Times New Roman" w:hAnsi="Arial" w:cs="Arial"/>
          <w:b/>
          <w:bCs/>
          <w:color w:val="000000"/>
          <w:sz w:val="20"/>
          <w:szCs w:val="20"/>
        </w:rPr>
        <w:t>Recog</w:t>
      </w:r>
      <w:r>
        <w:rPr>
          <w:rFonts w:ascii="Arial" w:eastAsia="Times New Roman" w:hAnsi="Arial" w:cs="Arial"/>
          <w:b/>
          <w:bCs/>
          <w:color w:val="000000"/>
          <w:sz w:val="20"/>
          <w:szCs w:val="20"/>
        </w:rPr>
        <w:t>nition and Measurement of Revenues</w:t>
      </w:r>
    </w:p>
    <w:tbl>
      <w:tblPr>
        <w:tblW w:w="5000" w:type="pct"/>
        <w:tblCellMar>
          <w:top w:w="15" w:type="dxa"/>
          <w:left w:w="15" w:type="dxa"/>
          <w:bottom w:w="15" w:type="dxa"/>
          <w:right w:w="15" w:type="dxa"/>
        </w:tblCellMar>
        <w:tblLook w:val="04A0" w:firstRow="1" w:lastRow="0" w:firstColumn="1" w:lastColumn="0" w:noHBand="0" w:noVBand="1"/>
      </w:tblPr>
      <w:tblGrid>
        <w:gridCol w:w="49"/>
        <w:gridCol w:w="3466"/>
        <w:gridCol w:w="37"/>
        <w:gridCol w:w="64"/>
        <w:gridCol w:w="756"/>
        <w:gridCol w:w="36"/>
        <w:gridCol w:w="87"/>
        <w:gridCol w:w="897"/>
        <w:gridCol w:w="36"/>
        <w:gridCol w:w="78"/>
        <w:gridCol w:w="756"/>
        <w:gridCol w:w="36"/>
        <w:gridCol w:w="74"/>
        <w:gridCol w:w="788"/>
        <w:gridCol w:w="36"/>
        <w:gridCol w:w="36"/>
        <w:gridCol w:w="36"/>
        <w:gridCol w:w="36"/>
        <w:gridCol w:w="86"/>
        <w:gridCol w:w="880"/>
        <w:gridCol w:w="36"/>
      </w:tblGrid>
      <w:tr w:rsidR="00000000">
        <w:trPr>
          <w:divId w:val="1695499126"/>
        </w:trPr>
        <w:tc>
          <w:tcPr>
            <w:tcW w:w="50" w:type="pct"/>
            <w:vAlign w:val="center"/>
            <w:hideMark/>
          </w:tcPr>
          <w:p w:rsidR="00000000" w:rsidRDefault="009E01B0">
            <w:pPr>
              <w:rPr>
                <w:rFonts w:eastAsia="Times New Roman"/>
              </w:rPr>
            </w:pPr>
          </w:p>
        </w:tc>
        <w:tc>
          <w:tcPr>
            <w:tcW w:w="2132"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8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8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14"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695499126"/>
          <w:trHeight w:val="600"/>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9E01B0">
            <w:pPr>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Consolidated</w:t>
            </w:r>
          </w:p>
        </w:tc>
      </w:tr>
      <w:tr w:rsidR="00000000">
        <w:trPr>
          <w:divId w:val="1695499126"/>
          <w:trHeight w:val="400"/>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March 31, 2021</w:t>
            </w: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Merge/>
            <w:vAlign w:val="center"/>
            <w:hideMark/>
          </w:tcPr>
          <w:p w:rsidR="00000000" w:rsidRDefault="009E01B0">
            <w:pPr>
              <w:rPr>
                <w:rFonts w:eastAsia="Times New Roman"/>
              </w:rPr>
            </w:pPr>
          </w:p>
        </w:tc>
      </w:tr>
      <w:tr w:rsidR="00000000">
        <w:trPr>
          <w:divId w:val="169549912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vAlign w:val="center"/>
            <w:hideMark/>
          </w:tcPr>
          <w:p w:rsidR="00000000" w:rsidRDefault="009E01B0">
            <w:pPr>
              <w:jc w:val="right"/>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695499126"/>
        </w:trPr>
        <w:tc>
          <w:tcPr>
            <w:tcW w:w="0" w:type="auto"/>
            <w:gridSpan w:val="3"/>
            <w:tcMar>
              <w:top w:w="30" w:type="dxa"/>
              <w:left w:w="20" w:type="dxa"/>
              <w:bottom w:w="30" w:type="dxa"/>
              <w:right w:w="20" w:type="dxa"/>
            </w:tcMar>
            <w:vAlign w:val="center"/>
            <w:hideMark/>
          </w:tcPr>
          <w:p w:rsidR="00000000" w:rsidRDefault="009E01B0">
            <w:pPr>
              <w:ind w:hanging="180"/>
              <w:divId w:val="824972422"/>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695499126"/>
        </w:trPr>
        <w:tc>
          <w:tcPr>
            <w:tcW w:w="0" w:type="auto"/>
            <w:gridSpan w:val="3"/>
            <w:tcMar>
              <w:top w:w="30" w:type="dxa"/>
              <w:left w:w="20" w:type="dxa"/>
              <w:bottom w:w="30" w:type="dxa"/>
              <w:right w:w="20" w:type="dxa"/>
            </w:tcMar>
            <w:vAlign w:val="center"/>
            <w:hideMark/>
          </w:tcPr>
          <w:p w:rsidR="00000000" w:rsidRDefault="009E01B0">
            <w:pPr>
              <w:ind w:hanging="180"/>
              <w:divId w:val="1934775187"/>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2,355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1,202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1,791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76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5,424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695499126"/>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9E01B0">
            <w:pPr>
              <w:ind w:hanging="180"/>
              <w:divId w:val="1187059733"/>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2,355</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1,202</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1,808</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76</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vAlign w:val="center"/>
            <w:hideMark/>
          </w:tcPr>
          <w:p w:rsidR="00000000" w:rsidRDefault="009E01B0">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5,441</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bl>
    <w:p w:rsidR="00000000" w:rsidRDefault="009E01B0">
      <w:pPr>
        <w:divId w:val="65302971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3"/>
        <w:gridCol w:w="3470"/>
        <w:gridCol w:w="37"/>
        <w:gridCol w:w="65"/>
        <w:gridCol w:w="749"/>
        <w:gridCol w:w="36"/>
        <w:gridCol w:w="87"/>
        <w:gridCol w:w="897"/>
        <w:gridCol w:w="36"/>
        <w:gridCol w:w="78"/>
        <w:gridCol w:w="756"/>
        <w:gridCol w:w="36"/>
        <w:gridCol w:w="75"/>
        <w:gridCol w:w="785"/>
        <w:gridCol w:w="36"/>
        <w:gridCol w:w="36"/>
        <w:gridCol w:w="36"/>
        <w:gridCol w:w="36"/>
        <w:gridCol w:w="84"/>
        <w:gridCol w:w="882"/>
        <w:gridCol w:w="36"/>
      </w:tblGrid>
      <w:tr w:rsidR="00000000">
        <w:trPr>
          <w:divId w:val="1985965442"/>
        </w:trPr>
        <w:tc>
          <w:tcPr>
            <w:tcW w:w="50" w:type="pct"/>
            <w:vAlign w:val="center"/>
            <w:hideMark/>
          </w:tcPr>
          <w:p w:rsidR="00000000" w:rsidRDefault="009E01B0">
            <w:pPr>
              <w:rPr>
                <w:rFonts w:eastAsia="Times New Roman"/>
              </w:rPr>
            </w:pPr>
          </w:p>
        </w:tc>
        <w:tc>
          <w:tcPr>
            <w:tcW w:w="2132"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8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8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1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30"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985965442"/>
          <w:trHeight w:val="360"/>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9E01B0">
            <w:pPr>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Consolidated</w:t>
            </w:r>
          </w:p>
        </w:tc>
      </w:tr>
      <w:tr w:rsidR="00000000">
        <w:trPr>
          <w:divId w:val="1985965442"/>
          <w:trHeight w:val="420"/>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March 31, 2020</w:t>
            </w: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Merge/>
            <w:vAlign w:val="center"/>
            <w:hideMark/>
          </w:tcPr>
          <w:p w:rsidR="00000000" w:rsidRDefault="009E01B0">
            <w:pPr>
              <w:rPr>
                <w:rFonts w:eastAsia="Times New Roman"/>
              </w:rPr>
            </w:pPr>
          </w:p>
        </w:tc>
      </w:tr>
      <w:tr w:rsidR="00000000">
        <w:trPr>
          <w:divId w:val="198596544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985965442"/>
        </w:trPr>
        <w:tc>
          <w:tcPr>
            <w:tcW w:w="0" w:type="auto"/>
            <w:gridSpan w:val="3"/>
            <w:tcMar>
              <w:top w:w="30" w:type="dxa"/>
              <w:left w:w="20" w:type="dxa"/>
              <w:bottom w:w="30" w:type="dxa"/>
              <w:right w:w="20" w:type="dxa"/>
            </w:tcMar>
            <w:vAlign w:val="center"/>
            <w:hideMark/>
          </w:tcPr>
          <w:p w:rsidR="00000000" w:rsidRDefault="009E01B0">
            <w:pPr>
              <w:ind w:hanging="180"/>
              <w:divId w:val="1487940806"/>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985965442"/>
        </w:trPr>
        <w:tc>
          <w:tcPr>
            <w:tcW w:w="0" w:type="auto"/>
            <w:gridSpan w:val="3"/>
            <w:tcMar>
              <w:top w:w="30" w:type="dxa"/>
              <w:left w:w="20" w:type="dxa"/>
              <w:bottom w:w="30" w:type="dxa"/>
              <w:right w:w="20" w:type="dxa"/>
            </w:tcMar>
            <w:vAlign w:val="center"/>
            <w:hideMark/>
          </w:tcPr>
          <w:p w:rsidR="00000000" w:rsidRDefault="009E01B0">
            <w:pPr>
              <w:ind w:hanging="180"/>
              <w:divId w:val="1089735318"/>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2,466 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1,341 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1,664 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50 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5,521 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985965442"/>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9E01B0">
            <w:pPr>
              <w:ind w:hanging="180"/>
              <w:divId w:val="538972420"/>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2,466 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1,341 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1,679 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50 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vAlign w:val="center"/>
            <w:hideMark/>
          </w:tcPr>
          <w:p w:rsidR="00000000" w:rsidRDefault="009E01B0">
            <w:pPr>
              <w:jc w:val="right"/>
              <w:rPr>
                <w:rFonts w:eastAsia="Times New Roman"/>
                <w:sz w:val="20"/>
                <w:szCs w:val="20"/>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5,536 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r>
    </w:tbl>
    <w:p w:rsidR="00000000" w:rsidRDefault="009E01B0">
      <w:pPr>
        <w:ind w:hanging="180"/>
        <w:divId w:val="1143235304"/>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Includes revenues from crude oil and natural gas pipeline transportation, storage, natural gas gathering, compression and treating, natural gas distribution, natural gas storage services and electricity sales.</w:t>
      </w:r>
    </w:p>
    <w:p w:rsidR="00000000" w:rsidRDefault="009E01B0">
      <w:pPr>
        <w:jc w:val="center"/>
        <w:divId w:val="349917305"/>
        <w:rPr>
          <w:rFonts w:eastAsia="Times New Roman"/>
        </w:rPr>
      </w:pPr>
      <w:r>
        <w:rPr>
          <w:rFonts w:ascii="Arial" w:eastAsia="Times New Roman" w:hAnsi="Arial" w:cs="Arial"/>
          <w:color w:val="000000"/>
          <w:sz w:val="20"/>
          <w:szCs w:val="20"/>
        </w:rPr>
        <w:t>14</w:t>
      </w:r>
    </w:p>
    <w:p w:rsidR="00000000" w:rsidRDefault="009E01B0">
      <w:pPr>
        <w:rPr>
          <w:rFonts w:eastAsia="Times New Roman"/>
        </w:rPr>
      </w:pPr>
      <w:r>
        <w:rPr>
          <w:rFonts w:eastAsia="Times New Roman"/>
        </w:rPr>
        <w:pict>
          <v:rect id="_x0000_i1039" style="width:0;height:1.5pt" o:hralign="center" o:hrstd="t" o:hr="t" fillcolor="#a0a0a0" stroked="f"/>
        </w:pict>
      </w:r>
    </w:p>
    <w:p w:rsidR="00000000" w:rsidRDefault="009E01B0">
      <w:pPr>
        <w:jc w:val="center"/>
        <w:divId w:val="852761996"/>
        <w:rPr>
          <w:rFonts w:eastAsia="Times New Roman"/>
        </w:rPr>
      </w:pPr>
    </w:p>
    <w:p w:rsidR="00000000" w:rsidRDefault="009E01B0">
      <w:pPr>
        <w:jc w:val="center"/>
        <w:divId w:val="852761996"/>
        <w:rPr>
          <w:rFonts w:eastAsia="Times New Roman"/>
        </w:rPr>
      </w:pPr>
    </w:p>
    <w:p w:rsidR="00000000" w:rsidRDefault="009E01B0">
      <w:pPr>
        <w:divId w:val="218053702"/>
        <w:rPr>
          <w:rFonts w:eastAsia="Times New Roman"/>
        </w:rPr>
      </w:pPr>
      <w:r>
        <w:rPr>
          <w:rFonts w:ascii="Arial" w:eastAsia="Times New Roman" w:hAnsi="Arial" w:cs="Arial"/>
          <w:b/>
          <w:bCs/>
          <w:color w:val="000000"/>
          <w:sz w:val="26"/>
          <w:szCs w:val="26"/>
        </w:rPr>
        <w:t>4.</w:t>
      </w:r>
      <w:r>
        <w:rPr>
          <w:rFonts w:ascii="Arial" w:eastAsia="Times New Roman" w:hAnsi="Arial" w:cs="Arial"/>
          <w:b/>
          <w:bCs/>
          <w:color w:val="000000"/>
          <w:sz w:val="26"/>
          <w:szCs w:val="26"/>
        </w:rPr>
        <w:t xml:space="preserve"> SEGMENTED INFORMATION</w:t>
      </w:r>
      <w:r>
        <w:rPr>
          <w:rFonts w:ascii="Arial" w:eastAsia="Times New Roman" w:hAnsi="Arial" w:cs="Arial"/>
          <w:color w:val="000000"/>
          <w:sz w:val="26"/>
          <w:szCs w:val="26"/>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2124"/>
        <w:gridCol w:w="41"/>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765150908"/>
          <w:jc w:val="center"/>
        </w:trPr>
        <w:tc>
          <w:tcPr>
            <w:tcW w:w="50" w:type="pct"/>
            <w:vAlign w:val="center"/>
            <w:hideMark/>
          </w:tcPr>
          <w:p w:rsidR="00000000" w:rsidRDefault="009E01B0">
            <w:pPr>
              <w:rPr>
                <w:rFonts w:eastAsia="Times New Roman"/>
              </w:rPr>
            </w:pPr>
          </w:p>
        </w:tc>
        <w:tc>
          <w:tcPr>
            <w:tcW w:w="131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6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4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4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6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8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1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765150908"/>
          <w:trHeight w:val="600"/>
          <w:jc w:val="center"/>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Consolidated</w:t>
            </w:r>
          </w:p>
        </w:tc>
      </w:tr>
      <w:tr w:rsidR="00000000">
        <w:trPr>
          <w:divId w:val="1765150908"/>
          <w:trHeight w:val="400"/>
          <w:jc w:val="center"/>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March 31, 2021</w:t>
            </w: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r>
      <w:tr w:rsidR="00000000">
        <w:trPr>
          <w:divId w:val="1765150908"/>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r>
      <w:tr w:rsidR="00000000">
        <w:trPr>
          <w:divId w:val="1765150908"/>
          <w:jc w:val="center"/>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Revenues</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2,699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1,214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1,823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6,433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(149)</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12,187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765150908"/>
          <w:jc w:val="center"/>
        </w:trPr>
        <w:tc>
          <w:tcPr>
            <w:tcW w:w="0" w:type="auto"/>
            <w:gridSpan w:val="3"/>
            <w:tcMar>
              <w:top w:w="30" w:type="dxa"/>
              <w:left w:w="20" w:type="dxa"/>
              <w:bottom w:w="30" w:type="dxa"/>
              <w:right w:w="20" w:type="dxa"/>
            </w:tcMar>
            <w:vAlign w:val="bottom"/>
            <w:hideMark/>
          </w:tcPr>
          <w:p w:rsidR="00000000" w:rsidRDefault="009E01B0">
            <w:pPr>
              <w:ind w:hanging="180"/>
              <w:divId w:val="1361510768"/>
              <w:rPr>
                <w:rFonts w:eastAsia="Times New Roman"/>
              </w:rPr>
            </w:pPr>
            <w:r>
              <w:rPr>
                <w:rFonts w:ascii="Arial" w:eastAsia="Times New Roman" w:hAnsi="Arial" w:cs="Arial"/>
                <w:color w:val="000000"/>
                <w:sz w:val="16"/>
                <w:szCs w:val="16"/>
              </w:rPr>
              <w:t>Commodity and gas distribution costs</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(958)</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(6,353)</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(7,148)</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765150908"/>
          <w:jc w:val="center"/>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Operating and administrative</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(819)</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(434)</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(272)</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(43)</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(14)</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(1,559)</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765150908"/>
          <w:jc w:val="center"/>
        </w:trPr>
        <w:tc>
          <w:tcPr>
            <w:tcW w:w="0" w:type="auto"/>
            <w:gridSpan w:val="3"/>
            <w:tcMar>
              <w:top w:w="30" w:type="dxa"/>
              <w:left w:w="200" w:type="dxa"/>
              <w:bottom w:w="30" w:type="dxa"/>
              <w:right w:w="20" w:type="dxa"/>
            </w:tcMar>
            <w:vAlign w:val="bottom"/>
            <w:hideMark/>
          </w:tcPr>
          <w:p w:rsidR="00000000" w:rsidRDefault="009E01B0">
            <w:pPr>
              <w:ind w:hanging="180"/>
              <w:rPr>
                <w:rFonts w:eastAsia="Times New Roman"/>
              </w:rPr>
            </w:pPr>
            <w:r>
              <w:rPr>
                <w:rFonts w:ascii="Arial" w:eastAsia="Times New Roman" w:hAnsi="Arial" w:cs="Arial"/>
                <w:color w:val="000000"/>
                <w:sz w:val="16"/>
                <w:szCs w:val="16"/>
              </w:rPr>
              <w:t>Income from equity investments</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182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395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765150908"/>
          <w:jc w:val="center"/>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765150908"/>
          <w:jc w:val="center"/>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Other income/(expense)</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765150908"/>
          <w:jc w:val="center"/>
        </w:trPr>
        <w:tc>
          <w:tcPr>
            <w:tcW w:w="0" w:type="auto"/>
            <w:gridSpan w:val="3"/>
            <w:tcBorders>
              <w:top w:val="single" w:sz="8" w:space="0" w:color="000000"/>
            </w:tcBorders>
            <w:tcMar>
              <w:top w:w="30" w:type="dxa"/>
              <w:left w:w="200" w:type="dxa"/>
              <w:bottom w:w="30" w:type="dxa"/>
              <w:right w:w="20" w:type="dxa"/>
            </w:tcMar>
            <w:vAlign w:val="bottom"/>
            <w:hideMark/>
          </w:tcPr>
          <w:p w:rsidR="00000000" w:rsidRDefault="009E01B0">
            <w:pPr>
              <w:ind w:hanging="180"/>
              <w:rPr>
                <w:rFonts w:eastAsia="Times New Roman"/>
              </w:rPr>
            </w:pPr>
            <w:r>
              <w:rPr>
                <w:rFonts w:ascii="Arial" w:eastAsia="Times New Roman" w:hAnsi="Arial" w:cs="Arial"/>
                <w:color w:val="000000"/>
                <w:sz w:val="16"/>
                <w:szCs w:val="16"/>
              </w:rPr>
              <w:t>Earnings before interest, income taxes, and depreciation and amortization</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2,039</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973</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634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156</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64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220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4,086</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765150908"/>
          <w:jc w:val="center"/>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(932)</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765150908"/>
          <w:jc w:val="center"/>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Interest expense</w:t>
            </w:r>
          </w:p>
        </w:tc>
        <w:tc>
          <w:tcPr>
            <w:tcW w:w="0" w:type="auto"/>
            <w:gridSpan w:val="3"/>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(657)</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765150908"/>
          <w:jc w:val="center"/>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Income tax expense</w:t>
            </w:r>
          </w:p>
        </w:tc>
        <w:tc>
          <w:tcPr>
            <w:tcW w:w="0" w:type="auto"/>
            <w:gridSpan w:val="3"/>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(483)</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765150908"/>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Earnings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 </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2,014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765150908"/>
          <w:jc w:val="center"/>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9E01B0">
            <w:pPr>
              <w:divId w:val="582958735"/>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1,195</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482</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219</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1,913</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181"/>
        <w:gridCol w:w="144"/>
        <w:gridCol w:w="144"/>
        <w:gridCol w:w="599"/>
        <w:gridCol w:w="144"/>
        <w:gridCol w:w="144"/>
        <w:gridCol w:w="905"/>
        <w:gridCol w:w="144"/>
        <w:gridCol w:w="144"/>
        <w:gridCol w:w="745"/>
        <w:gridCol w:w="144"/>
        <w:gridCol w:w="144"/>
        <w:gridCol w:w="878"/>
        <w:gridCol w:w="144"/>
        <w:gridCol w:w="144"/>
        <w:gridCol w:w="612"/>
        <w:gridCol w:w="144"/>
        <w:gridCol w:w="144"/>
        <w:gridCol w:w="799"/>
        <w:gridCol w:w="144"/>
        <w:gridCol w:w="144"/>
        <w:gridCol w:w="852"/>
        <w:gridCol w:w="144"/>
      </w:tblGrid>
      <w:tr w:rsidR="00000000">
        <w:trPr>
          <w:jc w:val="center"/>
        </w:trPr>
        <w:tc>
          <w:tcPr>
            <w:tcW w:w="50" w:type="pct"/>
            <w:vAlign w:val="center"/>
            <w:hideMark/>
          </w:tcPr>
          <w:p w:rsidR="00000000" w:rsidRDefault="009E01B0">
            <w:pPr>
              <w:jc w:val="center"/>
              <w:rPr>
                <w:rFonts w:eastAsia="Times New Roman"/>
              </w:rPr>
            </w:pPr>
          </w:p>
        </w:tc>
        <w:tc>
          <w:tcPr>
            <w:tcW w:w="131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6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4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4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6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8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1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trHeight w:val="600"/>
          <w:jc w:val="center"/>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Consolidated</w:t>
            </w:r>
          </w:p>
        </w:tc>
      </w:tr>
      <w:tr w:rsidR="00000000">
        <w:trPr>
          <w:trHeight w:val="400"/>
          <w:jc w:val="center"/>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March 31, 2020</w:t>
            </w: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c>
          <w:tcPr>
            <w:tcW w:w="0" w:type="auto"/>
            <w:gridSpan w:val="3"/>
            <w:vMerge/>
            <w:vAlign w:val="center"/>
            <w:hideMark/>
          </w:tcPr>
          <w:p w:rsidR="00000000" w:rsidRDefault="009E01B0">
            <w:pPr>
              <w:rPr>
                <w:rFonts w:eastAsia="Times New Roman"/>
              </w:rPr>
            </w:pPr>
          </w:p>
        </w:tc>
      </w:tr>
      <w:tr w:rsidR="00000000">
        <w:trPr>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Revenues</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1,534 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1,357 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1,682 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153 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7,398 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(111)</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12,013 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9E01B0">
            <w:pPr>
              <w:ind w:hanging="180"/>
              <w:divId w:val="354040414"/>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(7)</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(872)</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(7,243)</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104 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(8,018)</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(865)</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(507)</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(249)</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(50)</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(28)</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99 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(1,600)</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jc w:val="center"/>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9E01B0">
            <w:pPr>
              <w:ind w:hanging="180"/>
              <w:rPr>
                <w:rFonts w:eastAsia="Times New Roman"/>
              </w:rPr>
            </w:pPr>
            <w:r>
              <w:rPr>
                <w:rFonts w:ascii="Arial" w:eastAsia="Times New Roman" w:hAnsi="Arial" w:cs="Arial"/>
                <w:color w:val="000000"/>
                <w:sz w:val="16"/>
                <w:szCs w:val="16"/>
              </w:rPr>
              <w:t>Income/(loss) from equity investments</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197 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(75)</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23 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16 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163 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Impairment of equity investments</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(1,736)</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(1,736)</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Other income/(expense)</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(9)</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(93)</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20 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(8)</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1,058)</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(1,147)</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tcBorders>
              <w:top w:val="single" w:sz="8" w:space="0" w:color="000000"/>
            </w:tcBorders>
            <w:tcMar>
              <w:top w:w="30" w:type="dxa"/>
              <w:left w:w="200" w:type="dxa"/>
              <w:bottom w:w="30" w:type="dxa"/>
              <w:right w:w="20" w:type="dxa"/>
            </w:tcMar>
            <w:vAlign w:val="bottom"/>
            <w:hideMark/>
          </w:tcPr>
          <w:p w:rsidR="00000000" w:rsidRDefault="009E01B0">
            <w:pPr>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850 </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(1,054)</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604 </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120 </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121 </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(966)</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(325)</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(882)</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Interest expense</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(706)</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Income tax recovery</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549 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Loss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(1,364)</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9E01B0">
            <w:pPr>
              <w:divId w:val="848252371"/>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500 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391 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222 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23 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22 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1,158 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r>
    </w:tbl>
    <w:p w:rsidR="00000000" w:rsidRDefault="009E01B0">
      <w:pPr>
        <w:jc w:val="both"/>
        <w:rPr>
          <w:rFonts w:eastAsia="Times New Roman"/>
        </w:rPr>
      </w:pPr>
      <w:r>
        <w:rPr>
          <w:rFonts w:ascii="Arial" w:eastAsia="Times New Roman" w:hAnsi="Arial" w:cs="Arial"/>
          <w:i/>
          <w:iCs/>
          <w:color w:val="000000"/>
          <w:sz w:val="16"/>
          <w:szCs w:val="16"/>
        </w:rPr>
        <w:t>1 Includes allowance for equity funds used during construction.</w:t>
      </w:r>
    </w:p>
    <w:p w:rsidR="00000000" w:rsidRDefault="009E01B0">
      <w:pPr>
        <w:ind w:hanging="180"/>
        <w:divId w:val="1064375021"/>
        <w:rPr>
          <w:rFonts w:eastAsia="Times New Roman"/>
        </w:rPr>
      </w:pPr>
    </w:p>
    <w:p w:rsidR="00000000" w:rsidRDefault="009E01B0">
      <w:pPr>
        <w:divId w:val="692655059"/>
        <w:rPr>
          <w:rFonts w:eastAsia="Times New Roman"/>
        </w:rPr>
      </w:pPr>
      <w:r>
        <w:rPr>
          <w:rFonts w:ascii="Arial" w:eastAsia="Times New Roman" w:hAnsi="Arial" w:cs="Arial"/>
          <w:b/>
          <w:bCs/>
          <w:color w:val="000000"/>
          <w:sz w:val="26"/>
          <w:szCs w:val="26"/>
        </w:rPr>
        <w:t xml:space="preserve">5. EARNINGS PER COMMON SHARE AND DIVIDENDS PER SHARE </w:t>
      </w:r>
    </w:p>
    <w:p w:rsidR="00000000" w:rsidRDefault="009E01B0">
      <w:pPr>
        <w:divId w:val="463040262"/>
        <w:rPr>
          <w:rFonts w:eastAsia="Times New Roman"/>
        </w:rPr>
      </w:pPr>
      <w:r>
        <w:rPr>
          <w:rFonts w:ascii="Arial" w:eastAsia="Times New Roman" w:hAnsi="Arial" w:cs="Arial"/>
          <w:color w:val="000000"/>
          <w:sz w:val="20"/>
          <w:szCs w:val="20"/>
        </w:rPr>
        <w:t> </w:t>
      </w:r>
    </w:p>
    <w:p w:rsidR="00000000" w:rsidRDefault="009E01B0">
      <w:pPr>
        <w:divId w:val="1693917637"/>
        <w:rPr>
          <w:rFonts w:eastAsia="Times New Roman"/>
        </w:rPr>
      </w:pPr>
      <w:r>
        <w:rPr>
          <w:rFonts w:ascii="Arial" w:eastAsia="Times New Roman" w:hAnsi="Arial" w:cs="Arial"/>
          <w:b/>
          <w:bCs/>
          <w:color w:val="000000"/>
          <w:sz w:val="20"/>
          <w:szCs w:val="20"/>
        </w:rPr>
        <w:t>BASIC</w:t>
      </w:r>
    </w:p>
    <w:p w:rsidR="00000000" w:rsidRDefault="009E01B0">
      <w:pPr>
        <w:divId w:val="551695540"/>
        <w:rPr>
          <w:rFonts w:eastAsia="Times New Roman"/>
        </w:rPr>
      </w:pPr>
      <w:r>
        <w:rPr>
          <w:rFonts w:ascii="Arial" w:eastAsia="Times New Roman" w:hAnsi="Arial" w:cs="Arial"/>
          <w:color w:val="000000"/>
          <w:sz w:val="20"/>
          <w:szCs w:val="20"/>
        </w:rPr>
        <w:t>Earnings per common share is calculated by dividing earnings attributable to common shareholders by the weighted average number of common shares outstanding. The weighted average number of common shares outstanding has been reduced by our pro-rata weighted</w:t>
      </w:r>
      <w:r>
        <w:rPr>
          <w:rFonts w:ascii="Arial" w:eastAsia="Times New Roman" w:hAnsi="Arial" w:cs="Arial"/>
          <w:color w:val="000000"/>
          <w:sz w:val="20"/>
          <w:szCs w:val="20"/>
        </w:rPr>
        <w:t xml:space="preserve"> average interest in our own common shares of approximately 3 million and 6 million for the three months ended March 31, 2021 and 2020, respectively, resulting from our reciprocal investment in Noverco Inc. </w:t>
      </w:r>
    </w:p>
    <w:p w:rsidR="00000000" w:rsidRDefault="009E01B0">
      <w:pPr>
        <w:divId w:val="76679157"/>
        <w:rPr>
          <w:rFonts w:eastAsia="Times New Roman"/>
        </w:rPr>
      </w:pPr>
      <w:r>
        <w:rPr>
          <w:rFonts w:ascii="Arial" w:eastAsia="Times New Roman" w:hAnsi="Arial" w:cs="Arial"/>
          <w:color w:val="000000"/>
          <w:sz w:val="20"/>
          <w:szCs w:val="20"/>
        </w:rPr>
        <w:t> </w:t>
      </w:r>
    </w:p>
    <w:p w:rsidR="00000000" w:rsidRDefault="009E01B0">
      <w:pPr>
        <w:jc w:val="center"/>
        <w:divId w:val="1528063864"/>
        <w:rPr>
          <w:rFonts w:eastAsia="Times New Roman"/>
        </w:rPr>
      </w:pPr>
      <w:r>
        <w:rPr>
          <w:rFonts w:ascii="Arial" w:eastAsia="Times New Roman" w:hAnsi="Arial" w:cs="Arial"/>
          <w:color w:val="000000"/>
          <w:sz w:val="20"/>
          <w:szCs w:val="20"/>
        </w:rPr>
        <w:t>15</w:t>
      </w:r>
    </w:p>
    <w:p w:rsidR="00000000" w:rsidRDefault="009E01B0">
      <w:pPr>
        <w:rPr>
          <w:rFonts w:eastAsia="Times New Roman"/>
        </w:rPr>
      </w:pPr>
      <w:r>
        <w:rPr>
          <w:rFonts w:eastAsia="Times New Roman"/>
        </w:rPr>
        <w:pict>
          <v:rect id="_x0000_i1040" style="width:0;height:1.5pt" o:hralign="center" o:hrstd="t" o:hr="t" fillcolor="#a0a0a0" stroked="f"/>
        </w:pict>
      </w:r>
    </w:p>
    <w:p w:rsidR="00000000" w:rsidRDefault="009E01B0">
      <w:pPr>
        <w:jc w:val="center"/>
        <w:divId w:val="1482118481"/>
        <w:rPr>
          <w:rFonts w:eastAsia="Times New Roman"/>
        </w:rPr>
      </w:pPr>
    </w:p>
    <w:p w:rsidR="00000000" w:rsidRDefault="009E01B0">
      <w:pPr>
        <w:jc w:val="center"/>
        <w:divId w:val="1482118481"/>
        <w:rPr>
          <w:rFonts w:eastAsia="Times New Roman"/>
        </w:rPr>
      </w:pPr>
    </w:p>
    <w:p w:rsidR="00000000" w:rsidRDefault="009E01B0">
      <w:pPr>
        <w:divId w:val="426847535"/>
        <w:rPr>
          <w:rFonts w:eastAsia="Times New Roman"/>
        </w:rPr>
      </w:pPr>
      <w:r>
        <w:rPr>
          <w:rFonts w:ascii="Arial" w:eastAsia="Times New Roman" w:hAnsi="Arial" w:cs="Arial"/>
          <w:b/>
          <w:bCs/>
          <w:color w:val="000000"/>
          <w:sz w:val="20"/>
          <w:szCs w:val="20"/>
        </w:rPr>
        <w:t>DI</w:t>
      </w:r>
      <w:r>
        <w:rPr>
          <w:rFonts w:ascii="Arial" w:eastAsia="Times New Roman" w:hAnsi="Arial" w:cs="Arial"/>
          <w:b/>
          <w:bCs/>
          <w:color w:val="000000"/>
          <w:sz w:val="20"/>
          <w:szCs w:val="20"/>
        </w:rPr>
        <w:t>LUTED</w:t>
      </w:r>
    </w:p>
    <w:p w:rsidR="00000000" w:rsidRDefault="009E01B0">
      <w:pPr>
        <w:divId w:val="76751150"/>
        <w:rPr>
          <w:rFonts w:eastAsia="Times New Roman"/>
        </w:rPr>
      </w:pPr>
      <w:r>
        <w:rPr>
          <w:rFonts w:ascii="Arial" w:eastAsia="Times New Roman" w:hAnsi="Arial" w:cs="Arial"/>
          <w:color w:val="000000"/>
          <w:sz w:val="20"/>
          <w:szCs w:val="20"/>
        </w:rPr>
        <w:t>The treasury stock method is used to determine the dilutive impact of stock options. This method assumes any proceeds from the exercise of stock options would be used to purchase common shares at the average market price during the period.</w:t>
      </w:r>
    </w:p>
    <w:p w:rsidR="00000000" w:rsidRDefault="009E01B0">
      <w:pPr>
        <w:divId w:val="1846480020"/>
        <w:rPr>
          <w:rFonts w:eastAsia="Times New Roman"/>
        </w:rPr>
      </w:pPr>
    </w:p>
    <w:p w:rsidR="00000000" w:rsidRDefault="009E01B0">
      <w:pPr>
        <w:divId w:val="332143536"/>
        <w:rPr>
          <w:rFonts w:eastAsia="Times New Roman"/>
        </w:rPr>
      </w:pPr>
      <w:r>
        <w:rPr>
          <w:rFonts w:ascii="Arial" w:eastAsia="Times New Roman" w:hAnsi="Arial" w:cs="Arial"/>
          <w:color w:val="000000"/>
          <w:sz w:val="20"/>
          <w:szCs w:val="20"/>
        </w:rPr>
        <w:t>Weighted</w:t>
      </w:r>
      <w:r>
        <w:rPr>
          <w:rFonts w:ascii="Arial" w:eastAsia="Times New Roman" w:hAnsi="Arial" w:cs="Arial"/>
          <w:color w:val="000000"/>
          <w:sz w:val="20"/>
          <w:szCs w:val="20"/>
        </w:rPr>
        <w:t xml:space="preserve"> average shares outstanding used to calculate basic and diluted earnings per share are as follows:</w:t>
      </w:r>
    </w:p>
    <w:tbl>
      <w:tblPr>
        <w:tblW w:w="5000" w:type="pct"/>
        <w:tblCellMar>
          <w:top w:w="15" w:type="dxa"/>
          <w:left w:w="15" w:type="dxa"/>
          <w:bottom w:w="15" w:type="dxa"/>
          <w:right w:w="15" w:type="dxa"/>
        </w:tblCellMar>
        <w:tblLook w:val="04A0" w:firstRow="1" w:lastRow="0" w:firstColumn="1" w:lastColumn="0" w:noHBand="0" w:noVBand="1"/>
      </w:tblPr>
      <w:tblGrid>
        <w:gridCol w:w="66"/>
        <w:gridCol w:w="6229"/>
        <w:gridCol w:w="37"/>
        <w:gridCol w:w="67"/>
        <w:gridCol w:w="793"/>
        <w:gridCol w:w="37"/>
        <w:gridCol w:w="67"/>
        <w:gridCol w:w="793"/>
        <w:gridCol w:w="37"/>
        <w:gridCol w:w="36"/>
        <w:gridCol w:w="36"/>
        <w:gridCol w:w="36"/>
        <w:gridCol w:w="36"/>
        <w:gridCol w:w="36"/>
      </w:tblGrid>
      <w:tr w:rsidR="00000000">
        <w:trPr>
          <w:divId w:val="1652638255"/>
        </w:trPr>
        <w:tc>
          <w:tcPr>
            <w:tcW w:w="50" w:type="pct"/>
            <w:vAlign w:val="center"/>
            <w:hideMark/>
          </w:tcPr>
          <w:p w:rsidR="00000000" w:rsidRDefault="009E01B0">
            <w:pPr>
              <w:rPr>
                <w:rFonts w:eastAsia="Times New Roman"/>
              </w:rPr>
            </w:pPr>
          </w:p>
        </w:tc>
        <w:tc>
          <w:tcPr>
            <w:tcW w:w="383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652638255"/>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9E01B0">
            <w:pPr>
              <w:jc w:val="cente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652638255"/>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2020</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65263825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i/>
                <w:iCs/>
                <w:color w:val="000000"/>
                <w:sz w:val="16"/>
                <w:szCs w:val="16"/>
              </w:rPr>
              <w:t>(number of shares in millions)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652638255"/>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Weighted average shares outstanding</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2,022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2,019 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652638255"/>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Effect of dilutive options</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652638255"/>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Diluted weighted average shares outstanding</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2,023</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2,021 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bl>
    <w:p w:rsidR="00000000" w:rsidRDefault="009E01B0">
      <w:pPr>
        <w:divId w:val="629895204"/>
        <w:rPr>
          <w:rFonts w:eastAsia="Times New Roman"/>
        </w:rPr>
      </w:pPr>
    </w:p>
    <w:p w:rsidR="00000000" w:rsidRDefault="009E01B0">
      <w:pPr>
        <w:divId w:val="1181165061"/>
        <w:rPr>
          <w:rFonts w:eastAsia="Times New Roman"/>
        </w:rPr>
      </w:pPr>
      <w:r>
        <w:rPr>
          <w:rFonts w:ascii="Arial" w:eastAsia="Times New Roman" w:hAnsi="Arial" w:cs="Arial"/>
          <w:color w:val="000000"/>
          <w:sz w:val="20"/>
          <w:szCs w:val="20"/>
        </w:rPr>
        <w:t>For the three months ended March 31, 2021 and 2020, 27.6 million and 16.7 million, respectively, of anti-dilutive stock options with a weighted average exercise price of $51.42 and $56.26, respectively, were excluded from the diluted earnings per common sh</w:t>
      </w:r>
      <w:r>
        <w:rPr>
          <w:rFonts w:ascii="Arial" w:eastAsia="Times New Roman" w:hAnsi="Arial" w:cs="Arial"/>
          <w:color w:val="000000"/>
          <w:sz w:val="20"/>
          <w:szCs w:val="20"/>
        </w:rPr>
        <w:t>are calculation.</w:t>
      </w:r>
    </w:p>
    <w:p w:rsidR="00000000" w:rsidRDefault="009E01B0">
      <w:pPr>
        <w:divId w:val="243685282"/>
        <w:rPr>
          <w:rFonts w:eastAsia="Times New Roman"/>
        </w:rPr>
      </w:pPr>
    </w:p>
    <w:p w:rsidR="00000000" w:rsidRDefault="009E01B0">
      <w:pPr>
        <w:divId w:val="2124302815"/>
        <w:rPr>
          <w:rFonts w:eastAsia="Times New Roman"/>
        </w:rPr>
      </w:pPr>
      <w:r>
        <w:rPr>
          <w:rFonts w:ascii="Arial" w:eastAsia="Times New Roman" w:hAnsi="Arial" w:cs="Arial"/>
          <w:b/>
          <w:bCs/>
          <w:color w:val="000000"/>
          <w:sz w:val="20"/>
          <w:szCs w:val="20"/>
        </w:rPr>
        <w:t>DIVIDENDS PER SHARE</w:t>
      </w:r>
    </w:p>
    <w:p w:rsidR="00000000" w:rsidRDefault="009E01B0">
      <w:pPr>
        <w:divId w:val="251549740"/>
        <w:rPr>
          <w:rFonts w:eastAsia="Times New Roman"/>
        </w:rPr>
      </w:pPr>
      <w:r>
        <w:rPr>
          <w:rFonts w:ascii="Arial" w:eastAsia="Times New Roman" w:hAnsi="Arial" w:cs="Arial"/>
          <w:color w:val="000000"/>
          <w:sz w:val="20"/>
          <w:szCs w:val="20"/>
        </w:rPr>
        <w:t>On May 4, 2021, our Board of Directors declared the following quarterly dividends. All dividends are payable on June 1, 2021 to shareholders of record on May 14, 2021.</w:t>
      </w:r>
      <w:r>
        <w:rPr>
          <w:rFonts w:ascii="Arial" w:eastAsia="Times New Roman" w:hAnsi="Arial" w:cs="Arial"/>
          <w:color w:val="000000"/>
          <w:sz w:val="16"/>
          <w:szCs w:val="16"/>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9"/>
        <w:gridCol w:w="6604"/>
        <w:gridCol w:w="37"/>
        <w:gridCol w:w="69"/>
        <w:gridCol w:w="1491"/>
        <w:gridCol w:w="36"/>
      </w:tblGrid>
      <w:tr w:rsidR="00000000">
        <w:trPr>
          <w:divId w:val="840195837"/>
        </w:trPr>
        <w:tc>
          <w:tcPr>
            <w:tcW w:w="50" w:type="pct"/>
            <w:vAlign w:val="center"/>
            <w:hideMark/>
          </w:tcPr>
          <w:p w:rsidR="00000000" w:rsidRDefault="009E01B0">
            <w:pPr>
              <w:rPr>
                <w:rFonts w:eastAsia="Times New Roman"/>
              </w:rPr>
            </w:pPr>
          </w:p>
        </w:tc>
        <w:tc>
          <w:tcPr>
            <w:tcW w:w="398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906"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840195837"/>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Dividend per share</w:t>
            </w:r>
          </w:p>
        </w:tc>
      </w:tr>
      <w:tr w:rsidR="00000000">
        <w:trPr>
          <w:divId w:val="84019583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divId w:val="550579615"/>
              <w:rPr>
                <w:rFonts w:eastAsia="Times New Roman"/>
              </w:rPr>
            </w:pPr>
            <w:r>
              <w:rPr>
                <w:rFonts w:ascii="Arial" w:eastAsia="Times New Roman" w:hAnsi="Arial" w:cs="Arial"/>
                <w:color w:val="000000"/>
                <w:sz w:val="20"/>
                <w:szCs w:val="20"/>
              </w:rPr>
              <w:t>Common Share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$0.83500 </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A</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$0.34375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B</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$0.21340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divId w:val="946041054"/>
              <w:rPr>
                <w:rFonts w:eastAsia="Times New Roman"/>
              </w:rPr>
            </w:pPr>
            <w:r>
              <w:rPr>
                <w:rFonts w:ascii="Arial" w:eastAsia="Times New Roman" w:hAnsi="Arial" w:cs="Arial"/>
                <w:color w:val="000000"/>
                <w:sz w:val="20"/>
                <w:szCs w:val="20"/>
              </w:rPr>
              <w:t>Preference Shares, Series </w:t>
            </w:r>
            <w:r>
              <w:rPr>
                <w:rFonts w:ascii="Arial" w:eastAsia="Times New Roman" w:hAnsi="Arial" w:cs="Arial"/>
                <w:color w:val="000000"/>
                <w:sz w:val="20"/>
                <w:szCs w:val="20"/>
              </w:rPr>
              <w:t>C</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$0.15501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D</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$0.27875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F</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$0.29306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H</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$0.27350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J</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US$0.30540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L</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US$0.30993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N</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$0.31788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P</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$0.27369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R</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$0.25456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1</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US$0.37182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3</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$0.23356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5</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US$0.33596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7</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$0.27806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9</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$0.25606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11</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$0.24613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13</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$0.19019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15</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$0.18644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17</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$0.32188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840195837"/>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Preference Shares, Series 19</w:t>
            </w: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$0.30625 </w:t>
            </w:r>
          </w:p>
        </w:tc>
        <w:tc>
          <w:tcPr>
            <w:tcW w:w="0" w:type="auto"/>
            <w:tcBorders>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r>
    </w:tbl>
    <w:p w:rsidR="00000000" w:rsidRDefault="009E01B0">
      <w:pPr>
        <w:ind w:hanging="180"/>
        <w:divId w:val="1081371202"/>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 xml:space="preserve">The quarterly dividend per common share was increased 3% to $0.835 from $0.81, effective March 1, 2021. </w:t>
      </w:r>
    </w:p>
    <w:p w:rsidR="00000000" w:rsidRDefault="009E01B0">
      <w:pPr>
        <w:ind w:hanging="180"/>
        <w:divId w:val="2106146587"/>
        <w:rPr>
          <w:rFonts w:eastAsia="Times New Roman"/>
        </w:rPr>
      </w:pPr>
      <w:r>
        <w:rPr>
          <w:rFonts w:ascii="Arial" w:eastAsia="Times New Roman" w:hAnsi="Arial" w:cs="Arial"/>
          <w:i/>
          <w:iCs/>
          <w:color w:val="000000"/>
          <w:sz w:val="16"/>
          <w:szCs w:val="16"/>
        </w:rPr>
        <w:t>2 The quarterly dividend per share paid on Series C was increased to $0.15501 from $0.15349 on March 1, 2021, due to reset on a quarterly basis followi</w:t>
      </w:r>
      <w:r>
        <w:rPr>
          <w:rFonts w:ascii="Arial" w:eastAsia="Times New Roman" w:hAnsi="Arial" w:cs="Arial"/>
          <w:i/>
          <w:iCs/>
          <w:color w:val="000000"/>
          <w:sz w:val="16"/>
          <w:szCs w:val="16"/>
        </w:rPr>
        <w:t xml:space="preserve">ng the date of issuance of the Series C Preference Shares. </w:t>
      </w:r>
    </w:p>
    <w:p w:rsidR="00000000" w:rsidRDefault="009E01B0">
      <w:pPr>
        <w:jc w:val="center"/>
        <w:divId w:val="65881597"/>
        <w:rPr>
          <w:rFonts w:eastAsia="Times New Roman"/>
        </w:rPr>
      </w:pPr>
      <w:r>
        <w:rPr>
          <w:rFonts w:ascii="Arial" w:eastAsia="Times New Roman" w:hAnsi="Arial" w:cs="Arial"/>
          <w:color w:val="000000"/>
          <w:sz w:val="20"/>
          <w:szCs w:val="20"/>
        </w:rPr>
        <w:t>16</w:t>
      </w:r>
    </w:p>
    <w:p w:rsidR="00000000" w:rsidRDefault="009E01B0">
      <w:pPr>
        <w:rPr>
          <w:rFonts w:eastAsia="Times New Roman"/>
        </w:rPr>
      </w:pPr>
      <w:r>
        <w:rPr>
          <w:rFonts w:eastAsia="Times New Roman"/>
        </w:rPr>
        <w:pict>
          <v:rect id="_x0000_i1041" style="width:0;height:1.5pt" o:hralign="center" o:hrstd="t" o:hr="t" fillcolor="#a0a0a0" stroked="f"/>
        </w:pict>
      </w:r>
    </w:p>
    <w:p w:rsidR="00000000" w:rsidRDefault="009E01B0">
      <w:pPr>
        <w:jc w:val="center"/>
        <w:divId w:val="1140997199"/>
        <w:rPr>
          <w:rFonts w:eastAsia="Times New Roman"/>
        </w:rPr>
      </w:pPr>
    </w:p>
    <w:p w:rsidR="00000000" w:rsidRDefault="009E01B0">
      <w:pPr>
        <w:jc w:val="center"/>
        <w:divId w:val="1140997199"/>
        <w:rPr>
          <w:rFonts w:eastAsia="Times New Roman"/>
        </w:rPr>
      </w:pPr>
    </w:p>
    <w:p w:rsidR="00000000" w:rsidRDefault="009E01B0">
      <w:pPr>
        <w:divId w:val="947392678"/>
        <w:rPr>
          <w:rFonts w:eastAsia="Times New Roman"/>
        </w:rPr>
      </w:pPr>
      <w:r>
        <w:rPr>
          <w:rFonts w:ascii="Arial" w:eastAsia="Times New Roman" w:hAnsi="Arial" w:cs="Arial"/>
          <w:b/>
          <w:bCs/>
          <w:color w:val="000000"/>
          <w:sz w:val="26"/>
          <w:szCs w:val="26"/>
        </w:rPr>
        <w:t xml:space="preserve">6. DEBT </w:t>
      </w:r>
    </w:p>
    <w:p w:rsidR="00000000" w:rsidRDefault="009E01B0">
      <w:pPr>
        <w:ind w:hanging="360"/>
        <w:divId w:val="1186168553"/>
        <w:rPr>
          <w:rFonts w:eastAsia="Times New Roman"/>
        </w:rPr>
      </w:pPr>
    </w:p>
    <w:p w:rsidR="00000000" w:rsidRDefault="009E01B0">
      <w:pPr>
        <w:divId w:val="1548057726"/>
        <w:rPr>
          <w:rFonts w:eastAsia="Times New Roman"/>
        </w:rPr>
      </w:pPr>
      <w:r>
        <w:rPr>
          <w:rFonts w:ascii="Arial" w:eastAsia="Times New Roman" w:hAnsi="Arial" w:cs="Arial"/>
          <w:b/>
          <w:bCs/>
          <w:color w:val="000000"/>
          <w:sz w:val="20"/>
          <w:szCs w:val="20"/>
        </w:rPr>
        <w:t>CREDIT FACILITIES</w:t>
      </w:r>
    </w:p>
    <w:p w:rsidR="00000000" w:rsidRDefault="009E01B0">
      <w:pPr>
        <w:jc w:val="both"/>
        <w:rPr>
          <w:rFonts w:eastAsia="Times New Roman"/>
        </w:rPr>
      </w:pPr>
      <w:r>
        <w:rPr>
          <w:rFonts w:ascii="Arial" w:eastAsia="Times New Roman" w:hAnsi="Arial" w:cs="Arial"/>
          <w:color w:val="000000"/>
          <w:sz w:val="20"/>
          <w:szCs w:val="20"/>
        </w:rPr>
        <w:t xml:space="preserve">The following table provides details of our committed credit facilities as at March 31, 2021: </w:t>
      </w:r>
    </w:p>
    <w:p w:rsidR="00000000" w:rsidRDefault="009E01B0">
      <w:pPr>
        <w:jc w:val="both"/>
        <w:rPr>
          <w:rFonts w:eastAsia="Times New Roman"/>
        </w:rPr>
      </w:pPr>
      <w:r>
        <w:rPr>
          <w:rFonts w:ascii="Arial" w:eastAsia="Times New Roman" w:hAnsi="Arial" w:cs="Arial"/>
          <w:color w:val="000000"/>
          <w:sz w:val="2"/>
          <w:szCs w:val="2"/>
        </w:rPr>
        <w:t> </w:t>
      </w:r>
    </w:p>
    <w:p w:rsidR="00000000" w:rsidRDefault="009E01B0">
      <w:pPr>
        <w:divId w:val="533152554"/>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4370"/>
        <w:gridCol w:w="38"/>
        <w:gridCol w:w="71"/>
        <w:gridCol w:w="849"/>
        <w:gridCol w:w="36"/>
        <w:gridCol w:w="72"/>
        <w:gridCol w:w="848"/>
        <w:gridCol w:w="36"/>
        <w:gridCol w:w="69"/>
        <w:gridCol w:w="852"/>
        <w:gridCol w:w="36"/>
        <w:gridCol w:w="74"/>
        <w:gridCol w:w="850"/>
        <w:gridCol w:w="36"/>
      </w:tblGrid>
      <w:tr w:rsidR="00000000">
        <w:trPr>
          <w:divId w:val="479079949"/>
        </w:trPr>
        <w:tc>
          <w:tcPr>
            <w:tcW w:w="50" w:type="pct"/>
            <w:vAlign w:val="center"/>
            <w:hideMark/>
          </w:tcPr>
          <w:p w:rsidR="00000000" w:rsidRDefault="009E01B0">
            <w:pPr>
              <w:rPr>
                <w:rFonts w:eastAsia="Times New Roman"/>
              </w:rPr>
            </w:pPr>
          </w:p>
        </w:tc>
        <w:tc>
          <w:tcPr>
            <w:tcW w:w="263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2"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479079949"/>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Maturit</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Total</w:t>
            </w:r>
            <w:r>
              <w:rPr>
                <w:rFonts w:ascii="Arial" w:eastAsia="Times New Roman" w:hAnsi="Arial" w:cs="Arial"/>
                <w:color w:val="000000"/>
                <w:sz w:val="20"/>
                <w:szCs w:val="20"/>
              </w:rPr>
              <w:br/>
              <w:t>Facilities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Available</w:t>
            </w:r>
          </w:p>
        </w:tc>
      </w:tr>
      <w:tr w:rsidR="00000000">
        <w:trPr>
          <w:divId w:val="47907994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 </w:t>
            </w:r>
          </w:p>
        </w:tc>
      </w:tr>
      <w:tr w:rsidR="00000000">
        <w:trPr>
          <w:divId w:val="479079949"/>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2022-2024</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9,159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7,390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1,769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479079949"/>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2022-2024</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6,913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3,351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3,562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479079949"/>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2022</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1,358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1,642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479079949"/>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2022</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1,094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906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479079949"/>
        </w:trPr>
        <w:tc>
          <w:tcPr>
            <w:tcW w:w="0" w:type="auto"/>
            <w:gridSpan w:val="3"/>
            <w:tcBorders>
              <w:top w:val="single" w:sz="8" w:space="0" w:color="000000"/>
              <w:bottom w:val="single" w:sz="12"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8" w:space="0" w:color="000000"/>
              <w:bottom w:val="single" w:sz="12"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21,072</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13,193</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7,879</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bl>
    <w:p w:rsidR="00000000" w:rsidRDefault="009E01B0">
      <w:pPr>
        <w:divId w:val="1053116547"/>
        <w:rPr>
          <w:rFonts w:eastAsia="Times New Roman"/>
        </w:rPr>
      </w:pPr>
      <w:r>
        <w:rPr>
          <w:rFonts w:ascii="Arial" w:eastAsia="Times New Roman" w:hAnsi="Arial" w:cs="Arial"/>
          <w:color w:val="000000"/>
          <w:sz w:val="2"/>
          <w:szCs w:val="2"/>
        </w:rPr>
        <w:t> </w:t>
      </w:r>
    </w:p>
    <w:p w:rsidR="00000000" w:rsidRDefault="009E01B0">
      <w:pPr>
        <w:ind w:hanging="180"/>
        <w:divId w:val="1825463694"/>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Maturity date is inclusive of the one-year term out option for certain credit facilities.</w:t>
      </w:r>
    </w:p>
    <w:p w:rsidR="00000000" w:rsidRDefault="009E01B0">
      <w:pPr>
        <w:ind w:hanging="180"/>
        <w:divId w:val="972095562"/>
        <w:rPr>
          <w:rFonts w:eastAsia="Times New Roman"/>
        </w:rPr>
      </w:pPr>
      <w:r>
        <w:rPr>
          <w:rFonts w:ascii="Arial" w:eastAsia="Times New Roman" w:hAnsi="Arial" w:cs="Arial"/>
          <w:i/>
          <w:iCs/>
          <w:color w:val="000000"/>
          <w:sz w:val="16"/>
          <w:szCs w:val="16"/>
        </w:rPr>
        <w:t>2Includes facility draws and commercial paper issuances that are back-stopped by credit facilities.</w:t>
      </w:r>
    </w:p>
    <w:p w:rsidR="00000000" w:rsidRDefault="009E01B0">
      <w:pPr>
        <w:divId w:val="630020287"/>
        <w:rPr>
          <w:rFonts w:eastAsia="Times New Roman"/>
        </w:rPr>
      </w:pPr>
    </w:p>
    <w:p w:rsidR="00000000" w:rsidRDefault="009E01B0">
      <w:pPr>
        <w:divId w:val="1047030956"/>
        <w:rPr>
          <w:rFonts w:eastAsia="Times New Roman"/>
        </w:rPr>
      </w:pPr>
      <w:r>
        <w:rPr>
          <w:rFonts w:ascii="Arial" w:eastAsia="Times New Roman" w:hAnsi="Arial" w:cs="Arial"/>
          <w:color w:val="000000"/>
          <w:sz w:val="20"/>
          <w:szCs w:val="20"/>
        </w:rPr>
        <w:t>On February 10, 2021, Enbridge Inc. entered into a three year, revolving, extendible, sustainability linked credit facility for $1.0 billion with a syndicate of lenders and concurrently terminated our one year, revolving, syndicated credit facility for $3.</w:t>
      </w:r>
      <w:r>
        <w:rPr>
          <w:rFonts w:ascii="Arial" w:eastAsia="Times New Roman" w:hAnsi="Arial" w:cs="Arial"/>
          <w:color w:val="000000"/>
          <w:sz w:val="20"/>
          <w:szCs w:val="20"/>
        </w:rPr>
        <w:t>0 billion.</w:t>
      </w:r>
    </w:p>
    <w:p w:rsidR="00000000" w:rsidRDefault="009E01B0">
      <w:pPr>
        <w:divId w:val="972322405"/>
        <w:rPr>
          <w:rFonts w:eastAsia="Times New Roman"/>
        </w:rPr>
      </w:pPr>
    </w:p>
    <w:p w:rsidR="00000000" w:rsidRDefault="009E01B0">
      <w:pPr>
        <w:divId w:val="961422085"/>
        <w:rPr>
          <w:rFonts w:eastAsia="Times New Roman"/>
        </w:rPr>
      </w:pPr>
      <w:r>
        <w:rPr>
          <w:rFonts w:ascii="Arial" w:eastAsia="Times New Roman" w:hAnsi="Arial" w:cs="Arial"/>
          <w:color w:val="000000"/>
          <w:sz w:val="20"/>
          <w:szCs w:val="20"/>
        </w:rPr>
        <w:t>On February 25, 2021, two term loans with an aggregate total of US$500 million were repaid with proceeds from a floating rate notes issuance.</w:t>
      </w:r>
    </w:p>
    <w:p w:rsidR="00000000" w:rsidRDefault="009E01B0">
      <w:pPr>
        <w:divId w:val="40521693"/>
        <w:rPr>
          <w:rFonts w:eastAsia="Times New Roman"/>
        </w:rPr>
      </w:pPr>
    </w:p>
    <w:p w:rsidR="00000000" w:rsidRDefault="009E01B0">
      <w:pPr>
        <w:divId w:val="1934580611"/>
        <w:rPr>
          <w:rFonts w:eastAsia="Times New Roman"/>
        </w:rPr>
      </w:pPr>
      <w:r>
        <w:rPr>
          <w:rFonts w:ascii="Arial" w:eastAsia="Times New Roman" w:hAnsi="Arial" w:cs="Arial"/>
          <w:color w:val="000000"/>
          <w:sz w:val="20"/>
          <w:szCs w:val="20"/>
        </w:rPr>
        <w:t>In addition to the committed credit facilities noted above, we maintain $845 million of uncommitted</w:t>
      </w:r>
      <w:r>
        <w:rPr>
          <w:rFonts w:ascii="Arial" w:eastAsia="Times New Roman" w:hAnsi="Arial" w:cs="Arial"/>
          <w:color w:val="000000"/>
          <w:sz w:val="20"/>
          <w:szCs w:val="20"/>
        </w:rPr>
        <w:t xml:space="preserve"> demand credit facilities, of which $595 million was unutilized as at March 31, 2021. As at December 31, 2020, we had $849 million of uncommitted demand credit facilities, of which $533 million was unutilized.</w:t>
      </w:r>
    </w:p>
    <w:p w:rsidR="00000000" w:rsidRDefault="009E01B0">
      <w:pPr>
        <w:divId w:val="1662925113"/>
        <w:rPr>
          <w:rFonts w:eastAsia="Times New Roman"/>
        </w:rPr>
      </w:pPr>
    </w:p>
    <w:p w:rsidR="00000000" w:rsidRDefault="009E01B0">
      <w:pPr>
        <w:divId w:val="1245336403"/>
        <w:rPr>
          <w:rFonts w:eastAsia="Times New Roman"/>
        </w:rPr>
      </w:pPr>
      <w:r>
        <w:rPr>
          <w:rFonts w:ascii="Arial" w:eastAsia="Times New Roman" w:hAnsi="Arial" w:cs="Arial"/>
          <w:color w:val="000000"/>
          <w:sz w:val="20"/>
          <w:szCs w:val="20"/>
        </w:rPr>
        <w:t>Our credit facilities carry a weighted avera</w:t>
      </w:r>
      <w:r>
        <w:rPr>
          <w:rFonts w:ascii="Arial" w:eastAsia="Times New Roman" w:hAnsi="Arial" w:cs="Arial"/>
          <w:color w:val="000000"/>
          <w:sz w:val="20"/>
          <w:szCs w:val="20"/>
        </w:rPr>
        <w:t xml:space="preserve">ge standby fee of 0.2% per annum on the unused portion and draws bear interest at market rates. Certain credit facilities serve as a back-stop to the commercial paper programs and we have the option to extend such facilities, which are currently scheduled </w:t>
      </w:r>
      <w:r>
        <w:rPr>
          <w:rFonts w:ascii="Arial" w:eastAsia="Times New Roman" w:hAnsi="Arial" w:cs="Arial"/>
          <w:color w:val="000000"/>
          <w:sz w:val="20"/>
          <w:szCs w:val="20"/>
        </w:rPr>
        <w:t>to mature from 2022 to 2024.</w:t>
      </w:r>
    </w:p>
    <w:p w:rsidR="00000000" w:rsidRDefault="009E01B0">
      <w:pPr>
        <w:divId w:val="907417007"/>
        <w:rPr>
          <w:rFonts w:eastAsia="Times New Roman"/>
        </w:rPr>
      </w:pPr>
    </w:p>
    <w:p w:rsidR="00000000" w:rsidRDefault="009E01B0">
      <w:pPr>
        <w:divId w:val="1796292281"/>
        <w:rPr>
          <w:rFonts w:eastAsia="Times New Roman"/>
        </w:rPr>
      </w:pPr>
      <w:r>
        <w:rPr>
          <w:rFonts w:ascii="Arial" w:eastAsia="Times New Roman" w:hAnsi="Arial" w:cs="Arial"/>
          <w:color w:val="000000"/>
          <w:sz w:val="20"/>
          <w:szCs w:val="20"/>
        </w:rPr>
        <w:t>As at March 31, 2021 and December 31, 2020, commercial paper and credit facility draws, net of short-term borrowings and non-revolving credit facilities that mature within one year, of $10.6 billion and $9.9 billion, respecti</w:t>
      </w:r>
      <w:r>
        <w:rPr>
          <w:rFonts w:ascii="Arial" w:eastAsia="Times New Roman" w:hAnsi="Arial" w:cs="Arial"/>
          <w:color w:val="000000"/>
          <w:sz w:val="20"/>
          <w:szCs w:val="20"/>
        </w:rPr>
        <w:t>vely, were supported by the availability of long-term committed credit facilities and, therefore, have been classified as long-term debt.</w:t>
      </w:r>
    </w:p>
    <w:p w:rsidR="00000000" w:rsidRDefault="009E01B0">
      <w:pPr>
        <w:divId w:val="1312442087"/>
        <w:rPr>
          <w:rFonts w:eastAsia="Times New Roman"/>
        </w:rPr>
      </w:pPr>
    </w:p>
    <w:p w:rsidR="00000000" w:rsidRDefault="009E01B0">
      <w:pPr>
        <w:divId w:val="668950544"/>
        <w:rPr>
          <w:rFonts w:eastAsia="Times New Roman"/>
        </w:rPr>
      </w:pPr>
      <w:r>
        <w:rPr>
          <w:rFonts w:ascii="Arial" w:eastAsia="Times New Roman" w:hAnsi="Arial" w:cs="Arial"/>
          <w:b/>
          <w:bCs/>
          <w:color w:val="000000"/>
          <w:sz w:val="20"/>
          <w:szCs w:val="20"/>
        </w:rPr>
        <w:t>LONG-TERM DEBT ISSUANCE</w:t>
      </w:r>
    </w:p>
    <w:p w:rsidR="00000000" w:rsidRDefault="009E01B0">
      <w:pPr>
        <w:divId w:val="1974679293"/>
        <w:rPr>
          <w:rFonts w:eastAsia="Times New Roman"/>
        </w:rPr>
      </w:pPr>
      <w:r>
        <w:rPr>
          <w:rFonts w:ascii="Arial" w:eastAsia="Times New Roman" w:hAnsi="Arial" w:cs="Arial"/>
          <w:color w:val="000000"/>
          <w:sz w:val="20"/>
          <w:szCs w:val="20"/>
        </w:rPr>
        <w:t xml:space="preserve">During the three months ended March 31, 2021, we completed the following long-term debt issuance totaling US$500 million: </w:t>
      </w:r>
    </w:p>
    <w:tbl>
      <w:tblPr>
        <w:tblW w:w="5000" w:type="pct"/>
        <w:tblCellMar>
          <w:top w:w="15" w:type="dxa"/>
          <w:left w:w="15" w:type="dxa"/>
          <w:bottom w:w="15" w:type="dxa"/>
          <w:right w:w="15" w:type="dxa"/>
        </w:tblCellMar>
        <w:tblLook w:val="04A0" w:firstRow="1" w:lastRow="0" w:firstColumn="1" w:lastColumn="0" w:noHBand="0" w:noVBand="1"/>
      </w:tblPr>
      <w:tblGrid>
        <w:gridCol w:w="85"/>
        <w:gridCol w:w="718"/>
        <w:gridCol w:w="36"/>
        <w:gridCol w:w="63"/>
        <w:gridCol w:w="2019"/>
        <w:gridCol w:w="37"/>
        <w:gridCol w:w="64"/>
        <w:gridCol w:w="2074"/>
        <w:gridCol w:w="36"/>
        <w:gridCol w:w="64"/>
        <w:gridCol w:w="2194"/>
        <w:gridCol w:w="36"/>
        <w:gridCol w:w="69"/>
        <w:gridCol w:w="775"/>
        <w:gridCol w:w="36"/>
      </w:tblGrid>
      <w:tr w:rsidR="00000000">
        <w:trPr>
          <w:divId w:val="533612515"/>
        </w:trPr>
        <w:tc>
          <w:tcPr>
            <w:tcW w:w="50" w:type="pct"/>
            <w:vAlign w:val="center"/>
            <w:hideMark/>
          </w:tcPr>
          <w:p w:rsidR="00000000" w:rsidRDefault="009E01B0">
            <w:pPr>
              <w:rPr>
                <w:rFonts w:eastAsia="Times New Roman"/>
              </w:rPr>
            </w:pPr>
          </w:p>
        </w:tc>
        <w:tc>
          <w:tcPr>
            <w:tcW w:w="42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122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125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133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8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533612515"/>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8"/>
                <w:szCs w:val="18"/>
              </w:rPr>
              <w:t>Company</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8"/>
                <w:szCs w:val="18"/>
              </w:rPr>
              <w:t>Issue Date</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8"/>
                <w:szCs w:val="18"/>
              </w:rPr>
              <w:t>Principal Amount</w:t>
            </w:r>
          </w:p>
        </w:tc>
      </w:tr>
      <w:tr w:rsidR="00000000">
        <w:trPr>
          <w:divId w:val="533612515"/>
        </w:trPr>
        <w:tc>
          <w:tcPr>
            <w:tcW w:w="0" w:type="auto"/>
            <w:gridSpan w:val="9"/>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533612515"/>
        </w:trPr>
        <w:tc>
          <w:tcPr>
            <w:tcW w:w="0" w:type="auto"/>
            <w:gridSpan w:val="6"/>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533612515"/>
        </w:trPr>
        <w:tc>
          <w:tcPr>
            <w:tcW w:w="0" w:type="auto"/>
            <w:gridSpan w:val="3"/>
            <w:tcBorders>
              <w:bottom w:val="single" w:sz="12"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February 2021</w:t>
            </w:r>
          </w:p>
        </w:tc>
        <w:tc>
          <w:tcPr>
            <w:tcW w:w="0" w:type="auto"/>
            <w:gridSpan w:val="6"/>
            <w:tcBorders>
              <w:bottom w:val="single" w:sz="12" w:space="0" w:color="000000"/>
            </w:tcBorders>
            <w:tcMar>
              <w:top w:w="30" w:type="dxa"/>
              <w:left w:w="20" w:type="dxa"/>
              <w:bottom w:w="30" w:type="dxa"/>
              <w:right w:w="20" w:type="dxa"/>
            </w:tcMar>
            <w:vAlign w:val="center"/>
            <w:hideMark/>
          </w:tcPr>
          <w:p w:rsidR="00000000" w:rsidRDefault="009E01B0">
            <w:pPr>
              <w:divId w:val="855851510"/>
              <w:rPr>
                <w:rFonts w:eastAsia="Times New Roman"/>
              </w:rPr>
            </w:pPr>
            <w:r>
              <w:rPr>
                <w:rFonts w:ascii="Arial" w:eastAsia="Times New Roman" w:hAnsi="Arial" w:cs="Arial"/>
                <w:color w:val="000000"/>
                <w:sz w:val="18"/>
                <w:szCs w:val="18"/>
              </w:rPr>
              <w:t>Floating rate notes due February 202</w:t>
            </w:r>
            <w:r>
              <w:rPr>
                <w:rFonts w:ascii="Arial" w:eastAsia="Times New Roman" w:hAnsi="Arial" w:cs="Arial"/>
                <w:color w:val="000000"/>
                <w:sz w:val="18"/>
                <w:szCs w:val="18"/>
              </w:rPr>
              <w:t>3</w:t>
            </w:r>
            <w:r>
              <w:rPr>
                <w:rFonts w:ascii="Arial" w:eastAsia="Times New Roman" w:hAnsi="Arial" w:cs="Arial"/>
                <w:color w:val="000000"/>
                <w:sz w:val="10"/>
                <w:szCs w:val="10"/>
              </w:rPr>
              <w:t>1</w:t>
            </w: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8"/>
                <w:szCs w:val="18"/>
              </w:rPr>
              <w:t>US$500</w:t>
            </w:r>
          </w:p>
        </w:tc>
      </w:tr>
    </w:tbl>
    <w:p w:rsidR="00000000" w:rsidRDefault="009E01B0">
      <w:pPr>
        <w:ind w:hanging="180"/>
        <w:divId w:val="1669215015"/>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mature in two years and carry an interest rate set to equal Secured Overnight Financing Rate (SOFR) plus a margin of 40 basis points.</w:t>
      </w:r>
      <w:r>
        <w:rPr>
          <w:rFonts w:ascii="Arial" w:eastAsia="Times New Roman" w:hAnsi="Arial" w:cs="Arial"/>
          <w:i/>
          <w:iCs/>
          <w:color w:val="000000"/>
          <w:sz w:val="20"/>
          <w:szCs w:val="20"/>
        </w:rPr>
        <w:t xml:space="preserve"> </w:t>
      </w:r>
    </w:p>
    <w:p w:rsidR="00000000" w:rsidRDefault="009E01B0">
      <w:pPr>
        <w:ind w:firstLine="180"/>
        <w:divId w:val="130297148"/>
        <w:rPr>
          <w:rFonts w:eastAsia="Times New Roman"/>
        </w:rPr>
      </w:pPr>
    </w:p>
    <w:p w:rsidR="00000000" w:rsidRDefault="009E01B0">
      <w:pPr>
        <w:jc w:val="center"/>
        <w:divId w:val="1950120194"/>
        <w:rPr>
          <w:rFonts w:eastAsia="Times New Roman"/>
        </w:rPr>
      </w:pPr>
      <w:r>
        <w:rPr>
          <w:rFonts w:ascii="Arial" w:eastAsia="Times New Roman" w:hAnsi="Arial" w:cs="Arial"/>
          <w:color w:val="000000"/>
          <w:sz w:val="20"/>
          <w:szCs w:val="20"/>
        </w:rPr>
        <w:t>17</w:t>
      </w:r>
    </w:p>
    <w:p w:rsidR="00000000" w:rsidRDefault="009E01B0">
      <w:pPr>
        <w:rPr>
          <w:rFonts w:eastAsia="Times New Roman"/>
        </w:rPr>
      </w:pPr>
      <w:r>
        <w:rPr>
          <w:rFonts w:eastAsia="Times New Roman"/>
        </w:rPr>
        <w:pict>
          <v:rect id="_x0000_i1042" style="width:0;height:1.5pt" o:hralign="center" o:hrstd="t" o:hr="t" fillcolor="#a0a0a0" stroked="f"/>
        </w:pict>
      </w:r>
    </w:p>
    <w:p w:rsidR="00000000" w:rsidRDefault="009E01B0">
      <w:pPr>
        <w:jc w:val="center"/>
        <w:divId w:val="690499260"/>
        <w:rPr>
          <w:rFonts w:eastAsia="Times New Roman"/>
        </w:rPr>
      </w:pPr>
    </w:p>
    <w:p w:rsidR="00000000" w:rsidRDefault="009E01B0">
      <w:pPr>
        <w:jc w:val="center"/>
        <w:divId w:val="690499260"/>
        <w:rPr>
          <w:rFonts w:eastAsia="Times New Roman"/>
        </w:rPr>
      </w:pPr>
    </w:p>
    <w:p w:rsidR="00000000" w:rsidRDefault="009E01B0">
      <w:pPr>
        <w:ind w:firstLine="450"/>
        <w:divId w:val="1789085705"/>
        <w:rPr>
          <w:rFonts w:eastAsia="Times New Roman"/>
        </w:rPr>
      </w:pPr>
      <w:r>
        <w:rPr>
          <w:rFonts w:ascii="Arial" w:eastAsia="Times New Roman" w:hAnsi="Arial" w:cs="Arial"/>
          <w:b/>
          <w:bCs/>
          <w:color w:val="000000"/>
          <w:sz w:val="20"/>
          <w:szCs w:val="20"/>
        </w:rPr>
        <w:t xml:space="preserve">LONG-TERM DEBT REPAYMENTS </w:t>
      </w:r>
    </w:p>
    <w:p w:rsidR="00000000" w:rsidRDefault="009E01B0">
      <w:pPr>
        <w:divId w:val="781652876"/>
        <w:rPr>
          <w:rFonts w:eastAsia="Times New Roman"/>
        </w:rPr>
      </w:pPr>
      <w:r>
        <w:rPr>
          <w:rFonts w:ascii="Arial" w:eastAsia="Times New Roman" w:hAnsi="Arial" w:cs="Arial"/>
          <w:color w:val="000000"/>
          <w:sz w:val="20"/>
          <w:szCs w:val="20"/>
        </w:rPr>
        <w:t>During the three months ended March 31, 202</w:t>
      </w:r>
      <w:r>
        <w:rPr>
          <w:rFonts w:ascii="Arial" w:eastAsia="Times New Roman" w:hAnsi="Arial" w:cs="Arial"/>
          <w:color w:val="000000"/>
          <w:sz w:val="20"/>
          <w:szCs w:val="20"/>
        </w:rPr>
        <w:t xml:space="preserve">1, we completed the following long-term debt repayments totaling $600 million and US$250 million: </w:t>
      </w:r>
    </w:p>
    <w:tbl>
      <w:tblPr>
        <w:tblW w:w="4991" w:type="pct"/>
        <w:tblCellMar>
          <w:top w:w="15" w:type="dxa"/>
          <w:left w:w="15" w:type="dxa"/>
          <w:bottom w:w="15" w:type="dxa"/>
          <w:right w:w="15" w:type="dxa"/>
        </w:tblCellMar>
        <w:tblLook w:val="04A0" w:firstRow="1" w:lastRow="0" w:firstColumn="1" w:lastColumn="0" w:noHBand="0" w:noVBand="1"/>
      </w:tblPr>
      <w:tblGrid>
        <w:gridCol w:w="74"/>
        <w:gridCol w:w="795"/>
        <w:gridCol w:w="36"/>
        <w:gridCol w:w="67"/>
        <w:gridCol w:w="1327"/>
        <w:gridCol w:w="36"/>
        <w:gridCol w:w="67"/>
        <w:gridCol w:w="3694"/>
        <w:gridCol w:w="36"/>
        <w:gridCol w:w="68"/>
        <w:gridCol w:w="881"/>
        <w:gridCol w:w="36"/>
        <w:gridCol w:w="68"/>
        <w:gridCol w:w="962"/>
        <w:gridCol w:w="36"/>
        <w:gridCol w:w="36"/>
        <w:gridCol w:w="36"/>
        <w:gridCol w:w="36"/>
      </w:tblGrid>
      <w:tr w:rsidR="00000000">
        <w:trPr>
          <w:divId w:val="374231582"/>
        </w:trPr>
        <w:tc>
          <w:tcPr>
            <w:tcW w:w="50" w:type="pct"/>
            <w:vAlign w:val="center"/>
            <w:hideMark/>
          </w:tcPr>
          <w:p w:rsidR="00000000" w:rsidRDefault="009E01B0">
            <w:pPr>
              <w:rPr>
                <w:rFonts w:eastAsia="Times New Roman"/>
              </w:rPr>
            </w:pPr>
          </w:p>
        </w:tc>
        <w:tc>
          <w:tcPr>
            <w:tcW w:w="498"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81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2264"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46"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9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74231582"/>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8"/>
                <w:szCs w:val="18"/>
              </w:rPr>
              <w:t>Company</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8"/>
                <w:szCs w:val="18"/>
              </w:rPr>
              <w:t>Repayment Date</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8"/>
                <w:szCs w:val="18"/>
              </w:rPr>
              <w:t>Principal Amount</w:t>
            </w:r>
          </w:p>
        </w:tc>
        <w:tc>
          <w:tcPr>
            <w:tcW w:w="0" w:type="auto"/>
            <w:gridSpan w:val="3"/>
            <w:vAlign w:val="center"/>
            <w:hideMark/>
          </w:tcPr>
          <w:p w:rsidR="00000000" w:rsidRDefault="009E01B0">
            <w:pPr>
              <w:jc w:val="right"/>
              <w:rPr>
                <w:rFonts w:eastAsia="Times New Roman"/>
              </w:rPr>
            </w:pPr>
          </w:p>
        </w:tc>
      </w:tr>
      <w:tr w:rsidR="00000000">
        <w:trPr>
          <w:divId w:val="374231582"/>
        </w:trPr>
        <w:tc>
          <w:tcPr>
            <w:tcW w:w="0" w:type="auto"/>
            <w:gridSpan w:val="9"/>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74231582"/>
        </w:trPr>
        <w:tc>
          <w:tcPr>
            <w:tcW w:w="0" w:type="auto"/>
            <w:gridSpan w:val="6"/>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Enbridge Inc.</w:t>
            </w:r>
          </w:p>
        </w:tc>
        <w:tc>
          <w:tcPr>
            <w:tcW w:w="0" w:type="auto"/>
            <w:gridSpan w:val="6"/>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74231582"/>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374231582"/>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February 2021</w:t>
            </w:r>
          </w:p>
        </w:tc>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4.26% medium-term notes</w:t>
            </w:r>
          </w:p>
        </w:tc>
        <w:tc>
          <w:tcPr>
            <w:tcW w:w="0" w:type="auto"/>
            <w:gridSpan w:val="3"/>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8"/>
                <w:szCs w:val="18"/>
              </w:rPr>
              <w:t>$200</w:t>
            </w:r>
          </w:p>
        </w:tc>
        <w:tc>
          <w:tcPr>
            <w:tcW w:w="0" w:type="auto"/>
            <w:gridSpan w:val="3"/>
            <w:vAlign w:val="center"/>
            <w:hideMark/>
          </w:tcPr>
          <w:p w:rsidR="00000000" w:rsidRDefault="009E01B0">
            <w:pPr>
              <w:jc w:val="right"/>
              <w:rPr>
                <w:rFonts w:eastAsia="Times New Roman"/>
              </w:rPr>
            </w:pPr>
          </w:p>
        </w:tc>
      </w:tr>
      <w:tr w:rsidR="00000000">
        <w:trPr>
          <w:divId w:val="374231582"/>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March 2021</w:t>
            </w:r>
          </w:p>
        </w:tc>
        <w:tc>
          <w:tcPr>
            <w:tcW w:w="0" w:type="auto"/>
            <w:gridSpan w:val="6"/>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3.16% medium-term notes</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8"/>
                <w:szCs w:val="18"/>
              </w:rPr>
              <w:t>$400</w:t>
            </w:r>
          </w:p>
        </w:tc>
        <w:tc>
          <w:tcPr>
            <w:tcW w:w="0" w:type="auto"/>
            <w:gridSpan w:val="3"/>
            <w:vAlign w:val="center"/>
            <w:hideMark/>
          </w:tcPr>
          <w:p w:rsidR="00000000" w:rsidRDefault="009E01B0">
            <w:pPr>
              <w:jc w:val="right"/>
              <w:rPr>
                <w:rFonts w:eastAsia="Times New Roman"/>
              </w:rPr>
            </w:pPr>
          </w:p>
        </w:tc>
      </w:tr>
      <w:tr w:rsidR="00000000">
        <w:trPr>
          <w:divId w:val="374231582"/>
        </w:trPr>
        <w:tc>
          <w:tcPr>
            <w:tcW w:w="0" w:type="auto"/>
            <w:gridSpan w:val="9"/>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Spectra Energy Partners, LP</w:t>
            </w:r>
          </w:p>
        </w:tc>
        <w:tc>
          <w:tcPr>
            <w:tcW w:w="0" w:type="auto"/>
            <w:gridSpan w:val="3"/>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74231582"/>
        </w:trPr>
        <w:tc>
          <w:tcPr>
            <w:tcW w:w="0" w:type="auto"/>
            <w:gridSpan w:val="3"/>
            <w:tcBorders>
              <w:bottom w:val="single" w:sz="1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bottom w:val="single" w:sz="1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March 2021</w:t>
            </w:r>
          </w:p>
        </w:tc>
        <w:tc>
          <w:tcPr>
            <w:tcW w:w="0" w:type="auto"/>
            <w:gridSpan w:val="3"/>
            <w:tcBorders>
              <w:bottom w:val="single" w:sz="1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4.60% senior notes</w:t>
            </w: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bottom w:val="single" w:sz="1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8"/>
                <w:szCs w:val="18"/>
              </w:rPr>
              <w:t>US$250</w:t>
            </w:r>
          </w:p>
        </w:tc>
        <w:tc>
          <w:tcPr>
            <w:tcW w:w="0" w:type="auto"/>
            <w:gridSpan w:val="3"/>
            <w:vAlign w:val="center"/>
            <w:hideMark/>
          </w:tcPr>
          <w:p w:rsidR="00000000" w:rsidRDefault="009E01B0">
            <w:pPr>
              <w:jc w:val="right"/>
              <w:rPr>
                <w:rFonts w:eastAsia="Times New Roman"/>
              </w:rPr>
            </w:pPr>
          </w:p>
        </w:tc>
      </w:tr>
    </w:tbl>
    <w:p w:rsidR="00000000" w:rsidRDefault="009E01B0">
      <w:pPr>
        <w:divId w:val="2011522362"/>
        <w:rPr>
          <w:rFonts w:eastAsia="Times New Roman"/>
        </w:rPr>
      </w:pPr>
    </w:p>
    <w:p w:rsidR="00000000" w:rsidRDefault="009E01B0">
      <w:pPr>
        <w:divId w:val="2110082143"/>
        <w:rPr>
          <w:rFonts w:eastAsia="Times New Roman"/>
        </w:rPr>
      </w:pPr>
      <w:r>
        <w:rPr>
          <w:rFonts w:ascii="Arial" w:eastAsia="Times New Roman" w:hAnsi="Arial" w:cs="Arial"/>
          <w:b/>
          <w:bCs/>
          <w:color w:val="000000"/>
          <w:sz w:val="20"/>
          <w:szCs w:val="20"/>
        </w:rPr>
        <w:t>SUBORDINATED TERM NOTES</w:t>
      </w:r>
    </w:p>
    <w:p w:rsidR="00000000" w:rsidRDefault="009E01B0">
      <w:pPr>
        <w:divId w:val="1838575776"/>
        <w:rPr>
          <w:rFonts w:eastAsia="Times New Roman"/>
        </w:rPr>
      </w:pPr>
      <w:r>
        <w:rPr>
          <w:rFonts w:ascii="Arial" w:eastAsia="Times New Roman" w:hAnsi="Arial" w:cs="Arial"/>
          <w:color w:val="000000"/>
          <w:sz w:val="20"/>
          <w:szCs w:val="20"/>
        </w:rPr>
        <w:t>As at March 31, 2021 and December </w:t>
      </w:r>
      <w:r>
        <w:rPr>
          <w:rFonts w:ascii="Arial" w:eastAsia="Times New Roman" w:hAnsi="Arial" w:cs="Arial"/>
          <w:color w:val="000000"/>
          <w:sz w:val="20"/>
          <w:szCs w:val="20"/>
        </w:rPr>
        <w:t>31, 2020, our fixed-to-floating and fixed-to-fixed subordinated term notes had a principal value of $7.7 billion and $7.8 billion, respectively.</w:t>
      </w:r>
    </w:p>
    <w:p w:rsidR="00000000" w:rsidRDefault="009E01B0">
      <w:pPr>
        <w:divId w:val="1104306020"/>
        <w:rPr>
          <w:rFonts w:eastAsia="Times New Roman"/>
        </w:rPr>
      </w:pPr>
    </w:p>
    <w:p w:rsidR="00000000" w:rsidRDefault="009E01B0">
      <w:pPr>
        <w:divId w:val="523858829"/>
        <w:rPr>
          <w:rFonts w:eastAsia="Times New Roman"/>
        </w:rPr>
      </w:pPr>
      <w:r>
        <w:rPr>
          <w:rFonts w:ascii="Arial" w:eastAsia="Times New Roman" w:hAnsi="Arial" w:cs="Arial"/>
          <w:b/>
          <w:bCs/>
          <w:color w:val="000000"/>
          <w:sz w:val="20"/>
          <w:szCs w:val="20"/>
        </w:rPr>
        <w:t>FAIR VALUE ADJUSTMENT</w:t>
      </w:r>
    </w:p>
    <w:p w:rsidR="00000000" w:rsidRDefault="009E01B0">
      <w:pPr>
        <w:divId w:val="66541711"/>
        <w:rPr>
          <w:rFonts w:eastAsia="Times New Roman"/>
        </w:rPr>
      </w:pPr>
      <w:r>
        <w:rPr>
          <w:rFonts w:ascii="Arial" w:eastAsia="Times New Roman" w:hAnsi="Arial" w:cs="Arial"/>
          <w:color w:val="000000"/>
          <w:sz w:val="20"/>
          <w:szCs w:val="20"/>
        </w:rPr>
        <w:t>As at March 31, 2021 and December 31, 2020, the net fair value adjustments for total de</w:t>
      </w:r>
      <w:r>
        <w:rPr>
          <w:rFonts w:ascii="Arial" w:eastAsia="Times New Roman" w:hAnsi="Arial" w:cs="Arial"/>
          <w:color w:val="000000"/>
          <w:sz w:val="20"/>
          <w:szCs w:val="20"/>
        </w:rPr>
        <w:t xml:space="preserve">bt assumed in the acquisition of Spectra Energy Corp were $726 million and $750 million, respectively. During the three months ended March 31, 2021 and 2020, the amortization of the fair value adjustment, recorded as a reduction to Interest expense in the </w:t>
      </w:r>
      <w:r>
        <w:rPr>
          <w:rFonts w:ascii="Arial" w:eastAsia="Times New Roman" w:hAnsi="Arial" w:cs="Arial"/>
          <w:color w:val="000000"/>
          <w:sz w:val="20"/>
          <w:szCs w:val="20"/>
        </w:rPr>
        <w:t xml:space="preserve">Consolidated Statements of Earnings, was $12 million and $15 million, respectively. </w:t>
      </w:r>
    </w:p>
    <w:p w:rsidR="00000000" w:rsidRDefault="009E01B0">
      <w:pPr>
        <w:divId w:val="288360154"/>
        <w:rPr>
          <w:rFonts w:eastAsia="Times New Roman"/>
        </w:rPr>
      </w:pPr>
    </w:p>
    <w:p w:rsidR="00000000" w:rsidRDefault="009E01B0">
      <w:pPr>
        <w:divId w:val="1378820266"/>
        <w:rPr>
          <w:rFonts w:eastAsia="Times New Roman"/>
        </w:rPr>
      </w:pPr>
      <w:r>
        <w:rPr>
          <w:rFonts w:ascii="Arial" w:eastAsia="Times New Roman" w:hAnsi="Arial" w:cs="Arial"/>
          <w:b/>
          <w:bCs/>
          <w:color w:val="000000"/>
          <w:sz w:val="20"/>
          <w:szCs w:val="20"/>
        </w:rPr>
        <w:t>DEBT COVENANTS</w:t>
      </w:r>
    </w:p>
    <w:p w:rsidR="00000000" w:rsidRDefault="009E01B0">
      <w:pPr>
        <w:divId w:val="553393353"/>
        <w:rPr>
          <w:rFonts w:eastAsia="Times New Roman"/>
        </w:rPr>
      </w:pPr>
      <w:r>
        <w:rPr>
          <w:rFonts w:ascii="Arial" w:eastAsia="Times New Roman" w:hAnsi="Arial" w:cs="Arial"/>
          <w:color w:val="000000"/>
          <w:sz w:val="20"/>
          <w:szCs w:val="20"/>
        </w:rPr>
        <w:t xml:space="preserve">Our credit facility agreements and term debt indentures include standard events of default and covenant provisions whereby accelerated repayment and/or termination of the agreements may result if we were to default on payment or violate certain covenants. </w:t>
      </w:r>
      <w:r>
        <w:rPr>
          <w:rFonts w:ascii="Arial" w:eastAsia="Times New Roman" w:hAnsi="Arial" w:cs="Arial"/>
          <w:color w:val="000000"/>
          <w:sz w:val="20"/>
          <w:szCs w:val="20"/>
        </w:rPr>
        <w:t xml:space="preserve">As at March 31, 2021, we were in compliance with all debt covenants. </w:t>
      </w:r>
    </w:p>
    <w:p w:rsidR="00000000" w:rsidRDefault="009E01B0">
      <w:pPr>
        <w:divId w:val="1587500610"/>
        <w:rPr>
          <w:rFonts w:eastAsia="Times New Roman"/>
        </w:rPr>
      </w:pPr>
    </w:p>
    <w:p w:rsidR="00000000" w:rsidRDefault="009E01B0">
      <w:pPr>
        <w:jc w:val="center"/>
        <w:divId w:val="1034428768"/>
        <w:rPr>
          <w:rFonts w:eastAsia="Times New Roman"/>
        </w:rPr>
      </w:pPr>
      <w:r>
        <w:rPr>
          <w:rFonts w:ascii="Arial" w:eastAsia="Times New Roman" w:hAnsi="Arial" w:cs="Arial"/>
          <w:color w:val="000000"/>
          <w:sz w:val="20"/>
          <w:szCs w:val="20"/>
        </w:rPr>
        <w:t>18</w:t>
      </w:r>
    </w:p>
    <w:p w:rsidR="00000000" w:rsidRDefault="009E01B0">
      <w:pPr>
        <w:rPr>
          <w:rFonts w:eastAsia="Times New Roman"/>
        </w:rPr>
      </w:pPr>
      <w:r>
        <w:rPr>
          <w:rFonts w:eastAsia="Times New Roman"/>
        </w:rPr>
        <w:pict>
          <v:rect id="_x0000_i1043" style="width:0;height:1.5pt" o:hralign="center" o:hrstd="t" o:hr="t" fillcolor="#a0a0a0" stroked="f"/>
        </w:pict>
      </w:r>
    </w:p>
    <w:p w:rsidR="00000000" w:rsidRDefault="009E01B0">
      <w:pPr>
        <w:jc w:val="center"/>
        <w:divId w:val="1716467838"/>
        <w:rPr>
          <w:rFonts w:eastAsia="Times New Roman"/>
        </w:rPr>
      </w:pPr>
    </w:p>
    <w:p w:rsidR="00000000" w:rsidRDefault="009E01B0">
      <w:pPr>
        <w:jc w:val="center"/>
        <w:divId w:val="1716467838"/>
        <w:rPr>
          <w:rFonts w:eastAsia="Times New Roman"/>
        </w:rPr>
      </w:pPr>
    </w:p>
    <w:p w:rsidR="00000000" w:rsidRDefault="009E01B0">
      <w:pPr>
        <w:ind w:hanging="720"/>
        <w:divId w:val="1489906548"/>
        <w:rPr>
          <w:rFonts w:eastAsia="Times New Roman"/>
        </w:rPr>
      </w:pPr>
      <w:r>
        <w:rPr>
          <w:rFonts w:ascii="Arial" w:eastAsia="Times New Roman" w:hAnsi="Arial" w:cs="Arial"/>
          <w:b/>
          <w:bCs/>
          <w:color w:val="000000"/>
          <w:sz w:val="26"/>
          <w:szCs w:val="26"/>
        </w:rPr>
        <w:t>7. COMPONENTS OF ACCUMULATED OTHER COMPREHENSIVE INCOME</w:t>
      </w:r>
    </w:p>
    <w:p w:rsidR="00000000" w:rsidRDefault="009E01B0">
      <w:pPr>
        <w:divId w:val="623314050"/>
        <w:rPr>
          <w:rFonts w:eastAsia="Times New Roman"/>
        </w:rPr>
      </w:pPr>
      <w:r>
        <w:rPr>
          <w:rFonts w:ascii="Arial" w:eastAsia="Times New Roman" w:hAnsi="Arial" w:cs="Arial"/>
          <w:color w:val="000000"/>
          <w:sz w:val="20"/>
          <w:szCs w:val="20"/>
        </w:rPr>
        <w:t> </w:t>
      </w:r>
    </w:p>
    <w:p w:rsidR="00000000" w:rsidRDefault="009E01B0">
      <w:pPr>
        <w:divId w:val="1983197150"/>
        <w:rPr>
          <w:rFonts w:eastAsia="Times New Roman"/>
        </w:rPr>
      </w:pPr>
      <w:r>
        <w:rPr>
          <w:rFonts w:ascii="Arial" w:eastAsia="Times New Roman" w:hAnsi="Arial" w:cs="Arial"/>
          <w:color w:val="000000"/>
          <w:sz w:val="20"/>
          <w:szCs w:val="20"/>
        </w:rPr>
        <w:t>Changes in Accumulated Other Comprehensive Income (AOCI) attributable to our common shareholders for the three months ended March 31, 2021 and 2020 are as follows:</w:t>
      </w:r>
    </w:p>
    <w:tbl>
      <w:tblPr>
        <w:tblW w:w="5000" w:type="pct"/>
        <w:tblCellMar>
          <w:top w:w="15" w:type="dxa"/>
          <w:left w:w="15" w:type="dxa"/>
          <w:bottom w:w="15" w:type="dxa"/>
          <w:right w:w="15" w:type="dxa"/>
        </w:tblCellMar>
        <w:tblLook w:val="04A0" w:firstRow="1" w:lastRow="0" w:firstColumn="1" w:lastColumn="0" w:noHBand="0" w:noVBand="1"/>
      </w:tblPr>
      <w:tblGrid>
        <w:gridCol w:w="49"/>
        <w:gridCol w:w="2632"/>
        <w:gridCol w:w="38"/>
        <w:gridCol w:w="67"/>
        <w:gridCol w:w="601"/>
        <w:gridCol w:w="36"/>
        <w:gridCol w:w="86"/>
        <w:gridCol w:w="854"/>
        <w:gridCol w:w="36"/>
        <w:gridCol w:w="85"/>
        <w:gridCol w:w="730"/>
        <w:gridCol w:w="36"/>
        <w:gridCol w:w="84"/>
        <w:gridCol w:w="749"/>
        <w:gridCol w:w="36"/>
        <w:gridCol w:w="80"/>
        <w:gridCol w:w="638"/>
        <w:gridCol w:w="36"/>
        <w:gridCol w:w="84"/>
        <w:gridCol w:w="749"/>
        <w:gridCol w:w="36"/>
        <w:gridCol w:w="70"/>
        <w:gridCol w:w="458"/>
        <w:gridCol w:w="36"/>
      </w:tblGrid>
      <w:tr w:rsidR="00000000">
        <w:trPr>
          <w:divId w:val="1018577144"/>
        </w:trPr>
        <w:tc>
          <w:tcPr>
            <w:tcW w:w="50" w:type="pct"/>
            <w:vAlign w:val="center"/>
            <w:hideMark/>
          </w:tcPr>
          <w:p w:rsidR="00000000" w:rsidRDefault="009E01B0">
            <w:pPr>
              <w:rPr>
                <w:rFonts w:eastAsia="Times New Roman"/>
              </w:rPr>
            </w:pPr>
          </w:p>
        </w:tc>
        <w:tc>
          <w:tcPr>
            <w:tcW w:w="160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9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3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4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0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4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2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018577144"/>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Cash Flow </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Excluded Components of Fair Value Hedges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Net</w:t>
            </w:r>
            <w:r>
              <w:rPr>
                <w:rFonts w:ascii="Arial" w:eastAsia="Times New Roman" w:hAnsi="Arial" w:cs="Arial"/>
                <w:color w:val="000000"/>
                <w:sz w:val="16"/>
                <w:szCs w:val="16"/>
              </w:rPr>
              <w:br/>
              <w:t>Investment</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Cumulative</w:t>
            </w:r>
            <w:r>
              <w:rPr>
                <w:rFonts w:ascii="Arial" w:eastAsia="Times New Roman" w:hAnsi="Arial" w:cs="Arial"/>
                <w:color w:val="000000"/>
                <w:sz w:val="16"/>
                <w:szCs w:val="16"/>
              </w:rPr>
              <w:br/>
              <w:t>Translation</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Equity</w:t>
            </w:r>
            <w:r>
              <w:rPr>
                <w:rFonts w:ascii="Arial" w:eastAsia="Times New Roman" w:hAnsi="Arial" w:cs="Arial"/>
                <w:color w:val="000000"/>
                <w:sz w:val="16"/>
                <w:szCs w:val="16"/>
              </w:rPr>
              <w:br/>
              <w:t>Investees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Pension and</w:t>
            </w:r>
            <w:r>
              <w:rPr>
                <w:rFonts w:ascii="Arial" w:eastAsia="Times New Roman" w:hAnsi="Arial" w:cs="Arial"/>
                <w:color w:val="000000"/>
                <w:sz w:val="16"/>
                <w:szCs w:val="16"/>
              </w:rPr>
              <w:br/>
              <w:t>OPEB</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Total</w:t>
            </w:r>
          </w:p>
        </w:tc>
      </w:tr>
      <w:tr w:rsidR="00000000">
        <w:trPr>
          <w:divId w:val="1018577144"/>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 </w:t>
            </w:r>
          </w:p>
        </w:tc>
      </w:tr>
      <w:tr w:rsidR="00000000">
        <w:trPr>
          <w:divId w:val="1018577144"/>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Balance as at January 1, 2021</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(1,326)</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(215)</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568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(499)</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(1,401)</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018577144"/>
        </w:trPr>
        <w:tc>
          <w:tcPr>
            <w:tcW w:w="0" w:type="auto"/>
            <w:gridSpan w:val="3"/>
            <w:tcMar>
              <w:top w:w="30" w:type="dxa"/>
              <w:left w:w="20" w:type="dxa"/>
              <w:bottom w:w="30" w:type="dxa"/>
              <w:right w:w="20" w:type="dxa"/>
            </w:tcMar>
            <w:vAlign w:val="bottom"/>
            <w:hideMark/>
          </w:tcPr>
          <w:p w:rsidR="00000000" w:rsidRDefault="009E01B0">
            <w:pPr>
              <w:ind w:hanging="180"/>
              <w:divId w:val="2018992507"/>
              <w:rPr>
                <w:rFonts w:eastAsia="Times New Roman"/>
              </w:rPr>
            </w:pPr>
            <w:r>
              <w:rPr>
                <w:rFonts w:ascii="Arial" w:eastAsia="Times New Roman" w:hAnsi="Arial" w:cs="Arial"/>
                <w:color w:val="000000"/>
                <w:sz w:val="16"/>
                <w:szCs w:val="16"/>
              </w:rPr>
              <w:t>Other comprehensive income/(loss) retained in AOCI</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493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105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(774)</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(26)</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(203)</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018577144"/>
        </w:trPr>
        <w:tc>
          <w:tcPr>
            <w:tcW w:w="0" w:type="auto"/>
            <w:gridSpan w:val="3"/>
            <w:tcMar>
              <w:top w:w="30" w:type="dxa"/>
              <w:left w:w="200" w:type="dxa"/>
              <w:bottom w:w="30" w:type="dxa"/>
              <w:right w:w="20" w:type="dxa"/>
            </w:tcMar>
            <w:vAlign w:val="bottom"/>
            <w:hideMark/>
          </w:tcPr>
          <w:p w:rsidR="00000000" w:rsidRDefault="009E01B0">
            <w:pPr>
              <w:ind w:hanging="180"/>
              <w:rPr>
                <w:rFonts w:eastAsia="Times New Roman"/>
              </w:rPr>
            </w:pPr>
            <w:r>
              <w:rPr>
                <w:rFonts w:ascii="Arial" w:eastAsia="Times New Roman" w:hAnsi="Arial" w:cs="Arial"/>
                <w:color w:val="000000"/>
                <w:sz w:val="16"/>
                <w:szCs w:val="16"/>
              </w:rPr>
              <w:t>Other comprehensive (income)/loss reclassified to earnings</w:t>
            </w:r>
          </w:p>
        </w:tc>
        <w:tc>
          <w:tcPr>
            <w:tcW w:w="0" w:type="auto"/>
            <w:gridSpan w:val="3"/>
            <w:shd w:val="clear" w:color="auto" w:fill="D9D9D9"/>
            <w:tcMar>
              <w:top w:w="0" w:type="dxa"/>
              <w:left w:w="20" w:type="dxa"/>
              <w:bottom w:w="0" w:type="dxa"/>
              <w:right w:w="20" w:type="dxa"/>
            </w:tcMar>
            <w:vAlign w:val="center"/>
            <w:hideMark/>
          </w:tcPr>
          <w:p w:rsidR="00000000" w:rsidRDefault="009E01B0">
            <w:pPr>
              <w:ind w:hanging="18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018577144"/>
        </w:trPr>
        <w:tc>
          <w:tcPr>
            <w:tcW w:w="0" w:type="auto"/>
            <w:gridSpan w:val="3"/>
            <w:tcMar>
              <w:top w:w="30" w:type="dxa"/>
              <w:left w:w="20" w:type="dxa"/>
              <w:bottom w:w="30" w:type="dxa"/>
              <w:right w:w="20" w:type="dxa"/>
            </w:tcMar>
            <w:vAlign w:val="bottom"/>
            <w:hideMark/>
          </w:tcPr>
          <w:p w:rsidR="00000000" w:rsidRDefault="009E01B0">
            <w:pPr>
              <w:divId w:val="1584950058"/>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8"/>
                <w:szCs w:val="8"/>
              </w:rPr>
              <w:t>1</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018577144"/>
        </w:trPr>
        <w:tc>
          <w:tcPr>
            <w:tcW w:w="0" w:type="auto"/>
            <w:gridSpan w:val="3"/>
            <w:tcMar>
              <w:top w:w="30" w:type="dxa"/>
              <w:left w:w="20" w:type="dxa"/>
              <w:bottom w:w="30" w:type="dxa"/>
              <w:right w:w="20" w:type="dxa"/>
            </w:tcMar>
            <w:vAlign w:val="bottom"/>
            <w:hideMark/>
          </w:tcPr>
          <w:p w:rsidR="00000000" w:rsidRDefault="009E01B0">
            <w:pPr>
              <w:divId w:val="1080639647"/>
              <w:rPr>
                <w:rFonts w:eastAsia="Times New Roman"/>
              </w:rPr>
            </w:pPr>
            <w:r>
              <w:rPr>
                <w:rFonts w:ascii="Arial" w:eastAsia="Times New Roman" w:hAnsi="Arial" w:cs="Arial"/>
                <w:color w:val="000000"/>
                <w:sz w:val="16"/>
                <w:szCs w:val="16"/>
              </w:rPr>
              <w:t>Commodity contract</w:t>
            </w:r>
            <w:r>
              <w:rPr>
                <w:rFonts w:ascii="Arial" w:eastAsia="Times New Roman" w:hAnsi="Arial" w:cs="Arial"/>
                <w:color w:val="000000"/>
                <w:sz w:val="16"/>
                <w:szCs w:val="16"/>
              </w:rPr>
              <w:t>s</w:t>
            </w:r>
            <w:r>
              <w:rPr>
                <w:rFonts w:ascii="Arial" w:eastAsia="Times New Roman" w:hAnsi="Arial" w:cs="Arial"/>
                <w:color w:val="000000"/>
                <w:sz w:val="8"/>
                <w:szCs w:val="8"/>
              </w:rPr>
              <w:t>2</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018577144"/>
        </w:trPr>
        <w:tc>
          <w:tcPr>
            <w:tcW w:w="0" w:type="auto"/>
            <w:gridSpan w:val="3"/>
            <w:tcMar>
              <w:top w:w="30" w:type="dxa"/>
              <w:left w:w="20" w:type="dxa"/>
              <w:bottom w:w="30" w:type="dxa"/>
              <w:right w:w="20" w:type="dxa"/>
            </w:tcMar>
            <w:vAlign w:val="bottom"/>
            <w:hideMark/>
          </w:tcPr>
          <w:p w:rsidR="00000000" w:rsidRDefault="009E01B0">
            <w:pPr>
              <w:divId w:val="1041200012"/>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8"/>
                <w:szCs w:val="8"/>
              </w:rPr>
              <w:t>3</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018577144"/>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018577144"/>
        </w:trPr>
        <w:tc>
          <w:tcPr>
            <w:tcW w:w="0" w:type="auto"/>
            <w:gridSpan w:val="3"/>
            <w:tcMar>
              <w:top w:w="30" w:type="dxa"/>
              <w:left w:w="20" w:type="dxa"/>
              <w:bottom w:w="30" w:type="dxa"/>
              <w:right w:w="20" w:type="dxa"/>
            </w:tcMar>
            <w:hideMark/>
          </w:tcPr>
          <w:p w:rsidR="00000000" w:rsidRDefault="009E01B0">
            <w:pPr>
              <w:ind w:hanging="180"/>
              <w:divId w:val="1926300676"/>
              <w:rPr>
                <w:rFonts w:eastAsia="Times New Roman"/>
              </w:rPr>
            </w:pPr>
            <w:r>
              <w:rPr>
                <w:rFonts w:ascii="Arial" w:eastAsia="Times New Roman" w:hAnsi="Arial" w:cs="Arial"/>
                <w:color w:val="000000"/>
                <w:sz w:val="16"/>
                <w:szCs w:val="16"/>
              </w:rPr>
              <w:t>Amortization of pension and OPEB actuarial loss and prior service cost</w:t>
            </w:r>
            <w:r>
              <w:rPr>
                <w:rFonts w:ascii="Arial" w:eastAsia="Times New Roman" w:hAnsi="Arial" w:cs="Arial"/>
                <w:color w:val="000000"/>
                <w:sz w:val="16"/>
                <w:szCs w:val="16"/>
              </w:rPr>
              <w:t>s</w:t>
            </w:r>
            <w:r>
              <w:rPr>
                <w:rFonts w:ascii="Arial" w:eastAsia="Times New Roman" w:hAnsi="Arial" w:cs="Arial"/>
                <w:color w:val="000000"/>
                <w:sz w:val="8"/>
                <w:szCs w:val="8"/>
              </w:rPr>
              <w:t>4</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018577144"/>
        </w:trPr>
        <w:tc>
          <w:tcPr>
            <w:tcW w:w="0" w:type="auto"/>
            <w:gridSpan w:val="3"/>
            <w:tcMar>
              <w:top w:w="30" w:type="dxa"/>
              <w:left w:w="380" w:type="dxa"/>
              <w:bottom w:w="30" w:type="dxa"/>
              <w:right w:w="20" w:type="dxa"/>
            </w:tcMar>
            <w:hideMark/>
          </w:tcPr>
          <w:p w:rsidR="00000000" w:rsidRDefault="009E01B0">
            <w:pPr>
              <w:ind w:hanging="18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(20)</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018577144"/>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575</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105</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(794)</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(23)</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(131)</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018577144"/>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Tax impact</w:t>
            </w:r>
          </w:p>
        </w:tc>
        <w:tc>
          <w:tcPr>
            <w:tcW w:w="0" w:type="auto"/>
            <w:gridSpan w:val="3"/>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r>
      <w:tr w:rsidR="00000000">
        <w:trPr>
          <w:divId w:val="1018577144"/>
        </w:trPr>
        <w:tc>
          <w:tcPr>
            <w:tcW w:w="0" w:type="auto"/>
            <w:gridSpan w:val="3"/>
            <w:tcMar>
              <w:top w:w="30" w:type="dxa"/>
              <w:left w:w="380" w:type="dxa"/>
              <w:bottom w:w="30" w:type="dxa"/>
              <w:right w:w="20" w:type="dxa"/>
            </w:tcMar>
            <w:vAlign w:val="bottom"/>
            <w:hideMark/>
          </w:tcPr>
          <w:p w:rsidR="00000000" w:rsidRDefault="009E01B0">
            <w:pPr>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(120)</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(12)</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(128)</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018577144"/>
        </w:trPr>
        <w:tc>
          <w:tcPr>
            <w:tcW w:w="0" w:type="auto"/>
            <w:gridSpan w:val="3"/>
            <w:tcMar>
              <w:top w:w="30" w:type="dxa"/>
              <w:left w:w="380" w:type="dxa"/>
              <w:bottom w:w="30" w:type="dxa"/>
              <w:right w:w="20" w:type="dxa"/>
            </w:tcMar>
            <w:vAlign w:val="bottom"/>
            <w:hideMark/>
          </w:tcPr>
          <w:p w:rsidR="00000000" w:rsidRDefault="009E01B0">
            <w:pPr>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(13)</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(15)</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018577144"/>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(133)</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(12)</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(143)</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1018577144"/>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018577144"/>
        </w:trPr>
        <w:tc>
          <w:tcPr>
            <w:tcW w:w="0" w:type="auto"/>
            <w:gridSpan w:val="3"/>
            <w:tcBorders>
              <w:top w:val="single" w:sz="8" w:space="0" w:color="000000"/>
              <w:bottom w:val="single" w:sz="12"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Balance as at March 31, 2021</w:t>
            </w: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(884)</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(122)</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(226)</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47</w:t>
            </w:r>
            <w:r>
              <w:rPr>
                <w:rFonts w:ascii="Arial" w:eastAsia="Times New Roman" w:hAnsi="Arial" w:cs="Arial"/>
                <w:color w:val="000000"/>
                <w:sz w:val="16"/>
                <w:szCs w:val="16"/>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(494)</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16"/>
                <w:szCs w:val="16"/>
              </w:rPr>
              <w:t>(1,675)</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662"/>
        <w:gridCol w:w="144"/>
        <w:gridCol w:w="144"/>
        <w:gridCol w:w="652"/>
        <w:gridCol w:w="144"/>
        <w:gridCol w:w="144"/>
        <w:gridCol w:w="825"/>
        <w:gridCol w:w="144"/>
        <w:gridCol w:w="144"/>
        <w:gridCol w:w="719"/>
        <w:gridCol w:w="144"/>
        <w:gridCol w:w="144"/>
        <w:gridCol w:w="745"/>
        <w:gridCol w:w="144"/>
        <w:gridCol w:w="144"/>
        <w:gridCol w:w="666"/>
        <w:gridCol w:w="144"/>
        <w:gridCol w:w="144"/>
        <w:gridCol w:w="745"/>
        <w:gridCol w:w="144"/>
        <w:gridCol w:w="144"/>
        <w:gridCol w:w="546"/>
        <w:gridCol w:w="144"/>
      </w:tblGrid>
      <w:tr w:rsidR="00000000">
        <w:tc>
          <w:tcPr>
            <w:tcW w:w="50" w:type="pct"/>
            <w:vAlign w:val="center"/>
            <w:hideMark/>
          </w:tcPr>
          <w:p w:rsidR="00000000" w:rsidRDefault="009E01B0">
            <w:pPr>
              <w:rPr>
                <w:rFonts w:eastAsia="Times New Roman"/>
              </w:rPr>
            </w:pPr>
          </w:p>
        </w:tc>
        <w:tc>
          <w:tcPr>
            <w:tcW w:w="160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9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3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4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0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4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2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Cash Flow</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Excluded Components of Fair Value Hedges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Net</w:t>
            </w:r>
            <w:r>
              <w:rPr>
                <w:rFonts w:ascii="Arial" w:eastAsia="Times New Roman" w:hAnsi="Arial" w:cs="Arial"/>
                <w:color w:val="000000"/>
                <w:sz w:val="16"/>
                <w:szCs w:val="16"/>
              </w:rPr>
              <w:br/>
              <w:t>Investment</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Cumulative</w:t>
            </w:r>
            <w:r>
              <w:rPr>
                <w:rFonts w:ascii="Arial" w:eastAsia="Times New Roman" w:hAnsi="Arial" w:cs="Arial"/>
                <w:color w:val="000000"/>
                <w:sz w:val="16"/>
                <w:szCs w:val="16"/>
              </w:rPr>
              <w:br/>
            </w:r>
            <w:r>
              <w:rPr>
                <w:rFonts w:ascii="Arial" w:eastAsia="Times New Roman" w:hAnsi="Arial" w:cs="Arial"/>
                <w:color w:val="000000"/>
                <w:sz w:val="16"/>
                <w:szCs w:val="16"/>
              </w:rPr>
              <w:t>Translation</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Equity</w:t>
            </w:r>
            <w:r>
              <w:rPr>
                <w:rFonts w:ascii="Arial" w:eastAsia="Times New Roman" w:hAnsi="Arial" w:cs="Arial"/>
                <w:color w:val="000000"/>
                <w:sz w:val="16"/>
                <w:szCs w:val="16"/>
              </w:rPr>
              <w:br/>
              <w:t>Investees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Pension and</w:t>
            </w:r>
            <w:r>
              <w:rPr>
                <w:rFonts w:ascii="Arial" w:eastAsia="Times New Roman" w:hAnsi="Arial" w:cs="Arial"/>
                <w:color w:val="000000"/>
                <w:sz w:val="16"/>
                <w:szCs w:val="16"/>
              </w:rPr>
              <w:br/>
              <w:t>OPEB</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Total</w:t>
            </w:r>
          </w:p>
        </w:tc>
      </w:tr>
      <w:tr w:rsidR="00000000">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Balance as at January 1, 2020</w:t>
            </w: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(1,073)</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(317)</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1,396 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67 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(345)</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(272)</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9E01B0">
            <w:pPr>
              <w:ind w:hanging="180"/>
              <w:divId w:val="2028480016"/>
              <w:rPr>
                <w:rFonts w:eastAsia="Times New Roman"/>
              </w:rPr>
            </w:pPr>
            <w:r>
              <w:rPr>
                <w:rFonts w:ascii="Arial" w:eastAsia="Times New Roman" w:hAnsi="Arial" w:cs="Arial"/>
                <w:color w:val="000000"/>
                <w:sz w:val="16"/>
                <w:szCs w:val="16"/>
              </w:rPr>
              <w:t>Other comprehensive income/(loss) retained in AOCI</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(693)</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(715)</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5,459 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(7)</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4,047 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c>
          <w:tcPr>
            <w:tcW w:w="0" w:type="auto"/>
            <w:gridSpan w:val="3"/>
            <w:tcMar>
              <w:top w:w="30" w:type="dxa"/>
              <w:left w:w="200" w:type="dxa"/>
              <w:bottom w:w="30" w:type="dxa"/>
              <w:right w:w="20" w:type="dxa"/>
            </w:tcMar>
            <w:vAlign w:val="bottom"/>
            <w:hideMark/>
          </w:tcPr>
          <w:p w:rsidR="00000000" w:rsidRDefault="009E01B0">
            <w:pPr>
              <w:ind w:hanging="180"/>
              <w:rPr>
                <w:rFonts w:eastAsia="Times New Roman"/>
              </w:rPr>
            </w:pPr>
            <w:r>
              <w:rPr>
                <w:rFonts w:ascii="Arial" w:eastAsia="Times New Roman" w:hAnsi="Arial" w:cs="Arial"/>
                <w:color w:val="000000"/>
                <w:sz w:val="16"/>
                <w:szCs w:val="16"/>
              </w:rPr>
              <w:t>Other comprehensive loss reclassified to earnings</w:t>
            </w:r>
          </w:p>
        </w:tc>
        <w:tc>
          <w:tcPr>
            <w:tcW w:w="0" w:type="auto"/>
            <w:gridSpan w:val="3"/>
            <w:tcMar>
              <w:top w:w="0" w:type="dxa"/>
              <w:left w:w="20" w:type="dxa"/>
              <w:bottom w:w="0" w:type="dxa"/>
              <w:right w:w="20" w:type="dxa"/>
            </w:tcMar>
            <w:vAlign w:val="center"/>
            <w:hideMark/>
          </w:tcPr>
          <w:p w:rsidR="00000000" w:rsidRDefault="009E01B0">
            <w:pPr>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E01B0">
            <w:pPr>
              <w:divId w:val="875042019"/>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8"/>
                <w:szCs w:val="8"/>
              </w:rPr>
              <w:t>1</w:t>
            </w: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43 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43 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E01B0">
            <w:pPr>
              <w:divId w:val="1151099682"/>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8"/>
                <w:szCs w:val="8"/>
              </w:rPr>
              <w:t>3</w:t>
            </w: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9E01B0">
            <w:pPr>
              <w:jc w:val="right"/>
              <w:rPr>
                <w:rFonts w:eastAsia="Times New Roman"/>
              </w:rPr>
            </w:pPr>
          </w:p>
        </w:tc>
      </w:tr>
      <w:tr w:rsidR="00000000">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9E01B0">
            <w:pPr>
              <w:ind w:hanging="180"/>
              <w:divId w:val="791675869"/>
              <w:rPr>
                <w:rFonts w:eastAsia="Times New Roman"/>
              </w:rPr>
            </w:pPr>
            <w:r>
              <w:rPr>
                <w:rFonts w:ascii="Arial" w:eastAsia="Times New Roman" w:hAnsi="Arial" w:cs="Arial"/>
                <w:color w:val="000000"/>
                <w:sz w:val="16"/>
                <w:szCs w:val="16"/>
              </w:rPr>
              <w:t>Amortization of pension and OPEB actuarial loss and prior service cost</w:t>
            </w:r>
            <w:r>
              <w:rPr>
                <w:rFonts w:ascii="Arial" w:eastAsia="Times New Roman" w:hAnsi="Arial" w:cs="Arial"/>
                <w:color w:val="000000"/>
                <w:sz w:val="16"/>
                <w:szCs w:val="16"/>
              </w:rPr>
              <w:t>s</w:t>
            </w:r>
            <w:r>
              <w:rPr>
                <w:rFonts w:ascii="Arial" w:eastAsia="Times New Roman" w:hAnsi="Arial" w:cs="Arial"/>
                <w:color w:val="000000"/>
                <w:sz w:val="8"/>
                <w:szCs w:val="8"/>
              </w:rPr>
              <w:t>4</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(649)</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3 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(715)</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5,459 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(7)</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4</w:t>
            </w: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4,095 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Tax impact</w:t>
            </w:r>
          </w:p>
        </w:tc>
        <w:tc>
          <w:tcPr>
            <w:tcW w:w="0" w:type="auto"/>
            <w:gridSpan w:val="3"/>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r>
      <w:tr w:rsidR="00000000">
        <w:tc>
          <w:tcPr>
            <w:tcW w:w="0" w:type="auto"/>
            <w:gridSpan w:val="3"/>
            <w:tcMar>
              <w:top w:w="30" w:type="dxa"/>
              <w:left w:w="380" w:type="dxa"/>
              <w:bottom w:w="30" w:type="dxa"/>
              <w:right w:w="20" w:type="dxa"/>
            </w:tcMar>
            <w:vAlign w:val="bottom"/>
            <w:hideMark/>
          </w:tcPr>
          <w:p w:rsidR="00000000" w:rsidRDefault="009E01B0">
            <w:pPr>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182 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179 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c>
          <w:tcPr>
            <w:tcW w:w="0" w:type="auto"/>
            <w:gridSpan w:val="3"/>
            <w:tcMar>
              <w:top w:w="30" w:type="dxa"/>
              <w:left w:w="380" w:type="dxa"/>
              <w:bottom w:w="30" w:type="dxa"/>
              <w:right w:w="20" w:type="dxa"/>
            </w:tcMar>
            <w:vAlign w:val="bottom"/>
            <w:hideMark/>
          </w:tcPr>
          <w:p w:rsidR="00000000" w:rsidRDefault="009E01B0">
            <w:pPr>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(12)</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(13)</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170 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(3)</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166 </w:t>
            </w:r>
          </w:p>
        </w:tc>
        <w:tc>
          <w:tcPr>
            <w:tcW w:w="0" w:type="auto"/>
            <w:tcBorders>
              <w:top w:val="single" w:sz="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r w:rsidR="00000000">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Balance as at March 31, 2020</w:t>
            </w: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(1,552)</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3 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(1,032)</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6,855 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57 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(342)</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color w:val="000000"/>
                <w:sz w:val="16"/>
                <w:szCs w:val="16"/>
              </w:rPr>
              <w:t>3,989 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9E01B0">
            <w:pPr>
              <w:jc w:val="right"/>
              <w:rPr>
                <w:rFonts w:eastAsia="Times New Roman"/>
              </w:rPr>
            </w:pPr>
          </w:p>
        </w:tc>
      </w:tr>
    </w:tbl>
    <w:p w:rsidR="00000000" w:rsidRDefault="009E01B0">
      <w:pPr>
        <w:divId w:val="835456290"/>
        <w:rPr>
          <w:rFonts w:eastAsia="Times New Roman"/>
        </w:rPr>
      </w:pPr>
      <w:r>
        <w:rPr>
          <w:rFonts w:ascii="Arial" w:eastAsia="Times New Roman" w:hAnsi="Arial" w:cs="Arial"/>
          <w:color w:val="000000"/>
          <w:sz w:val="2"/>
          <w:szCs w:val="2"/>
        </w:rPr>
        <w:t> </w:t>
      </w:r>
    </w:p>
    <w:p w:rsidR="00000000" w:rsidRDefault="009E01B0">
      <w:pPr>
        <w:divId w:val="1260601859"/>
        <w:rPr>
          <w:rFonts w:eastAsia="Times New Roman"/>
        </w:rPr>
      </w:pPr>
      <w:r>
        <w:rPr>
          <w:rFonts w:ascii="Arial" w:eastAsia="Times New Roman" w:hAnsi="Arial" w:cs="Arial"/>
          <w:i/>
          <w:iCs/>
          <w:color w:val="000000"/>
          <w:sz w:val="16"/>
          <w:szCs w:val="16"/>
        </w:rPr>
        <w:t>1 Reported within Interest expense in the Consolidated Statements of Earnings.</w:t>
      </w:r>
    </w:p>
    <w:p w:rsidR="00000000" w:rsidRDefault="009E01B0">
      <w:pPr>
        <w:ind w:hanging="180"/>
        <w:divId w:val="2015838666"/>
        <w:rPr>
          <w:rFonts w:eastAsia="Times New Roman"/>
        </w:rPr>
      </w:pPr>
      <w:r>
        <w:rPr>
          <w:rFonts w:ascii="Arial" w:eastAsia="Times New Roman" w:hAnsi="Arial" w:cs="Arial"/>
          <w:i/>
          <w:iCs/>
          <w:color w:val="000000"/>
          <w:sz w:val="16"/>
          <w:szCs w:val="16"/>
        </w:rPr>
        <w:t>2 Reported within Transportation and other services revenues, Commodity sales revenues, Commodity costs and Operating and</w:t>
      </w:r>
    </w:p>
    <w:p w:rsidR="00000000" w:rsidRDefault="009E01B0">
      <w:pPr>
        <w:ind w:firstLine="180"/>
        <w:divId w:val="1883326716"/>
        <w:rPr>
          <w:rFonts w:eastAsia="Times New Roman"/>
        </w:rPr>
      </w:pPr>
      <w:r>
        <w:rPr>
          <w:rFonts w:ascii="Arial" w:eastAsia="Times New Roman" w:hAnsi="Arial" w:cs="Arial"/>
          <w:i/>
          <w:iCs/>
          <w:color w:val="000000"/>
          <w:sz w:val="16"/>
          <w:szCs w:val="16"/>
        </w:rPr>
        <w:t>administrative expense in the Consolidated Statements of Earnings.</w:t>
      </w:r>
    </w:p>
    <w:p w:rsidR="00000000" w:rsidRDefault="009E01B0">
      <w:pPr>
        <w:ind w:hanging="180"/>
        <w:divId w:val="2082628768"/>
        <w:rPr>
          <w:rFonts w:eastAsia="Times New Roman"/>
        </w:rPr>
      </w:pPr>
      <w:r>
        <w:rPr>
          <w:rFonts w:ascii="Arial" w:eastAsia="Times New Roman" w:hAnsi="Arial" w:cs="Arial"/>
          <w:i/>
          <w:iCs/>
          <w:color w:val="000000"/>
          <w:sz w:val="16"/>
          <w:szCs w:val="16"/>
        </w:rPr>
        <w:t>3    Reported within Transportation and other services revenues and Net foreign currency gain/(loss) in the Consolidated Statements of Earnings.</w:t>
      </w:r>
    </w:p>
    <w:p w:rsidR="00000000" w:rsidRDefault="009E01B0">
      <w:pPr>
        <w:ind w:hanging="180"/>
        <w:divId w:val="1687055809"/>
        <w:rPr>
          <w:rFonts w:eastAsia="Times New Roman"/>
        </w:rPr>
      </w:pPr>
      <w:r>
        <w:rPr>
          <w:rFonts w:ascii="Arial" w:eastAsia="Times New Roman" w:hAnsi="Arial" w:cs="Arial"/>
          <w:i/>
          <w:iCs/>
          <w:color w:val="000000"/>
          <w:sz w:val="16"/>
          <w:szCs w:val="16"/>
        </w:rPr>
        <w:t>4 These components are included in the compu</w:t>
      </w:r>
      <w:r>
        <w:rPr>
          <w:rFonts w:ascii="Arial" w:eastAsia="Times New Roman" w:hAnsi="Arial" w:cs="Arial"/>
          <w:i/>
          <w:iCs/>
          <w:color w:val="000000"/>
          <w:sz w:val="16"/>
          <w:szCs w:val="16"/>
        </w:rPr>
        <w:t>tation of net periodic benefit costs and are reported within Other income/(expense) in the Consolidated Statements of Earnings.</w:t>
      </w:r>
    </w:p>
    <w:p w:rsidR="00000000" w:rsidRDefault="009E01B0">
      <w:pPr>
        <w:divId w:val="852037249"/>
        <w:rPr>
          <w:rFonts w:eastAsia="Times New Roman"/>
        </w:rPr>
      </w:pPr>
    </w:p>
    <w:p w:rsidR="00000000" w:rsidRDefault="009E01B0">
      <w:pPr>
        <w:jc w:val="center"/>
        <w:divId w:val="1689600856"/>
        <w:rPr>
          <w:rFonts w:eastAsia="Times New Roman"/>
        </w:rPr>
      </w:pPr>
      <w:r>
        <w:rPr>
          <w:rFonts w:ascii="Arial" w:eastAsia="Times New Roman" w:hAnsi="Arial" w:cs="Arial"/>
          <w:color w:val="000000"/>
          <w:sz w:val="20"/>
          <w:szCs w:val="20"/>
        </w:rPr>
        <w:t>19</w:t>
      </w:r>
    </w:p>
    <w:p w:rsidR="00000000" w:rsidRDefault="009E01B0">
      <w:pPr>
        <w:rPr>
          <w:rFonts w:eastAsia="Times New Roman"/>
        </w:rPr>
      </w:pPr>
      <w:r>
        <w:rPr>
          <w:rFonts w:eastAsia="Times New Roman"/>
        </w:rPr>
        <w:pict>
          <v:rect id="_x0000_i1044" style="width:0;height:1.5pt" o:hralign="center" o:hrstd="t" o:hr="t" fillcolor="#a0a0a0" stroked="f"/>
        </w:pict>
      </w:r>
    </w:p>
    <w:p w:rsidR="00000000" w:rsidRDefault="009E01B0">
      <w:pPr>
        <w:jc w:val="center"/>
        <w:divId w:val="1917738224"/>
        <w:rPr>
          <w:rFonts w:eastAsia="Times New Roman"/>
        </w:rPr>
      </w:pPr>
    </w:p>
    <w:p w:rsidR="00000000" w:rsidRDefault="009E01B0">
      <w:pPr>
        <w:jc w:val="center"/>
        <w:divId w:val="1917738224"/>
        <w:rPr>
          <w:rFonts w:eastAsia="Times New Roman"/>
        </w:rPr>
      </w:pPr>
    </w:p>
    <w:p w:rsidR="00000000" w:rsidRDefault="009E01B0">
      <w:pPr>
        <w:divId w:val="2114090869"/>
        <w:rPr>
          <w:rFonts w:eastAsia="Times New Roman"/>
        </w:rPr>
      </w:pPr>
      <w:r>
        <w:rPr>
          <w:rFonts w:ascii="Arial" w:eastAsia="Times New Roman" w:hAnsi="Arial" w:cs="Arial"/>
          <w:b/>
          <w:bCs/>
          <w:color w:val="000000"/>
          <w:sz w:val="26"/>
          <w:szCs w:val="26"/>
        </w:rPr>
        <w:t xml:space="preserve">8. IMPAIRMENT OF EQUITY INVESTMENTS </w:t>
      </w:r>
    </w:p>
    <w:p w:rsidR="00000000" w:rsidRDefault="009E01B0">
      <w:pPr>
        <w:divId w:val="1992758575"/>
        <w:rPr>
          <w:rFonts w:eastAsia="Times New Roman"/>
        </w:rPr>
      </w:pPr>
    </w:p>
    <w:p w:rsidR="00000000" w:rsidRDefault="009E01B0">
      <w:pPr>
        <w:divId w:val="803349972"/>
        <w:rPr>
          <w:rFonts w:eastAsia="Times New Roman"/>
        </w:rPr>
      </w:pPr>
      <w:r>
        <w:rPr>
          <w:rFonts w:ascii="Arial" w:eastAsia="Times New Roman" w:hAnsi="Arial" w:cs="Arial"/>
          <w:b/>
          <w:bCs/>
          <w:color w:val="000000"/>
          <w:sz w:val="20"/>
          <w:szCs w:val="20"/>
        </w:rPr>
        <w:t>DCP Midstream, LLC</w:t>
      </w:r>
    </w:p>
    <w:p w:rsidR="00000000" w:rsidRDefault="009E01B0">
      <w:pPr>
        <w:divId w:val="1443571507"/>
        <w:rPr>
          <w:rFonts w:eastAsia="Times New Roman"/>
        </w:rPr>
      </w:pPr>
      <w:r>
        <w:rPr>
          <w:rFonts w:ascii="Arial" w:eastAsia="Times New Roman" w:hAnsi="Arial" w:cs="Arial"/>
          <w:color w:val="000000"/>
          <w:sz w:val="20"/>
          <w:szCs w:val="20"/>
        </w:rPr>
        <w:t xml:space="preserve">DCP Midstream, LLC (DCP </w:t>
      </w:r>
      <w:r>
        <w:rPr>
          <w:rFonts w:ascii="Arial" w:eastAsia="Times New Roman" w:hAnsi="Arial" w:cs="Arial"/>
          <w:color w:val="000000"/>
          <w:sz w:val="20"/>
          <w:szCs w:val="20"/>
        </w:rPr>
        <w:t>Midstream), a 50% owned equity method investment of Enbridge, holds an equity interest in DCP Midstream, LP. A decline in the market price of DCP Midstream, LP’s publicly traded units during the first quarter of 2020 resulted in an other than temporary imp</w:t>
      </w:r>
      <w:r>
        <w:rPr>
          <w:rFonts w:ascii="Arial" w:eastAsia="Times New Roman" w:hAnsi="Arial" w:cs="Arial"/>
          <w:color w:val="000000"/>
          <w:sz w:val="20"/>
          <w:szCs w:val="20"/>
        </w:rPr>
        <w:t>airment loss on our investment in DCP Midstream of $1.7 billion for the three months ended March 31, 2020. In addition, we incurred losses of $324 million through our equity earnings pick up in relation to asset and goodwill impairment losses recorded by D</w:t>
      </w:r>
      <w:r>
        <w:rPr>
          <w:rFonts w:ascii="Arial" w:eastAsia="Times New Roman" w:hAnsi="Arial" w:cs="Arial"/>
          <w:color w:val="000000"/>
          <w:sz w:val="20"/>
          <w:szCs w:val="20"/>
        </w:rPr>
        <w:t>CP Midstream, LP during the three months ended March 31, 2020. The carrying value of our investment in DCP Midstream as at March 31, 2021 and December 31, 2020 was $328 million and $331 million, respectively.</w:t>
      </w:r>
    </w:p>
    <w:p w:rsidR="00000000" w:rsidRDefault="009E01B0">
      <w:pPr>
        <w:divId w:val="1555311328"/>
        <w:rPr>
          <w:rFonts w:eastAsia="Times New Roman"/>
        </w:rPr>
      </w:pPr>
    </w:p>
    <w:p w:rsidR="00000000" w:rsidRDefault="009E01B0">
      <w:pPr>
        <w:divId w:val="1813403406"/>
        <w:rPr>
          <w:rFonts w:eastAsia="Times New Roman"/>
        </w:rPr>
      </w:pPr>
      <w:r>
        <w:rPr>
          <w:rFonts w:ascii="Arial" w:eastAsia="Times New Roman" w:hAnsi="Arial" w:cs="Arial"/>
          <w:color w:val="000000"/>
          <w:sz w:val="20"/>
          <w:szCs w:val="20"/>
        </w:rPr>
        <w:t xml:space="preserve">Our investment in DCP Midstream forms part of our Gas Transmission and Midstream segment. The impairment losses were recorded within Impairment of equity investments in the Consolidated Statements of Earnings. </w:t>
      </w:r>
    </w:p>
    <w:p w:rsidR="00000000" w:rsidRDefault="009E01B0">
      <w:pPr>
        <w:divId w:val="1581211447"/>
        <w:rPr>
          <w:rFonts w:eastAsia="Times New Roman"/>
        </w:rPr>
      </w:pPr>
    </w:p>
    <w:p w:rsidR="00000000" w:rsidRDefault="009E01B0">
      <w:pPr>
        <w:divId w:val="1818034187"/>
        <w:rPr>
          <w:rFonts w:eastAsia="Times New Roman"/>
        </w:rPr>
      </w:pPr>
      <w:r>
        <w:rPr>
          <w:rFonts w:ascii="Arial" w:eastAsia="Times New Roman" w:hAnsi="Arial" w:cs="Arial"/>
          <w:b/>
          <w:bCs/>
          <w:color w:val="000000"/>
          <w:sz w:val="26"/>
          <w:szCs w:val="26"/>
        </w:rPr>
        <w:t>9. RISK MANAGEMENT AND FINANCIAL INSTRUMENT</w:t>
      </w:r>
      <w:r>
        <w:rPr>
          <w:rFonts w:ascii="Arial" w:eastAsia="Times New Roman" w:hAnsi="Arial" w:cs="Arial"/>
          <w:b/>
          <w:bCs/>
          <w:color w:val="000000"/>
          <w:sz w:val="26"/>
          <w:szCs w:val="26"/>
        </w:rPr>
        <w:t xml:space="preserve">S </w:t>
      </w:r>
    </w:p>
    <w:p w:rsidR="00000000" w:rsidRDefault="009E01B0">
      <w:pPr>
        <w:divId w:val="706876610"/>
        <w:rPr>
          <w:rFonts w:eastAsia="Times New Roman"/>
        </w:rPr>
      </w:pPr>
    </w:p>
    <w:p w:rsidR="00000000" w:rsidRDefault="009E01B0">
      <w:pPr>
        <w:divId w:val="1512527425"/>
        <w:rPr>
          <w:rFonts w:eastAsia="Times New Roman"/>
        </w:rPr>
      </w:pPr>
      <w:r>
        <w:rPr>
          <w:rFonts w:ascii="Arial" w:eastAsia="Times New Roman" w:hAnsi="Arial" w:cs="Arial"/>
          <w:b/>
          <w:bCs/>
          <w:color w:val="000000"/>
          <w:sz w:val="20"/>
          <w:szCs w:val="20"/>
        </w:rPr>
        <w:t>MARKET RISK</w:t>
      </w:r>
    </w:p>
    <w:p w:rsidR="00000000" w:rsidRDefault="009E01B0">
      <w:pPr>
        <w:divId w:val="549269224"/>
        <w:rPr>
          <w:rFonts w:eastAsia="Times New Roman"/>
        </w:rPr>
      </w:pPr>
      <w:r>
        <w:rPr>
          <w:rFonts w:ascii="Arial" w:eastAsia="Times New Roman" w:hAnsi="Arial" w:cs="Arial"/>
          <w:color w:val="000000"/>
          <w:sz w:val="20"/>
          <w:szCs w:val="20"/>
        </w:rPr>
        <w:t>Our earnings, cash flows and other comprehensive income (OCI) are subject to movements in foreign exchange rates, interest rates, commodity prices and our share price (collectively, market risks). Formal risk management policies, processes</w:t>
      </w:r>
      <w:r>
        <w:rPr>
          <w:rFonts w:ascii="Arial" w:eastAsia="Times New Roman" w:hAnsi="Arial" w:cs="Arial"/>
          <w:color w:val="000000"/>
          <w:sz w:val="20"/>
          <w:szCs w:val="20"/>
        </w:rPr>
        <w:t xml:space="preserve"> and systems have been designed to mitigate these risks.</w:t>
      </w:r>
    </w:p>
    <w:p w:rsidR="00000000" w:rsidRDefault="009E01B0">
      <w:pPr>
        <w:divId w:val="375549034"/>
        <w:rPr>
          <w:rFonts w:eastAsia="Times New Roman"/>
        </w:rPr>
      </w:pPr>
      <w:r>
        <w:rPr>
          <w:rFonts w:ascii="Arial" w:eastAsia="Times New Roman" w:hAnsi="Arial" w:cs="Arial"/>
          <w:color w:val="000000"/>
          <w:sz w:val="20"/>
          <w:szCs w:val="20"/>
        </w:rPr>
        <w:t> </w:t>
      </w:r>
    </w:p>
    <w:p w:rsidR="00000000" w:rsidRDefault="009E01B0">
      <w:pPr>
        <w:divId w:val="1423262944"/>
        <w:rPr>
          <w:rFonts w:eastAsia="Times New Roman"/>
        </w:rPr>
      </w:pPr>
      <w:r>
        <w:rPr>
          <w:rFonts w:ascii="Arial" w:eastAsia="Times New Roman" w:hAnsi="Arial" w:cs="Arial"/>
          <w:color w:val="000000"/>
          <w:sz w:val="20"/>
          <w:szCs w:val="20"/>
        </w:rPr>
        <w:t>The following summarizes the types of market risks to which we are exposed and the risk management instruments used to mitigate them. We use a combination of qualifying and non-qualifying derivativ</w:t>
      </w:r>
      <w:r>
        <w:rPr>
          <w:rFonts w:ascii="Arial" w:eastAsia="Times New Roman" w:hAnsi="Arial" w:cs="Arial"/>
          <w:color w:val="000000"/>
          <w:sz w:val="20"/>
          <w:szCs w:val="20"/>
        </w:rPr>
        <w:t xml:space="preserve">e instruments to manage the risks noted below. </w:t>
      </w:r>
    </w:p>
    <w:p w:rsidR="00000000" w:rsidRDefault="009E01B0">
      <w:pPr>
        <w:divId w:val="1511136907"/>
        <w:rPr>
          <w:rFonts w:eastAsia="Times New Roman"/>
        </w:rPr>
      </w:pPr>
      <w:r>
        <w:rPr>
          <w:rFonts w:ascii="Arial" w:eastAsia="Times New Roman" w:hAnsi="Arial" w:cs="Arial"/>
          <w:color w:val="000000"/>
          <w:sz w:val="20"/>
          <w:szCs w:val="20"/>
        </w:rPr>
        <w:t> </w:t>
      </w:r>
    </w:p>
    <w:p w:rsidR="00000000" w:rsidRDefault="009E01B0">
      <w:pPr>
        <w:divId w:val="978073859"/>
        <w:rPr>
          <w:rFonts w:eastAsia="Times New Roman"/>
        </w:rPr>
      </w:pPr>
      <w:r>
        <w:rPr>
          <w:rFonts w:ascii="Arial" w:eastAsia="Times New Roman" w:hAnsi="Arial" w:cs="Arial"/>
          <w:b/>
          <w:bCs/>
          <w:color w:val="000000"/>
          <w:sz w:val="20"/>
          <w:szCs w:val="20"/>
        </w:rPr>
        <w:t xml:space="preserve">Foreign Exchange Risk </w:t>
      </w:r>
    </w:p>
    <w:p w:rsidR="00000000" w:rsidRDefault="009E01B0">
      <w:pPr>
        <w:divId w:val="1104378076"/>
        <w:rPr>
          <w:rFonts w:eastAsia="Times New Roman"/>
        </w:rPr>
      </w:pPr>
      <w:r>
        <w:rPr>
          <w:rFonts w:ascii="Arial" w:eastAsia="Times New Roman" w:hAnsi="Arial" w:cs="Arial"/>
          <w:color w:val="000000"/>
          <w:sz w:val="20"/>
          <w:szCs w:val="20"/>
        </w:rPr>
        <w:t>We generate certain revenues, incur expenses, and hold a number of investments and subsidiaries that are denominated in currencies other than Canadian dollars. As a result, our earnin</w:t>
      </w:r>
      <w:r>
        <w:rPr>
          <w:rFonts w:ascii="Arial" w:eastAsia="Times New Roman" w:hAnsi="Arial" w:cs="Arial"/>
          <w:color w:val="000000"/>
          <w:sz w:val="20"/>
          <w:szCs w:val="20"/>
        </w:rPr>
        <w:t xml:space="preserve">gs, cash flows and OCI are exposed to fluctuations resulting from foreign exchange rate variability. </w:t>
      </w:r>
    </w:p>
    <w:p w:rsidR="00000000" w:rsidRDefault="009E01B0">
      <w:pPr>
        <w:divId w:val="792749223"/>
        <w:rPr>
          <w:rFonts w:eastAsia="Times New Roman"/>
        </w:rPr>
      </w:pPr>
      <w:r>
        <w:rPr>
          <w:rFonts w:ascii="Arial" w:eastAsia="Times New Roman" w:hAnsi="Arial" w:cs="Arial"/>
          <w:color w:val="000000"/>
          <w:sz w:val="20"/>
          <w:szCs w:val="20"/>
        </w:rPr>
        <w:t> </w:t>
      </w:r>
    </w:p>
    <w:p w:rsidR="00000000" w:rsidRDefault="009E01B0">
      <w:pPr>
        <w:divId w:val="61174186"/>
        <w:rPr>
          <w:rFonts w:eastAsia="Times New Roman"/>
        </w:rPr>
      </w:pPr>
      <w:r>
        <w:rPr>
          <w:rFonts w:ascii="Arial" w:eastAsia="Times New Roman" w:hAnsi="Arial" w:cs="Arial"/>
          <w:color w:val="000000"/>
          <w:sz w:val="20"/>
          <w:szCs w:val="20"/>
        </w:rPr>
        <w:t>We employ financial derivative instruments to hedge foreign currency denominated earnings exposure. A combination of qualifying cash flow, fair value an</w:t>
      </w:r>
      <w:r>
        <w:rPr>
          <w:rFonts w:ascii="Arial" w:eastAsia="Times New Roman" w:hAnsi="Arial" w:cs="Arial"/>
          <w:color w:val="000000"/>
          <w:sz w:val="20"/>
          <w:szCs w:val="20"/>
        </w:rPr>
        <w:t>d non-qualifying derivative instruments is used to hedge anticipated foreign currency denominated revenues and expenses, and to manage variability in cash flows. We hedge certain net investments in US dollar denominated investments and subsidiaries using f</w:t>
      </w:r>
      <w:r>
        <w:rPr>
          <w:rFonts w:ascii="Arial" w:eastAsia="Times New Roman" w:hAnsi="Arial" w:cs="Arial"/>
          <w:color w:val="000000"/>
          <w:sz w:val="20"/>
          <w:szCs w:val="20"/>
        </w:rPr>
        <w:t xml:space="preserve">oreign currency derivatives and US dollar denominated debt. </w:t>
      </w:r>
    </w:p>
    <w:p w:rsidR="00000000" w:rsidRDefault="009E01B0">
      <w:pPr>
        <w:divId w:val="1088038333"/>
        <w:rPr>
          <w:rFonts w:eastAsia="Times New Roman"/>
        </w:rPr>
      </w:pPr>
      <w:r>
        <w:rPr>
          <w:rFonts w:ascii="Arial" w:eastAsia="Times New Roman" w:hAnsi="Arial" w:cs="Arial"/>
          <w:color w:val="000000"/>
          <w:sz w:val="20"/>
          <w:szCs w:val="20"/>
        </w:rPr>
        <w:t> </w:t>
      </w:r>
    </w:p>
    <w:p w:rsidR="00000000" w:rsidRDefault="009E01B0">
      <w:pPr>
        <w:divId w:val="1644459129"/>
        <w:rPr>
          <w:rFonts w:eastAsia="Times New Roman"/>
        </w:rPr>
      </w:pPr>
      <w:r>
        <w:rPr>
          <w:rFonts w:ascii="Arial" w:eastAsia="Times New Roman" w:hAnsi="Arial" w:cs="Arial"/>
          <w:b/>
          <w:bCs/>
          <w:color w:val="000000"/>
          <w:sz w:val="20"/>
          <w:szCs w:val="20"/>
        </w:rPr>
        <w:t xml:space="preserve">Interest Rate Risk </w:t>
      </w:r>
    </w:p>
    <w:p w:rsidR="00000000" w:rsidRDefault="009E01B0">
      <w:pPr>
        <w:divId w:val="19016936"/>
        <w:rPr>
          <w:rFonts w:eastAsia="Times New Roman"/>
        </w:rPr>
      </w:pPr>
      <w:r>
        <w:rPr>
          <w:rFonts w:ascii="Arial" w:eastAsia="Times New Roman" w:hAnsi="Arial" w:cs="Arial"/>
          <w:color w:val="000000"/>
          <w:sz w:val="20"/>
          <w:szCs w:val="20"/>
        </w:rPr>
        <w:t>Our earnings and cash flows are exposed to short-term interest rate variability due to the regular repricing of our variable rate debt, primarily commercial paper. We monito</w:t>
      </w:r>
      <w:r>
        <w:rPr>
          <w:rFonts w:ascii="Arial" w:eastAsia="Times New Roman" w:hAnsi="Arial" w:cs="Arial"/>
          <w:color w:val="000000"/>
          <w:sz w:val="20"/>
          <w:szCs w:val="20"/>
        </w:rPr>
        <w:t>r our debt portfolio mix of fixed and variable rate debt instruments to manage a consolidated portfolio of floating rate debt within the Board of Directors approved policy limit of a maximum of 30% of floating rate debt as a percentage of total debt outsta</w:t>
      </w:r>
      <w:r>
        <w:rPr>
          <w:rFonts w:ascii="Arial" w:eastAsia="Times New Roman" w:hAnsi="Arial" w:cs="Arial"/>
          <w:color w:val="000000"/>
          <w:sz w:val="20"/>
          <w:szCs w:val="20"/>
        </w:rPr>
        <w:t>nding. We primarily use qualifying derivative instruments to manage interest rate risk. Pay fixed-receive floating interest rate swaps may be used to hedge against the effect of future interest rate movements. We have implemented a program to significantly</w:t>
      </w:r>
      <w:r>
        <w:rPr>
          <w:rFonts w:ascii="Arial" w:eastAsia="Times New Roman" w:hAnsi="Arial" w:cs="Arial"/>
          <w:color w:val="000000"/>
          <w:sz w:val="20"/>
          <w:szCs w:val="20"/>
        </w:rPr>
        <w:t xml:space="preserve"> mitigate the impact of short-term interest rate volatility on interest expense via execution of floating to fixed interest rate swaps with an average swap rate of 3.0%. </w:t>
      </w:r>
    </w:p>
    <w:p w:rsidR="00000000" w:rsidRDefault="009E01B0">
      <w:pPr>
        <w:divId w:val="1287732553"/>
        <w:rPr>
          <w:rFonts w:eastAsia="Times New Roman"/>
        </w:rPr>
      </w:pPr>
    </w:p>
    <w:p w:rsidR="00000000" w:rsidRDefault="009E01B0">
      <w:pPr>
        <w:jc w:val="center"/>
        <w:divId w:val="574437051"/>
        <w:rPr>
          <w:rFonts w:eastAsia="Times New Roman"/>
        </w:rPr>
      </w:pPr>
      <w:r>
        <w:rPr>
          <w:rFonts w:ascii="Arial" w:eastAsia="Times New Roman" w:hAnsi="Arial" w:cs="Arial"/>
          <w:color w:val="000000"/>
          <w:sz w:val="20"/>
          <w:szCs w:val="20"/>
        </w:rPr>
        <w:t>20</w:t>
      </w:r>
    </w:p>
    <w:p w:rsidR="00000000" w:rsidRDefault="009E01B0">
      <w:pPr>
        <w:rPr>
          <w:rFonts w:eastAsia="Times New Roman"/>
        </w:rPr>
      </w:pPr>
      <w:r>
        <w:rPr>
          <w:rFonts w:eastAsia="Times New Roman"/>
        </w:rPr>
        <w:pict>
          <v:rect id="_x0000_i1045" style="width:0;height:1.5pt" o:hralign="center" o:hrstd="t" o:hr="t" fillcolor="#a0a0a0" stroked="f"/>
        </w:pict>
      </w:r>
    </w:p>
    <w:p w:rsidR="00000000" w:rsidRDefault="009E01B0">
      <w:pPr>
        <w:jc w:val="center"/>
        <w:divId w:val="1509251810"/>
        <w:rPr>
          <w:rFonts w:eastAsia="Times New Roman"/>
        </w:rPr>
      </w:pPr>
    </w:p>
    <w:p w:rsidR="00000000" w:rsidRDefault="009E01B0">
      <w:pPr>
        <w:jc w:val="center"/>
        <w:divId w:val="1509251810"/>
        <w:rPr>
          <w:rFonts w:eastAsia="Times New Roman"/>
        </w:rPr>
      </w:pPr>
    </w:p>
    <w:p w:rsidR="00000000" w:rsidRDefault="009E01B0">
      <w:pPr>
        <w:divId w:val="1140079588"/>
        <w:rPr>
          <w:rFonts w:eastAsia="Times New Roman"/>
        </w:rPr>
      </w:pPr>
      <w:r>
        <w:rPr>
          <w:rFonts w:ascii="Arial" w:eastAsia="Times New Roman" w:hAnsi="Arial" w:cs="Arial"/>
          <w:color w:val="000000"/>
          <w:sz w:val="20"/>
          <w:szCs w:val="20"/>
        </w:rPr>
        <w:t>We are exposed to changes in the fair va</w:t>
      </w:r>
      <w:r>
        <w:rPr>
          <w:rFonts w:ascii="Arial" w:eastAsia="Times New Roman" w:hAnsi="Arial" w:cs="Arial"/>
          <w:color w:val="000000"/>
          <w:sz w:val="20"/>
          <w:szCs w:val="20"/>
        </w:rPr>
        <w:t>lue of fixed rate debt that arise as a result of the changes in market interest rates. Pay floating-receive fixed interest rate swaps are used, when applicable, to hedge against future changes to the fair value of fixed rate debt which mitigates the impact</w:t>
      </w:r>
      <w:r>
        <w:rPr>
          <w:rFonts w:ascii="Arial" w:eastAsia="Times New Roman" w:hAnsi="Arial" w:cs="Arial"/>
          <w:color w:val="000000"/>
          <w:sz w:val="20"/>
          <w:szCs w:val="20"/>
        </w:rPr>
        <w:t xml:space="preserve"> of fluctuations in the fair value of fixed rate debt via execution of fixed to floating interest rate swaps. As at March 31, 2021, we do not have any pay floating-receive fixed interest rate swaps outstanding.</w:t>
      </w:r>
    </w:p>
    <w:p w:rsidR="00000000" w:rsidRDefault="009E01B0">
      <w:pPr>
        <w:divId w:val="771432830"/>
        <w:rPr>
          <w:rFonts w:eastAsia="Times New Roman"/>
        </w:rPr>
      </w:pPr>
      <w:r>
        <w:rPr>
          <w:rFonts w:ascii="Arial" w:eastAsia="Times New Roman" w:hAnsi="Arial" w:cs="Arial"/>
          <w:color w:val="000000"/>
          <w:sz w:val="20"/>
          <w:szCs w:val="20"/>
        </w:rPr>
        <w:t> </w:t>
      </w:r>
    </w:p>
    <w:p w:rsidR="00000000" w:rsidRDefault="009E01B0">
      <w:pPr>
        <w:divId w:val="1956401116"/>
        <w:rPr>
          <w:rFonts w:eastAsia="Times New Roman"/>
        </w:rPr>
      </w:pPr>
      <w:r>
        <w:rPr>
          <w:rFonts w:ascii="Arial" w:eastAsia="Times New Roman" w:hAnsi="Arial" w:cs="Arial"/>
          <w:color w:val="000000"/>
          <w:sz w:val="20"/>
          <w:szCs w:val="20"/>
        </w:rPr>
        <w:t>Our earnings and cash flows are also expose</w:t>
      </w:r>
      <w:r>
        <w:rPr>
          <w:rFonts w:ascii="Arial" w:eastAsia="Times New Roman" w:hAnsi="Arial" w:cs="Arial"/>
          <w:color w:val="000000"/>
          <w:sz w:val="20"/>
          <w:szCs w:val="20"/>
        </w:rPr>
        <w:t>d to variability in longer term interest rates ahead of anticipated fixed rate term debt issuances. Forward starting interest rate swaps are used to hedge against the effect of future interest rate movements. We have established a program within some of ou</w:t>
      </w:r>
      <w:r>
        <w:rPr>
          <w:rFonts w:ascii="Arial" w:eastAsia="Times New Roman" w:hAnsi="Arial" w:cs="Arial"/>
          <w:color w:val="000000"/>
          <w:sz w:val="20"/>
          <w:szCs w:val="20"/>
        </w:rPr>
        <w:t xml:space="preserve">r subsidiaries to mitigate our exposure to long-term interest rate variability on select forecast term debt issuances via execution of floating to fixed interest rate swaps with an average swap rate of 2.4%. </w:t>
      </w:r>
    </w:p>
    <w:p w:rsidR="00000000" w:rsidRDefault="009E01B0">
      <w:pPr>
        <w:divId w:val="1351418823"/>
        <w:rPr>
          <w:rFonts w:eastAsia="Times New Roman"/>
        </w:rPr>
      </w:pPr>
      <w:r>
        <w:rPr>
          <w:rFonts w:ascii="Arial" w:eastAsia="Times New Roman" w:hAnsi="Arial" w:cs="Arial"/>
          <w:color w:val="000000"/>
          <w:sz w:val="20"/>
          <w:szCs w:val="20"/>
        </w:rPr>
        <w:t>  </w:t>
      </w:r>
    </w:p>
    <w:p w:rsidR="00000000" w:rsidRDefault="009E01B0">
      <w:pPr>
        <w:divId w:val="1815171493"/>
        <w:rPr>
          <w:rFonts w:eastAsia="Times New Roman"/>
        </w:rPr>
      </w:pPr>
      <w:r>
        <w:rPr>
          <w:rFonts w:ascii="Arial" w:eastAsia="Times New Roman" w:hAnsi="Arial" w:cs="Arial"/>
          <w:b/>
          <w:bCs/>
          <w:color w:val="000000"/>
          <w:sz w:val="20"/>
          <w:szCs w:val="20"/>
        </w:rPr>
        <w:t xml:space="preserve">Commodity Price Risk </w:t>
      </w:r>
    </w:p>
    <w:p w:rsidR="00000000" w:rsidRDefault="009E01B0">
      <w:pPr>
        <w:divId w:val="1027680373"/>
        <w:rPr>
          <w:rFonts w:eastAsia="Times New Roman"/>
        </w:rPr>
      </w:pPr>
      <w:r>
        <w:rPr>
          <w:rFonts w:ascii="Arial" w:eastAsia="Times New Roman" w:hAnsi="Arial" w:cs="Arial"/>
          <w:color w:val="000000"/>
          <w:sz w:val="20"/>
          <w:szCs w:val="20"/>
        </w:rPr>
        <w:t xml:space="preserve">Our earnings and cash </w:t>
      </w:r>
      <w:r>
        <w:rPr>
          <w:rFonts w:ascii="Arial" w:eastAsia="Times New Roman" w:hAnsi="Arial" w:cs="Arial"/>
          <w:color w:val="000000"/>
          <w:sz w:val="20"/>
          <w:szCs w:val="20"/>
        </w:rPr>
        <w:t>flows are exposed to changes in commodity prices as a result of our ownership interests in certain assets and investments, as well as through the activities of our energy services subsidiaries. These commodities include natural gas, crude oil, power and NG</w:t>
      </w:r>
      <w:r>
        <w:rPr>
          <w:rFonts w:ascii="Arial" w:eastAsia="Times New Roman" w:hAnsi="Arial" w:cs="Arial"/>
          <w:color w:val="000000"/>
          <w:sz w:val="20"/>
          <w:szCs w:val="20"/>
        </w:rPr>
        <w:t xml:space="preserve">L. We employ financial and physical derivative instruments to fix a portion of the variable price exposures that arise from physical transactions involving these commodities. We use primarily non-qualifying derivative instruments to manage commodity price </w:t>
      </w:r>
      <w:r>
        <w:rPr>
          <w:rFonts w:ascii="Arial" w:eastAsia="Times New Roman" w:hAnsi="Arial" w:cs="Arial"/>
          <w:color w:val="000000"/>
          <w:sz w:val="20"/>
          <w:szCs w:val="20"/>
        </w:rPr>
        <w:t xml:space="preserve">risk. </w:t>
      </w:r>
    </w:p>
    <w:p w:rsidR="00000000" w:rsidRDefault="009E01B0">
      <w:pPr>
        <w:divId w:val="730617502"/>
        <w:rPr>
          <w:rFonts w:eastAsia="Times New Roman"/>
        </w:rPr>
      </w:pPr>
      <w:r>
        <w:rPr>
          <w:rFonts w:ascii="Arial" w:eastAsia="Times New Roman" w:hAnsi="Arial" w:cs="Arial"/>
          <w:color w:val="000000"/>
          <w:sz w:val="20"/>
          <w:szCs w:val="20"/>
        </w:rPr>
        <w:t> </w:t>
      </w:r>
    </w:p>
    <w:p w:rsidR="00000000" w:rsidRDefault="009E01B0">
      <w:pPr>
        <w:divId w:val="2125878799"/>
        <w:rPr>
          <w:rFonts w:eastAsia="Times New Roman"/>
        </w:rPr>
      </w:pPr>
      <w:r>
        <w:rPr>
          <w:rFonts w:ascii="Arial" w:eastAsia="Times New Roman" w:hAnsi="Arial" w:cs="Arial"/>
          <w:b/>
          <w:bCs/>
          <w:color w:val="000000"/>
          <w:sz w:val="20"/>
          <w:szCs w:val="20"/>
        </w:rPr>
        <w:t xml:space="preserve">Equity Price Risk </w:t>
      </w:r>
    </w:p>
    <w:p w:rsidR="00000000" w:rsidRDefault="009E01B0">
      <w:pPr>
        <w:divId w:val="217908177"/>
        <w:rPr>
          <w:rFonts w:eastAsia="Times New Roman"/>
        </w:rPr>
      </w:pPr>
      <w:r>
        <w:rPr>
          <w:rFonts w:ascii="Arial" w:eastAsia="Times New Roman" w:hAnsi="Arial" w:cs="Arial"/>
          <w:color w:val="000000"/>
          <w:sz w:val="20"/>
          <w:szCs w:val="20"/>
        </w:rPr>
        <w:t>Equity price risk is the risk of earnings fluctuations due to changes in our share price. We have exposure to our own common share price through the issuance of various forms of stock-based compensation, which affect earnings through revaluation of the out</w:t>
      </w:r>
      <w:r>
        <w:rPr>
          <w:rFonts w:ascii="Arial" w:eastAsia="Times New Roman" w:hAnsi="Arial" w:cs="Arial"/>
          <w:color w:val="000000"/>
          <w:sz w:val="20"/>
          <w:szCs w:val="20"/>
        </w:rPr>
        <w:t>standing units every period. We use equity derivatives to manage the earnings volatility derived from one form of stock-based compensation, restricted share units. We use a combination of qualifying and non-qualifying derivative instruments to manage equit</w:t>
      </w:r>
      <w:r>
        <w:rPr>
          <w:rFonts w:ascii="Arial" w:eastAsia="Times New Roman" w:hAnsi="Arial" w:cs="Arial"/>
          <w:color w:val="000000"/>
          <w:sz w:val="20"/>
          <w:szCs w:val="20"/>
        </w:rPr>
        <w:t xml:space="preserve">y price risk. </w:t>
      </w:r>
    </w:p>
    <w:p w:rsidR="00000000" w:rsidRDefault="009E01B0">
      <w:pPr>
        <w:divId w:val="1604651643"/>
        <w:rPr>
          <w:rFonts w:eastAsia="Times New Roman"/>
        </w:rPr>
      </w:pPr>
    </w:p>
    <w:p w:rsidR="00000000" w:rsidRDefault="009E01B0">
      <w:pPr>
        <w:divId w:val="781190856"/>
        <w:rPr>
          <w:rFonts w:eastAsia="Times New Roman"/>
        </w:rPr>
      </w:pPr>
      <w:r>
        <w:rPr>
          <w:rFonts w:ascii="Arial" w:eastAsia="Times New Roman" w:hAnsi="Arial" w:cs="Arial"/>
          <w:b/>
          <w:bCs/>
          <w:color w:val="000000"/>
          <w:sz w:val="20"/>
          <w:szCs w:val="20"/>
        </w:rPr>
        <w:t xml:space="preserve">COVID-19 PANDEMIC RISK </w:t>
      </w:r>
    </w:p>
    <w:p w:rsidR="00000000" w:rsidRDefault="009E01B0">
      <w:pPr>
        <w:divId w:val="773331191"/>
        <w:rPr>
          <w:rFonts w:eastAsia="Times New Roman"/>
        </w:rPr>
      </w:pPr>
      <w:r>
        <w:rPr>
          <w:rFonts w:ascii="Arial" w:eastAsia="Times New Roman" w:hAnsi="Arial" w:cs="Arial"/>
          <w:color w:val="000000"/>
          <w:sz w:val="20"/>
          <w:szCs w:val="20"/>
        </w:rPr>
        <w:t>The spread of the COVID-19 pandemic has caused significant volatility in Canada, the US and international markets. While we have taken proactive measures to deliver energy safely and reliably during this pandemic, g</w:t>
      </w:r>
      <w:r>
        <w:rPr>
          <w:rFonts w:ascii="Arial" w:eastAsia="Times New Roman" w:hAnsi="Arial" w:cs="Arial"/>
          <w:color w:val="000000"/>
          <w:sz w:val="20"/>
          <w:szCs w:val="20"/>
        </w:rPr>
        <w:t xml:space="preserve">iven the ongoing dynamic nature of the circumstances surrounding COVID-19, including ongoing uncertainty as to the duration of the pandemic and corresponding public health measures, the impact of this pandemic on our business remains uncertain. </w:t>
      </w:r>
    </w:p>
    <w:p w:rsidR="00000000" w:rsidRDefault="009E01B0">
      <w:pPr>
        <w:divId w:val="1109668200"/>
        <w:rPr>
          <w:rFonts w:eastAsia="Times New Roman"/>
        </w:rPr>
      </w:pPr>
    </w:p>
    <w:p w:rsidR="00000000" w:rsidRDefault="009E01B0">
      <w:pPr>
        <w:divId w:val="1972785655"/>
        <w:rPr>
          <w:rFonts w:eastAsia="Times New Roman"/>
        </w:rPr>
      </w:pPr>
      <w:r>
        <w:rPr>
          <w:rFonts w:ascii="Arial" w:eastAsia="Times New Roman" w:hAnsi="Arial" w:cs="Arial"/>
          <w:b/>
          <w:bCs/>
          <w:color w:val="000000"/>
          <w:sz w:val="20"/>
          <w:szCs w:val="20"/>
        </w:rPr>
        <w:t>TOTAL DE</w:t>
      </w:r>
      <w:r>
        <w:rPr>
          <w:rFonts w:ascii="Arial" w:eastAsia="Times New Roman" w:hAnsi="Arial" w:cs="Arial"/>
          <w:b/>
          <w:bCs/>
          <w:color w:val="000000"/>
          <w:sz w:val="20"/>
          <w:szCs w:val="20"/>
        </w:rPr>
        <w:t>RIVATIVE INSTRUMENTS</w:t>
      </w:r>
    </w:p>
    <w:p w:rsidR="00000000" w:rsidRDefault="009E01B0">
      <w:pPr>
        <w:divId w:val="46799979"/>
        <w:rPr>
          <w:rFonts w:eastAsia="Times New Roman"/>
        </w:rPr>
      </w:pPr>
      <w:r>
        <w:rPr>
          <w:rFonts w:ascii="Arial" w:eastAsia="Times New Roman" w:hAnsi="Arial" w:cs="Arial"/>
          <w:color w:val="000000"/>
          <w:sz w:val="20"/>
          <w:szCs w:val="20"/>
        </w:rPr>
        <w:t>We generally have a policy of entering into individual International Swaps and Derivatives Association, Inc. agreements, or other similar derivative agreements, with the majority of our financial derivative counterparties. These agreem</w:t>
      </w:r>
      <w:r>
        <w:rPr>
          <w:rFonts w:ascii="Arial" w:eastAsia="Times New Roman" w:hAnsi="Arial" w:cs="Arial"/>
          <w:color w:val="000000"/>
          <w:sz w:val="20"/>
          <w:szCs w:val="20"/>
        </w:rPr>
        <w:t>ents provide for the net settlement of derivative instruments outstanding with specific counterparties in the event of bankruptcy or other significant credit events, and reduce our credit risk exposure on financial derivative asset positions outstanding wi</w:t>
      </w:r>
      <w:r>
        <w:rPr>
          <w:rFonts w:ascii="Arial" w:eastAsia="Times New Roman" w:hAnsi="Arial" w:cs="Arial"/>
          <w:color w:val="000000"/>
          <w:sz w:val="20"/>
          <w:szCs w:val="20"/>
        </w:rPr>
        <w:t xml:space="preserve">th the counterparties in those circumstances. </w:t>
      </w:r>
    </w:p>
    <w:p w:rsidR="00000000" w:rsidRDefault="009E01B0">
      <w:pPr>
        <w:divId w:val="1189486786"/>
        <w:rPr>
          <w:rFonts w:eastAsia="Times New Roman"/>
        </w:rPr>
      </w:pPr>
    </w:p>
    <w:p w:rsidR="00000000" w:rsidRDefault="009E01B0">
      <w:pPr>
        <w:jc w:val="center"/>
        <w:divId w:val="1336299253"/>
        <w:rPr>
          <w:rFonts w:eastAsia="Times New Roman"/>
        </w:rPr>
      </w:pPr>
      <w:r>
        <w:rPr>
          <w:rFonts w:ascii="Arial" w:eastAsia="Times New Roman" w:hAnsi="Arial" w:cs="Arial"/>
          <w:color w:val="000000"/>
          <w:sz w:val="20"/>
          <w:szCs w:val="20"/>
        </w:rPr>
        <w:t>21</w:t>
      </w:r>
    </w:p>
    <w:p w:rsidR="00000000" w:rsidRDefault="009E01B0">
      <w:pPr>
        <w:rPr>
          <w:rFonts w:eastAsia="Times New Roman"/>
        </w:rPr>
      </w:pPr>
      <w:r>
        <w:rPr>
          <w:rFonts w:eastAsia="Times New Roman"/>
        </w:rPr>
        <w:pict>
          <v:rect id="_x0000_i1046" style="width:0;height:1.5pt" o:hralign="center" o:hrstd="t" o:hr="t" fillcolor="#a0a0a0" stroked="f"/>
        </w:pict>
      </w:r>
    </w:p>
    <w:p w:rsidR="00000000" w:rsidRDefault="009E01B0">
      <w:pPr>
        <w:jc w:val="center"/>
        <w:divId w:val="323245696"/>
        <w:rPr>
          <w:rFonts w:eastAsia="Times New Roman"/>
        </w:rPr>
      </w:pPr>
    </w:p>
    <w:p w:rsidR="00000000" w:rsidRDefault="009E01B0">
      <w:pPr>
        <w:jc w:val="center"/>
        <w:divId w:val="323245696"/>
        <w:rPr>
          <w:rFonts w:eastAsia="Times New Roman"/>
        </w:rPr>
      </w:pPr>
    </w:p>
    <w:p w:rsidR="00000000" w:rsidRDefault="009E01B0">
      <w:pPr>
        <w:divId w:val="2138988241"/>
        <w:rPr>
          <w:rFonts w:eastAsia="Times New Roman"/>
        </w:rPr>
      </w:pPr>
      <w:r>
        <w:rPr>
          <w:rFonts w:ascii="Arial" w:eastAsia="Times New Roman" w:hAnsi="Arial" w:cs="Arial"/>
          <w:color w:val="000000"/>
          <w:sz w:val="20"/>
          <w:szCs w:val="20"/>
        </w:rPr>
        <w:t>The following table summarizes the maximum potential settlement amounts in the event of these specific circumstances. All amounts are presented gross in the Consoli</w:t>
      </w:r>
      <w:r>
        <w:rPr>
          <w:rFonts w:ascii="Arial" w:eastAsia="Times New Roman" w:hAnsi="Arial" w:cs="Arial"/>
          <w:color w:val="000000"/>
          <w:sz w:val="20"/>
          <w:szCs w:val="20"/>
        </w:rPr>
        <w:t>dated Statements of Financial Position.</w:t>
      </w:r>
    </w:p>
    <w:tbl>
      <w:tblPr>
        <w:tblW w:w="5000" w:type="pct"/>
        <w:tblCellMar>
          <w:top w:w="15" w:type="dxa"/>
          <w:left w:w="15" w:type="dxa"/>
          <w:bottom w:w="15" w:type="dxa"/>
          <w:right w:w="15" w:type="dxa"/>
        </w:tblCellMar>
        <w:tblLook w:val="04A0" w:firstRow="1" w:lastRow="0" w:firstColumn="1" w:lastColumn="0" w:noHBand="0" w:noVBand="1"/>
      </w:tblPr>
      <w:tblGrid>
        <w:gridCol w:w="63"/>
        <w:gridCol w:w="2475"/>
        <w:gridCol w:w="41"/>
        <w:gridCol w:w="77"/>
        <w:gridCol w:w="828"/>
        <w:gridCol w:w="36"/>
        <w:gridCol w:w="36"/>
        <w:gridCol w:w="77"/>
        <w:gridCol w:w="828"/>
        <w:gridCol w:w="36"/>
        <w:gridCol w:w="83"/>
        <w:gridCol w:w="785"/>
        <w:gridCol w:w="36"/>
        <w:gridCol w:w="77"/>
        <w:gridCol w:w="828"/>
        <w:gridCol w:w="36"/>
        <w:gridCol w:w="36"/>
        <w:gridCol w:w="123"/>
        <w:gridCol w:w="36"/>
        <w:gridCol w:w="72"/>
        <w:gridCol w:w="676"/>
        <w:gridCol w:w="36"/>
        <w:gridCol w:w="73"/>
        <w:gridCol w:w="876"/>
        <w:gridCol w:w="36"/>
      </w:tblGrid>
      <w:tr w:rsidR="00000000">
        <w:trPr>
          <w:divId w:val="256911371"/>
        </w:trPr>
        <w:tc>
          <w:tcPr>
            <w:tcW w:w="50" w:type="pct"/>
            <w:vAlign w:val="center"/>
            <w:hideMark/>
          </w:tcPr>
          <w:p w:rsidR="00000000" w:rsidRDefault="009E01B0">
            <w:pPr>
              <w:rPr>
                <w:rFonts w:eastAsia="Times New Roman"/>
              </w:rPr>
            </w:pPr>
          </w:p>
        </w:tc>
        <w:tc>
          <w:tcPr>
            <w:tcW w:w="150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7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86"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2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46"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256911371"/>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b/>
                <w:bCs/>
                <w:color w:val="000000"/>
                <w:sz w:val="16"/>
                <w:szCs w:val="16"/>
              </w:rPr>
              <w:t>March 31, 2021</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Cash Flow Hedges</w:t>
            </w:r>
          </w:p>
        </w:tc>
        <w:tc>
          <w:tcPr>
            <w:tcW w:w="0" w:type="auto"/>
            <w:vAlign w:val="center"/>
            <w:hideMark/>
          </w:tcPr>
          <w:p w:rsidR="00000000" w:rsidRDefault="009E01B0">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Derivative Instruments Used as Fair Value Hedges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t>Qualifying</w:t>
            </w:r>
            <w:r>
              <w:rPr>
                <w:rFonts w:ascii="Arial" w:eastAsia="Times New Roman" w:hAnsi="Arial" w:cs="Arial"/>
                <w:color w:val="000000"/>
                <w:sz w:val="16"/>
                <w:szCs w:val="16"/>
              </w:rPr>
              <w:br/>
              <w:t>Derivative Instruments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r>
            <w:r>
              <w:rPr>
                <w:rFonts w:ascii="Arial" w:eastAsia="Times New Roman" w:hAnsi="Arial" w:cs="Arial"/>
                <w:color w:val="000000"/>
                <w:sz w:val="16"/>
                <w:szCs w:val="16"/>
              </w:rPr>
              <w:t>Derivative</w:t>
            </w:r>
            <w:r>
              <w:rPr>
                <w:rFonts w:ascii="Arial" w:eastAsia="Times New Roman" w:hAnsi="Arial" w:cs="Arial"/>
                <w:color w:val="000000"/>
                <w:sz w:val="16"/>
                <w:szCs w:val="16"/>
              </w:rPr>
              <w:br/>
              <w:t>Instruments as Presented</w:t>
            </w: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 for Offset</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Total Net</w:t>
            </w:r>
            <w:r>
              <w:rPr>
                <w:rFonts w:ascii="Arial" w:eastAsia="Times New Roman" w:hAnsi="Arial" w:cs="Arial"/>
                <w:color w:val="000000"/>
                <w:sz w:val="16"/>
                <w:szCs w:val="16"/>
              </w:rPr>
              <w:br/>
              <w:t>Derivative Instruments</w:t>
            </w:r>
          </w:p>
        </w:tc>
      </w:tr>
      <w:tr w:rsidR="00000000">
        <w:trPr>
          <w:divId w:val="256911371"/>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256911371"/>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Accounts receivable and other</w:t>
            </w: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(36)</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206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(93)</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401</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402</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(129)</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273</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Borders>
              <w:top w:val="single" w:sz="8" w:space="0" w:color="000000"/>
            </w:tcBorders>
            <w:tcMar>
              <w:top w:w="30" w:type="dxa"/>
              <w:left w:w="110" w:type="dxa"/>
              <w:bottom w:w="30" w:type="dxa"/>
              <w:right w:w="20" w:type="dxa"/>
            </w:tcMar>
            <w:hideMark/>
          </w:tcPr>
          <w:p w:rsidR="00000000" w:rsidRDefault="009E01B0">
            <w:pPr>
              <w:ind w:hanging="90"/>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ind w:hanging="90"/>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465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465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(211)</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(26)</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(14)</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248</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513</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761</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(251)</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510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Accounts payable and other</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(10)</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(120)</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(119)</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(249)</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(213)</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(240)</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(240)</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(240)</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(221)</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(225)</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(132)</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56911371"/>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254)</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(120)</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(340)</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(714)</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divId w:val="564294688"/>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129</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(585)</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Other long-term liabilities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(543)</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(543)</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(332)</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(79)</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(23)</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(102)</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(76)</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(66)</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(70)</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(56)</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56911371"/>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(83)</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(632)</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(715)</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251</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(464)</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Borders>
              <w:top w:val="single" w:sz="8" w:space="0" w:color="000000"/>
            </w:tcBorders>
            <w:tcMar>
              <w:top w:w="30" w:type="dxa"/>
              <w:left w:w="110" w:type="dxa"/>
              <w:bottom w:w="30" w:type="dxa"/>
              <w:right w:w="20" w:type="dxa"/>
            </w:tcMar>
            <w:hideMark/>
          </w:tcPr>
          <w:p w:rsidR="00000000" w:rsidRDefault="009E01B0">
            <w:pPr>
              <w:ind w:hanging="90"/>
              <w:rPr>
                <w:rFonts w:eastAsia="Times New Roman"/>
              </w:rPr>
            </w:pPr>
            <w:r>
              <w:rPr>
                <w:rFonts w:ascii="Arial" w:eastAsia="Times New Roman" w:hAnsi="Arial" w:cs="Arial"/>
                <w:color w:val="000000"/>
                <w:sz w:val="16"/>
                <w:szCs w:val="16"/>
              </w:rPr>
              <w:t>Total net derivative assets/(liabilities)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ind w:hanging="90"/>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(10)</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(120)</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45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(85)</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(85)</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(72)</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(23)</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(95)</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(95)</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(8)</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(82)</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(90)</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(90)</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256911371"/>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(88)</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(120)</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(58)</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(266)</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tcBorders>
              <w:top w:val="single" w:sz="8" w:space="0" w:color="000000"/>
              <w:bottom w:val="single" w:sz="18" w:space="0" w:color="000000"/>
            </w:tcBorders>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(266)</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r>
    </w:tbl>
    <w:p w:rsidR="00000000" w:rsidRDefault="009E01B0">
      <w:pPr>
        <w:divId w:val="1252155025"/>
        <w:rPr>
          <w:rFonts w:eastAsia="Times New Roman"/>
        </w:rPr>
      </w:pPr>
    </w:p>
    <w:p w:rsidR="00000000" w:rsidRDefault="009E01B0">
      <w:pPr>
        <w:jc w:val="center"/>
        <w:divId w:val="352459337"/>
        <w:rPr>
          <w:rFonts w:eastAsia="Times New Roman"/>
        </w:rPr>
      </w:pPr>
      <w:r>
        <w:rPr>
          <w:rFonts w:ascii="Arial" w:eastAsia="Times New Roman" w:hAnsi="Arial" w:cs="Arial"/>
          <w:color w:val="000000"/>
          <w:sz w:val="20"/>
          <w:szCs w:val="20"/>
        </w:rPr>
        <w:t>22</w:t>
      </w:r>
    </w:p>
    <w:p w:rsidR="00000000" w:rsidRDefault="009E01B0">
      <w:pPr>
        <w:rPr>
          <w:rFonts w:eastAsia="Times New Roman"/>
        </w:rPr>
      </w:pPr>
      <w:r>
        <w:rPr>
          <w:rFonts w:eastAsia="Times New Roman"/>
        </w:rPr>
        <w:pict>
          <v:rect id="_x0000_i1047" style="width:0;height:1.5pt" o:hralign="center" o:hrstd="t" o:hr="t" fillcolor="#a0a0a0" stroked="f"/>
        </w:pict>
      </w:r>
    </w:p>
    <w:p w:rsidR="00000000" w:rsidRDefault="009E01B0">
      <w:pPr>
        <w:jc w:val="center"/>
        <w:divId w:val="652832022"/>
        <w:rPr>
          <w:rFonts w:eastAsia="Times New Roman"/>
        </w:rPr>
      </w:pPr>
    </w:p>
    <w:p w:rsidR="00000000" w:rsidRDefault="009E01B0">
      <w:pPr>
        <w:jc w:val="center"/>
        <w:divId w:val="65283202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2473"/>
        <w:gridCol w:w="39"/>
        <w:gridCol w:w="74"/>
        <w:gridCol w:w="867"/>
        <w:gridCol w:w="36"/>
        <w:gridCol w:w="36"/>
        <w:gridCol w:w="78"/>
        <w:gridCol w:w="810"/>
        <w:gridCol w:w="36"/>
        <w:gridCol w:w="78"/>
        <w:gridCol w:w="810"/>
        <w:gridCol w:w="36"/>
        <w:gridCol w:w="78"/>
        <w:gridCol w:w="812"/>
        <w:gridCol w:w="36"/>
        <w:gridCol w:w="36"/>
        <w:gridCol w:w="122"/>
        <w:gridCol w:w="36"/>
        <w:gridCol w:w="67"/>
        <w:gridCol w:w="745"/>
        <w:gridCol w:w="36"/>
        <w:gridCol w:w="86"/>
        <w:gridCol w:w="782"/>
        <w:gridCol w:w="36"/>
      </w:tblGrid>
      <w:tr w:rsidR="00000000">
        <w:trPr>
          <w:divId w:val="229467245"/>
        </w:trPr>
        <w:tc>
          <w:tcPr>
            <w:tcW w:w="50" w:type="pct"/>
            <w:vAlign w:val="center"/>
            <w:hideMark/>
          </w:tcPr>
          <w:p w:rsidR="00000000" w:rsidRDefault="009E01B0">
            <w:pPr>
              <w:jc w:val="center"/>
              <w:rPr>
                <w:rFonts w:eastAsia="Times New Roman"/>
              </w:rPr>
            </w:pPr>
          </w:p>
        </w:tc>
        <w:tc>
          <w:tcPr>
            <w:tcW w:w="150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4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1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1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1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86"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6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5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229467245"/>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6"/>
                <w:szCs w:val="16"/>
              </w:rPr>
              <w:t>December 31, 2020</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Cash Flow Hedges</w:t>
            </w:r>
          </w:p>
        </w:tc>
        <w:tc>
          <w:tcPr>
            <w:tcW w:w="0" w:type="auto"/>
            <w:vAlign w:val="center"/>
            <w:hideMark/>
          </w:tcPr>
          <w:p w:rsidR="00000000" w:rsidRDefault="009E01B0">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 Fair Value Hedges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t>Qualifying</w:t>
            </w:r>
            <w:r>
              <w:rPr>
                <w:rFonts w:ascii="Arial" w:eastAsia="Times New Roman" w:hAnsi="Arial" w:cs="Arial"/>
                <w:color w:val="000000"/>
                <w:sz w:val="16"/>
                <w:szCs w:val="16"/>
              </w:rPr>
              <w:br/>
              <w:t>Derivative Instruments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r>
            <w:r>
              <w:rPr>
                <w:rFonts w:ascii="Arial" w:eastAsia="Times New Roman" w:hAnsi="Arial" w:cs="Arial"/>
                <w:color w:val="000000"/>
                <w:sz w:val="16"/>
                <w:szCs w:val="16"/>
              </w:rPr>
              <w:t>Derivative</w:t>
            </w:r>
            <w:r>
              <w:rPr>
                <w:rFonts w:ascii="Arial" w:eastAsia="Times New Roman" w:hAnsi="Arial" w:cs="Arial"/>
                <w:color w:val="000000"/>
                <w:sz w:val="16"/>
                <w:szCs w:val="16"/>
              </w:rPr>
              <w:br/>
              <w:t>Instruments as Presented</w:t>
            </w: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 for Offset</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Total Net</w:t>
            </w:r>
            <w:r>
              <w:rPr>
                <w:rFonts w:ascii="Arial" w:eastAsia="Times New Roman" w:hAnsi="Arial" w:cs="Arial"/>
                <w:color w:val="000000"/>
                <w:sz w:val="16"/>
                <w:szCs w:val="16"/>
              </w:rPr>
              <w:br/>
              <w:t>Derivative Instruments</w:t>
            </w:r>
          </w:p>
        </w:tc>
      </w:tr>
      <w:tr w:rsidR="00000000">
        <w:trPr>
          <w:divId w:val="229467245"/>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229467245"/>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Accounts receivable and other</w:t>
            </w:r>
          </w:p>
        </w:tc>
        <w:tc>
          <w:tcPr>
            <w:tcW w:w="0" w:type="auto"/>
            <w:gridSpan w:val="3"/>
            <w:tcMar>
              <w:top w:w="0" w:type="dxa"/>
              <w:left w:w="20" w:type="dxa"/>
              <w:bottom w:w="0" w:type="dxa"/>
              <w:right w:w="20" w:type="dxa"/>
            </w:tcMar>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229467245"/>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(28)</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152 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29467245"/>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143 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143 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(81)</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62 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29467245"/>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323 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323 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divId w:val="494882910"/>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(109)</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214 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229467245"/>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14 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452 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466 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(218)</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248 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56 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56 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(25)</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31 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(9)</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30 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29467245"/>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70 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491 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561 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(252)</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309 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Accounts payable and 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229467245"/>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(29)</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(151)</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(185)</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28 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(157)</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(423)</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(425)</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(425)</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(278)</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(280)</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81 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(199)</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(431)</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(29)</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(434)</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(894)</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divId w:val="920529449"/>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109 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785)</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Other long-term 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229467245"/>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(87)</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(673)</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(760)</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218 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(542)</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(218)</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(241)</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25 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(216)</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57)</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(58)</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(49)</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229467245"/>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(219)</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(87)</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(753)</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(1,059)</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252 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(807)</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Total net derivative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229467245"/>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(116)</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(192)</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(299)</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299)</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(585)</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(25)</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(610)</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(610)</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(153)</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(156)</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(156)</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tcMar>
              <w:top w:w="30" w:type="dxa"/>
              <w:left w:w="155" w:type="dxa"/>
              <w:bottom w:w="30" w:type="dxa"/>
              <w:right w:w="20" w:type="dxa"/>
            </w:tcMar>
            <w:hideMark/>
          </w:tcPr>
          <w:p w:rsidR="00000000" w:rsidRDefault="009E01B0">
            <w:pPr>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229467245"/>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(580)</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(116)</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(373)</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(1,069)</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16"/>
                <w:szCs w:val="16"/>
              </w:rPr>
              <w:t>(1,069)</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9E01B0">
            <w:pPr>
              <w:jc w:val="right"/>
              <w:rPr>
                <w:rFonts w:eastAsia="Times New Roman"/>
              </w:rPr>
            </w:pPr>
          </w:p>
        </w:tc>
      </w:tr>
    </w:tbl>
    <w:p w:rsidR="00000000" w:rsidRDefault="009E01B0">
      <w:pPr>
        <w:divId w:val="1058164663"/>
        <w:rPr>
          <w:rFonts w:eastAsia="Times New Roman"/>
        </w:rPr>
      </w:pPr>
    </w:p>
    <w:p w:rsidR="00000000" w:rsidRDefault="009E01B0">
      <w:pPr>
        <w:jc w:val="center"/>
        <w:divId w:val="939408937"/>
        <w:rPr>
          <w:rFonts w:eastAsia="Times New Roman"/>
        </w:rPr>
      </w:pPr>
      <w:r>
        <w:rPr>
          <w:rFonts w:ascii="Arial" w:eastAsia="Times New Roman" w:hAnsi="Arial" w:cs="Arial"/>
          <w:color w:val="000000"/>
          <w:sz w:val="20"/>
          <w:szCs w:val="20"/>
        </w:rPr>
        <w:t>23</w:t>
      </w:r>
    </w:p>
    <w:p w:rsidR="00000000" w:rsidRDefault="009E01B0">
      <w:pPr>
        <w:rPr>
          <w:rFonts w:eastAsia="Times New Roman"/>
        </w:rPr>
      </w:pPr>
      <w:r>
        <w:rPr>
          <w:rFonts w:eastAsia="Times New Roman"/>
        </w:rPr>
        <w:pict>
          <v:rect id="_x0000_i1048" style="width:0;height:1.5pt" o:hralign="center" o:hrstd="t" o:hr="t" fillcolor="#a0a0a0" stroked="f"/>
        </w:pict>
      </w:r>
    </w:p>
    <w:p w:rsidR="00000000" w:rsidRDefault="009E01B0">
      <w:pPr>
        <w:jc w:val="center"/>
        <w:divId w:val="1711954525"/>
        <w:rPr>
          <w:rFonts w:eastAsia="Times New Roman"/>
        </w:rPr>
      </w:pPr>
    </w:p>
    <w:p w:rsidR="00000000" w:rsidRDefault="009E01B0">
      <w:pPr>
        <w:jc w:val="center"/>
        <w:divId w:val="1711954525"/>
        <w:rPr>
          <w:rFonts w:eastAsia="Times New Roman"/>
        </w:rPr>
      </w:pPr>
    </w:p>
    <w:p w:rsidR="00000000" w:rsidRDefault="009E01B0">
      <w:pPr>
        <w:divId w:val="1433625801"/>
        <w:rPr>
          <w:rFonts w:eastAsia="Times New Roman"/>
        </w:rPr>
      </w:pPr>
      <w:r>
        <w:rPr>
          <w:rFonts w:ascii="Arial" w:eastAsia="Times New Roman" w:hAnsi="Arial" w:cs="Arial"/>
          <w:color w:val="000000"/>
          <w:sz w:val="20"/>
          <w:szCs w:val="20"/>
        </w:rPr>
        <w:t>The following table summarizes the maturity and notional principal or quantity outstanding related to our derivative instruments.</w:t>
      </w:r>
    </w:p>
    <w:tbl>
      <w:tblPr>
        <w:tblW w:w="4927" w:type="pct"/>
        <w:tblCellMar>
          <w:top w:w="15" w:type="dxa"/>
          <w:left w:w="15" w:type="dxa"/>
          <w:bottom w:w="15" w:type="dxa"/>
          <w:right w:w="15" w:type="dxa"/>
        </w:tblCellMar>
        <w:tblLook w:val="04A0" w:firstRow="1" w:lastRow="0" w:firstColumn="1" w:lastColumn="0" w:noHBand="0" w:noVBand="1"/>
      </w:tblPr>
      <w:tblGrid>
        <w:gridCol w:w="65"/>
        <w:gridCol w:w="3273"/>
        <w:gridCol w:w="37"/>
        <w:gridCol w:w="65"/>
        <w:gridCol w:w="540"/>
        <w:gridCol w:w="36"/>
        <w:gridCol w:w="71"/>
        <w:gridCol w:w="534"/>
        <w:gridCol w:w="36"/>
        <w:gridCol w:w="65"/>
        <w:gridCol w:w="540"/>
        <w:gridCol w:w="36"/>
        <w:gridCol w:w="65"/>
        <w:gridCol w:w="540"/>
        <w:gridCol w:w="36"/>
        <w:gridCol w:w="65"/>
        <w:gridCol w:w="540"/>
        <w:gridCol w:w="36"/>
        <w:gridCol w:w="80"/>
        <w:gridCol w:w="692"/>
        <w:gridCol w:w="36"/>
        <w:gridCol w:w="77"/>
        <w:gridCol w:w="477"/>
        <w:gridCol w:w="36"/>
        <w:gridCol w:w="36"/>
        <w:gridCol w:w="63"/>
        <w:gridCol w:w="36"/>
        <w:gridCol w:w="36"/>
        <w:gridCol w:w="36"/>
      </w:tblGrid>
      <w:tr w:rsidR="00000000">
        <w:trPr>
          <w:divId w:val="1918200105"/>
        </w:trPr>
        <w:tc>
          <w:tcPr>
            <w:tcW w:w="50" w:type="pct"/>
            <w:vAlign w:val="center"/>
            <w:hideMark/>
          </w:tcPr>
          <w:p w:rsidR="00000000" w:rsidRDefault="009E01B0">
            <w:pPr>
              <w:rPr>
                <w:rFonts w:eastAsia="Times New Roman"/>
              </w:rPr>
            </w:pPr>
          </w:p>
        </w:tc>
        <w:tc>
          <w:tcPr>
            <w:tcW w:w="2026"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4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4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4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4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4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32"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10"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6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918200105"/>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91820010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b/>
                <w:bCs/>
                <w:color w:val="000000"/>
                <w:sz w:val="16"/>
                <w:szCs w:val="16"/>
              </w:rPr>
              <w:t>March 31, 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2023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2024</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2025</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Thereafter</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91820010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ind w:hanging="180"/>
              <w:divId w:val="296376492"/>
              <w:rPr>
                <w:rFonts w:eastAsia="Times New Roman"/>
              </w:rPr>
            </w:pPr>
            <w:r>
              <w:rPr>
                <w:rFonts w:ascii="Arial" w:eastAsia="Times New Roman" w:hAnsi="Arial" w:cs="Arial"/>
                <w:color w:val="000000"/>
                <w:sz w:val="16"/>
                <w:szCs w:val="16"/>
              </w:rPr>
              <w:t xml:space="preserve">Foreign exchange contracts - US dollar forwards - purchase </w:t>
            </w:r>
            <w:r>
              <w:rPr>
                <w:rFonts w:ascii="Arial" w:eastAsia="Times New Roman" w:hAnsi="Arial" w:cs="Arial"/>
                <w:i/>
                <w:iCs/>
                <w:color w:val="000000"/>
                <w:sz w:val="16"/>
                <w:szCs w:val="16"/>
              </w:rPr>
              <w:t>(millions of US dollars)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1,237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1,750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2,987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918200105"/>
        </w:trPr>
        <w:tc>
          <w:tcPr>
            <w:tcW w:w="0" w:type="auto"/>
            <w:gridSpan w:val="3"/>
            <w:tcMar>
              <w:top w:w="30" w:type="dxa"/>
              <w:left w:w="20" w:type="dxa"/>
              <w:bottom w:w="30" w:type="dxa"/>
              <w:right w:w="20" w:type="dxa"/>
            </w:tcMar>
            <w:vAlign w:val="bottom"/>
            <w:hideMark/>
          </w:tcPr>
          <w:p w:rsidR="00000000" w:rsidRDefault="009E01B0">
            <w:pPr>
              <w:ind w:hanging="180"/>
              <w:divId w:val="1771463035"/>
              <w:rPr>
                <w:rFonts w:eastAsia="Times New Roman"/>
              </w:rPr>
            </w:pPr>
            <w:r>
              <w:rPr>
                <w:rFonts w:ascii="Arial" w:eastAsia="Times New Roman" w:hAnsi="Arial" w:cs="Arial"/>
                <w:color w:val="000000"/>
                <w:sz w:val="16"/>
                <w:szCs w:val="16"/>
              </w:rPr>
              <w:t xml:space="preserve">Foreign exchange contracts - US dollar forwards - sell </w:t>
            </w:r>
            <w:r>
              <w:rPr>
                <w:rFonts w:ascii="Arial" w:eastAsia="Times New Roman" w:hAnsi="Arial" w:cs="Arial"/>
                <w:i/>
                <w:iCs/>
                <w:color w:val="000000"/>
                <w:sz w:val="16"/>
                <w:szCs w:val="16"/>
              </w:rPr>
              <w:t>(millions of US dollars)</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4,331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5,853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3,784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1,856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648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16,472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918200105"/>
        </w:trPr>
        <w:tc>
          <w:tcPr>
            <w:tcW w:w="0" w:type="auto"/>
            <w:gridSpan w:val="3"/>
            <w:tcMar>
              <w:top w:w="30" w:type="dxa"/>
              <w:left w:w="20" w:type="dxa"/>
              <w:bottom w:w="30" w:type="dxa"/>
              <w:right w:w="20" w:type="dxa"/>
            </w:tcMar>
            <w:vAlign w:val="bottom"/>
            <w:hideMark/>
          </w:tcPr>
          <w:p w:rsidR="00000000" w:rsidRDefault="009E01B0">
            <w:pPr>
              <w:ind w:hanging="180"/>
              <w:divId w:val="1345136245"/>
              <w:rPr>
                <w:rFonts w:eastAsia="Times New Roman"/>
              </w:rPr>
            </w:pPr>
            <w:r>
              <w:rPr>
                <w:rFonts w:ascii="Arial" w:eastAsia="Times New Roman" w:hAnsi="Arial" w:cs="Arial"/>
                <w:color w:val="000000"/>
                <w:sz w:val="16"/>
                <w:szCs w:val="16"/>
              </w:rPr>
              <w:t xml:space="preserve">Foreign exchange contracts - British pound (GBP) forwards - sell </w:t>
            </w:r>
            <w:r>
              <w:rPr>
                <w:rFonts w:ascii="Arial" w:eastAsia="Times New Roman" w:hAnsi="Arial" w:cs="Arial"/>
                <w:i/>
                <w:iCs/>
                <w:color w:val="000000"/>
                <w:sz w:val="16"/>
                <w:szCs w:val="16"/>
              </w:rPr>
              <w:t>(millions of GBP)</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252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918200105"/>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918200105"/>
        </w:trPr>
        <w:tc>
          <w:tcPr>
            <w:tcW w:w="0" w:type="auto"/>
            <w:gridSpan w:val="3"/>
            <w:tcMar>
              <w:top w:w="30" w:type="dxa"/>
              <w:left w:w="20" w:type="dxa"/>
              <w:bottom w:w="30" w:type="dxa"/>
              <w:right w:w="20" w:type="dxa"/>
            </w:tcMar>
            <w:vAlign w:val="bottom"/>
            <w:hideMark/>
          </w:tcPr>
          <w:p w:rsidR="00000000" w:rsidRDefault="009E01B0">
            <w:pPr>
              <w:ind w:hanging="180"/>
              <w:divId w:val="1509371378"/>
              <w:rPr>
                <w:rFonts w:eastAsia="Times New Roman"/>
              </w:rPr>
            </w:pPr>
            <w:r>
              <w:rPr>
                <w:rFonts w:ascii="Arial" w:eastAsia="Times New Roman" w:hAnsi="Arial" w:cs="Arial"/>
                <w:color w:val="000000"/>
                <w:sz w:val="16"/>
                <w:szCs w:val="16"/>
              </w:rPr>
              <w:t xml:space="preserve">Foreign exchange contracts - Euro forwards - sell </w:t>
            </w:r>
            <w:r>
              <w:rPr>
                <w:rFonts w:ascii="Arial" w:eastAsia="Times New Roman" w:hAnsi="Arial" w:cs="Arial"/>
                <w:i/>
                <w:iCs/>
                <w:color w:val="000000"/>
                <w:sz w:val="16"/>
                <w:szCs w:val="16"/>
              </w:rPr>
              <w:t>(millions of Euro)</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428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876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918200105"/>
        </w:trPr>
        <w:tc>
          <w:tcPr>
            <w:tcW w:w="0" w:type="auto"/>
            <w:gridSpan w:val="3"/>
            <w:tcMar>
              <w:top w:w="30" w:type="dxa"/>
              <w:left w:w="20" w:type="dxa"/>
              <w:bottom w:w="30" w:type="dxa"/>
              <w:right w:w="20" w:type="dxa"/>
            </w:tcMar>
            <w:vAlign w:val="bottom"/>
            <w:hideMark/>
          </w:tcPr>
          <w:p w:rsidR="00000000" w:rsidRDefault="009E01B0">
            <w:pPr>
              <w:ind w:hanging="180"/>
              <w:divId w:val="1120220354"/>
              <w:rPr>
                <w:rFonts w:eastAsia="Times New Roman"/>
              </w:rPr>
            </w:pPr>
            <w:r>
              <w:rPr>
                <w:rFonts w:ascii="Arial" w:eastAsia="Times New Roman" w:hAnsi="Arial" w:cs="Arial"/>
                <w:color w:val="000000"/>
                <w:sz w:val="16"/>
                <w:szCs w:val="16"/>
              </w:rPr>
              <w:t xml:space="preserve">Foreign exchange contracts - Japanese yen forwards - purchase </w:t>
            </w:r>
            <w:r>
              <w:rPr>
                <w:rFonts w:ascii="Arial" w:eastAsia="Times New Roman" w:hAnsi="Arial" w:cs="Arial"/>
                <w:i/>
                <w:iCs/>
                <w:color w:val="000000"/>
                <w:sz w:val="16"/>
                <w:szCs w:val="16"/>
              </w:rPr>
              <w:t>(millions of yen)</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72,500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72,500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918200105"/>
        </w:trPr>
        <w:tc>
          <w:tcPr>
            <w:tcW w:w="0" w:type="auto"/>
            <w:gridSpan w:val="3"/>
            <w:tcMar>
              <w:top w:w="30" w:type="dxa"/>
              <w:left w:w="20" w:type="dxa"/>
              <w:bottom w:w="30" w:type="dxa"/>
              <w:right w:w="20" w:type="dxa"/>
            </w:tcMar>
            <w:vAlign w:val="bottom"/>
            <w:hideMark/>
          </w:tcPr>
          <w:p w:rsidR="00000000" w:rsidRDefault="009E01B0">
            <w:pPr>
              <w:ind w:hanging="180"/>
              <w:divId w:val="347948090"/>
              <w:rPr>
                <w:rFonts w:eastAsia="Times New Roman"/>
              </w:rPr>
            </w:pPr>
            <w:r>
              <w:rPr>
                <w:rFonts w:ascii="Arial" w:eastAsia="Times New Roman" w:hAnsi="Arial" w:cs="Arial"/>
                <w:color w:val="000000"/>
                <w:sz w:val="16"/>
                <w:szCs w:val="16"/>
              </w:rPr>
              <w:t xml:space="preserve">Interest rate contracts - short-term debt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2,960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394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90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3,556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918200105"/>
        </w:trPr>
        <w:tc>
          <w:tcPr>
            <w:tcW w:w="0" w:type="auto"/>
            <w:gridSpan w:val="3"/>
            <w:tcMar>
              <w:top w:w="30" w:type="dxa"/>
              <w:left w:w="20" w:type="dxa"/>
              <w:bottom w:w="30" w:type="dxa"/>
              <w:right w:w="20" w:type="dxa"/>
            </w:tcMar>
            <w:vAlign w:val="bottom"/>
            <w:hideMark/>
          </w:tcPr>
          <w:p w:rsidR="00000000" w:rsidRDefault="009E01B0">
            <w:pPr>
              <w:ind w:hanging="180"/>
              <w:divId w:val="331299296"/>
              <w:rPr>
                <w:rFonts w:eastAsia="Times New Roman"/>
              </w:rPr>
            </w:pPr>
            <w:r>
              <w:rPr>
                <w:rFonts w:ascii="Arial" w:eastAsia="Times New Roman" w:hAnsi="Arial" w:cs="Arial"/>
                <w:color w:val="000000"/>
                <w:sz w:val="16"/>
                <w:szCs w:val="16"/>
              </w:rPr>
              <w:t xml:space="preserve">Interest rate contracts - long-term debt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2,060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1,980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1,328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5,368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918200105"/>
        </w:trPr>
        <w:tc>
          <w:tcPr>
            <w:tcW w:w="0" w:type="auto"/>
            <w:gridSpan w:val="3"/>
            <w:tcMar>
              <w:top w:w="30" w:type="dxa"/>
              <w:left w:w="20" w:type="dxa"/>
              <w:bottom w:w="30" w:type="dxa"/>
              <w:right w:w="20" w:type="dxa"/>
            </w:tcMar>
            <w:vAlign w:val="bottom"/>
            <w:hideMark/>
          </w:tcPr>
          <w:p w:rsidR="00000000" w:rsidRDefault="009E01B0">
            <w:pPr>
              <w:ind w:hanging="180"/>
              <w:divId w:val="1868055992"/>
              <w:rPr>
                <w:rFonts w:eastAsia="Times New Roman"/>
              </w:rPr>
            </w:pPr>
            <w:r>
              <w:rPr>
                <w:rFonts w:ascii="Arial" w:eastAsia="Times New Roman" w:hAnsi="Arial" w:cs="Arial"/>
                <w:color w:val="000000"/>
                <w:sz w:val="16"/>
                <w:szCs w:val="16"/>
              </w:rPr>
              <w:t xml:space="preserve">Equity contracts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39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57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918200105"/>
        </w:trPr>
        <w:tc>
          <w:tcPr>
            <w:tcW w:w="0" w:type="auto"/>
            <w:gridSpan w:val="3"/>
            <w:tcMar>
              <w:top w:w="30" w:type="dxa"/>
              <w:left w:w="20" w:type="dxa"/>
              <w:bottom w:w="30" w:type="dxa"/>
              <w:right w:w="20" w:type="dxa"/>
            </w:tcMar>
            <w:vAlign w:val="bottom"/>
            <w:hideMark/>
          </w:tcPr>
          <w:p w:rsidR="00000000" w:rsidRDefault="009E01B0">
            <w:pPr>
              <w:ind w:hanging="180"/>
              <w:divId w:val="1123035553"/>
              <w:rPr>
                <w:rFonts w:eastAsia="Times New Roman"/>
              </w:rPr>
            </w:pPr>
            <w:r>
              <w:rPr>
                <w:rFonts w:ascii="Arial" w:eastAsia="Times New Roman" w:hAnsi="Arial" w:cs="Arial"/>
                <w:color w:val="000000"/>
                <w:sz w:val="16"/>
                <w:szCs w:val="16"/>
              </w:rPr>
              <w:t xml:space="preserve">Commodity contracts - natural gas </w:t>
            </w:r>
            <w:r>
              <w:rPr>
                <w:rFonts w:ascii="Arial" w:eastAsia="Times New Roman" w:hAnsi="Arial" w:cs="Arial"/>
                <w:i/>
                <w:iCs/>
                <w:color w:val="000000"/>
                <w:sz w:val="16"/>
                <w:szCs w:val="16"/>
              </w:rPr>
              <w:t>(billions of cubic feet</w:t>
            </w:r>
            <w:r>
              <w:rPr>
                <w:rFonts w:ascii="Arial" w:eastAsia="Times New Roman" w:hAnsi="Arial" w:cs="Arial"/>
                <w:i/>
                <w:iCs/>
                <w:color w:val="000000"/>
                <w:sz w:val="16"/>
                <w:szCs w:val="16"/>
              </w:rPr>
              <w:t>)</w:t>
            </w:r>
            <w:r>
              <w:rPr>
                <w:rFonts w:ascii="Arial" w:eastAsia="Times New Roman" w:hAnsi="Arial" w:cs="Arial"/>
                <w:i/>
                <w:iCs/>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200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918200105"/>
        </w:trPr>
        <w:tc>
          <w:tcPr>
            <w:tcW w:w="0" w:type="auto"/>
            <w:gridSpan w:val="3"/>
            <w:tcMar>
              <w:top w:w="30" w:type="dxa"/>
              <w:left w:w="20" w:type="dxa"/>
              <w:bottom w:w="30" w:type="dxa"/>
              <w:right w:w="20" w:type="dxa"/>
            </w:tcMar>
            <w:vAlign w:val="bottom"/>
            <w:hideMark/>
          </w:tcPr>
          <w:p w:rsidR="00000000" w:rsidRDefault="009E01B0">
            <w:pPr>
              <w:ind w:hanging="180"/>
              <w:divId w:val="150410880"/>
              <w:rPr>
                <w:rFonts w:eastAsia="Times New Roman"/>
              </w:rPr>
            </w:pPr>
            <w:r>
              <w:rPr>
                <w:rFonts w:ascii="Arial" w:eastAsia="Times New Roman" w:hAnsi="Arial" w:cs="Arial"/>
                <w:color w:val="000000"/>
                <w:sz w:val="16"/>
                <w:szCs w:val="16"/>
              </w:rPr>
              <w:t xml:space="preserve">Commodity contracts - crude oil </w:t>
            </w:r>
            <w:r>
              <w:rPr>
                <w:rFonts w:ascii="Arial" w:eastAsia="Times New Roman" w:hAnsi="Arial" w:cs="Arial"/>
                <w:i/>
                <w:iCs/>
                <w:color w:val="000000"/>
                <w:sz w:val="16"/>
                <w:szCs w:val="16"/>
              </w:rPr>
              <w:t>(millions of barrels</w:t>
            </w:r>
            <w:r>
              <w:rPr>
                <w:rFonts w:ascii="Arial" w:eastAsia="Times New Roman" w:hAnsi="Arial" w:cs="Arial"/>
                <w:i/>
                <w:iCs/>
                <w:color w:val="000000"/>
                <w:sz w:val="16"/>
                <w:szCs w:val="16"/>
              </w:rPr>
              <w:t>)</w:t>
            </w:r>
            <w:r>
              <w:rPr>
                <w:rFonts w:ascii="Arial" w:eastAsia="Times New Roman" w:hAnsi="Arial" w:cs="Arial"/>
                <w:i/>
                <w:iCs/>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918200105"/>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918200105"/>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9E01B0">
            <w:pPr>
              <w:ind w:hanging="180"/>
              <w:divId w:val="902716591"/>
              <w:rPr>
                <w:rFonts w:eastAsia="Times New Roman"/>
              </w:rPr>
            </w:pPr>
            <w:r>
              <w:rPr>
                <w:rFonts w:ascii="Arial" w:eastAsia="Times New Roman" w:hAnsi="Arial" w:cs="Arial"/>
                <w:color w:val="000000"/>
                <w:sz w:val="16"/>
                <w:szCs w:val="16"/>
              </w:rPr>
              <w:t xml:space="preserve">Commodity contracts - power </w:t>
            </w:r>
            <w:r>
              <w:rPr>
                <w:rFonts w:ascii="Arial" w:eastAsia="Times New Roman" w:hAnsi="Arial" w:cs="Arial"/>
                <w:i/>
                <w:iCs/>
                <w:color w:val="000000"/>
                <w:sz w:val="16"/>
                <w:szCs w:val="16"/>
              </w:rPr>
              <w:t>(megawatt per hour) (MW/H)</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(14)</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(39)</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tcBorders>
              <w:bottom w:val="single" w:sz="18" w:space="0" w:color="000000"/>
            </w:tcBorders>
            <w:shd w:val="clear" w:color="auto" w:fill="D9D9D9"/>
            <w:tcMar>
              <w:top w:w="30" w:type="dxa"/>
              <w:left w:w="20" w:type="dxa"/>
              <w:bottom w:w="30" w:type="dxa"/>
              <w:right w:w="20" w:type="dxa"/>
            </w:tcMar>
            <w:vAlign w:val="bottom"/>
            <w:hideMark/>
          </w:tcPr>
          <w:p w:rsidR="00000000" w:rsidRDefault="009E01B0">
            <w:pPr>
              <w:divId w:val="1270165650"/>
              <w:rPr>
                <w:rFonts w:eastAsia="Times New Roman"/>
              </w:rPr>
            </w:pPr>
            <w:r>
              <w:rPr>
                <w:rFonts w:ascii="Arial" w:eastAsia="Times New Roman" w:hAnsi="Arial" w:cs="Arial"/>
                <w:b/>
                <w:bCs/>
                <w:color w:val="000000"/>
                <w:sz w:val="9"/>
                <w:szCs w:val="9"/>
              </w:rPr>
              <w:t>1</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r>
    </w:tbl>
    <w:p w:rsidR="00000000" w:rsidRDefault="009E01B0">
      <w:pPr>
        <w:divId w:val="1892691106"/>
        <w:rPr>
          <w:rFonts w:eastAsia="Times New Roman"/>
        </w:rPr>
      </w:pPr>
      <w:r>
        <w:rPr>
          <w:rFonts w:ascii="Arial" w:eastAsia="Times New Roman" w:hAnsi="Arial" w:cs="Arial"/>
          <w:i/>
          <w:iCs/>
          <w:color w:val="000000"/>
          <w:sz w:val="16"/>
          <w:szCs w:val="16"/>
        </w:rPr>
        <w:t>1    Total is an average net purchase/(sale) of power.</w:t>
      </w:r>
    </w:p>
    <w:p w:rsidR="00000000" w:rsidRDefault="009E01B0">
      <w:pPr>
        <w:divId w:val="1323583236"/>
        <w:rPr>
          <w:rFonts w:eastAsia="Times New Roman"/>
        </w:rPr>
      </w:pPr>
      <w:r>
        <w:rPr>
          <w:rFonts w:ascii="Arial" w:eastAsia="Times New Roman" w:hAnsi="Arial" w:cs="Arial"/>
          <w:i/>
          <w:iCs/>
          <w:color w:val="000000"/>
          <w:sz w:val="16"/>
          <w:szCs w:val="16"/>
        </w:rPr>
        <w:t>2 Total is a net purchase/(sale) of underlying commodity.</w:t>
      </w:r>
    </w:p>
    <w:p w:rsidR="00000000" w:rsidRDefault="009E01B0">
      <w:pPr>
        <w:divId w:val="102457188"/>
        <w:rPr>
          <w:rFonts w:eastAsia="Times New Roman"/>
        </w:rPr>
      </w:pPr>
    </w:p>
    <w:p w:rsidR="00000000" w:rsidRDefault="009E01B0">
      <w:pPr>
        <w:divId w:val="736628298"/>
        <w:rPr>
          <w:rFonts w:eastAsia="Times New Roman"/>
        </w:rPr>
      </w:pPr>
      <w:r>
        <w:rPr>
          <w:rFonts w:ascii="Arial" w:eastAsia="Times New Roman" w:hAnsi="Arial" w:cs="Arial"/>
          <w:b/>
          <w:bCs/>
          <w:color w:val="000000"/>
          <w:sz w:val="20"/>
          <w:szCs w:val="20"/>
        </w:rPr>
        <w:t>Fair Value Derivatives</w:t>
      </w:r>
    </w:p>
    <w:p w:rsidR="00000000" w:rsidRDefault="009E01B0">
      <w:pPr>
        <w:divId w:val="791093148"/>
        <w:rPr>
          <w:rFonts w:eastAsia="Times New Roman"/>
        </w:rPr>
      </w:pPr>
      <w:r>
        <w:rPr>
          <w:rFonts w:ascii="Arial" w:eastAsia="Times New Roman" w:hAnsi="Arial" w:cs="Arial"/>
          <w:color w:val="000000"/>
          <w:sz w:val="20"/>
          <w:szCs w:val="20"/>
        </w:rPr>
        <w:t>For foreign exchange derivative instruments that are designated and qualify as fair val</w:t>
      </w:r>
      <w:r>
        <w:rPr>
          <w:rFonts w:ascii="Arial" w:eastAsia="Times New Roman" w:hAnsi="Arial" w:cs="Arial"/>
          <w:color w:val="000000"/>
          <w:sz w:val="20"/>
          <w:szCs w:val="20"/>
        </w:rPr>
        <w:t xml:space="preserve">ue hedges, the gain or loss on the derivative as well as the offsetting loss or gain on the hedged item attributable to the hedged risk is included in Net foreign currency gain/(loss) in the Consolidated Statements of Earnings. Any excluded components are </w:t>
      </w:r>
      <w:r>
        <w:rPr>
          <w:rFonts w:ascii="Arial" w:eastAsia="Times New Roman" w:hAnsi="Arial" w:cs="Arial"/>
          <w:color w:val="000000"/>
          <w:sz w:val="20"/>
          <w:szCs w:val="20"/>
        </w:rPr>
        <w:t>included in the Consolidated Statements of Comprehensive Income.</w:t>
      </w:r>
    </w:p>
    <w:p w:rsidR="00000000" w:rsidRDefault="009E01B0">
      <w:pPr>
        <w:divId w:val="101033338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6"/>
        <w:gridCol w:w="6229"/>
        <w:gridCol w:w="37"/>
        <w:gridCol w:w="67"/>
        <w:gridCol w:w="793"/>
        <w:gridCol w:w="37"/>
        <w:gridCol w:w="67"/>
        <w:gridCol w:w="793"/>
        <w:gridCol w:w="37"/>
        <w:gridCol w:w="36"/>
        <w:gridCol w:w="36"/>
        <w:gridCol w:w="36"/>
        <w:gridCol w:w="36"/>
        <w:gridCol w:w="36"/>
      </w:tblGrid>
      <w:tr w:rsidR="00000000">
        <w:trPr>
          <w:divId w:val="155386301"/>
        </w:trPr>
        <w:tc>
          <w:tcPr>
            <w:tcW w:w="50" w:type="pct"/>
            <w:vAlign w:val="center"/>
            <w:hideMark/>
          </w:tcPr>
          <w:p w:rsidR="00000000" w:rsidRDefault="009E01B0">
            <w:pPr>
              <w:rPr>
                <w:rFonts w:eastAsia="Times New Roman"/>
              </w:rPr>
            </w:pPr>
          </w:p>
        </w:tc>
        <w:tc>
          <w:tcPr>
            <w:tcW w:w="383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55386301"/>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9E01B0">
            <w:pPr>
              <w:jc w:val="cente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55386301"/>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2020</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5538630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55386301"/>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Unrealized gain/(loss) on derivative</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218 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55386301"/>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Unrealized loss on hedged item</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(203)</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55386301"/>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Realized loss on derivative</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(39)</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(12)</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55386301"/>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Realized gain on hedged item</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45</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Borders>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bl>
    <w:p w:rsidR="00000000" w:rsidRDefault="009E01B0">
      <w:pPr>
        <w:divId w:val="781606381"/>
        <w:rPr>
          <w:rFonts w:eastAsia="Times New Roman"/>
        </w:rPr>
      </w:pPr>
    </w:p>
    <w:p w:rsidR="00000000" w:rsidRDefault="009E01B0">
      <w:pPr>
        <w:jc w:val="center"/>
        <w:divId w:val="1716461920"/>
        <w:rPr>
          <w:rFonts w:eastAsia="Times New Roman"/>
        </w:rPr>
      </w:pPr>
      <w:r>
        <w:rPr>
          <w:rFonts w:ascii="Arial" w:eastAsia="Times New Roman" w:hAnsi="Arial" w:cs="Arial"/>
          <w:color w:val="000000"/>
          <w:sz w:val="20"/>
          <w:szCs w:val="20"/>
        </w:rPr>
        <w:t>24</w:t>
      </w:r>
    </w:p>
    <w:p w:rsidR="00000000" w:rsidRDefault="009E01B0">
      <w:pPr>
        <w:rPr>
          <w:rFonts w:eastAsia="Times New Roman"/>
        </w:rPr>
      </w:pPr>
      <w:r>
        <w:rPr>
          <w:rFonts w:eastAsia="Times New Roman"/>
        </w:rPr>
        <w:pict>
          <v:rect id="_x0000_i1049" style="width:0;height:1.5pt" o:hralign="center" o:hrstd="t" o:hr="t" fillcolor="#a0a0a0" stroked="f"/>
        </w:pict>
      </w:r>
    </w:p>
    <w:p w:rsidR="00000000" w:rsidRDefault="009E01B0">
      <w:pPr>
        <w:jc w:val="center"/>
        <w:divId w:val="1838111525"/>
        <w:rPr>
          <w:rFonts w:eastAsia="Times New Roman"/>
        </w:rPr>
      </w:pPr>
    </w:p>
    <w:p w:rsidR="00000000" w:rsidRDefault="009E01B0">
      <w:pPr>
        <w:jc w:val="center"/>
        <w:divId w:val="1838111525"/>
        <w:rPr>
          <w:rFonts w:eastAsia="Times New Roman"/>
        </w:rPr>
      </w:pPr>
    </w:p>
    <w:p w:rsidR="00000000" w:rsidRDefault="009E01B0">
      <w:pPr>
        <w:divId w:val="1303579413"/>
        <w:rPr>
          <w:rFonts w:eastAsia="Times New Roman"/>
        </w:rPr>
      </w:pPr>
      <w:r>
        <w:rPr>
          <w:rFonts w:ascii="Arial" w:eastAsia="Times New Roman" w:hAnsi="Arial" w:cs="Arial"/>
          <w:b/>
          <w:bCs/>
          <w:color w:val="000000"/>
          <w:sz w:val="20"/>
          <w:szCs w:val="20"/>
        </w:rPr>
        <w:t>The Effect of Derivative Instruments on the Statements of Earnings and Comprehensive Income</w:t>
      </w:r>
    </w:p>
    <w:p w:rsidR="00000000" w:rsidRDefault="009E01B0">
      <w:pPr>
        <w:divId w:val="746614737"/>
        <w:rPr>
          <w:rFonts w:eastAsia="Times New Roman"/>
        </w:rPr>
      </w:pPr>
      <w:r>
        <w:rPr>
          <w:rFonts w:ascii="Arial" w:eastAsia="Times New Roman" w:hAnsi="Arial" w:cs="Arial"/>
          <w:color w:val="000000"/>
          <w:sz w:val="4"/>
          <w:szCs w:val="4"/>
        </w:rPr>
        <w:t> </w:t>
      </w:r>
    </w:p>
    <w:p w:rsidR="00000000" w:rsidRDefault="009E01B0">
      <w:pPr>
        <w:divId w:val="1458332745"/>
        <w:rPr>
          <w:rFonts w:eastAsia="Times New Roman"/>
        </w:rPr>
      </w:pPr>
      <w:r>
        <w:rPr>
          <w:rFonts w:ascii="Arial" w:eastAsia="Times New Roman" w:hAnsi="Arial" w:cs="Arial"/>
          <w:color w:val="000000"/>
          <w:sz w:val="20"/>
          <w:szCs w:val="20"/>
        </w:rPr>
        <w:t>The following table presents the effect of cash flow hedges, fair value hedges and net investment hedges on our consolidat</w:t>
      </w:r>
      <w:r>
        <w:rPr>
          <w:rFonts w:ascii="Arial" w:eastAsia="Times New Roman" w:hAnsi="Arial" w:cs="Arial"/>
          <w:color w:val="000000"/>
          <w:sz w:val="20"/>
          <w:szCs w:val="20"/>
        </w:rPr>
        <w:t>ed earnings and consolidated comprehensive income, before the effect of income taxes:</w:t>
      </w:r>
    </w:p>
    <w:tbl>
      <w:tblPr>
        <w:tblW w:w="5000" w:type="pct"/>
        <w:tblCellMar>
          <w:top w:w="15" w:type="dxa"/>
          <w:left w:w="15" w:type="dxa"/>
          <w:bottom w:w="15" w:type="dxa"/>
          <w:right w:w="15" w:type="dxa"/>
        </w:tblCellMar>
        <w:tblLook w:val="04A0" w:firstRow="1" w:lastRow="0" w:firstColumn="1" w:lastColumn="0" w:noHBand="0" w:noVBand="1"/>
      </w:tblPr>
      <w:tblGrid>
        <w:gridCol w:w="66"/>
        <w:gridCol w:w="6228"/>
        <w:gridCol w:w="38"/>
        <w:gridCol w:w="67"/>
        <w:gridCol w:w="793"/>
        <w:gridCol w:w="37"/>
        <w:gridCol w:w="67"/>
        <w:gridCol w:w="793"/>
        <w:gridCol w:w="37"/>
        <w:gridCol w:w="36"/>
        <w:gridCol w:w="36"/>
        <w:gridCol w:w="36"/>
        <w:gridCol w:w="36"/>
        <w:gridCol w:w="36"/>
      </w:tblGrid>
      <w:tr w:rsidR="00000000">
        <w:trPr>
          <w:divId w:val="325983516"/>
        </w:trPr>
        <w:tc>
          <w:tcPr>
            <w:tcW w:w="50" w:type="pct"/>
            <w:vAlign w:val="center"/>
            <w:hideMark/>
          </w:tcPr>
          <w:p w:rsidR="00000000" w:rsidRDefault="009E01B0">
            <w:pPr>
              <w:rPr>
                <w:rFonts w:eastAsia="Times New Roman"/>
              </w:rPr>
            </w:pPr>
          </w:p>
        </w:tc>
        <w:tc>
          <w:tcPr>
            <w:tcW w:w="383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9E01B0">
            <w:pPr>
              <w:jc w:val="cente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325983516"/>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2020</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Mar>
              <w:top w:w="30" w:type="dxa"/>
              <w:left w:w="20" w:type="dxa"/>
              <w:bottom w:w="30" w:type="dxa"/>
              <w:right w:w="20" w:type="dxa"/>
            </w:tcMar>
            <w:hideMark/>
          </w:tcPr>
          <w:p w:rsidR="00000000" w:rsidRDefault="009E01B0">
            <w:pPr>
              <w:ind w:hanging="180"/>
              <w:divId w:val="1648128051"/>
              <w:rPr>
                <w:rFonts w:eastAsia="Times New Roman"/>
              </w:rPr>
            </w:pPr>
            <w:r>
              <w:rPr>
                <w:rFonts w:ascii="Arial" w:eastAsia="Times New Roman" w:hAnsi="Arial" w:cs="Arial"/>
                <w:color w:val="000000"/>
                <w:sz w:val="20"/>
                <w:szCs w:val="20"/>
              </w:rPr>
              <w:t>Amount of unrealized gain/(loss) recognized in OCI</w:t>
            </w:r>
          </w:p>
        </w:tc>
        <w:tc>
          <w:tcPr>
            <w:tcW w:w="0" w:type="auto"/>
            <w:gridSpan w:val="3"/>
            <w:shd w:val="clear" w:color="auto" w:fill="D9D9D9"/>
            <w:tcMar>
              <w:top w:w="0" w:type="dxa"/>
              <w:left w:w="20" w:type="dxa"/>
              <w:bottom w:w="0" w:type="dxa"/>
              <w:right w:w="20" w:type="dxa"/>
            </w:tcMar>
            <w:vAlign w:val="center"/>
            <w:hideMark/>
          </w:tcPr>
          <w:p w:rsidR="00000000" w:rsidRDefault="009E01B0">
            <w:pPr>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Mar>
              <w:top w:w="30" w:type="dxa"/>
              <w:left w:w="20" w:type="dxa"/>
              <w:bottom w:w="30" w:type="dxa"/>
              <w:right w:w="20" w:type="dxa"/>
            </w:tcMar>
            <w:hideMark/>
          </w:tcPr>
          <w:p w:rsidR="00000000" w:rsidRDefault="009E01B0">
            <w:pPr>
              <w:divId w:val="270673544"/>
              <w:rPr>
                <w:rFonts w:eastAsia="Times New Roman"/>
              </w:rPr>
            </w:pPr>
            <w:r>
              <w:rPr>
                <w:rFonts w:ascii="Arial" w:eastAsia="Times New Roman" w:hAnsi="Arial" w:cs="Arial"/>
                <w:color w:val="000000"/>
                <w:sz w:val="20"/>
                <w:szCs w:val="20"/>
              </w:rPr>
              <w:t>Cash flow hedges</w:t>
            </w: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Mar>
              <w:top w:w="30" w:type="dxa"/>
              <w:left w:w="20" w:type="dxa"/>
              <w:bottom w:w="30" w:type="dxa"/>
              <w:right w:w="20" w:type="dxa"/>
            </w:tcMar>
            <w:hideMark/>
          </w:tcPr>
          <w:p w:rsidR="00000000" w:rsidRDefault="009E01B0">
            <w:pPr>
              <w:divId w:val="903219019"/>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(20)</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19 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Mar>
              <w:top w:w="30" w:type="dxa"/>
              <w:left w:w="20" w:type="dxa"/>
              <w:bottom w:w="30" w:type="dxa"/>
              <w:right w:w="20" w:type="dxa"/>
            </w:tcMar>
            <w:hideMark/>
          </w:tcPr>
          <w:p w:rsidR="00000000" w:rsidRDefault="009E01B0">
            <w:pPr>
              <w:divId w:val="1421289269"/>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497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(715)</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Mar>
              <w:top w:w="30" w:type="dxa"/>
              <w:left w:w="20" w:type="dxa"/>
              <w:bottom w:w="30" w:type="dxa"/>
              <w:right w:w="20" w:type="dxa"/>
            </w:tcMar>
            <w:hideMark/>
          </w:tcPr>
          <w:p w:rsidR="00000000" w:rsidRDefault="009E01B0">
            <w:pPr>
              <w:divId w:val="852720681"/>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(8)</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9 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Mar>
              <w:top w:w="30" w:type="dxa"/>
              <w:left w:w="20" w:type="dxa"/>
              <w:bottom w:w="30" w:type="dxa"/>
              <w:right w:w="20" w:type="dxa"/>
            </w:tcMar>
            <w:hideMark/>
          </w:tcPr>
          <w:p w:rsidR="00000000" w:rsidRDefault="009E01B0">
            <w:pPr>
              <w:divId w:val="1502038424"/>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(7)</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Mar>
              <w:top w:w="30" w:type="dxa"/>
              <w:left w:w="20" w:type="dxa"/>
              <w:bottom w:w="30" w:type="dxa"/>
              <w:right w:w="20" w:type="dxa"/>
            </w:tcMar>
            <w:hideMark/>
          </w:tcPr>
          <w:p w:rsidR="00000000" w:rsidRDefault="009E01B0">
            <w:pPr>
              <w:divId w:val="1623074633"/>
              <w:rPr>
                <w:rFonts w:eastAsia="Times New Roman"/>
              </w:rPr>
            </w:pPr>
            <w:r>
              <w:rPr>
                <w:rFonts w:ascii="Arial" w:eastAsia="Times New Roman" w:hAnsi="Arial" w:cs="Arial"/>
                <w:color w:val="000000"/>
                <w:sz w:val="20"/>
                <w:szCs w:val="20"/>
              </w:rPr>
              <w:t>Fair value hedges</w:t>
            </w: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Mar>
              <w:top w:w="30" w:type="dxa"/>
              <w:left w:w="20" w:type="dxa"/>
              <w:bottom w:w="30" w:type="dxa"/>
              <w:right w:w="20" w:type="dxa"/>
            </w:tcMar>
            <w:hideMark/>
          </w:tcPr>
          <w:p w:rsidR="00000000" w:rsidRDefault="009E01B0">
            <w:pPr>
              <w:divId w:val="961813967"/>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Mar>
              <w:top w:w="30" w:type="dxa"/>
              <w:left w:w="20" w:type="dxa"/>
              <w:bottom w:w="30" w:type="dxa"/>
              <w:right w:w="20" w:type="dxa"/>
            </w:tcMar>
            <w:hideMark/>
          </w:tcPr>
          <w:p w:rsidR="00000000" w:rsidRDefault="009E01B0">
            <w:pPr>
              <w:divId w:val="659700958"/>
              <w:rPr>
                <w:rFonts w:eastAsia="Times New Roman"/>
              </w:rPr>
            </w:pPr>
            <w:r>
              <w:rPr>
                <w:rFonts w:ascii="Arial" w:eastAsia="Times New Roman" w:hAnsi="Arial" w:cs="Arial"/>
                <w:color w:val="000000"/>
                <w:sz w:val="20"/>
                <w:szCs w:val="20"/>
              </w:rPr>
              <w:t>Net investment hedges</w:t>
            </w: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Mar>
              <w:top w:w="30" w:type="dxa"/>
              <w:left w:w="20" w:type="dxa"/>
              <w:bottom w:w="30" w:type="dxa"/>
              <w:right w:w="20" w:type="dxa"/>
            </w:tcMar>
            <w:hideMark/>
          </w:tcPr>
          <w:p w:rsidR="00000000" w:rsidRDefault="009E01B0">
            <w:pPr>
              <w:divId w:val="960764871"/>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(7)</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471</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(698)</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Borders>
              <w:top w:val="single" w:sz="8" w:space="0" w:color="000000"/>
            </w:tcBorders>
            <w:tcMar>
              <w:top w:w="30" w:type="dxa"/>
              <w:left w:w="200" w:type="dxa"/>
              <w:bottom w:w="30" w:type="dxa"/>
              <w:right w:w="20" w:type="dxa"/>
            </w:tcMar>
            <w:hideMark/>
          </w:tcPr>
          <w:p w:rsidR="00000000" w:rsidRDefault="009E01B0">
            <w:pPr>
              <w:ind w:hanging="180"/>
              <w:rPr>
                <w:rFonts w:eastAsia="Times New Roman"/>
              </w:rPr>
            </w:pPr>
            <w:r>
              <w:rPr>
                <w:rFonts w:ascii="Arial" w:eastAsia="Times New Roman" w:hAnsi="Arial" w:cs="Arial"/>
                <w:color w:val="000000"/>
                <w:sz w:val="20"/>
                <w:szCs w:val="20"/>
              </w:rPr>
              <w:t>Amount of loss reclassified from AOCI to earnings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ind w:hanging="18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Mar>
              <w:top w:w="30" w:type="dxa"/>
              <w:left w:w="20" w:type="dxa"/>
              <w:bottom w:w="30" w:type="dxa"/>
              <w:right w:w="20" w:type="dxa"/>
            </w:tcMar>
            <w:hideMark/>
          </w:tcPr>
          <w:p w:rsidR="00000000" w:rsidRDefault="009E01B0">
            <w:pPr>
              <w:divId w:val="941768660"/>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Mar>
              <w:top w:w="30" w:type="dxa"/>
              <w:left w:w="20" w:type="dxa"/>
              <w:bottom w:w="30" w:type="dxa"/>
              <w:right w:w="20" w:type="dxa"/>
            </w:tcMar>
            <w:hideMark/>
          </w:tcPr>
          <w:p w:rsidR="00000000" w:rsidRDefault="009E01B0">
            <w:pPr>
              <w:divId w:val="804810919"/>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63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Mar>
              <w:top w:w="30" w:type="dxa"/>
              <w:left w:w="20" w:type="dxa"/>
              <w:bottom w:w="30" w:type="dxa"/>
              <w:right w:w="20" w:type="dxa"/>
            </w:tcMar>
            <w:hideMark/>
          </w:tcPr>
          <w:p w:rsidR="00000000" w:rsidRDefault="009E01B0">
            <w:pPr>
              <w:divId w:val="1548830443"/>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Mar>
              <w:top w:w="30" w:type="dxa"/>
              <w:left w:w="20" w:type="dxa"/>
              <w:bottom w:w="30" w:type="dxa"/>
              <w:right w:w="20" w:type="dxa"/>
            </w:tcMar>
            <w:hideMark/>
          </w:tcPr>
          <w:p w:rsidR="00000000" w:rsidRDefault="009E01B0">
            <w:pPr>
              <w:divId w:val="973679086"/>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5983516"/>
        </w:trPr>
        <w:tc>
          <w:tcPr>
            <w:tcW w:w="0" w:type="auto"/>
            <w:gridSpan w:val="3"/>
            <w:tcBorders>
              <w:top w:val="single" w:sz="8" w:space="0" w:color="000000"/>
              <w:bottom w:val="single" w:sz="12" w:space="0" w:color="000000"/>
            </w:tcBorders>
            <w:tcMar>
              <w:top w:w="30" w:type="dxa"/>
              <w:left w:w="20" w:type="dxa"/>
              <w:bottom w:w="30" w:type="dxa"/>
              <w:right w:w="20" w:type="dxa"/>
            </w:tcMar>
            <w:vAlign w:val="bottom"/>
            <w:hideMark/>
          </w:tcPr>
          <w:p w:rsidR="00000000" w:rsidRDefault="009E01B0">
            <w:pPr>
              <w:divId w:val="480315077"/>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65</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44 </w:t>
            </w:r>
          </w:p>
        </w:tc>
        <w:tc>
          <w:tcPr>
            <w:tcW w:w="0" w:type="auto"/>
            <w:tcBorders>
              <w:top w:val="single" w:sz="8" w:space="0" w:color="000000"/>
              <w:bottom w:val="single" w:sz="12"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bl>
    <w:p w:rsidR="00000000" w:rsidRDefault="009E01B0">
      <w:pPr>
        <w:ind w:hanging="180"/>
        <w:divId w:val="1093167090"/>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Reported within Transportation and other services revenues and Net foreign currency gain/(loss) in the Consolidated Statements of Earnings.</w:t>
      </w:r>
    </w:p>
    <w:p w:rsidR="00000000" w:rsidRDefault="009E01B0">
      <w:pPr>
        <w:ind w:hanging="180"/>
        <w:divId w:val="1359772517"/>
        <w:rPr>
          <w:rFonts w:eastAsia="Times New Roman"/>
        </w:rPr>
      </w:pPr>
      <w:r>
        <w:rPr>
          <w:rFonts w:ascii="Arial" w:eastAsia="Times New Roman" w:hAnsi="Arial" w:cs="Arial"/>
          <w:i/>
          <w:iCs/>
          <w:color w:val="000000"/>
          <w:sz w:val="16"/>
          <w:szCs w:val="16"/>
        </w:rPr>
        <w:t xml:space="preserve">2    Reported within Interest expense in the Consolidated Statements of Earnings. </w:t>
      </w:r>
    </w:p>
    <w:p w:rsidR="00000000" w:rsidRDefault="009E01B0">
      <w:pPr>
        <w:ind w:hanging="180"/>
        <w:divId w:val="242837403"/>
        <w:rPr>
          <w:rFonts w:eastAsia="Times New Roman"/>
        </w:rPr>
      </w:pPr>
      <w:r>
        <w:rPr>
          <w:rFonts w:ascii="Arial" w:eastAsia="Times New Roman" w:hAnsi="Arial" w:cs="Arial"/>
          <w:i/>
          <w:iCs/>
          <w:color w:val="000000"/>
          <w:sz w:val="16"/>
          <w:szCs w:val="16"/>
        </w:rPr>
        <w:t>3    Reported within Operating an</w:t>
      </w:r>
      <w:r>
        <w:rPr>
          <w:rFonts w:ascii="Arial" w:eastAsia="Times New Roman" w:hAnsi="Arial" w:cs="Arial"/>
          <w:i/>
          <w:iCs/>
          <w:color w:val="000000"/>
          <w:sz w:val="16"/>
          <w:szCs w:val="16"/>
        </w:rPr>
        <w:t>d administrative expense in the Consolidated Statements of Earnings.</w:t>
      </w:r>
    </w:p>
    <w:p w:rsidR="00000000" w:rsidRDefault="009E01B0">
      <w:pPr>
        <w:divId w:val="1541019279"/>
        <w:rPr>
          <w:rFonts w:eastAsia="Times New Roman"/>
        </w:rPr>
      </w:pPr>
    </w:p>
    <w:p w:rsidR="00000000" w:rsidRDefault="009E01B0">
      <w:pPr>
        <w:divId w:val="1778600614"/>
        <w:rPr>
          <w:rFonts w:eastAsia="Times New Roman"/>
        </w:rPr>
      </w:pPr>
      <w:r>
        <w:rPr>
          <w:rFonts w:ascii="Arial" w:eastAsia="Times New Roman" w:hAnsi="Arial" w:cs="Arial"/>
          <w:color w:val="000000"/>
          <w:sz w:val="20"/>
          <w:szCs w:val="20"/>
        </w:rPr>
        <w:t>We estimate that a loss of $113 million of AOCI related to unrealized cash flow hedges will be reclassified to earnings in the next 12 months. Actual amounts reclassified to earnings de</w:t>
      </w:r>
      <w:r>
        <w:rPr>
          <w:rFonts w:ascii="Arial" w:eastAsia="Times New Roman" w:hAnsi="Arial" w:cs="Arial"/>
          <w:color w:val="000000"/>
          <w:sz w:val="20"/>
          <w:szCs w:val="20"/>
        </w:rPr>
        <w:t>pend on the foreign exchange rates, interest rates and commodity prices in effect when derivative contracts that are currently outstanding mature. For all forecasted transactions, the maximum term over which we are hedging exposures to the variability of c</w:t>
      </w:r>
      <w:r>
        <w:rPr>
          <w:rFonts w:ascii="Arial" w:eastAsia="Times New Roman" w:hAnsi="Arial" w:cs="Arial"/>
          <w:color w:val="000000"/>
          <w:sz w:val="20"/>
          <w:szCs w:val="20"/>
        </w:rPr>
        <w:t>ash flows is 33 months as at March 31, 2021.</w:t>
      </w:r>
    </w:p>
    <w:p w:rsidR="00000000" w:rsidRDefault="009E01B0">
      <w:pPr>
        <w:divId w:val="1866560157"/>
        <w:rPr>
          <w:rFonts w:eastAsia="Times New Roman"/>
        </w:rPr>
      </w:pPr>
      <w:r>
        <w:rPr>
          <w:rFonts w:ascii="Arial" w:eastAsia="Times New Roman" w:hAnsi="Arial" w:cs="Arial"/>
          <w:color w:val="000000"/>
          <w:sz w:val="20"/>
          <w:szCs w:val="20"/>
        </w:rPr>
        <w:t> </w:t>
      </w:r>
    </w:p>
    <w:p w:rsidR="00000000" w:rsidRDefault="009E01B0">
      <w:pPr>
        <w:jc w:val="center"/>
        <w:divId w:val="547188634"/>
        <w:rPr>
          <w:rFonts w:eastAsia="Times New Roman"/>
        </w:rPr>
      </w:pPr>
      <w:r>
        <w:rPr>
          <w:rFonts w:ascii="Arial" w:eastAsia="Times New Roman" w:hAnsi="Arial" w:cs="Arial"/>
          <w:color w:val="000000"/>
          <w:sz w:val="20"/>
          <w:szCs w:val="20"/>
        </w:rPr>
        <w:t>25</w:t>
      </w:r>
    </w:p>
    <w:p w:rsidR="00000000" w:rsidRDefault="009E01B0">
      <w:pPr>
        <w:rPr>
          <w:rFonts w:eastAsia="Times New Roman"/>
        </w:rPr>
      </w:pPr>
      <w:r>
        <w:rPr>
          <w:rFonts w:eastAsia="Times New Roman"/>
        </w:rPr>
        <w:pict>
          <v:rect id="_x0000_i1050" style="width:0;height:1.5pt" o:hralign="center" o:hrstd="t" o:hr="t" fillcolor="#a0a0a0" stroked="f"/>
        </w:pict>
      </w:r>
    </w:p>
    <w:p w:rsidR="00000000" w:rsidRDefault="009E01B0">
      <w:pPr>
        <w:jc w:val="center"/>
        <w:divId w:val="816994366"/>
        <w:rPr>
          <w:rFonts w:eastAsia="Times New Roman"/>
        </w:rPr>
      </w:pPr>
    </w:p>
    <w:p w:rsidR="00000000" w:rsidRDefault="009E01B0">
      <w:pPr>
        <w:jc w:val="center"/>
        <w:divId w:val="816994366"/>
        <w:rPr>
          <w:rFonts w:eastAsia="Times New Roman"/>
        </w:rPr>
      </w:pPr>
    </w:p>
    <w:p w:rsidR="00000000" w:rsidRDefault="009E01B0">
      <w:pPr>
        <w:divId w:val="1697148272"/>
        <w:rPr>
          <w:rFonts w:eastAsia="Times New Roman"/>
        </w:rPr>
      </w:pPr>
      <w:r>
        <w:rPr>
          <w:rFonts w:ascii="Arial" w:eastAsia="Times New Roman" w:hAnsi="Arial" w:cs="Arial"/>
          <w:b/>
          <w:bCs/>
          <w:color w:val="000000"/>
          <w:sz w:val="20"/>
          <w:szCs w:val="20"/>
        </w:rPr>
        <w:t>Non-Qualifying Derivatives</w:t>
      </w:r>
    </w:p>
    <w:p w:rsidR="00000000" w:rsidRDefault="009E01B0">
      <w:pPr>
        <w:divId w:val="275255555"/>
        <w:rPr>
          <w:rFonts w:eastAsia="Times New Roman"/>
        </w:rPr>
      </w:pPr>
      <w:r>
        <w:rPr>
          <w:rFonts w:ascii="Arial" w:eastAsia="Times New Roman" w:hAnsi="Arial" w:cs="Arial"/>
          <w:color w:val="000000"/>
          <w:sz w:val="20"/>
          <w:szCs w:val="20"/>
        </w:rPr>
        <w:t>The following table presents the unrealized gains and losses associated with changes in the fair value of our non-qualifying derivatives:</w:t>
      </w:r>
    </w:p>
    <w:tbl>
      <w:tblPr>
        <w:tblW w:w="5000" w:type="pct"/>
        <w:tblCellMar>
          <w:top w:w="15" w:type="dxa"/>
          <w:left w:w="15" w:type="dxa"/>
          <w:bottom w:w="15" w:type="dxa"/>
          <w:right w:w="15" w:type="dxa"/>
        </w:tblCellMar>
        <w:tblLook w:val="04A0" w:firstRow="1" w:lastRow="0" w:firstColumn="1" w:lastColumn="0" w:noHBand="0" w:noVBand="1"/>
      </w:tblPr>
      <w:tblGrid>
        <w:gridCol w:w="66"/>
        <w:gridCol w:w="6228"/>
        <w:gridCol w:w="38"/>
        <w:gridCol w:w="67"/>
        <w:gridCol w:w="793"/>
        <w:gridCol w:w="37"/>
        <w:gridCol w:w="67"/>
        <w:gridCol w:w="793"/>
        <w:gridCol w:w="37"/>
        <w:gridCol w:w="36"/>
        <w:gridCol w:w="36"/>
        <w:gridCol w:w="36"/>
        <w:gridCol w:w="36"/>
        <w:gridCol w:w="36"/>
      </w:tblGrid>
      <w:tr w:rsidR="00000000">
        <w:trPr>
          <w:divId w:val="324866411"/>
        </w:trPr>
        <w:tc>
          <w:tcPr>
            <w:tcW w:w="50" w:type="pct"/>
            <w:vAlign w:val="center"/>
            <w:hideMark/>
          </w:tcPr>
          <w:p w:rsidR="00000000" w:rsidRDefault="009E01B0">
            <w:pPr>
              <w:rPr>
                <w:rFonts w:eastAsia="Times New Roman"/>
              </w:rPr>
            </w:pPr>
          </w:p>
        </w:tc>
        <w:tc>
          <w:tcPr>
            <w:tcW w:w="383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4866411"/>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9E01B0">
            <w:pPr>
              <w:jc w:val="cente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324866411"/>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2020</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4866411"/>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4866411"/>
        </w:trPr>
        <w:tc>
          <w:tcPr>
            <w:tcW w:w="0" w:type="auto"/>
            <w:gridSpan w:val="3"/>
            <w:tcMar>
              <w:top w:w="30" w:type="dxa"/>
              <w:left w:w="20" w:type="dxa"/>
              <w:bottom w:w="30" w:type="dxa"/>
              <w:right w:w="20" w:type="dxa"/>
            </w:tcMar>
            <w:hideMark/>
          </w:tcPr>
          <w:p w:rsidR="00000000" w:rsidRDefault="009E01B0">
            <w:pPr>
              <w:divId w:val="910776794"/>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236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(2,003)</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4866411"/>
        </w:trPr>
        <w:tc>
          <w:tcPr>
            <w:tcW w:w="0" w:type="auto"/>
            <w:gridSpan w:val="3"/>
            <w:tcMar>
              <w:top w:w="30" w:type="dxa"/>
              <w:left w:w="20" w:type="dxa"/>
              <w:bottom w:w="30" w:type="dxa"/>
              <w:right w:w="20" w:type="dxa"/>
            </w:tcMar>
            <w:hideMark/>
          </w:tcPr>
          <w:p w:rsidR="00000000" w:rsidRDefault="009E01B0">
            <w:pPr>
              <w:divId w:val="442844857"/>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(18)</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4866411"/>
        </w:trPr>
        <w:tc>
          <w:tcPr>
            <w:tcW w:w="0" w:type="auto"/>
            <w:gridSpan w:val="3"/>
            <w:tcMar>
              <w:top w:w="30" w:type="dxa"/>
              <w:left w:w="20" w:type="dxa"/>
              <w:bottom w:w="30" w:type="dxa"/>
              <w:right w:w="20" w:type="dxa"/>
            </w:tcMar>
            <w:hideMark/>
          </w:tcPr>
          <w:p w:rsidR="00000000" w:rsidRDefault="009E01B0">
            <w:pPr>
              <w:divId w:val="932012055"/>
              <w:rPr>
                <w:rFonts w:eastAsia="Times New Roman"/>
              </w:rPr>
            </w:pPr>
            <w:r>
              <w:rPr>
                <w:rFonts w:ascii="Arial" w:eastAsia="Times New Roman" w:hAnsi="Arial" w:cs="Arial"/>
                <w:color w:val="000000"/>
                <w:sz w:val="20"/>
                <w:szCs w:val="20"/>
              </w:rPr>
              <w:t>Commodity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72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473 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4866411"/>
        </w:trPr>
        <w:tc>
          <w:tcPr>
            <w:tcW w:w="0" w:type="auto"/>
            <w:gridSpan w:val="3"/>
            <w:tcMar>
              <w:top w:w="30" w:type="dxa"/>
              <w:left w:w="20" w:type="dxa"/>
              <w:bottom w:w="30" w:type="dxa"/>
              <w:right w:w="20" w:type="dxa"/>
            </w:tcMar>
            <w:hideMark/>
          </w:tcPr>
          <w:p w:rsidR="00000000" w:rsidRDefault="009E01B0">
            <w:pPr>
              <w:divId w:val="2063677045"/>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(8)</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324866411"/>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9E01B0">
            <w:pPr>
              <w:ind w:hanging="180"/>
              <w:divId w:val="872574546"/>
              <w:rPr>
                <w:rFonts w:eastAsia="Times New Roman"/>
              </w:rPr>
            </w:pPr>
            <w:r>
              <w:rPr>
                <w:rFonts w:ascii="Arial" w:eastAsia="Times New Roman" w:hAnsi="Arial" w:cs="Arial"/>
                <w:color w:val="000000"/>
                <w:sz w:val="20"/>
                <w:szCs w:val="20"/>
              </w:rPr>
              <w:t>Total unrealized derivative fair value gain/(loss), net</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315</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(1,556)</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bl>
    <w:p w:rsidR="00000000" w:rsidRDefault="009E01B0">
      <w:pPr>
        <w:ind w:hanging="180"/>
        <w:divId w:val="1325354776"/>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For the respective three months ended periods, reported within Transportation and other services revenues (2021 - $154 million gain; 2020 - $1,061 million loss) and Net foreign currency gain/(loss) (2021 - $82 million gain; 2020 - $942 million loss) in the</w:t>
      </w:r>
      <w:r>
        <w:rPr>
          <w:rFonts w:ascii="Arial" w:eastAsia="Times New Roman" w:hAnsi="Arial" w:cs="Arial"/>
          <w:i/>
          <w:iCs/>
          <w:color w:val="000000"/>
          <w:sz w:val="16"/>
          <w:szCs w:val="16"/>
        </w:rPr>
        <w:t xml:space="preserve"> Consolidated Statements of Earnings.</w:t>
      </w:r>
    </w:p>
    <w:p w:rsidR="00000000" w:rsidRDefault="009E01B0">
      <w:pPr>
        <w:ind w:hanging="180"/>
        <w:divId w:val="1969050468"/>
        <w:rPr>
          <w:rFonts w:eastAsia="Times New Roman"/>
        </w:rPr>
      </w:pPr>
      <w:r>
        <w:rPr>
          <w:rFonts w:ascii="Arial" w:eastAsia="Times New Roman" w:hAnsi="Arial" w:cs="Arial"/>
          <w:i/>
          <w:iCs/>
          <w:color w:val="000000"/>
          <w:sz w:val="16"/>
          <w:szCs w:val="16"/>
        </w:rPr>
        <w:t>2    Reported as an (increase)/decrease within Interest expense in the Consolidated Statements of Earnings.</w:t>
      </w:r>
    </w:p>
    <w:p w:rsidR="00000000" w:rsidRDefault="009E01B0">
      <w:pPr>
        <w:ind w:hanging="180"/>
        <w:divId w:val="1336112868"/>
        <w:rPr>
          <w:rFonts w:eastAsia="Times New Roman"/>
        </w:rPr>
      </w:pPr>
      <w:r>
        <w:rPr>
          <w:rFonts w:ascii="Arial" w:eastAsia="Times New Roman" w:hAnsi="Arial" w:cs="Arial"/>
          <w:i/>
          <w:iCs/>
          <w:color w:val="000000"/>
          <w:sz w:val="16"/>
          <w:szCs w:val="16"/>
        </w:rPr>
        <w:t>3    For the respective three months ended periods, reported within Transportation and other services revenues</w:t>
      </w:r>
      <w:r>
        <w:rPr>
          <w:rFonts w:ascii="Arial" w:eastAsia="Times New Roman" w:hAnsi="Arial" w:cs="Arial"/>
          <w:i/>
          <w:iCs/>
          <w:color w:val="000000"/>
          <w:sz w:val="16"/>
          <w:szCs w:val="16"/>
        </w:rPr>
        <w:t xml:space="preserve"> (2021 - $3 million loss; 2020 - $34 million gain), Commodity sales (2021 - $171 million gain; 2020 - $1,493 million gain), Commodity costs (2021 - $100 million loss; 2020 - $1,045 million loss) and Operating and administrative expense (2021 - $4 million g</w:t>
      </w:r>
      <w:r>
        <w:rPr>
          <w:rFonts w:ascii="Arial" w:eastAsia="Times New Roman" w:hAnsi="Arial" w:cs="Arial"/>
          <w:i/>
          <w:iCs/>
          <w:color w:val="000000"/>
          <w:sz w:val="16"/>
          <w:szCs w:val="16"/>
        </w:rPr>
        <w:t>ain; 2020 - $9 million loss) in the Consolidated Statements of Earnings.</w:t>
      </w:r>
    </w:p>
    <w:p w:rsidR="00000000" w:rsidRDefault="009E01B0">
      <w:pPr>
        <w:ind w:hanging="180"/>
        <w:divId w:val="912738205"/>
        <w:rPr>
          <w:rFonts w:eastAsia="Times New Roman"/>
        </w:rPr>
      </w:pPr>
      <w:r>
        <w:rPr>
          <w:rFonts w:ascii="Arial" w:eastAsia="Times New Roman" w:hAnsi="Arial" w:cs="Arial"/>
          <w:i/>
          <w:iCs/>
          <w:color w:val="000000"/>
          <w:sz w:val="16"/>
          <w:szCs w:val="16"/>
        </w:rPr>
        <w:t>4    Reported within Operating and administrative expense in the Consolidated Statements of Earnings.</w:t>
      </w:r>
    </w:p>
    <w:p w:rsidR="00000000" w:rsidRDefault="009E01B0">
      <w:pPr>
        <w:divId w:val="2018144312"/>
        <w:rPr>
          <w:rFonts w:eastAsia="Times New Roman"/>
        </w:rPr>
      </w:pPr>
    </w:p>
    <w:p w:rsidR="00000000" w:rsidRDefault="009E01B0">
      <w:pPr>
        <w:divId w:val="1188178620"/>
        <w:rPr>
          <w:rFonts w:eastAsia="Times New Roman"/>
        </w:rPr>
      </w:pPr>
      <w:r>
        <w:rPr>
          <w:rFonts w:ascii="Arial" w:eastAsia="Times New Roman" w:hAnsi="Arial" w:cs="Arial"/>
          <w:b/>
          <w:bCs/>
          <w:color w:val="000000"/>
          <w:sz w:val="20"/>
          <w:szCs w:val="20"/>
        </w:rPr>
        <w:t>LIQUIDITY RISK</w:t>
      </w:r>
    </w:p>
    <w:p w:rsidR="00000000" w:rsidRDefault="009E01B0">
      <w:pPr>
        <w:divId w:val="1954745811"/>
        <w:rPr>
          <w:rFonts w:eastAsia="Times New Roman"/>
        </w:rPr>
      </w:pPr>
      <w:r>
        <w:rPr>
          <w:rFonts w:ascii="Arial" w:eastAsia="Times New Roman" w:hAnsi="Arial" w:cs="Arial"/>
          <w:color w:val="000000"/>
          <w:sz w:val="2"/>
          <w:szCs w:val="2"/>
        </w:rPr>
        <w:t> </w:t>
      </w:r>
    </w:p>
    <w:p w:rsidR="00000000" w:rsidRDefault="009E01B0">
      <w:pPr>
        <w:divId w:val="1708141465"/>
        <w:rPr>
          <w:rFonts w:eastAsia="Times New Roman"/>
        </w:rPr>
      </w:pPr>
      <w:r>
        <w:rPr>
          <w:rFonts w:ascii="Arial" w:eastAsia="Times New Roman" w:hAnsi="Arial" w:cs="Arial"/>
          <w:color w:val="000000"/>
          <w:sz w:val="20"/>
          <w:szCs w:val="20"/>
        </w:rPr>
        <w:t>Liquidity risk is the risk that we will not be able to meet ou</w:t>
      </w:r>
      <w:r>
        <w:rPr>
          <w:rFonts w:ascii="Arial" w:eastAsia="Times New Roman" w:hAnsi="Arial" w:cs="Arial"/>
          <w:color w:val="000000"/>
          <w:sz w:val="20"/>
          <w:szCs w:val="20"/>
        </w:rPr>
        <w:t>r financial obligations, including commitments and guarantees, as they become due. In order to mitigate this risk, we forecast cash requirements over a 12-month rolling time period to determine whether sufficient funds will be available and maintain substa</w:t>
      </w:r>
      <w:r>
        <w:rPr>
          <w:rFonts w:ascii="Arial" w:eastAsia="Times New Roman" w:hAnsi="Arial" w:cs="Arial"/>
          <w:color w:val="000000"/>
          <w:sz w:val="20"/>
          <w:szCs w:val="20"/>
        </w:rPr>
        <w:t>ntial capacity under our committed bank lines of credit to address any contingencies. Our primary sources of liquidity and capital resources are funds generated from operations, the issuance of commercial paper and draws under committed credit facilities a</w:t>
      </w:r>
      <w:r>
        <w:rPr>
          <w:rFonts w:ascii="Arial" w:eastAsia="Times New Roman" w:hAnsi="Arial" w:cs="Arial"/>
          <w:color w:val="000000"/>
          <w:sz w:val="20"/>
          <w:szCs w:val="20"/>
        </w:rPr>
        <w:t>nd long-term debt, which includes debentures and medium-term notes. We also maintain current shelf prospectuses with securities regulators which enables ready access to either the Canadian or US public capital markets, subject to market conditions. In addi</w:t>
      </w:r>
      <w:r>
        <w:rPr>
          <w:rFonts w:ascii="Arial" w:eastAsia="Times New Roman" w:hAnsi="Arial" w:cs="Arial"/>
          <w:color w:val="000000"/>
          <w:sz w:val="20"/>
          <w:szCs w:val="20"/>
        </w:rPr>
        <w:t>tion, we maintain sufficient liquidity through committed credit facilities with a diversified group of banks and institutions which, if necessary, enables us to fund all anticipated requirements for approximately one year without accessing the capital mark</w:t>
      </w:r>
      <w:r>
        <w:rPr>
          <w:rFonts w:ascii="Arial" w:eastAsia="Times New Roman" w:hAnsi="Arial" w:cs="Arial"/>
          <w:color w:val="000000"/>
          <w:sz w:val="20"/>
          <w:szCs w:val="20"/>
        </w:rPr>
        <w:t xml:space="preserve">ets. We are in compliance with all the terms and conditions of our committed credit facility agreements and term debt indentures as at March 31, 2021. As a result, all credit facilities are available to us and the banks are obligated to fund and have been </w:t>
      </w:r>
      <w:r>
        <w:rPr>
          <w:rFonts w:ascii="Arial" w:eastAsia="Times New Roman" w:hAnsi="Arial" w:cs="Arial"/>
          <w:color w:val="000000"/>
          <w:sz w:val="20"/>
          <w:szCs w:val="20"/>
        </w:rPr>
        <w:t xml:space="preserve">funding us under the terms of the facilities. </w:t>
      </w:r>
    </w:p>
    <w:p w:rsidR="00000000" w:rsidRDefault="009E01B0">
      <w:pPr>
        <w:divId w:val="863513948"/>
        <w:rPr>
          <w:rFonts w:eastAsia="Times New Roman"/>
        </w:rPr>
      </w:pPr>
      <w:r>
        <w:rPr>
          <w:rFonts w:ascii="Arial" w:eastAsia="Times New Roman" w:hAnsi="Arial" w:cs="Arial"/>
          <w:color w:val="000000"/>
          <w:sz w:val="20"/>
          <w:szCs w:val="20"/>
        </w:rPr>
        <w:t> </w:t>
      </w:r>
    </w:p>
    <w:p w:rsidR="00000000" w:rsidRDefault="009E01B0">
      <w:pPr>
        <w:divId w:val="1121419182"/>
        <w:rPr>
          <w:rFonts w:eastAsia="Times New Roman"/>
        </w:rPr>
      </w:pPr>
      <w:r>
        <w:rPr>
          <w:rFonts w:ascii="Arial" w:eastAsia="Times New Roman" w:hAnsi="Arial" w:cs="Arial"/>
          <w:b/>
          <w:bCs/>
          <w:color w:val="000000"/>
          <w:sz w:val="20"/>
          <w:szCs w:val="20"/>
        </w:rPr>
        <w:t>CREDIT RISK</w:t>
      </w:r>
    </w:p>
    <w:p w:rsidR="00000000" w:rsidRDefault="009E01B0">
      <w:pPr>
        <w:divId w:val="1731534025"/>
        <w:rPr>
          <w:rFonts w:eastAsia="Times New Roman"/>
        </w:rPr>
      </w:pPr>
      <w:r>
        <w:rPr>
          <w:rFonts w:ascii="Arial" w:eastAsia="Times New Roman" w:hAnsi="Arial" w:cs="Arial"/>
          <w:color w:val="000000"/>
          <w:sz w:val="2"/>
          <w:szCs w:val="2"/>
        </w:rPr>
        <w:t> </w:t>
      </w:r>
    </w:p>
    <w:p w:rsidR="00000000" w:rsidRDefault="009E01B0">
      <w:pPr>
        <w:divId w:val="1574195628"/>
        <w:rPr>
          <w:rFonts w:eastAsia="Times New Roman"/>
        </w:rPr>
      </w:pPr>
      <w:r>
        <w:rPr>
          <w:rFonts w:ascii="Arial" w:eastAsia="Times New Roman" w:hAnsi="Arial" w:cs="Arial"/>
          <w:color w:val="000000"/>
          <w:sz w:val="20"/>
          <w:szCs w:val="20"/>
        </w:rPr>
        <w:t>Entering into derivative instruments may result in exposure to credit risk from the possibility that a counterparty will default on its contractual obligations. In order to mitigate this risk, we enter into risk management transactions primarily with insti</w:t>
      </w:r>
      <w:r>
        <w:rPr>
          <w:rFonts w:ascii="Arial" w:eastAsia="Times New Roman" w:hAnsi="Arial" w:cs="Arial"/>
          <w:color w:val="000000"/>
          <w:sz w:val="20"/>
          <w:szCs w:val="20"/>
        </w:rPr>
        <w:t>tutions that possess strong investment grade credit ratings. Credit risk relating to derivative counterparties is mitigated through maintenance and monitoring of credit exposure limits and contractual requirements, netting arrangements and ongoing monitori</w:t>
      </w:r>
      <w:r>
        <w:rPr>
          <w:rFonts w:ascii="Arial" w:eastAsia="Times New Roman" w:hAnsi="Arial" w:cs="Arial"/>
          <w:color w:val="000000"/>
          <w:sz w:val="20"/>
          <w:szCs w:val="20"/>
        </w:rPr>
        <w:t xml:space="preserve">ng of counterparty credit exposure using external credit rating services and other analytical tools. </w:t>
      </w:r>
    </w:p>
    <w:p w:rsidR="00000000" w:rsidRDefault="009E01B0">
      <w:pPr>
        <w:divId w:val="1485585305"/>
        <w:rPr>
          <w:rFonts w:eastAsia="Times New Roman"/>
        </w:rPr>
      </w:pPr>
    </w:p>
    <w:p w:rsidR="00000000" w:rsidRDefault="009E01B0">
      <w:pPr>
        <w:jc w:val="center"/>
        <w:divId w:val="2139835568"/>
        <w:rPr>
          <w:rFonts w:eastAsia="Times New Roman"/>
        </w:rPr>
      </w:pPr>
      <w:r>
        <w:rPr>
          <w:rFonts w:ascii="Arial" w:eastAsia="Times New Roman" w:hAnsi="Arial" w:cs="Arial"/>
          <w:color w:val="000000"/>
          <w:sz w:val="20"/>
          <w:szCs w:val="20"/>
        </w:rPr>
        <w:t>26</w:t>
      </w:r>
    </w:p>
    <w:p w:rsidR="00000000" w:rsidRDefault="009E01B0">
      <w:pPr>
        <w:rPr>
          <w:rFonts w:eastAsia="Times New Roman"/>
        </w:rPr>
      </w:pPr>
      <w:r>
        <w:rPr>
          <w:rFonts w:eastAsia="Times New Roman"/>
        </w:rPr>
        <w:pict>
          <v:rect id="_x0000_i1051" style="width:0;height:1.5pt" o:hralign="center" o:hrstd="t" o:hr="t" fillcolor="#a0a0a0" stroked="f"/>
        </w:pict>
      </w:r>
    </w:p>
    <w:p w:rsidR="00000000" w:rsidRDefault="009E01B0">
      <w:pPr>
        <w:jc w:val="center"/>
        <w:divId w:val="1833136046"/>
        <w:rPr>
          <w:rFonts w:eastAsia="Times New Roman"/>
        </w:rPr>
      </w:pPr>
    </w:p>
    <w:p w:rsidR="00000000" w:rsidRDefault="009E01B0">
      <w:pPr>
        <w:jc w:val="center"/>
        <w:divId w:val="1833136046"/>
        <w:rPr>
          <w:rFonts w:eastAsia="Times New Roman"/>
        </w:rPr>
      </w:pPr>
    </w:p>
    <w:p w:rsidR="00000000" w:rsidRDefault="009E01B0">
      <w:pPr>
        <w:divId w:val="125590447"/>
        <w:rPr>
          <w:rFonts w:eastAsia="Times New Roman"/>
        </w:rPr>
      </w:pPr>
      <w:r>
        <w:rPr>
          <w:rFonts w:ascii="Arial" w:eastAsia="Times New Roman" w:hAnsi="Arial" w:cs="Arial"/>
          <w:color w:val="000000"/>
          <w:sz w:val="20"/>
          <w:szCs w:val="20"/>
        </w:rPr>
        <w:t xml:space="preserve">We have credit concentrations and credit exposure, with respect to derivative instruments, in the following </w:t>
      </w:r>
      <w:r>
        <w:rPr>
          <w:rFonts w:ascii="Arial" w:eastAsia="Times New Roman" w:hAnsi="Arial" w:cs="Arial"/>
          <w:color w:val="000000"/>
          <w:sz w:val="20"/>
          <w:szCs w:val="20"/>
        </w:rPr>
        <w:t>counterparty segments: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5539"/>
        <w:gridCol w:w="37"/>
        <w:gridCol w:w="69"/>
        <w:gridCol w:w="1225"/>
        <w:gridCol w:w="36"/>
        <w:gridCol w:w="69"/>
        <w:gridCol w:w="1226"/>
        <w:gridCol w:w="36"/>
      </w:tblGrid>
      <w:tr w:rsidR="00000000">
        <w:trPr>
          <w:divId w:val="1921793410"/>
        </w:trPr>
        <w:tc>
          <w:tcPr>
            <w:tcW w:w="50" w:type="pct"/>
            <w:vAlign w:val="center"/>
            <w:hideMark/>
          </w:tcPr>
          <w:p w:rsidR="00000000" w:rsidRDefault="009E01B0">
            <w:pPr>
              <w:rPr>
                <w:rFonts w:eastAsia="Times New Roman"/>
              </w:rPr>
            </w:pPr>
          </w:p>
        </w:tc>
        <w:tc>
          <w:tcPr>
            <w:tcW w:w="3342"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746"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746"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921793410"/>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March 31,</w:t>
            </w:r>
            <w:r>
              <w:rPr>
                <w:rFonts w:ascii="Arial" w:eastAsia="Times New Roman" w:hAnsi="Arial" w:cs="Arial"/>
                <w:b/>
                <w:bCs/>
                <w:color w:val="000000"/>
                <w:sz w:val="20"/>
                <w:szCs w:val="20"/>
              </w:rPr>
              <w:br/>
              <w:t>2021</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2020</w:t>
            </w:r>
          </w:p>
        </w:tc>
      </w:tr>
      <w:tr w:rsidR="00000000">
        <w:trPr>
          <w:divId w:val="1921793410"/>
        </w:trPr>
        <w:tc>
          <w:tcPr>
            <w:tcW w:w="0" w:type="auto"/>
            <w:gridSpan w:val="3"/>
            <w:tcBorders>
              <w:top w:val="single" w:sz="8" w:space="0" w:color="000000"/>
            </w:tcBorders>
            <w:tcMar>
              <w:top w:w="30" w:type="dxa"/>
              <w:left w:w="20" w:type="dxa"/>
              <w:bottom w:w="30" w:type="dxa"/>
              <w:right w:w="20" w:type="dxa"/>
            </w:tcMar>
            <w:hideMark/>
          </w:tcPr>
          <w:p w:rsidR="00000000" w:rsidRDefault="009E01B0">
            <w:pPr>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jc w:val="both"/>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921793410"/>
        </w:trPr>
        <w:tc>
          <w:tcPr>
            <w:tcW w:w="0" w:type="auto"/>
            <w:gridSpan w:val="3"/>
            <w:tcMar>
              <w:top w:w="30" w:type="dxa"/>
              <w:left w:w="20" w:type="dxa"/>
              <w:bottom w:w="30" w:type="dxa"/>
              <w:right w:w="20" w:type="dxa"/>
            </w:tcMar>
            <w:hideMark/>
          </w:tcPr>
          <w:p w:rsidR="00000000" w:rsidRDefault="009E01B0">
            <w:pPr>
              <w:jc w:val="both"/>
              <w:rPr>
                <w:rFonts w:eastAsia="Times New Roman"/>
              </w:rPr>
            </w:pPr>
            <w:r>
              <w:rPr>
                <w:rFonts w:ascii="Arial" w:eastAsia="Times New Roman" w:hAnsi="Arial" w:cs="Arial"/>
                <w:color w:val="000000"/>
                <w:sz w:val="20"/>
                <w:szCs w:val="20"/>
              </w:rPr>
              <w:t>Canadian financial institutions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617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481 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1921793410"/>
        </w:trPr>
        <w:tc>
          <w:tcPr>
            <w:tcW w:w="0" w:type="auto"/>
            <w:gridSpan w:val="3"/>
            <w:tcMar>
              <w:top w:w="30" w:type="dxa"/>
              <w:left w:w="20" w:type="dxa"/>
              <w:bottom w:w="30" w:type="dxa"/>
              <w:right w:w="20" w:type="dxa"/>
            </w:tcMar>
            <w:hideMark/>
          </w:tcPr>
          <w:p w:rsidR="00000000" w:rsidRDefault="009E01B0">
            <w:pPr>
              <w:jc w:val="both"/>
              <w:rPr>
                <w:rFonts w:eastAsia="Times New Roman"/>
              </w:rPr>
            </w:pPr>
            <w:r>
              <w:rPr>
                <w:rFonts w:ascii="Arial" w:eastAsia="Times New Roman" w:hAnsi="Arial" w:cs="Arial"/>
                <w:color w:val="000000"/>
                <w:sz w:val="20"/>
                <w:szCs w:val="20"/>
              </w:rPr>
              <w:t>US financial institutions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99 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1921793410"/>
        </w:trPr>
        <w:tc>
          <w:tcPr>
            <w:tcW w:w="0" w:type="auto"/>
            <w:gridSpan w:val="3"/>
            <w:tcMar>
              <w:top w:w="30" w:type="dxa"/>
              <w:left w:w="20" w:type="dxa"/>
              <w:bottom w:w="30" w:type="dxa"/>
              <w:right w:w="20" w:type="dxa"/>
            </w:tcMar>
            <w:hideMark/>
          </w:tcPr>
          <w:p w:rsidR="00000000" w:rsidRDefault="009E01B0">
            <w:pPr>
              <w:jc w:val="both"/>
              <w:rPr>
                <w:rFonts w:eastAsia="Times New Roman"/>
              </w:rPr>
            </w:pPr>
            <w:r>
              <w:rPr>
                <w:rFonts w:ascii="Arial" w:eastAsia="Times New Roman" w:hAnsi="Arial" w:cs="Arial"/>
                <w:color w:val="000000"/>
                <w:sz w:val="20"/>
                <w:szCs w:val="20"/>
              </w:rPr>
              <w:t>European financial institutions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1921793410"/>
        </w:trPr>
        <w:tc>
          <w:tcPr>
            <w:tcW w:w="0" w:type="auto"/>
            <w:gridSpan w:val="3"/>
            <w:tcMar>
              <w:top w:w="30" w:type="dxa"/>
              <w:left w:w="20" w:type="dxa"/>
              <w:bottom w:w="30" w:type="dxa"/>
              <w:right w:w="20" w:type="dxa"/>
            </w:tcMar>
            <w:hideMark/>
          </w:tcPr>
          <w:p w:rsidR="00000000" w:rsidRDefault="009E01B0">
            <w:pPr>
              <w:jc w:val="both"/>
              <w:rPr>
                <w:rFonts w:eastAsia="Times New Roman"/>
              </w:rPr>
            </w:pPr>
            <w:r>
              <w:rPr>
                <w:rFonts w:ascii="Arial" w:eastAsia="Times New Roman" w:hAnsi="Arial" w:cs="Arial"/>
                <w:color w:val="000000"/>
                <w:sz w:val="20"/>
                <w:szCs w:val="20"/>
              </w:rPr>
              <w:t>Asian financial institutions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235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167 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1921793410"/>
        </w:trPr>
        <w:tc>
          <w:tcPr>
            <w:tcW w:w="0" w:type="auto"/>
            <w:gridSpan w:val="3"/>
            <w:tcMar>
              <w:top w:w="30" w:type="dxa"/>
              <w:left w:w="20" w:type="dxa"/>
              <w:bottom w:w="30" w:type="dxa"/>
              <w:right w:w="20" w:type="dxa"/>
            </w:tcMar>
            <w:hideMark/>
          </w:tcPr>
          <w:p w:rsidR="00000000" w:rsidRDefault="009E01B0">
            <w:pPr>
              <w:jc w:val="both"/>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97 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1921793410"/>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1,158</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872 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9E01B0">
            <w:pPr>
              <w:jc w:val="right"/>
              <w:rPr>
                <w:rFonts w:eastAsia="Times New Roman"/>
              </w:rPr>
            </w:pPr>
          </w:p>
        </w:tc>
      </w:tr>
    </w:tbl>
    <w:p w:rsidR="00000000" w:rsidRDefault="009E01B0">
      <w:pPr>
        <w:divId w:val="937981472"/>
        <w:rPr>
          <w:rFonts w:eastAsia="Times New Roman"/>
        </w:rPr>
      </w:pPr>
      <w:r>
        <w:rPr>
          <w:rFonts w:ascii="Arial" w:eastAsia="Times New Roman" w:hAnsi="Arial" w:cs="Arial"/>
          <w:color w:val="000000"/>
          <w:sz w:val="2"/>
          <w:szCs w:val="2"/>
        </w:rPr>
        <w:t> </w:t>
      </w:r>
    </w:p>
    <w:p w:rsidR="00000000" w:rsidRDefault="009E01B0">
      <w:pPr>
        <w:ind w:hanging="180"/>
        <w:divId w:val="1677027986"/>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Other is comprised of commodity clearing house and physical natural gas and crude oil counterparties.</w:t>
      </w:r>
    </w:p>
    <w:p w:rsidR="00000000" w:rsidRDefault="009E01B0">
      <w:pPr>
        <w:divId w:val="344283497"/>
        <w:rPr>
          <w:rFonts w:eastAsia="Times New Roman"/>
        </w:rPr>
      </w:pPr>
      <w:r>
        <w:rPr>
          <w:rFonts w:ascii="Arial" w:eastAsia="Times New Roman" w:hAnsi="Arial" w:cs="Arial"/>
          <w:color w:val="000000"/>
          <w:sz w:val="20"/>
          <w:szCs w:val="20"/>
        </w:rPr>
        <w:t> </w:t>
      </w:r>
    </w:p>
    <w:p w:rsidR="00000000" w:rsidRDefault="009E01B0">
      <w:pPr>
        <w:divId w:val="600459081"/>
        <w:rPr>
          <w:rFonts w:eastAsia="Times New Roman"/>
        </w:rPr>
      </w:pPr>
      <w:r>
        <w:rPr>
          <w:rFonts w:ascii="Arial" w:eastAsia="Times New Roman" w:hAnsi="Arial" w:cs="Arial"/>
          <w:color w:val="000000"/>
          <w:sz w:val="20"/>
          <w:szCs w:val="20"/>
        </w:rPr>
        <w:t>As at March 31, 2021, we provided letters of credit totaling nil in lieu of providing cash collateral to our counterparties pursuant to the terms of the</w:t>
      </w:r>
      <w:r>
        <w:rPr>
          <w:rFonts w:ascii="Arial" w:eastAsia="Times New Roman" w:hAnsi="Arial" w:cs="Arial"/>
          <w:color w:val="000000"/>
          <w:sz w:val="20"/>
          <w:szCs w:val="20"/>
        </w:rPr>
        <w:t xml:space="preserve"> relevant International Swaps and Derivatives Association agreements. We held no cash collateral on derivative asset exposures as at March 31, 2021 and December 31, 2020.</w:t>
      </w:r>
    </w:p>
    <w:p w:rsidR="00000000" w:rsidRDefault="009E01B0">
      <w:pPr>
        <w:divId w:val="1405302327"/>
        <w:rPr>
          <w:rFonts w:eastAsia="Times New Roman"/>
        </w:rPr>
      </w:pPr>
      <w:r>
        <w:rPr>
          <w:rFonts w:ascii="Arial" w:eastAsia="Times New Roman" w:hAnsi="Arial" w:cs="Arial"/>
          <w:color w:val="000000"/>
          <w:sz w:val="20"/>
          <w:szCs w:val="20"/>
        </w:rPr>
        <w:t> </w:t>
      </w:r>
    </w:p>
    <w:p w:rsidR="00000000" w:rsidRDefault="009E01B0">
      <w:pPr>
        <w:divId w:val="1874342113"/>
        <w:rPr>
          <w:rFonts w:eastAsia="Times New Roman"/>
        </w:rPr>
      </w:pPr>
      <w:r>
        <w:rPr>
          <w:rFonts w:ascii="Arial" w:eastAsia="Times New Roman" w:hAnsi="Arial" w:cs="Arial"/>
          <w:color w:val="000000"/>
          <w:sz w:val="20"/>
          <w:szCs w:val="20"/>
        </w:rPr>
        <w:t>Gross derivative balances have been presented without the effects of collateral pos</w:t>
      </w:r>
      <w:r>
        <w:rPr>
          <w:rFonts w:ascii="Arial" w:eastAsia="Times New Roman" w:hAnsi="Arial" w:cs="Arial"/>
          <w:color w:val="000000"/>
          <w:sz w:val="20"/>
          <w:szCs w:val="20"/>
        </w:rPr>
        <w:t>ted. Derivative assets are adjusted for non-performance risk of our counterparties using their credit default swap spread rates, and are reflected at fair value. For derivative liabilities, our non-performance risk is considered in the valuation.</w:t>
      </w:r>
    </w:p>
    <w:p w:rsidR="00000000" w:rsidRDefault="009E01B0">
      <w:pPr>
        <w:divId w:val="1212035994"/>
        <w:rPr>
          <w:rFonts w:eastAsia="Times New Roman"/>
        </w:rPr>
      </w:pPr>
    </w:p>
    <w:p w:rsidR="00000000" w:rsidRDefault="009E01B0">
      <w:pPr>
        <w:divId w:val="688719406"/>
        <w:rPr>
          <w:rFonts w:eastAsia="Times New Roman"/>
        </w:rPr>
      </w:pPr>
      <w:r>
        <w:rPr>
          <w:rFonts w:ascii="Arial" w:eastAsia="Times New Roman" w:hAnsi="Arial" w:cs="Arial"/>
          <w:color w:val="000000"/>
          <w:sz w:val="20"/>
          <w:szCs w:val="20"/>
        </w:rPr>
        <w:t xml:space="preserve">Credit </w:t>
      </w:r>
      <w:r>
        <w:rPr>
          <w:rFonts w:ascii="Arial" w:eastAsia="Times New Roman" w:hAnsi="Arial" w:cs="Arial"/>
          <w:color w:val="000000"/>
          <w:sz w:val="20"/>
          <w:szCs w:val="20"/>
        </w:rPr>
        <w:t>risk also arises from trade and other long-term receivables, and is mitigated through credit exposure limits and contractual requirements, assessment of credit ratings and netting arrangements. Within Enbridge Gas Inc. (Enbridge Gas), credit risk is mitiga</w:t>
      </w:r>
      <w:r>
        <w:rPr>
          <w:rFonts w:ascii="Arial" w:eastAsia="Times New Roman" w:hAnsi="Arial" w:cs="Arial"/>
          <w:color w:val="000000"/>
          <w:sz w:val="20"/>
          <w:szCs w:val="20"/>
        </w:rPr>
        <w:t>ted by the utility's large and diversified customer base and the ability to recover an estimate for expected credit losses through the ratemaking process. We actively monitor the financial strength of large industrial customers, and in select cases, have o</w:t>
      </w:r>
      <w:r>
        <w:rPr>
          <w:rFonts w:ascii="Arial" w:eastAsia="Times New Roman" w:hAnsi="Arial" w:cs="Arial"/>
          <w:color w:val="000000"/>
          <w:sz w:val="20"/>
          <w:szCs w:val="20"/>
        </w:rPr>
        <w:t>btained additional security to minimize the risk of default on receivables. Generally, we utilize a loss allowance matrix which contemplates historical credit losses by age of receivables, adjusted for any forward-looking information and management expecta</w:t>
      </w:r>
      <w:r>
        <w:rPr>
          <w:rFonts w:ascii="Arial" w:eastAsia="Times New Roman" w:hAnsi="Arial" w:cs="Arial"/>
          <w:color w:val="000000"/>
          <w:sz w:val="20"/>
          <w:szCs w:val="20"/>
        </w:rPr>
        <w:t>tions to measure lifetime expected credit losses of receivables. The maximum exposure to credit risk related to non-derivative financial assets is their carrying value.</w:t>
      </w:r>
    </w:p>
    <w:p w:rsidR="00000000" w:rsidRDefault="009E01B0">
      <w:pPr>
        <w:divId w:val="567113748"/>
        <w:rPr>
          <w:rFonts w:eastAsia="Times New Roman"/>
        </w:rPr>
      </w:pPr>
      <w:r>
        <w:rPr>
          <w:rFonts w:ascii="Arial" w:eastAsia="Times New Roman" w:hAnsi="Arial" w:cs="Arial"/>
          <w:color w:val="000000"/>
          <w:sz w:val="20"/>
          <w:szCs w:val="20"/>
        </w:rPr>
        <w:t> </w:t>
      </w:r>
    </w:p>
    <w:p w:rsidR="00000000" w:rsidRDefault="009E01B0">
      <w:pPr>
        <w:divId w:val="1217938942"/>
        <w:rPr>
          <w:rFonts w:eastAsia="Times New Roman"/>
        </w:rPr>
      </w:pPr>
      <w:r>
        <w:rPr>
          <w:rFonts w:ascii="Arial" w:eastAsia="Times New Roman" w:hAnsi="Arial" w:cs="Arial"/>
          <w:b/>
          <w:bCs/>
          <w:color w:val="000000"/>
          <w:sz w:val="20"/>
          <w:szCs w:val="20"/>
        </w:rPr>
        <w:t>FAIR VALUE MEASUREMENTS</w:t>
      </w:r>
    </w:p>
    <w:p w:rsidR="00000000" w:rsidRDefault="009E01B0">
      <w:pPr>
        <w:divId w:val="1060247719"/>
        <w:rPr>
          <w:rFonts w:eastAsia="Times New Roman"/>
        </w:rPr>
      </w:pPr>
      <w:r>
        <w:rPr>
          <w:rFonts w:ascii="Arial" w:eastAsia="Times New Roman" w:hAnsi="Arial" w:cs="Arial"/>
          <w:color w:val="000000"/>
          <w:sz w:val="20"/>
          <w:szCs w:val="20"/>
        </w:rPr>
        <w:t>Our financial assets and liabilities measured at fair value o</w:t>
      </w:r>
      <w:r>
        <w:rPr>
          <w:rFonts w:ascii="Arial" w:eastAsia="Times New Roman" w:hAnsi="Arial" w:cs="Arial"/>
          <w:color w:val="000000"/>
          <w:sz w:val="20"/>
          <w:szCs w:val="20"/>
        </w:rPr>
        <w:t>n a recurring basis include derivative instruments. We also disclose the fair value of other financial instruments not measured at fair value. The fair value of financial instruments reflects our best estimates of market value based on generally accepted v</w:t>
      </w:r>
      <w:r>
        <w:rPr>
          <w:rFonts w:ascii="Arial" w:eastAsia="Times New Roman" w:hAnsi="Arial" w:cs="Arial"/>
          <w:color w:val="000000"/>
          <w:sz w:val="20"/>
          <w:szCs w:val="20"/>
        </w:rPr>
        <w:t>aluation techniques or models and is supported by observable market prices and rates. When such values are not available, we use discounted cash flow analysis from applicable yield curves based on observable market inputs to estimate fair value.</w:t>
      </w:r>
    </w:p>
    <w:p w:rsidR="00000000" w:rsidRDefault="009E01B0">
      <w:pPr>
        <w:divId w:val="1088117761"/>
        <w:rPr>
          <w:rFonts w:eastAsia="Times New Roman"/>
        </w:rPr>
      </w:pPr>
      <w:r>
        <w:rPr>
          <w:rFonts w:ascii="Arial" w:eastAsia="Times New Roman" w:hAnsi="Arial" w:cs="Arial"/>
          <w:color w:val="000000"/>
          <w:sz w:val="20"/>
          <w:szCs w:val="20"/>
        </w:rPr>
        <w:t> </w:t>
      </w:r>
    </w:p>
    <w:p w:rsidR="00000000" w:rsidRDefault="009E01B0">
      <w:pPr>
        <w:divId w:val="643316911"/>
        <w:rPr>
          <w:rFonts w:eastAsia="Times New Roman"/>
        </w:rPr>
      </w:pPr>
      <w:r>
        <w:rPr>
          <w:rFonts w:ascii="Arial" w:eastAsia="Times New Roman" w:hAnsi="Arial" w:cs="Arial"/>
          <w:b/>
          <w:bCs/>
          <w:color w:val="000000"/>
          <w:sz w:val="20"/>
          <w:szCs w:val="20"/>
        </w:rPr>
        <w:t>FAIR VALUE OF FINANCIAL INSTRUMENTS</w:t>
      </w:r>
    </w:p>
    <w:p w:rsidR="00000000" w:rsidRDefault="009E01B0">
      <w:pPr>
        <w:divId w:val="666253941"/>
        <w:rPr>
          <w:rFonts w:eastAsia="Times New Roman"/>
        </w:rPr>
      </w:pPr>
      <w:r>
        <w:rPr>
          <w:rFonts w:ascii="Arial" w:eastAsia="Times New Roman" w:hAnsi="Arial" w:cs="Arial"/>
          <w:color w:val="000000"/>
          <w:sz w:val="20"/>
          <w:szCs w:val="20"/>
        </w:rPr>
        <w:t>We categorize our derivative instruments measured at fair value into one of three different levels depending on the observability of the inputs employed in the measurement.</w:t>
      </w:r>
    </w:p>
    <w:p w:rsidR="00000000" w:rsidRDefault="009E01B0">
      <w:pPr>
        <w:divId w:val="1187907143"/>
        <w:rPr>
          <w:rFonts w:eastAsia="Times New Roman"/>
        </w:rPr>
      </w:pPr>
    </w:p>
    <w:p w:rsidR="00000000" w:rsidRDefault="009E01B0">
      <w:pPr>
        <w:divId w:val="1745760086"/>
        <w:rPr>
          <w:rFonts w:eastAsia="Times New Roman"/>
        </w:rPr>
      </w:pPr>
      <w:r>
        <w:rPr>
          <w:rFonts w:ascii="Arial" w:eastAsia="Times New Roman" w:hAnsi="Arial" w:cs="Arial"/>
          <w:b/>
          <w:bCs/>
          <w:color w:val="000000"/>
          <w:sz w:val="20"/>
          <w:szCs w:val="20"/>
        </w:rPr>
        <w:t>Level 1</w:t>
      </w:r>
    </w:p>
    <w:p w:rsidR="00000000" w:rsidRDefault="009E01B0">
      <w:pPr>
        <w:divId w:val="132186347"/>
        <w:rPr>
          <w:rFonts w:eastAsia="Times New Roman"/>
        </w:rPr>
      </w:pPr>
      <w:r>
        <w:rPr>
          <w:rFonts w:ascii="Arial" w:eastAsia="Times New Roman" w:hAnsi="Arial" w:cs="Arial"/>
          <w:color w:val="000000"/>
          <w:sz w:val="20"/>
          <w:szCs w:val="20"/>
        </w:rPr>
        <w:t>Level 1 includes derivatives measured at fair value based on unadjusted quoted prices for identical assets and liabilities in active markets that are accessible at the measurement date. An active market for a derivative is considered to be a market where t</w:t>
      </w:r>
      <w:r>
        <w:rPr>
          <w:rFonts w:ascii="Arial" w:eastAsia="Times New Roman" w:hAnsi="Arial" w:cs="Arial"/>
          <w:color w:val="000000"/>
          <w:sz w:val="20"/>
          <w:szCs w:val="20"/>
        </w:rPr>
        <w:t>ransactions occur with sufficient frequency and volume to provide pricing information on an ongoing basis. Our Level 1 instruments consist primarily of exchange-traded derivatives used to mitigate the risk of crude oil price fluctuations.</w:t>
      </w:r>
    </w:p>
    <w:p w:rsidR="00000000" w:rsidRDefault="009E01B0">
      <w:pPr>
        <w:divId w:val="1257983215"/>
        <w:rPr>
          <w:rFonts w:eastAsia="Times New Roman"/>
        </w:rPr>
      </w:pPr>
      <w:r>
        <w:rPr>
          <w:rFonts w:ascii="Arial" w:eastAsia="Times New Roman" w:hAnsi="Arial" w:cs="Arial"/>
          <w:color w:val="000000"/>
          <w:sz w:val="20"/>
          <w:szCs w:val="20"/>
        </w:rPr>
        <w:t> </w:t>
      </w:r>
    </w:p>
    <w:p w:rsidR="00000000" w:rsidRDefault="009E01B0">
      <w:pPr>
        <w:jc w:val="center"/>
        <w:divId w:val="278802011"/>
        <w:rPr>
          <w:rFonts w:eastAsia="Times New Roman"/>
        </w:rPr>
      </w:pPr>
      <w:r>
        <w:rPr>
          <w:rFonts w:ascii="Arial" w:eastAsia="Times New Roman" w:hAnsi="Arial" w:cs="Arial"/>
          <w:color w:val="000000"/>
          <w:sz w:val="20"/>
          <w:szCs w:val="20"/>
        </w:rPr>
        <w:t>27</w:t>
      </w:r>
    </w:p>
    <w:p w:rsidR="00000000" w:rsidRDefault="009E01B0">
      <w:pPr>
        <w:rPr>
          <w:rFonts w:eastAsia="Times New Roman"/>
        </w:rPr>
      </w:pPr>
      <w:r>
        <w:rPr>
          <w:rFonts w:eastAsia="Times New Roman"/>
        </w:rPr>
        <w:pict>
          <v:rect id="_x0000_i1052" style="width:0;height:1.5pt" o:hralign="center" o:hrstd="t" o:hr="t" fillcolor="#a0a0a0" stroked="f"/>
        </w:pict>
      </w:r>
    </w:p>
    <w:p w:rsidR="00000000" w:rsidRDefault="009E01B0">
      <w:pPr>
        <w:jc w:val="center"/>
        <w:divId w:val="11151615"/>
        <w:rPr>
          <w:rFonts w:eastAsia="Times New Roman"/>
        </w:rPr>
      </w:pPr>
    </w:p>
    <w:p w:rsidR="00000000" w:rsidRDefault="009E01B0">
      <w:pPr>
        <w:jc w:val="center"/>
        <w:divId w:val="11151615"/>
        <w:rPr>
          <w:rFonts w:eastAsia="Times New Roman"/>
        </w:rPr>
      </w:pPr>
    </w:p>
    <w:p w:rsidR="00000000" w:rsidRDefault="009E01B0">
      <w:pPr>
        <w:divId w:val="1311863797"/>
        <w:rPr>
          <w:rFonts w:eastAsia="Times New Roman"/>
        </w:rPr>
      </w:pPr>
      <w:r>
        <w:rPr>
          <w:rFonts w:ascii="Arial" w:eastAsia="Times New Roman" w:hAnsi="Arial" w:cs="Arial"/>
          <w:b/>
          <w:bCs/>
          <w:color w:val="000000"/>
          <w:sz w:val="20"/>
          <w:szCs w:val="20"/>
        </w:rPr>
        <w:t>Level 2</w:t>
      </w:r>
    </w:p>
    <w:p w:rsidR="00000000" w:rsidRDefault="009E01B0">
      <w:pPr>
        <w:divId w:val="507328821"/>
        <w:rPr>
          <w:rFonts w:eastAsia="Times New Roman"/>
        </w:rPr>
      </w:pPr>
      <w:r>
        <w:rPr>
          <w:rFonts w:ascii="Arial" w:eastAsia="Times New Roman" w:hAnsi="Arial" w:cs="Arial"/>
          <w:color w:val="000000"/>
          <w:sz w:val="20"/>
          <w:szCs w:val="20"/>
        </w:rPr>
        <w:t>Level 2 includes derivative valuations determined using directly or indirectly observable inputs other than quoted prices included within Level 1. Derivatives in this category are valued using models or other industry st</w:t>
      </w:r>
      <w:r>
        <w:rPr>
          <w:rFonts w:ascii="Arial" w:eastAsia="Times New Roman" w:hAnsi="Arial" w:cs="Arial"/>
          <w:color w:val="000000"/>
          <w:sz w:val="20"/>
          <w:szCs w:val="20"/>
        </w:rPr>
        <w:t>andard valuation techniques derived from observable market data. Such valuation techniques include inputs such as quoted forward prices, time value, volatility factors and broker quotes that can be observed or corroborated in the market for the entire dura</w:t>
      </w:r>
      <w:r>
        <w:rPr>
          <w:rFonts w:ascii="Arial" w:eastAsia="Times New Roman" w:hAnsi="Arial" w:cs="Arial"/>
          <w:color w:val="000000"/>
          <w:sz w:val="20"/>
          <w:szCs w:val="20"/>
        </w:rPr>
        <w:t xml:space="preserve">tion of the derivative. Derivatives valued using Level 2 inputs include non-exchange traded derivatives such as over-the-counter foreign exchange forward and cross currency swap contracts, interest rate swaps, physical forward commodity contracts, as well </w:t>
      </w:r>
      <w:r>
        <w:rPr>
          <w:rFonts w:ascii="Arial" w:eastAsia="Times New Roman" w:hAnsi="Arial" w:cs="Arial"/>
          <w:color w:val="000000"/>
          <w:sz w:val="20"/>
          <w:szCs w:val="20"/>
        </w:rPr>
        <w:t>as commodity swaps and options for which observable inputs can be obtained.</w:t>
      </w:r>
    </w:p>
    <w:p w:rsidR="00000000" w:rsidRDefault="009E01B0">
      <w:pPr>
        <w:divId w:val="1380670210"/>
        <w:rPr>
          <w:rFonts w:eastAsia="Times New Roman"/>
        </w:rPr>
      </w:pPr>
    </w:p>
    <w:p w:rsidR="00000000" w:rsidRDefault="009E01B0">
      <w:pPr>
        <w:divId w:val="59407983"/>
        <w:rPr>
          <w:rFonts w:eastAsia="Times New Roman"/>
        </w:rPr>
      </w:pPr>
      <w:r>
        <w:rPr>
          <w:rFonts w:ascii="Arial" w:eastAsia="Times New Roman" w:hAnsi="Arial" w:cs="Arial"/>
          <w:color w:val="000000"/>
          <w:sz w:val="20"/>
          <w:szCs w:val="20"/>
        </w:rPr>
        <w:t>We have also categorized the fair value of our held to maturity preferred share investment and long-term debt as Level 2. The fair value of our held to maturity preferred share i</w:t>
      </w:r>
      <w:r>
        <w:rPr>
          <w:rFonts w:ascii="Arial" w:eastAsia="Times New Roman" w:hAnsi="Arial" w:cs="Arial"/>
          <w:color w:val="000000"/>
          <w:sz w:val="20"/>
          <w:szCs w:val="20"/>
        </w:rPr>
        <w:t>nvestment is primarily based on the yield of certain Government of Canada bonds. The fair value of our long-term debt is based on quoted market prices for instruments of similar yield, credit risk and tenor.</w:t>
      </w:r>
    </w:p>
    <w:p w:rsidR="00000000" w:rsidRDefault="009E01B0">
      <w:pPr>
        <w:divId w:val="571545901"/>
        <w:rPr>
          <w:rFonts w:eastAsia="Times New Roman"/>
        </w:rPr>
      </w:pPr>
      <w:r>
        <w:rPr>
          <w:rFonts w:ascii="Arial" w:eastAsia="Times New Roman" w:hAnsi="Arial" w:cs="Arial"/>
          <w:color w:val="000000"/>
          <w:sz w:val="20"/>
          <w:szCs w:val="20"/>
        </w:rPr>
        <w:t> </w:t>
      </w:r>
    </w:p>
    <w:p w:rsidR="00000000" w:rsidRDefault="009E01B0">
      <w:pPr>
        <w:divId w:val="1540511474"/>
        <w:rPr>
          <w:rFonts w:eastAsia="Times New Roman"/>
        </w:rPr>
      </w:pPr>
      <w:r>
        <w:rPr>
          <w:rFonts w:ascii="Arial" w:eastAsia="Times New Roman" w:hAnsi="Arial" w:cs="Arial"/>
          <w:b/>
          <w:bCs/>
          <w:color w:val="000000"/>
          <w:sz w:val="20"/>
          <w:szCs w:val="20"/>
        </w:rPr>
        <w:t>Level 3</w:t>
      </w:r>
    </w:p>
    <w:p w:rsidR="00000000" w:rsidRDefault="009E01B0">
      <w:pPr>
        <w:divId w:val="295992806"/>
        <w:rPr>
          <w:rFonts w:eastAsia="Times New Roman"/>
        </w:rPr>
      </w:pPr>
      <w:r>
        <w:rPr>
          <w:rFonts w:ascii="Arial" w:eastAsia="Times New Roman" w:hAnsi="Arial" w:cs="Arial"/>
          <w:color w:val="000000"/>
          <w:sz w:val="20"/>
          <w:szCs w:val="20"/>
        </w:rPr>
        <w:t>Level 3 includes derivative valuations</w:t>
      </w:r>
      <w:r>
        <w:rPr>
          <w:rFonts w:ascii="Arial" w:eastAsia="Times New Roman" w:hAnsi="Arial" w:cs="Arial"/>
          <w:color w:val="000000"/>
          <w:sz w:val="20"/>
          <w:szCs w:val="20"/>
        </w:rPr>
        <w:t xml:space="preserve"> based on inputs which are less observable, unavailable or where the observable data does not support a significant portion of the derivatives’ fair value. Generally, Level 3 derivatives are longer dated transactions, occur in less active markets, occur at</w:t>
      </w:r>
      <w:r>
        <w:rPr>
          <w:rFonts w:ascii="Arial" w:eastAsia="Times New Roman" w:hAnsi="Arial" w:cs="Arial"/>
          <w:color w:val="000000"/>
          <w:sz w:val="20"/>
          <w:szCs w:val="20"/>
        </w:rPr>
        <w:t xml:space="preserve"> locations where pricing information is not available or have no binding broker quote to support Level 2 classification. We have developed methodologies, benchmarked against industry standards, to determine fair value for these derivatives based on extrapo</w:t>
      </w:r>
      <w:r>
        <w:rPr>
          <w:rFonts w:ascii="Arial" w:eastAsia="Times New Roman" w:hAnsi="Arial" w:cs="Arial"/>
          <w:color w:val="000000"/>
          <w:sz w:val="20"/>
          <w:szCs w:val="20"/>
        </w:rPr>
        <w:t>lation of observable future prices and rates. Derivatives valued using Level 3 inputs primarily include long-dated derivative power, NGL and natural gas contracts, basis swaps, commodity swaps, and power and energy swaps. We do not have any other financial</w:t>
      </w:r>
      <w:r>
        <w:rPr>
          <w:rFonts w:ascii="Arial" w:eastAsia="Times New Roman" w:hAnsi="Arial" w:cs="Arial"/>
          <w:color w:val="000000"/>
          <w:sz w:val="20"/>
          <w:szCs w:val="20"/>
        </w:rPr>
        <w:t xml:space="preserve"> instruments categorized in Level 3.</w:t>
      </w:r>
    </w:p>
    <w:p w:rsidR="00000000" w:rsidRDefault="009E01B0">
      <w:pPr>
        <w:divId w:val="2142190493"/>
        <w:rPr>
          <w:rFonts w:eastAsia="Times New Roman"/>
        </w:rPr>
      </w:pPr>
      <w:r>
        <w:rPr>
          <w:rFonts w:ascii="Arial" w:eastAsia="Times New Roman" w:hAnsi="Arial" w:cs="Arial"/>
          <w:color w:val="000000"/>
          <w:sz w:val="20"/>
          <w:szCs w:val="20"/>
        </w:rPr>
        <w:t> </w:t>
      </w:r>
    </w:p>
    <w:p w:rsidR="00000000" w:rsidRDefault="009E01B0">
      <w:pPr>
        <w:divId w:val="119685816"/>
        <w:rPr>
          <w:rFonts w:eastAsia="Times New Roman"/>
        </w:rPr>
      </w:pPr>
      <w:r>
        <w:rPr>
          <w:rFonts w:ascii="Arial" w:eastAsia="Times New Roman" w:hAnsi="Arial" w:cs="Arial"/>
          <w:color w:val="000000"/>
          <w:sz w:val="20"/>
          <w:szCs w:val="20"/>
        </w:rPr>
        <w:t>We use the most observable inputs available to estimate the fair value of our derivatives. When possible, we estimate the fair value of our derivatives based on quoted market prices. If quoted market prices are not av</w:t>
      </w:r>
      <w:r>
        <w:rPr>
          <w:rFonts w:ascii="Arial" w:eastAsia="Times New Roman" w:hAnsi="Arial" w:cs="Arial"/>
          <w:color w:val="000000"/>
          <w:sz w:val="20"/>
          <w:szCs w:val="20"/>
        </w:rPr>
        <w:t>ailable, we use estimates from third party brokers. For non-exchange traded derivatives classified in Levels 2 and 3, we use standard valuation techniques to calculate the estimated fair value. These methods include discounted cash flows for forwards and s</w:t>
      </w:r>
      <w:r>
        <w:rPr>
          <w:rFonts w:ascii="Arial" w:eastAsia="Times New Roman" w:hAnsi="Arial" w:cs="Arial"/>
          <w:color w:val="000000"/>
          <w:sz w:val="20"/>
          <w:szCs w:val="20"/>
        </w:rPr>
        <w:t>waps and Black-Scholes-Merton pricing models for options. Depending on the type of derivative and nature of the underlying risk, we use observable market prices (interest, foreign exchange, commodity and share price) as primary inputs to these valuation te</w:t>
      </w:r>
      <w:r>
        <w:rPr>
          <w:rFonts w:ascii="Arial" w:eastAsia="Times New Roman" w:hAnsi="Arial" w:cs="Arial"/>
          <w:color w:val="000000"/>
          <w:sz w:val="20"/>
          <w:szCs w:val="20"/>
        </w:rPr>
        <w:t xml:space="preserve">chniques. Finally, we consider our own credit default swap spread as well as the credit default swap spreads associated with our counterparties in our estimation of fair value. </w:t>
      </w:r>
    </w:p>
    <w:p w:rsidR="00000000" w:rsidRDefault="009E01B0">
      <w:pPr>
        <w:divId w:val="511457796"/>
        <w:rPr>
          <w:rFonts w:eastAsia="Times New Roman"/>
        </w:rPr>
      </w:pPr>
    </w:p>
    <w:p w:rsidR="00000000" w:rsidRDefault="009E01B0">
      <w:pPr>
        <w:jc w:val="center"/>
        <w:divId w:val="1292008041"/>
        <w:rPr>
          <w:rFonts w:eastAsia="Times New Roman"/>
        </w:rPr>
      </w:pPr>
      <w:r>
        <w:rPr>
          <w:rFonts w:ascii="Arial" w:eastAsia="Times New Roman" w:hAnsi="Arial" w:cs="Arial"/>
          <w:color w:val="000000"/>
          <w:sz w:val="20"/>
          <w:szCs w:val="20"/>
        </w:rPr>
        <w:t>28</w:t>
      </w:r>
    </w:p>
    <w:p w:rsidR="00000000" w:rsidRDefault="009E01B0">
      <w:pPr>
        <w:rPr>
          <w:rFonts w:eastAsia="Times New Roman"/>
        </w:rPr>
      </w:pPr>
      <w:r>
        <w:rPr>
          <w:rFonts w:eastAsia="Times New Roman"/>
        </w:rPr>
        <w:pict>
          <v:rect id="_x0000_i1053" style="width:0;height:1.5pt" o:hralign="center" o:hrstd="t" o:hr="t" fillcolor="#a0a0a0" stroked="f"/>
        </w:pict>
      </w:r>
    </w:p>
    <w:p w:rsidR="00000000" w:rsidRDefault="009E01B0">
      <w:pPr>
        <w:jc w:val="center"/>
        <w:divId w:val="1847749226"/>
        <w:rPr>
          <w:rFonts w:eastAsia="Times New Roman"/>
        </w:rPr>
      </w:pPr>
    </w:p>
    <w:p w:rsidR="00000000" w:rsidRDefault="009E01B0">
      <w:pPr>
        <w:jc w:val="center"/>
        <w:divId w:val="1847749226"/>
        <w:rPr>
          <w:rFonts w:eastAsia="Times New Roman"/>
        </w:rPr>
      </w:pPr>
    </w:p>
    <w:p w:rsidR="00000000" w:rsidRDefault="009E01B0">
      <w:pPr>
        <w:divId w:val="235819676"/>
        <w:rPr>
          <w:rFonts w:eastAsia="Times New Roman"/>
        </w:rPr>
      </w:pPr>
      <w:r>
        <w:rPr>
          <w:rFonts w:ascii="Arial" w:eastAsia="Times New Roman" w:hAnsi="Arial" w:cs="Arial"/>
          <w:color w:val="000000"/>
          <w:sz w:val="20"/>
          <w:szCs w:val="20"/>
        </w:rPr>
        <w:t>We have categorized our derivati</w:t>
      </w:r>
      <w:r>
        <w:rPr>
          <w:rFonts w:ascii="Arial" w:eastAsia="Times New Roman" w:hAnsi="Arial" w:cs="Arial"/>
          <w:color w:val="000000"/>
          <w:sz w:val="20"/>
          <w:szCs w:val="20"/>
        </w:rPr>
        <w:t>ve assets and liabilities measured at fair value as follows:</w:t>
      </w:r>
    </w:p>
    <w:tbl>
      <w:tblPr>
        <w:tblW w:w="5000" w:type="pct"/>
        <w:tblCellMar>
          <w:top w:w="15" w:type="dxa"/>
          <w:left w:w="15" w:type="dxa"/>
          <w:bottom w:w="15" w:type="dxa"/>
          <w:right w:w="15" w:type="dxa"/>
        </w:tblCellMar>
        <w:tblLook w:val="04A0" w:firstRow="1" w:lastRow="0" w:firstColumn="1" w:lastColumn="0" w:noHBand="0" w:noVBand="1"/>
      </w:tblPr>
      <w:tblGrid>
        <w:gridCol w:w="60"/>
        <w:gridCol w:w="3992"/>
        <w:gridCol w:w="42"/>
        <w:gridCol w:w="60"/>
        <w:gridCol w:w="936"/>
        <w:gridCol w:w="36"/>
        <w:gridCol w:w="60"/>
        <w:gridCol w:w="937"/>
        <w:gridCol w:w="36"/>
        <w:gridCol w:w="61"/>
        <w:gridCol w:w="937"/>
        <w:gridCol w:w="36"/>
        <w:gridCol w:w="86"/>
        <w:gridCol w:w="991"/>
        <w:gridCol w:w="36"/>
      </w:tblGrid>
      <w:tr w:rsidR="00000000">
        <w:trPr>
          <w:divId w:val="819006902"/>
        </w:trPr>
        <w:tc>
          <w:tcPr>
            <w:tcW w:w="50" w:type="pct"/>
            <w:vAlign w:val="center"/>
            <w:hideMark/>
          </w:tcPr>
          <w:p w:rsidR="00000000" w:rsidRDefault="009E01B0">
            <w:pPr>
              <w:rPr>
                <w:rFonts w:eastAsia="Times New Roman"/>
              </w:rPr>
            </w:pPr>
          </w:p>
        </w:tc>
        <w:tc>
          <w:tcPr>
            <w:tcW w:w="241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7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7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7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7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819006902"/>
        </w:trPr>
        <w:tc>
          <w:tcPr>
            <w:tcW w:w="0" w:type="auto"/>
            <w:gridSpan w:val="3"/>
            <w:tcMar>
              <w:top w:w="30" w:type="dxa"/>
              <w:left w:w="20" w:type="dxa"/>
              <w:bottom w:w="30" w:type="dxa"/>
              <w:right w:w="20" w:type="dxa"/>
            </w:tcMar>
            <w:vAlign w:val="bottom"/>
            <w:hideMark/>
          </w:tcPr>
          <w:p w:rsidR="00000000" w:rsidRDefault="009E01B0">
            <w:pPr>
              <w:jc w:val="both"/>
              <w:rPr>
                <w:rFonts w:eastAsia="Times New Roman"/>
              </w:rPr>
            </w:pPr>
            <w:r>
              <w:rPr>
                <w:rFonts w:ascii="Arial" w:eastAsia="Times New Roman" w:hAnsi="Arial" w:cs="Arial"/>
                <w:b/>
                <w:bCs/>
                <w:color w:val="000000"/>
                <w:sz w:val="20"/>
                <w:szCs w:val="20"/>
              </w:rPr>
              <w:t>March 31, 2021</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Level 1</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Level 2</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Level 3</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Total Gross</w:t>
            </w:r>
            <w:r>
              <w:rPr>
                <w:rFonts w:ascii="Arial" w:eastAsia="Times New Roman" w:hAnsi="Arial" w:cs="Arial"/>
                <w:color w:val="000000"/>
                <w:sz w:val="20"/>
                <w:szCs w:val="20"/>
              </w:rPr>
              <w:br/>
              <w:t>Derivative</w:t>
            </w:r>
            <w:r>
              <w:rPr>
                <w:rFonts w:ascii="Arial" w:eastAsia="Times New Roman" w:hAnsi="Arial" w:cs="Arial"/>
                <w:color w:val="000000"/>
                <w:sz w:val="20"/>
                <w:szCs w:val="20"/>
              </w:rPr>
              <w:br/>
              <w:t>Instruments</w:t>
            </w:r>
          </w:p>
        </w:tc>
      </w:tr>
      <w:tr w:rsidR="00000000">
        <w:trPr>
          <w:divId w:val="819006902"/>
        </w:trPr>
        <w:tc>
          <w:tcPr>
            <w:tcW w:w="0" w:type="auto"/>
            <w:gridSpan w:val="3"/>
            <w:tcBorders>
              <w:top w:val="single" w:sz="8" w:space="0" w:color="000000"/>
            </w:tcBorders>
            <w:tcMar>
              <w:top w:w="30" w:type="dxa"/>
              <w:left w:w="20" w:type="dxa"/>
              <w:bottom w:w="30" w:type="dxa"/>
              <w:right w:w="20" w:type="dxa"/>
            </w:tcMar>
            <w:hideMark/>
          </w:tcPr>
          <w:p w:rsidR="00000000" w:rsidRDefault="009E01B0">
            <w:pPr>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819006902"/>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Financial assets</w:t>
            </w:r>
          </w:p>
        </w:tc>
        <w:tc>
          <w:tcPr>
            <w:tcW w:w="0" w:type="auto"/>
            <w:gridSpan w:val="3"/>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819006902"/>
        </w:trPr>
        <w:tc>
          <w:tcPr>
            <w:tcW w:w="0" w:type="auto"/>
            <w:gridSpan w:val="3"/>
            <w:tcMar>
              <w:top w:w="30" w:type="dxa"/>
              <w:left w:w="20" w:type="dxa"/>
              <w:bottom w:w="30" w:type="dxa"/>
              <w:right w:w="20" w:type="dxa"/>
            </w:tcMar>
            <w:hideMark/>
          </w:tcPr>
          <w:p w:rsidR="00000000" w:rsidRDefault="009E01B0">
            <w:pPr>
              <w:divId w:val="1532065535"/>
              <w:rPr>
                <w:rFonts w:eastAsia="Times New Roman"/>
              </w:rPr>
            </w:pPr>
            <w:r>
              <w:rPr>
                <w:rFonts w:ascii="Arial" w:eastAsia="Times New Roman" w:hAnsi="Arial" w:cs="Arial"/>
                <w:color w:val="000000"/>
                <w:sz w:val="20"/>
                <w:szCs w:val="20"/>
              </w:rPr>
              <w:t>Current derivative assets</w:t>
            </w: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819006902"/>
        </w:trPr>
        <w:tc>
          <w:tcPr>
            <w:tcW w:w="0" w:type="auto"/>
            <w:gridSpan w:val="3"/>
            <w:tcMar>
              <w:top w:w="30" w:type="dxa"/>
              <w:left w:w="20" w:type="dxa"/>
              <w:bottom w:w="30" w:type="dxa"/>
              <w:right w:w="20" w:type="dxa"/>
            </w:tcMar>
            <w:hideMark/>
          </w:tcPr>
          <w:p w:rsidR="00000000" w:rsidRDefault="009E01B0">
            <w:pPr>
              <w:divId w:val="1245870957"/>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819006902"/>
        </w:trPr>
        <w:tc>
          <w:tcPr>
            <w:tcW w:w="0" w:type="auto"/>
            <w:gridSpan w:val="3"/>
            <w:tcMar>
              <w:top w:w="30" w:type="dxa"/>
              <w:left w:w="20" w:type="dxa"/>
              <w:bottom w:w="30" w:type="dxa"/>
              <w:right w:w="20" w:type="dxa"/>
            </w:tcMar>
            <w:hideMark/>
          </w:tcPr>
          <w:p w:rsidR="00000000" w:rsidRDefault="009E01B0">
            <w:pPr>
              <w:divId w:val="663121210"/>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55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37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66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Mar>
              <w:top w:w="30" w:type="dxa"/>
              <w:left w:w="38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55</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281</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66</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402</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Long-term derivative assets</w:t>
            </w: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819006902"/>
        </w:trPr>
        <w:tc>
          <w:tcPr>
            <w:tcW w:w="0" w:type="auto"/>
            <w:gridSpan w:val="3"/>
            <w:tcMar>
              <w:top w:w="30" w:type="dxa"/>
              <w:left w:w="20" w:type="dxa"/>
              <w:bottom w:w="30" w:type="dxa"/>
              <w:right w:w="20" w:type="dxa"/>
            </w:tcMar>
            <w:hideMark/>
          </w:tcPr>
          <w:p w:rsidR="00000000" w:rsidRDefault="009E01B0">
            <w:pPr>
              <w:divId w:val="1889340398"/>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465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465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Mar>
              <w:top w:w="30" w:type="dxa"/>
              <w:left w:w="38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Mar>
              <w:top w:w="30" w:type="dxa"/>
              <w:left w:w="20" w:type="dxa"/>
              <w:bottom w:w="30" w:type="dxa"/>
              <w:right w:w="20" w:type="dxa"/>
            </w:tcMar>
            <w:hideMark/>
          </w:tcPr>
          <w:p w:rsidR="00000000" w:rsidRDefault="009E01B0">
            <w:pPr>
              <w:divId w:val="993531000"/>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Mar>
              <w:top w:w="30" w:type="dxa"/>
              <w:left w:w="20" w:type="dxa"/>
              <w:bottom w:w="30" w:type="dxa"/>
              <w:right w:w="20" w:type="dxa"/>
            </w:tcMar>
            <w:hideMark/>
          </w:tcPr>
          <w:p w:rsidR="00000000" w:rsidRDefault="009E01B0">
            <w:pPr>
              <w:divId w:val="1548251971"/>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741</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12</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761</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Financial liabilities</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819006902"/>
        </w:trPr>
        <w:tc>
          <w:tcPr>
            <w:tcW w:w="0" w:type="auto"/>
            <w:gridSpan w:val="3"/>
            <w:tcMar>
              <w:top w:w="30" w:type="dxa"/>
              <w:left w:w="20" w:type="dxa"/>
              <w:bottom w:w="30" w:type="dxa"/>
              <w:right w:w="20" w:type="dxa"/>
            </w:tcMar>
            <w:hideMark/>
          </w:tcPr>
          <w:p w:rsidR="00000000" w:rsidRDefault="009E01B0">
            <w:pPr>
              <w:divId w:val="81996999"/>
              <w:rPr>
                <w:rFonts w:eastAsia="Times New Roman"/>
              </w:rPr>
            </w:pPr>
            <w:r>
              <w:rPr>
                <w:rFonts w:ascii="Arial" w:eastAsia="Times New Roman" w:hAnsi="Arial" w:cs="Arial"/>
                <w:color w:val="000000"/>
                <w:sz w:val="20"/>
                <w:szCs w:val="20"/>
              </w:rPr>
              <w:t>Current derivative liabilities</w:t>
            </w: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819006902"/>
        </w:trPr>
        <w:tc>
          <w:tcPr>
            <w:tcW w:w="0" w:type="auto"/>
            <w:gridSpan w:val="3"/>
            <w:tcMar>
              <w:top w:w="30" w:type="dxa"/>
              <w:left w:w="20" w:type="dxa"/>
              <w:bottom w:w="30" w:type="dxa"/>
              <w:right w:w="20" w:type="dxa"/>
            </w:tcMar>
            <w:hideMark/>
          </w:tcPr>
          <w:p w:rsidR="00000000" w:rsidRDefault="009E01B0">
            <w:pPr>
              <w:divId w:val="1934625620"/>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(249)</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(249)</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Mar>
              <w:top w:w="30" w:type="dxa"/>
              <w:left w:w="20" w:type="dxa"/>
              <w:bottom w:w="30" w:type="dxa"/>
              <w:right w:w="20" w:type="dxa"/>
            </w:tcMar>
            <w:hideMark/>
          </w:tcPr>
          <w:p w:rsidR="00000000" w:rsidRDefault="009E01B0">
            <w:pPr>
              <w:divId w:val="498543167"/>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(240)</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(240)</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Mar>
              <w:top w:w="30" w:type="dxa"/>
              <w:left w:w="20" w:type="dxa"/>
              <w:bottom w:w="30" w:type="dxa"/>
              <w:right w:w="20" w:type="dxa"/>
            </w:tcMar>
            <w:hideMark/>
          </w:tcPr>
          <w:p w:rsidR="00000000" w:rsidRDefault="009E01B0">
            <w:pPr>
              <w:divId w:val="895244771"/>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(55)</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(25)</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b/>
                <w:bCs/>
                <w:color w:val="000000"/>
                <w:sz w:val="20"/>
                <w:szCs w:val="20"/>
              </w:rPr>
              <w:t>145)</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(225)</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819006902"/>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(55)</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(514)</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(145)</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(714)</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Long-term derivative liabilities</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819006902"/>
        </w:trPr>
        <w:tc>
          <w:tcPr>
            <w:tcW w:w="0" w:type="auto"/>
            <w:gridSpan w:val="3"/>
            <w:tcMar>
              <w:top w:w="30" w:type="dxa"/>
              <w:left w:w="20" w:type="dxa"/>
              <w:bottom w:w="30" w:type="dxa"/>
              <w:right w:w="20" w:type="dxa"/>
            </w:tcMar>
            <w:hideMark/>
          </w:tcPr>
          <w:p w:rsidR="00000000" w:rsidRDefault="009E01B0">
            <w:pPr>
              <w:divId w:val="2094546290"/>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(543)</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(543)</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Mar>
              <w:top w:w="30" w:type="dxa"/>
              <w:left w:w="20" w:type="dxa"/>
              <w:bottom w:w="30" w:type="dxa"/>
              <w:right w:w="20" w:type="dxa"/>
            </w:tcMar>
            <w:hideMark/>
          </w:tcPr>
          <w:p w:rsidR="00000000" w:rsidRDefault="009E01B0">
            <w:pPr>
              <w:divId w:val="1516841621"/>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(102)</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(102)</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Mar>
              <w:top w:w="30" w:type="dxa"/>
              <w:left w:w="20" w:type="dxa"/>
              <w:bottom w:w="30" w:type="dxa"/>
              <w:right w:w="20" w:type="dxa"/>
            </w:tcMar>
            <w:hideMark/>
          </w:tcPr>
          <w:p w:rsidR="00000000" w:rsidRDefault="009E01B0">
            <w:pPr>
              <w:divId w:val="773552978"/>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(11)</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(7)</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(52)</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(70)</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819006902"/>
        </w:trPr>
        <w:tc>
          <w:tcPr>
            <w:tcW w:w="0" w:type="auto"/>
            <w:gridSpan w:val="3"/>
            <w:tcBorders>
              <w:top w:val="single" w:sz="8" w:space="0" w:color="000000"/>
            </w:tcBorders>
            <w:tcMar>
              <w:top w:w="30" w:type="dxa"/>
              <w:left w:w="20" w:type="dxa"/>
              <w:bottom w:w="30" w:type="dxa"/>
              <w:right w:w="20" w:type="dxa"/>
            </w:tcMar>
            <w:hideMark/>
          </w:tcPr>
          <w:p w:rsidR="00000000" w:rsidRDefault="009E01B0">
            <w:pPr>
              <w:divId w:val="880285137"/>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(11)</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(652)</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(52)</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(715)</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Total net financial assets/(liabilities)</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819006902"/>
        </w:trPr>
        <w:tc>
          <w:tcPr>
            <w:tcW w:w="0" w:type="auto"/>
            <w:gridSpan w:val="3"/>
            <w:tcMar>
              <w:top w:w="30" w:type="dxa"/>
              <w:left w:w="20" w:type="dxa"/>
              <w:bottom w:w="30" w:type="dxa"/>
              <w:right w:w="20" w:type="dxa"/>
            </w:tcMar>
            <w:hideMark/>
          </w:tcPr>
          <w:p w:rsidR="00000000" w:rsidRDefault="009E01B0">
            <w:pPr>
              <w:divId w:val="332149736"/>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(85)</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(85)</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Mar>
              <w:top w:w="30" w:type="dxa"/>
              <w:left w:w="20" w:type="dxa"/>
              <w:bottom w:w="30" w:type="dxa"/>
              <w:right w:w="20" w:type="dxa"/>
            </w:tcMar>
            <w:hideMark/>
          </w:tcPr>
          <w:p w:rsidR="00000000" w:rsidRDefault="009E01B0">
            <w:pPr>
              <w:divId w:val="1444305891"/>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(95)</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(95)</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Mar>
              <w:top w:w="30" w:type="dxa"/>
              <w:left w:w="20" w:type="dxa"/>
              <w:bottom w:w="30" w:type="dxa"/>
              <w:right w:w="20" w:type="dxa"/>
            </w:tcMar>
            <w:hideMark/>
          </w:tcPr>
          <w:p w:rsidR="00000000" w:rsidRDefault="009E01B0">
            <w:pPr>
              <w:divId w:val="1060249161"/>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(119)</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(90)</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Mar>
              <w:top w:w="30" w:type="dxa"/>
              <w:left w:w="20" w:type="dxa"/>
              <w:bottom w:w="30" w:type="dxa"/>
              <w:right w:w="20" w:type="dxa"/>
            </w:tcMar>
            <w:hideMark/>
          </w:tcPr>
          <w:p w:rsidR="00000000" w:rsidRDefault="009E01B0">
            <w:pPr>
              <w:divId w:val="1715471125"/>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r>
      <w:tr w:rsidR="00000000">
        <w:trPr>
          <w:divId w:val="819006902"/>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(3)</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(144)</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(119)</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(266)</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r>
    </w:tbl>
    <w:p w:rsidR="00000000" w:rsidRDefault="009E01B0">
      <w:pPr>
        <w:jc w:val="center"/>
        <w:divId w:val="19019180"/>
        <w:rPr>
          <w:rFonts w:eastAsia="Times New Roman"/>
        </w:rPr>
      </w:pPr>
      <w:r>
        <w:rPr>
          <w:rFonts w:ascii="Arial" w:eastAsia="Times New Roman" w:hAnsi="Arial" w:cs="Arial"/>
          <w:color w:val="000000"/>
          <w:sz w:val="20"/>
          <w:szCs w:val="20"/>
        </w:rPr>
        <w:t>29</w:t>
      </w:r>
    </w:p>
    <w:p w:rsidR="00000000" w:rsidRDefault="009E01B0">
      <w:pPr>
        <w:rPr>
          <w:rFonts w:eastAsia="Times New Roman"/>
        </w:rPr>
      </w:pPr>
      <w:r>
        <w:rPr>
          <w:rFonts w:eastAsia="Times New Roman"/>
        </w:rPr>
        <w:pict>
          <v:rect id="_x0000_i1054" style="width:0;height:1.5pt" o:hralign="center" o:hrstd="t" o:hr="t" fillcolor="#a0a0a0" stroked="f"/>
        </w:pict>
      </w:r>
    </w:p>
    <w:p w:rsidR="00000000" w:rsidRDefault="009E01B0">
      <w:pPr>
        <w:jc w:val="center"/>
        <w:divId w:val="1666401821"/>
        <w:rPr>
          <w:rFonts w:eastAsia="Times New Roman"/>
        </w:rPr>
      </w:pPr>
    </w:p>
    <w:p w:rsidR="00000000" w:rsidRDefault="009E01B0">
      <w:pPr>
        <w:jc w:val="center"/>
        <w:divId w:val="166640182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0"/>
        <w:gridCol w:w="3992"/>
        <w:gridCol w:w="40"/>
        <w:gridCol w:w="60"/>
        <w:gridCol w:w="937"/>
        <w:gridCol w:w="36"/>
        <w:gridCol w:w="61"/>
        <w:gridCol w:w="937"/>
        <w:gridCol w:w="36"/>
        <w:gridCol w:w="61"/>
        <w:gridCol w:w="937"/>
        <w:gridCol w:w="36"/>
        <w:gridCol w:w="86"/>
        <w:gridCol w:w="991"/>
        <w:gridCol w:w="36"/>
      </w:tblGrid>
      <w:tr w:rsidR="00000000">
        <w:trPr>
          <w:divId w:val="552428490"/>
        </w:trPr>
        <w:tc>
          <w:tcPr>
            <w:tcW w:w="50" w:type="pct"/>
            <w:vAlign w:val="center"/>
            <w:hideMark/>
          </w:tcPr>
          <w:p w:rsidR="00000000" w:rsidRDefault="009E01B0">
            <w:pPr>
              <w:jc w:val="center"/>
              <w:rPr>
                <w:rFonts w:eastAsia="Times New Roman"/>
              </w:rPr>
            </w:pPr>
          </w:p>
        </w:tc>
        <w:tc>
          <w:tcPr>
            <w:tcW w:w="241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7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7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7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7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552428490"/>
        </w:trPr>
        <w:tc>
          <w:tcPr>
            <w:tcW w:w="0" w:type="auto"/>
            <w:gridSpan w:val="3"/>
            <w:tcMar>
              <w:top w:w="30" w:type="dxa"/>
              <w:left w:w="20" w:type="dxa"/>
              <w:bottom w:w="30" w:type="dxa"/>
              <w:right w:w="20" w:type="dxa"/>
            </w:tcMar>
            <w:vAlign w:val="bottom"/>
            <w:hideMark/>
          </w:tcPr>
          <w:p w:rsidR="00000000" w:rsidRDefault="009E01B0">
            <w:pPr>
              <w:jc w:val="both"/>
              <w:rPr>
                <w:rFonts w:eastAsia="Times New Roman"/>
              </w:rPr>
            </w:pPr>
            <w:r>
              <w:rPr>
                <w:rFonts w:ascii="Arial" w:eastAsia="Times New Roman" w:hAnsi="Arial" w:cs="Arial"/>
                <w:color w:val="000000"/>
                <w:sz w:val="20"/>
                <w:szCs w:val="20"/>
              </w:rPr>
              <w:t>December 31, 2020</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Level 1</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Level 2</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Level 3</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Total Gross</w:t>
            </w:r>
            <w:r>
              <w:rPr>
                <w:rFonts w:ascii="Arial" w:eastAsia="Times New Roman" w:hAnsi="Arial" w:cs="Arial"/>
                <w:color w:val="000000"/>
                <w:sz w:val="20"/>
                <w:szCs w:val="20"/>
              </w:rPr>
              <w:br/>
              <w:t>Derivative</w:t>
            </w:r>
            <w:r>
              <w:rPr>
                <w:rFonts w:ascii="Arial" w:eastAsia="Times New Roman" w:hAnsi="Arial" w:cs="Arial"/>
                <w:color w:val="000000"/>
                <w:sz w:val="20"/>
                <w:szCs w:val="20"/>
              </w:rPr>
              <w:br/>
              <w:t>Instruments</w:t>
            </w:r>
          </w:p>
        </w:tc>
      </w:tr>
      <w:tr w:rsidR="00000000">
        <w:trPr>
          <w:divId w:val="552428490"/>
        </w:trPr>
        <w:tc>
          <w:tcPr>
            <w:tcW w:w="0" w:type="auto"/>
            <w:gridSpan w:val="3"/>
            <w:tcBorders>
              <w:top w:val="single" w:sz="8" w:space="0" w:color="000000"/>
            </w:tcBorders>
            <w:tcMar>
              <w:top w:w="30" w:type="dxa"/>
              <w:left w:w="20" w:type="dxa"/>
              <w:bottom w:w="30" w:type="dxa"/>
              <w:right w:w="20" w:type="dxa"/>
            </w:tcMar>
            <w:hideMark/>
          </w:tcPr>
          <w:p w:rsidR="00000000" w:rsidRDefault="009E01B0">
            <w:pPr>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552428490"/>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Financial assets</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552428490"/>
        </w:trPr>
        <w:tc>
          <w:tcPr>
            <w:tcW w:w="0" w:type="auto"/>
            <w:gridSpan w:val="3"/>
            <w:tcMar>
              <w:top w:w="30" w:type="dxa"/>
              <w:left w:w="20" w:type="dxa"/>
              <w:bottom w:w="30" w:type="dxa"/>
              <w:right w:w="20" w:type="dxa"/>
            </w:tcMar>
            <w:hideMark/>
          </w:tcPr>
          <w:p w:rsidR="00000000" w:rsidRDefault="009E01B0">
            <w:pPr>
              <w:divId w:val="1480344787"/>
              <w:rPr>
                <w:rFonts w:eastAsia="Times New Roman"/>
              </w:rPr>
            </w:pPr>
            <w:r>
              <w:rPr>
                <w:rFonts w:ascii="Arial" w:eastAsia="Times New Roman" w:hAnsi="Arial" w:cs="Arial"/>
                <w:color w:val="000000"/>
                <w:sz w:val="20"/>
                <w:szCs w:val="20"/>
              </w:rPr>
              <w:t>Current derivative assets</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552428490"/>
        </w:trPr>
        <w:tc>
          <w:tcPr>
            <w:tcW w:w="0" w:type="auto"/>
            <w:gridSpan w:val="3"/>
            <w:tcMar>
              <w:top w:w="30" w:type="dxa"/>
              <w:left w:w="20" w:type="dxa"/>
              <w:bottom w:w="30" w:type="dxa"/>
              <w:right w:w="20" w:type="dxa"/>
            </w:tcMar>
            <w:hideMark/>
          </w:tcPr>
          <w:p w:rsidR="00000000" w:rsidRDefault="009E01B0">
            <w:pPr>
              <w:divId w:val="1635913579"/>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180 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180 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vAlign w:val="center"/>
            <w:hideMark/>
          </w:tcPr>
          <w:p w:rsidR="00000000" w:rsidRDefault="009E01B0">
            <w:pPr>
              <w:jc w:val="right"/>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52428490"/>
        </w:trPr>
        <w:tc>
          <w:tcPr>
            <w:tcW w:w="0" w:type="auto"/>
            <w:gridSpan w:val="3"/>
            <w:tcMar>
              <w:top w:w="30" w:type="dxa"/>
              <w:left w:w="20" w:type="dxa"/>
              <w:bottom w:w="30" w:type="dxa"/>
              <w:right w:w="20" w:type="dxa"/>
            </w:tcMar>
            <w:hideMark/>
          </w:tcPr>
          <w:p w:rsidR="00000000" w:rsidRDefault="009E01B0">
            <w:pPr>
              <w:divId w:val="120416781"/>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33 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67 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143 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43 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213 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67 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323 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Long-term derivative assets</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552428490"/>
        </w:trPr>
        <w:tc>
          <w:tcPr>
            <w:tcW w:w="0" w:type="auto"/>
            <w:gridSpan w:val="3"/>
            <w:tcMar>
              <w:top w:w="30" w:type="dxa"/>
              <w:left w:w="20" w:type="dxa"/>
              <w:bottom w:w="30" w:type="dxa"/>
              <w:right w:w="20" w:type="dxa"/>
            </w:tcMar>
            <w:hideMark/>
          </w:tcPr>
          <w:p w:rsidR="00000000" w:rsidRDefault="009E01B0">
            <w:pPr>
              <w:divId w:val="728382802"/>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466 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466 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Mar>
              <w:top w:w="30" w:type="dxa"/>
              <w:left w:w="38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56 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56 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Mar>
              <w:top w:w="30" w:type="dxa"/>
              <w:left w:w="38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24 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39 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546 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14 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561 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Financial liabilities</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552428490"/>
        </w:trPr>
        <w:tc>
          <w:tcPr>
            <w:tcW w:w="0" w:type="auto"/>
            <w:gridSpan w:val="3"/>
            <w:tcMar>
              <w:top w:w="30" w:type="dxa"/>
              <w:left w:w="20" w:type="dxa"/>
              <w:bottom w:w="30" w:type="dxa"/>
              <w:right w:w="20" w:type="dxa"/>
            </w:tcMar>
            <w:hideMark/>
          </w:tcPr>
          <w:p w:rsidR="00000000" w:rsidRDefault="009E01B0">
            <w:pPr>
              <w:divId w:val="2135781887"/>
              <w:rPr>
                <w:rFonts w:eastAsia="Times New Roman"/>
              </w:rPr>
            </w:pPr>
            <w:r>
              <w:rPr>
                <w:rFonts w:ascii="Arial" w:eastAsia="Times New Roman" w:hAnsi="Arial" w:cs="Arial"/>
                <w:color w:val="000000"/>
                <w:sz w:val="20"/>
                <w:szCs w:val="20"/>
              </w:rPr>
              <w:t>Current derivative liabilities</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552428490"/>
        </w:trPr>
        <w:tc>
          <w:tcPr>
            <w:tcW w:w="0" w:type="auto"/>
            <w:gridSpan w:val="3"/>
            <w:tcMar>
              <w:top w:w="30" w:type="dxa"/>
              <w:left w:w="20" w:type="dxa"/>
              <w:bottom w:w="30" w:type="dxa"/>
              <w:right w:w="20" w:type="dxa"/>
            </w:tcMar>
            <w:hideMark/>
          </w:tcPr>
          <w:p w:rsidR="00000000" w:rsidRDefault="009E01B0">
            <w:pPr>
              <w:divId w:val="1752072144"/>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(185)</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(185)</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Mar>
              <w:top w:w="30" w:type="dxa"/>
              <w:left w:w="20" w:type="dxa"/>
              <w:bottom w:w="30" w:type="dxa"/>
              <w:right w:w="20" w:type="dxa"/>
            </w:tcMar>
            <w:hideMark/>
          </w:tcPr>
          <w:p w:rsidR="00000000" w:rsidRDefault="009E01B0">
            <w:pPr>
              <w:divId w:val="2096894773"/>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(425)</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(425)</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Mar>
              <w:top w:w="30" w:type="dxa"/>
              <w:left w:w="20" w:type="dxa"/>
              <w:bottom w:w="30" w:type="dxa"/>
              <w:right w:w="20" w:type="dxa"/>
            </w:tcMar>
            <w:hideMark/>
          </w:tcPr>
          <w:p w:rsidR="00000000" w:rsidRDefault="009E01B0">
            <w:pPr>
              <w:divId w:val="1741756550"/>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(39)</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(18)</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(223)</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(280)</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Mar>
              <w:top w:w="30" w:type="dxa"/>
              <w:left w:w="38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(39)</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(632)</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(223)</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(894)</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Long-term derivative liabilities</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552428490"/>
        </w:trPr>
        <w:tc>
          <w:tcPr>
            <w:tcW w:w="0" w:type="auto"/>
            <w:gridSpan w:val="3"/>
            <w:tcMar>
              <w:top w:w="30" w:type="dxa"/>
              <w:left w:w="20" w:type="dxa"/>
              <w:bottom w:w="30" w:type="dxa"/>
              <w:right w:w="20" w:type="dxa"/>
            </w:tcMar>
            <w:hideMark/>
          </w:tcPr>
          <w:p w:rsidR="00000000" w:rsidRDefault="009E01B0">
            <w:pPr>
              <w:divId w:val="1329097652"/>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(760)</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(760)</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Mar>
              <w:top w:w="30" w:type="dxa"/>
              <w:left w:w="20" w:type="dxa"/>
              <w:bottom w:w="30" w:type="dxa"/>
              <w:right w:w="20" w:type="dxa"/>
            </w:tcMar>
            <w:hideMark/>
          </w:tcPr>
          <w:p w:rsidR="00000000" w:rsidRDefault="009E01B0">
            <w:pPr>
              <w:divId w:val="1875655822"/>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(241)</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(241)</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Mar>
              <w:top w:w="30" w:type="dxa"/>
              <w:left w:w="20" w:type="dxa"/>
              <w:bottom w:w="30" w:type="dxa"/>
              <w:right w:w="20" w:type="dxa"/>
            </w:tcMar>
            <w:hideMark/>
          </w:tcPr>
          <w:p w:rsidR="00000000" w:rsidRDefault="009E01B0">
            <w:pPr>
              <w:divId w:val="943000911"/>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(8)</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(49)</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(58)</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1,009)</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(49)</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(1,059)</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Total net financial assets/(liabilities)</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552428490"/>
        </w:trPr>
        <w:tc>
          <w:tcPr>
            <w:tcW w:w="0" w:type="auto"/>
            <w:gridSpan w:val="3"/>
            <w:tcMar>
              <w:top w:w="30" w:type="dxa"/>
              <w:left w:w="20" w:type="dxa"/>
              <w:bottom w:w="30" w:type="dxa"/>
              <w:right w:w="20" w:type="dxa"/>
            </w:tcMar>
            <w:hideMark/>
          </w:tcPr>
          <w:p w:rsidR="00000000" w:rsidRDefault="009E01B0">
            <w:pPr>
              <w:divId w:val="768358681"/>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(299)</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(299)</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Mar>
              <w:top w:w="30" w:type="dxa"/>
              <w:left w:w="20" w:type="dxa"/>
              <w:bottom w:w="30" w:type="dxa"/>
              <w:right w:w="20" w:type="dxa"/>
            </w:tcMar>
            <w:hideMark/>
          </w:tcPr>
          <w:p w:rsidR="00000000" w:rsidRDefault="009E01B0">
            <w:pPr>
              <w:divId w:val="121847377"/>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(610)</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(610)</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Mar>
              <w:top w:w="30" w:type="dxa"/>
              <w:left w:w="20" w:type="dxa"/>
              <w:bottom w:w="30" w:type="dxa"/>
              <w:right w:w="20" w:type="dxa"/>
            </w:tcMar>
            <w:hideMark/>
          </w:tcPr>
          <w:p w:rsidR="00000000" w:rsidRDefault="009E01B0">
            <w:pPr>
              <w:divId w:val="1384907685"/>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(191)</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(156)</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Mar>
              <w:top w:w="30" w:type="dxa"/>
              <w:left w:w="20" w:type="dxa"/>
              <w:bottom w:w="30" w:type="dxa"/>
              <w:right w:w="20" w:type="dxa"/>
            </w:tcMar>
            <w:hideMark/>
          </w:tcPr>
          <w:p w:rsidR="00000000" w:rsidRDefault="009E01B0">
            <w:pPr>
              <w:divId w:val="1309825638"/>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552428490"/>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4 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(882)</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(191)</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(1,069)</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r>
      <w:tr w:rsidR="00000000">
        <w:trPr>
          <w:divId w:val="552428490"/>
          <w:trHeight w:val="300"/>
        </w:trPr>
        <w:tc>
          <w:tcPr>
            <w:tcW w:w="0" w:type="auto"/>
            <w:gridSpan w:val="3"/>
            <w:tcBorders>
              <w:top w:val="single" w:sz="18" w:space="0" w:color="000000"/>
            </w:tcBorders>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bl>
    <w:p w:rsidR="00000000" w:rsidRDefault="009E01B0">
      <w:pPr>
        <w:divId w:val="1923175100"/>
        <w:rPr>
          <w:rFonts w:eastAsia="Times New Roman"/>
        </w:rPr>
      </w:pPr>
    </w:p>
    <w:p w:rsidR="00000000" w:rsidRDefault="009E01B0">
      <w:pPr>
        <w:divId w:val="258948146"/>
        <w:rPr>
          <w:rFonts w:eastAsia="Times New Roman"/>
        </w:rPr>
      </w:pPr>
      <w:r>
        <w:rPr>
          <w:rFonts w:ascii="Arial" w:eastAsia="Times New Roman" w:hAnsi="Arial" w:cs="Arial"/>
          <w:color w:val="000000"/>
          <w:sz w:val="20"/>
          <w:szCs w:val="20"/>
        </w:rPr>
        <w:t>The significant unobservable inputs used in the fair value measurement of Level 3 derivative instruments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63"/>
        <w:gridCol w:w="2060"/>
        <w:gridCol w:w="38"/>
        <w:gridCol w:w="77"/>
        <w:gridCol w:w="366"/>
        <w:gridCol w:w="36"/>
        <w:gridCol w:w="63"/>
        <w:gridCol w:w="1553"/>
        <w:gridCol w:w="36"/>
        <w:gridCol w:w="63"/>
        <w:gridCol w:w="885"/>
        <w:gridCol w:w="36"/>
        <w:gridCol w:w="63"/>
        <w:gridCol w:w="885"/>
        <w:gridCol w:w="36"/>
        <w:gridCol w:w="63"/>
        <w:gridCol w:w="900"/>
        <w:gridCol w:w="36"/>
        <w:gridCol w:w="88"/>
        <w:gridCol w:w="923"/>
        <w:gridCol w:w="36"/>
      </w:tblGrid>
      <w:tr w:rsidR="00000000">
        <w:trPr>
          <w:divId w:val="1430858851"/>
        </w:trPr>
        <w:tc>
          <w:tcPr>
            <w:tcW w:w="50" w:type="pct"/>
            <w:vAlign w:val="center"/>
            <w:hideMark/>
          </w:tcPr>
          <w:p w:rsidR="00000000" w:rsidRDefault="009E01B0">
            <w:pPr>
              <w:rPr>
                <w:rFonts w:eastAsia="Times New Roman"/>
              </w:rPr>
            </w:pPr>
          </w:p>
        </w:tc>
        <w:tc>
          <w:tcPr>
            <w:tcW w:w="125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24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946"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4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4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5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30"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430858851"/>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b/>
                <w:bCs/>
                <w:color w:val="000000"/>
                <w:sz w:val="16"/>
                <w:szCs w:val="16"/>
              </w:rPr>
              <w:t>March 31, 2021</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Fair</w:t>
            </w:r>
            <w:r>
              <w:rPr>
                <w:rFonts w:ascii="Arial" w:eastAsia="Times New Roman" w:hAnsi="Arial" w:cs="Arial"/>
                <w:color w:val="000000"/>
                <w:sz w:val="16"/>
                <w:szCs w:val="16"/>
              </w:rPr>
              <w:br/>
              <w:t>Value</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Unobservable</w:t>
            </w:r>
            <w:r>
              <w:rPr>
                <w:rFonts w:ascii="Arial" w:eastAsia="Times New Roman" w:hAnsi="Arial" w:cs="Arial"/>
                <w:color w:val="000000"/>
                <w:sz w:val="16"/>
                <w:szCs w:val="16"/>
              </w:rPr>
              <w:br/>
              <w:t>Input</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Minimum</w:t>
            </w:r>
            <w:r>
              <w:rPr>
                <w:rFonts w:ascii="Arial" w:eastAsia="Times New Roman" w:hAnsi="Arial" w:cs="Arial"/>
                <w:color w:val="000000"/>
                <w:sz w:val="16"/>
                <w:szCs w:val="16"/>
              </w:rPr>
              <w:br/>
              <w:t>Price</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Maximum</w:t>
            </w:r>
            <w:r>
              <w:rPr>
                <w:rFonts w:ascii="Arial" w:eastAsia="Times New Roman" w:hAnsi="Arial" w:cs="Arial"/>
                <w:color w:val="000000"/>
                <w:sz w:val="16"/>
                <w:szCs w:val="16"/>
              </w:rPr>
              <w:br/>
              <w:t>Price</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Weighted</w:t>
            </w:r>
            <w:r>
              <w:rPr>
                <w:rFonts w:ascii="Arial" w:eastAsia="Times New Roman" w:hAnsi="Arial" w:cs="Arial"/>
                <w:color w:val="000000"/>
                <w:sz w:val="16"/>
                <w:szCs w:val="16"/>
              </w:rPr>
              <w:br/>
            </w:r>
            <w:r>
              <w:rPr>
                <w:rFonts w:ascii="Arial" w:eastAsia="Times New Roman" w:hAnsi="Arial" w:cs="Arial"/>
                <w:color w:val="000000"/>
                <w:sz w:val="16"/>
                <w:szCs w:val="16"/>
              </w:rPr>
              <w:t>Average Price</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16"/>
                <w:szCs w:val="16"/>
              </w:rPr>
              <w:t>Unit of</w:t>
            </w:r>
            <w:r>
              <w:rPr>
                <w:rFonts w:ascii="Arial" w:eastAsia="Times New Roman" w:hAnsi="Arial" w:cs="Arial"/>
                <w:color w:val="000000"/>
                <w:sz w:val="16"/>
                <w:szCs w:val="16"/>
              </w:rPr>
              <w:br/>
              <w:t>Measurement</w:t>
            </w:r>
          </w:p>
        </w:tc>
      </w:tr>
      <w:tr w:rsidR="00000000">
        <w:trPr>
          <w:divId w:val="1430858851"/>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i/>
                <w:iCs/>
                <w:color w:val="000000"/>
                <w:sz w:val="15"/>
                <w:szCs w:val="15"/>
              </w:rPr>
              <w:t>(fair value in 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430858851"/>
        </w:trPr>
        <w:tc>
          <w:tcPr>
            <w:tcW w:w="0" w:type="auto"/>
            <w:gridSpan w:val="3"/>
            <w:tcMar>
              <w:top w:w="30" w:type="dxa"/>
              <w:left w:w="20" w:type="dxa"/>
              <w:bottom w:w="30" w:type="dxa"/>
              <w:right w:w="20" w:type="dxa"/>
            </w:tcMar>
            <w:hideMark/>
          </w:tcPr>
          <w:p w:rsidR="00000000" w:rsidRDefault="009E01B0">
            <w:pPr>
              <w:divId w:val="1903174555"/>
              <w:rPr>
                <w:rFonts w:eastAsia="Times New Roman"/>
              </w:rPr>
            </w:pPr>
            <w:r>
              <w:rPr>
                <w:rFonts w:ascii="Arial" w:eastAsia="Times New Roman" w:hAnsi="Arial" w:cs="Arial"/>
                <w:color w:val="000000"/>
                <w:sz w:val="16"/>
                <w:szCs w:val="16"/>
              </w:rPr>
              <w:t>Commodity contracts - financia</w:t>
            </w:r>
            <w:r>
              <w:rPr>
                <w:rFonts w:ascii="Arial" w:eastAsia="Times New Roman" w:hAnsi="Arial" w:cs="Arial"/>
                <w:color w:val="000000"/>
                <w:sz w:val="16"/>
                <w:szCs w:val="16"/>
              </w:rPr>
              <w:t>l</w:t>
            </w:r>
            <w:r>
              <w:rPr>
                <w:rFonts w:ascii="Arial" w:eastAsia="Times New Roman" w:hAnsi="Arial" w:cs="Arial"/>
                <w:color w:val="000000"/>
                <w:sz w:val="9"/>
                <w:szCs w:val="9"/>
              </w:rPr>
              <w:t>1</w:t>
            </w: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430858851"/>
        </w:trPr>
        <w:tc>
          <w:tcPr>
            <w:tcW w:w="0" w:type="auto"/>
            <w:gridSpan w:val="3"/>
            <w:tcMar>
              <w:top w:w="30" w:type="dxa"/>
              <w:left w:w="20" w:type="dxa"/>
              <w:bottom w:w="30" w:type="dxa"/>
              <w:right w:w="20" w:type="dxa"/>
            </w:tcMar>
            <w:hideMark/>
          </w:tcPr>
          <w:p w:rsidR="00000000" w:rsidRDefault="009E01B0">
            <w:pPr>
              <w:divId w:val="165484742"/>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(6)</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16"/>
                <w:szCs w:val="16"/>
              </w:rPr>
              <w:t>Forward gas price</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2.70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4.11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3.21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b/>
                <w:bCs/>
                <w:color w:val="000000"/>
                <w:sz w:val="9"/>
                <w:szCs w:val="9"/>
              </w:rPr>
              <w:t>2</w:t>
            </w:r>
          </w:p>
        </w:tc>
      </w:tr>
      <w:tr w:rsidR="00000000">
        <w:trPr>
          <w:divId w:val="1430858851"/>
        </w:trPr>
        <w:tc>
          <w:tcPr>
            <w:tcW w:w="0" w:type="auto"/>
            <w:gridSpan w:val="3"/>
            <w:tcMar>
              <w:top w:w="30" w:type="dxa"/>
              <w:left w:w="20" w:type="dxa"/>
              <w:bottom w:w="30" w:type="dxa"/>
              <w:right w:w="20" w:type="dxa"/>
            </w:tcMar>
            <w:hideMark/>
          </w:tcPr>
          <w:p w:rsidR="00000000" w:rsidRDefault="009E01B0">
            <w:pPr>
              <w:divId w:val="1702045809"/>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16"/>
                <w:szCs w:val="16"/>
              </w:rPr>
              <w:t>Forward crude price</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51.88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74.36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62.08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16"/>
                <w:szCs w:val="16"/>
              </w:rPr>
              <w:t>$/barrel</w:t>
            </w:r>
          </w:p>
        </w:tc>
      </w:tr>
      <w:tr w:rsidR="00000000">
        <w:trPr>
          <w:divId w:val="1430858851"/>
        </w:trPr>
        <w:tc>
          <w:tcPr>
            <w:tcW w:w="0" w:type="auto"/>
            <w:gridSpan w:val="3"/>
            <w:vAlign w:val="center"/>
            <w:hideMark/>
          </w:tcPr>
          <w:p w:rsidR="00000000" w:rsidRDefault="009E01B0">
            <w:pPr>
              <w:jc w:val="right"/>
              <w:rPr>
                <w:rFonts w:eastAsia="Times New Roman"/>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430858851"/>
        </w:trPr>
        <w:tc>
          <w:tcPr>
            <w:tcW w:w="0" w:type="auto"/>
            <w:gridSpan w:val="3"/>
            <w:tcMar>
              <w:top w:w="30" w:type="dxa"/>
              <w:left w:w="20" w:type="dxa"/>
              <w:bottom w:w="30" w:type="dxa"/>
              <w:right w:w="20" w:type="dxa"/>
            </w:tcMar>
            <w:hideMark/>
          </w:tcPr>
          <w:p w:rsidR="00000000" w:rsidRDefault="009E01B0">
            <w:pPr>
              <w:divId w:val="304315584"/>
              <w:rPr>
                <w:rFonts w:eastAsia="Times New Roman"/>
              </w:rPr>
            </w:pPr>
            <w:r>
              <w:rPr>
                <w:rFonts w:ascii="Arial" w:eastAsia="Times New Roman" w:hAnsi="Arial" w:cs="Arial"/>
                <w:color w:val="000000"/>
                <w:sz w:val="16"/>
                <w:szCs w:val="16"/>
              </w:rPr>
              <w:t>Power</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(47)</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16"/>
                <w:szCs w:val="16"/>
              </w:rPr>
              <w:t>Forward power price</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19.15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76.00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60.25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16"/>
                <w:szCs w:val="16"/>
              </w:rPr>
              <w:t>$/MW/H</w:t>
            </w:r>
          </w:p>
        </w:tc>
      </w:tr>
      <w:tr w:rsidR="00000000">
        <w:trPr>
          <w:divId w:val="1430858851"/>
        </w:trPr>
        <w:tc>
          <w:tcPr>
            <w:tcW w:w="0" w:type="auto"/>
            <w:gridSpan w:val="3"/>
            <w:tcMar>
              <w:top w:w="30" w:type="dxa"/>
              <w:left w:w="20" w:type="dxa"/>
              <w:bottom w:w="30" w:type="dxa"/>
              <w:right w:w="20" w:type="dxa"/>
            </w:tcMar>
            <w:hideMark/>
          </w:tcPr>
          <w:p w:rsidR="00000000" w:rsidRDefault="009E01B0">
            <w:pPr>
              <w:divId w:val="2118018205"/>
              <w:rPr>
                <w:rFonts w:eastAsia="Times New Roman"/>
              </w:rPr>
            </w:pPr>
            <w:r>
              <w:rPr>
                <w:rFonts w:ascii="Arial" w:eastAsia="Times New Roman" w:hAnsi="Arial" w:cs="Arial"/>
                <w:color w:val="000000"/>
                <w:sz w:val="16"/>
                <w:szCs w:val="16"/>
              </w:rPr>
              <w:t>Commodity contracts - physica</w:t>
            </w:r>
            <w:r>
              <w:rPr>
                <w:rFonts w:ascii="Arial" w:eastAsia="Times New Roman" w:hAnsi="Arial" w:cs="Arial"/>
                <w:color w:val="000000"/>
                <w:sz w:val="16"/>
                <w:szCs w:val="16"/>
              </w:rPr>
              <w:t>l</w:t>
            </w:r>
            <w:r>
              <w:rPr>
                <w:rFonts w:ascii="Arial" w:eastAsia="Times New Roman" w:hAnsi="Arial" w:cs="Arial"/>
                <w:color w:val="000000"/>
                <w:sz w:val="9"/>
                <w:szCs w:val="9"/>
              </w:rPr>
              <w:t>1</w:t>
            </w: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430858851"/>
        </w:trPr>
        <w:tc>
          <w:tcPr>
            <w:tcW w:w="0" w:type="auto"/>
            <w:gridSpan w:val="3"/>
            <w:tcMar>
              <w:top w:w="30" w:type="dxa"/>
              <w:left w:w="20" w:type="dxa"/>
              <w:bottom w:w="30" w:type="dxa"/>
              <w:right w:w="20" w:type="dxa"/>
            </w:tcMar>
            <w:hideMark/>
          </w:tcPr>
          <w:p w:rsidR="00000000" w:rsidRDefault="009E01B0">
            <w:pPr>
              <w:divId w:val="302010407"/>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16"/>
                <w:szCs w:val="16"/>
              </w:rPr>
              <w:t>Forward gas price</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2.06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5.43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3.10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b/>
                <w:bCs/>
                <w:color w:val="000000"/>
                <w:sz w:val="9"/>
                <w:szCs w:val="9"/>
              </w:rPr>
              <w:t>2</w:t>
            </w:r>
          </w:p>
        </w:tc>
      </w:tr>
      <w:tr w:rsidR="00000000">
        <w:trPr>
          <w:divId w:val="1430858851"/>
        </w:trPr>
        <w:tc>
          <w:tcPr>
            <w:tcW w:w="0" w:type="auto"/>
            <w:gridSpan w:val="3"/>
            <w:tcMar>
              <w:top w:w="30" w:type="dxa"/>
              <w:left w:w="20" w:type="dxa"/>
              <w:bottom w:w="30" w:type="dxa"/>
              <w:right w:w="20" w:type="dxa"/>
            </w:tcMar>
            <w:hideMark/>
          </w:tcPr>
          <w:p w:rsidR="00000000" w:rsidRDefault="009E01B0">
            <w:pPr>
              <w:divId w:val="28998403"/>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(81)</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16"/>
                <w:szCs w:val="16"/>
              </w:rPr>
              <w:t>Forward crude price</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53.92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76.25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55.05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16"/>
                <w:szCs w:val="16"/>
              </w:rPr>
              <w:t>$/barrel</w:t>
            </w:r>
          </w:p>
        </w:tc>
      </w:tr>
      <w:tr w:rsidR="00000000">
        <w:trPr>
          <w:divId w:val="1430858851"/>
        </w:trPr>
        <w:tc>
          <w:tcPr>
            <w:tcW w:w="0" w:type="auto"/>
            <w:gridSpan w:val="3"/>
            <w:tcMar>
              <w:top w:w="30" w:type="dxa"/>
              <w:left w:w="20" w:type="dxa"/>
              <w:bottom w:w="30" w:type="dxa"/>
              <w:right w:w="20" w:type="dxa"/>
            </w:tcMar>
            <w:hideMark/>
          </w:tcPr>
          <w:p w:rsidR="00000000" w:rsidRDefault="009E01B0">
            <w:pPr>
              <w:divId w:val="1251503882"/>
              <w:rPr>
                <w:rFonts w:eastAsia="Times New Roman"/>
              </w:rPr>
            </w:pPr>
            <w:r>
              <w:rPr>
                <w:rFonts w:ascii="Arial" w:eastAsia="Times New Roman" w:hAnsi="Arial" w:cs="Arial"/>
                <w:color w:val="000000"/>
                <w:sz w:val="16"/>
                <w:szCs w:val="16"/>
              </w:rPr>
              <w:t>NGL</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16"/>
                <w:szCs w:val="16"/>
              </w:rPr>
              <w:t>Forward NGL price</w:t>
            </w:r>
          </w:p>
        </w:tc>
        <w:tc>
          <w:tcPr>
            <w:tcW w:w="0" w:type="auto"/>
            <w:gridSpan w:val="2"/>
            <w:shd w:val="clear" w:color="auto" w:fill="DBDBDB"/>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0.50</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BDBDB"/>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1.21</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hideMark/>
          </w:tcPr>
          <w:p w:rsidR="00000000" w:rsidRDefault="009E01B0">
            <w:pPr>
              <w:jc w:val="right"/>
              <w:rPr>
                <w:rFonts w:eastAsia="Times New Roman"/>
              </w:rPr>
            </w:pPr>
          </w:p>
        </w:tc>
        <w:tc>
          <w:tcPr>
            <w:tcW w:w="0" w:type="auto"/>
            <w:gridSpan w:val="2"/>
            <w:shd w:val="clear" w:color="auto" w:fill="DBDBDB"/>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16"/>
                <w:szCs w:val="16"/>
              </w:rPr>
              <w:t>0.80</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hideMark/>
          </w:tcPr>
          <w:p w:rsidR="00000000" w:rsidRDefault="009E01B0">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16"/>
                <w:szCs w:val="16"/>
              </w:rPr>
              <w:t>$/gallon</w:t>
            </w:r>
          </w:p>
        </w:tc>
      </w:tr>
      <w:tr w:rsidR="00000000">
        <w:trPr>
          <w:divId w:val="1430858851"/>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16"/>
                <w:szCs w:val="16"/>
              </w:rPr>
              <w:t>(119)</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3"/>
            <w:tcBorders>
              <w:top w:val="single" w:sz="8" w:space="0" w:color="000000"/>
              <w:bottom w:val="single" w:sz="18" w:space="0" w:color="000000"/>
            </w:tcBorders>
            <w:shd w:val="clear" w:color="auto" w:fill="D9D9D9"/>
            <w:tcMar>
              <w:top w:w="0" w:type="dxa"/>
              <w:left w:w="20" w:type="dxa"/>
              <w:bottom w:w="0" w:type="dxa"/>
              <w:right w:w="20" w:type="dxa"/>
            </w:tcMar>
            <w:vAlign w:val="center"/>
            <w:hideMark/>
          </w:tcPr>
          <w:p w:rsidR="00000000" w:rsidRDefault="009E01B0">
            <w:pPr>
              <w:jc w:val="right"/>
              <w:rPr>
                <w:rFonts w:eastAsia="Times New Roman"/>
                <w:sz w:val="20"/>
                <w:szCs w:val="20"/>
              </w:rPr>
            </w:pPr>
          </w:p>
        </w:tc>
        <w:tc>
          <w:tcPr>
            <w:tcW w:w="0" w:type="auto"/>
            <w:gridSpan w:val="3"/>
            <w:tcBorders>
              <w:top w:val="single" w:sz="8" w:space="0" w:color="000000"/>
              <w:bottom w:val="single" w:sz="1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bottom w:val="single" w:sz="1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bottom w:val="single" w:sz="1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bottom w:val="single" w:sz="1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sz w:val="20"/>
                <w:szCs w:val="20"/>
              </w:rPr>
            </w:pPr>
          </w:p>
        </w:tc>
      </w:tr>
    </w:tbl>
    <w:p w:rsidR="00000000" w:rsidRDefault="009E01B0">
      <w:pPr>
        <w:ind w:hanging="180"/>
        <w:divId w:val="1790657727"/>
        <w:rPr>
          <w:rFonts w:eastAsia="Times New Roman"/>
        </w:rPr>
      </w:pPr>
      <w:r>
        <w:rPr>
          <w:rFonts w:ascii="Arial" w:eastAsia="Times New Roman" w:hAnsi="Arial" w:cs="Arial"/>
          <w:i/>
          <w:iCs/>
          <w:color w:val="000000"/>
          <w:sz w:val="16"/>
          <w:szCs w:val="16"/>
        </w:rPr>
        <w:t>1    Financial and physical forward commodity contracts are valued using a market approach valuation technique.</w:t>
      </w:r>
    </w:p>
    <w:p w:rsidR="00000000" w:rsidRDefault="009E01B0">
      <w:pPr>
        <w:ind w:hanging="180"/>
        <w:divId w:val="1966152555"/>
        <w:rPr>
          <w:rFonts w:eastAsia="Times New Roman"/>
        </w:rPr>
      </w:pPr>
      <w:r>
        <w:rPr>
          <w:rFonts w:ascii="Arial" w:eastAsia="Times New Roman" w:hAnsi="Arial" w:cs="Arial"/>
          <w:i/>
          <w:iCs/>
          <w:color w:val="000000"/>
          <w:sz w:val="16"/>
          <w:szCs w:val="16"/>
        </w:rPr>
        <w:t>2    One million British thermal units (mmbtu).</w:t>
      </w:r>
    </w:p>
    <w:p w:rsidR="00000000" w:rsidRDefault="009E01B0">
      <w:pPr>
        <w:divId w:val="1742563230"/>
        <w:rPr>
          <w:rFonts w:eastAsia="Times New Roman"/>
        </w:rPr>
      </w:pPr>
      <w:r>
        <w:rPr>
          <w:rFonts w:ascii="Arial" w:eastAsia="Times New Roman" w:hAnsi="Arial" w:cs="Arial"/>
          <w:color w:val="000000"/>
          <w:sz w:val="2"/>
          <w:szCs w:val="2"/>
        </w:rPr>
        <w:t> </w:t>
      </w:r>
    </w:p>
    <w:p w:rsidR="00000000" w:rsidRDefault="009E01B0">
      <w:pPr>
        <w:divId w:val="1267619277"/>
        <w:rPr>
          <w:rFonts w:eastAsia="Times New Roman"/>
        </w:rPr>
      </w:pPr>
    </w:p>
    <w:p w:rsidR="00000000" w:rsidRDefault="009E01B0">
      <w:pPr>
        <w:jc w:val="center"/>
        <w:divId w:val="1298754087"/>
        <w:rPr>
          <w:rFonts w:eastAsia="Times New Roman"/>
        </w:rPr>
      </w:pPr>
      <w:r>
        <w:rPr>
          <w:rFonts w:ascii="Arial" w:eastAsia="Times New Roman" w:hAnsi="Arial" w:cs="Arial"/>
          <w:color w:val="000000"/>
          <w:sz w:val="20"/>
          <w:szCs w:val="20"/>
        </w:rPr>
        <w:t>30</w:t>
      </w:r>
    </w:p>
    <w:p w:rsidR="00000000" w:rsidRDefault="009E01B0">
      <w:pPr>
        <w:rPr>
          <w:rFonts w:eastAsia="Times New Roman"/>
        </w:rPr>
      </w:pPr>
      <w:r>
        <w:rPr>
          <w:rFonts w:eastAsia="Times New Roman"/>
        </w:rPr>
        <w:pict>
          <v:rect id="_x0000_i1055" style="width:0;height:1.5pt" o:hralign="center" o:hrstd="t" o:hr="t" fillcolor="#a0a0a0" stroked="f"/>
        </w:pict>
      </w:r>
    </w:p>
    <w:p w:rsidR="00000000" w:rsidRDefault="009E01B0">
      <w:pPr>
        <w:jc w:val="center"/>
        <w:divId w:val="1936353998"/>
        <w:rPr>
          <w:rFonts w:eastAsia="Times New Roman"/>
        </w:rPr>
      </w:pPr>
    </w:p>
    <w:p w:rsidR="00000000" w:rsidRDefault="009E01B0">
      <w:pPr>
        <w:jc w:val="center"/>
        <w:divId w:val="1936353998"/>
        <w:rPr>
          <w:rFonts w:eastAsia="Times New Roman"/>
        </w:rPr>
      </w:pPr>
    </w:p>
    <w:p w:rsidR="00000000" w:rsidRDefault="009E01B0">
      <w:pPr>
        <w:divId w:val="452746941"/>
        <w:rPr>
          <w:rFonts w:eastAsia="Times New Roman"/>
        </w:rPr>
      </w:pPr>
      <w:r>
        <w:rPr>
          <w:rFonts w:ascii="Arial" w:eastAsia="Times New Roman" w:hAnsi="Arial" w:cs="Arial"/>
          <w:color w:val="000000"/>
          <w:sz w:val="20"/>
          <w:szCs w:val="20"/>
        </w:rPr>
        <w:t>If adjusted, the significant unobservable inputs disclosed in the table above would have a direct impact on the fair value of our Level 3 derivative instruments. The significant unobservable inputs used in the fair v</w:t>
      </w:r>
      <w:r>
        <w:rPr>
          <w:rFonts w:ascii="Arial" w:eastAsia="Times New Roman" w:hAnsi="Arial" w:cs="Arial"/>
          <w:color w:val="000000"/>
          <w:sz w:val="20"/>
          <w:szCs w:val="20"/>
        </w:rPr>
        <w:t xml:space="preserve">alue measurement of Level 3 derivative instruments include forward commodity prices. Changes in forward commodity prices could result in significantly different fair values for our Level 3 derivatives. </w:t>
      </w:r>
    </w:p>
    <w:p w:rsidR="00000000" w:rsidRDefault="009E01B0">
      <w:pPr>
        <w:divId w:val="220141630"/>
        <w:rPr>
          <w:rFonts w:eastAsia="Times New Roman"/>
        </w:rPr>
      </w:pPr>
    </w:p>
    <w:p w:rsidR="00000000" w:rsidRDefault="009E01B0">
      <w:pPr>
        <w:divId w:val="239024584"/>
        <w:rPr>
          <w:rFonts w:eastAsia="Times New Roman"/>
        </w:rPr>
      </w:pPr>
      <w:r>
        <w:rPr>
          <w:rFonts w:ascii="Arial" w:eastAsia="Times New Roman" w:hAnsi="Arial" w:cs="Arial"/>
          <w:color w:val="000000"/>
          <w:sz w:val="20"/>
          <w:szCs w:val="20"/>
        </w:rPr>
        <w:t xml:space="preserve">Changes in net fair value of derivative assets and </w:t>
      </w:r>
      <w:r>
        <w:rPr>
          <w:rFonts w:ascii="Arial" w:eastAsia="Times New Roman" w:hAnsi="Arial" w:cs="Arial"/>
          <w:color w:val="000000"/>
          <w:sz w:val="20"/>
          <w:szCs w:val="20"/>
        </w:rPr>
        <w:t>liabilities classified as Level 3 in the fair value hierarchy were as follows:</w:t>
      </w:r>
    </w:p>
    <w:tbl>
      <w:tblPr>
        <w:tblW w:w="4991" w:type="pct"/>
        <w:tblCellMar>
          <w:top w:w="15" w:type="dxa"/>
          <w:left w:w="15" w:type="dxa"/>
          <w:bottom w:w="15" w:type="dxa"/>
          <w:right w:w="15" w:type="dxa"/>
        </w:tblCellMar>
        <w:tblLook w:val="04A0" w:firstRow="1" w:lastRow="0" w:firstColumn="1" w:lastColumn="0" w:noHBand="0" w:noVBand="1"/>
      </w:tblPr>
      <w:tblGrid>
        <w:gridCol w:w="68"/>
        <w:gridCol w:w="6351"/>
        <w:gridCol w:w="39"/>
        <w:gridCol w:w="68"/>
        <w:gridCol w:w="811"/>
        <w:gridCol w:w="37"/>
        <w:gridCol w:w="68"/>
        <w:gridCol w:w="812"/>
        <w:gridCol w:w="37"/>
      </w:tblGrid>
      <w:tr w:rsidR="00000000">
        <w:trPr>
          <w:divId w:val="1896358047"/>
        </w:trPr>
        <w:tc>
          <w:tcPr>
            <w:tcW w:w="50" w:type="pct"/>
            <w:vAlign w:val="center"/>
            <w:hideMark/>
          </w:tcPr>
          <w:p w:rsidR="00000000" w:rsidRDefault="009E01B0">
            <w:pPr>
              <w:rPr>
                <w:rFonts w:eastAsia="Times New Roman"/>
              </w:rPr>
            </w:pPr>
          </w:p>
        </w:tc>
        <w:tc>
          <w:tcPr>
            <w:tcW w:w="383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8"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8"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896358047"/>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r>
      <w:tr w:rsidR="00000000">
        <w:trPr>
          <w:divId w:val="1896358047"/>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2020</w:t>
            </w:r>
          </w:p>
        </w:tc>
      </w:tr>
      <w:tr w:rsidR="00000000">
        <w:trPr>
          <w:divId w:val="1896358047"/>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1896358047"/>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Level 3 net derivative liability at beginning of period</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(191)</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(69)</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1896358047"/>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Total gain/(loss)</w:t>
            </w:r>
          </w:p>
        </w:tc>
        <w:tc>
          <w:tcPr>
            <w:tcW w:w="0" w:type="auto"/>
            <w:gridSpan w:val="3"/>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 </w:t>
            </w:r>
          </w:p>
        </w:tc>
      </w:tr>
      <w:tr w:rsidR="00000000">
        <w:trPr>
          <w:divId w:val="1896358047"/>
        </w:trPr>
        <w:tc>
          <w:tcPr>
            <w:tcW w:w="0" w:type="auto"/>
            <w:gridSpan w:val="3"/>
            <w:tcMar>
              <w:top w:w="30" w:type="dxa"/>
              <w:left w:w="20" w:type="dxa"/>
              <w:bottom w:w="30" w:type="dxa"/>
              <w:right w:w="20" w:type="dxa"/>
            </w:tcMar>
            <w:hideMark/>
          </w:tcPr>
          <w:p w:rsidR="00000000" w:rsidRDefault="009E01B0">
            <w:pPr>
              <w:divId w:val="1040088900"/>
              <w:rPr>
                <w:rFonts w:eastAsia="Times New Roman"/>
              </w:rPr>
            </w:pPr>
            <w:r>
              <w:rPr>
                <w:rFonts w:ascii="Arial" w:eastAsia="Times New Roman" w:hAnsi="Arial" w:cs="Arial"/>
                <w:color w:val="000000"/>
                <w:sz w:val="20"/>
                <w:szCs w:val="20"/>
              </w:rPr>
              <w:t>Included in earning</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(72)</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349 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1896358047"/>
        </w:trPr>
        <w:tc>
          <w:tcPr>
            <w:tcW w:w="0" w:type="auto"/>
            <w:gridSpan w:val="3"/>
            <w:tcMar>
              <w:top w:w="30" w:type="dxa"/>
              <w:left w:w="20" w:type="dxa"/>
              <w:bottom w:w="30" w:type="dxa"/>
              <w:right w:w="20" w:type="dxa"/>
            </w:tcMar>
            <w:hideMark/>
          </w:tcPr>
          <w:p w:rsidR="00000000" w:rsidRDefault="009E01B0">
            <w:pPr>
              <w:divId w:val="1993872930"/>
              <w:rPr>
                <w:rFonts w:eastAsia="Times New Roman"/>
              </w:rPr>
            </w:pPr>
            <w:r>
              <w:rPr>
                <w:rFonts w:ascii="Arial" w:eastAsia="Times New Roman" w:hAnsi="Arial" w:cs="Arial"/>
                <w:color w:val="000000"/>
                <w:sz w:val="20"/>
                <w:szCs w:val="20"/>
              </w:rPr>
              <w:t>Included in OCI</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(5)</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9 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1896358047"/>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Settlements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149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39 </w:t>
            </w:r>
          </w:p>
        </w:tc>
        <w:tc>
          <w:tcPr>
            <w:tcW w:w="0" w:type="auto"/>
            <w:tcMar>
              <w:top w:w="30" w:type="dxa"/>
              <w:left w:w="0" w:type="dxa"/>
              <w:bottom w:w="30" w:type="dxa"/>
              <w:right w:w="20" w:type="dxa"/>
            </w:tcMar>
            <w:hideMark/>
          </w:tcPr>
          <w:p w:rsidR="00000000" w:rsidRDefault="009E01B0">
            <w:pPr>
              <w:jc w:val="right"/>
              <w:rPr>
                <w:rFonts w:eastAsia="Times New Roman"/>
              </w:rPr>
            </w:pPr>
          </w:p>
        </w:tc>
      </w:tr>
      <w:tr w:rsidR="00000000">
        <w:trPr>
          <w:divId w:val="1896358047"/>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Level 3 net derivative (liability)/asset at end of period</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(119)</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328 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9E01B0">
            <w:pPr>
              <w:jc w:val="right"/>
              <w:rPr>
                <w:rFonts w:eastAsia="Times New Roman"/>
              </w:rPr>
            </w:pPr>
          </w:p>
        </w:tc>
      </w:tr>
    </w:tbl>
    <w:p w:rsidR="00000000" w:rsidRDefault="009E01B0">
      <w:pPr>
        <w:ind w:hanging="180"/>
        <w:divId w:val="2113355825"/>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16"/>
          <w:szCs w:val="16"/>
        </w:rPr>
        <w:t>    </w:t>
      </w:r>
      <w:r>
        <w:rPr>
          <w:rFonts w:ascii="Arial" w:eastAsia="Times New Roman" w:hAnsi="Arial" w:cs="Arial"/>
          <w:i/>
          <w:iCs/>
          <w:color w:val="000000"/>
          <w:sz w:val="16"/>
          <w:szCs w:val="16"/>
        </w:rPr>
        <w:t>Reported within Transportation and other services revenues, Commodity costs and Operating and administrative expense in the Consolidated Statements of Earnings.</w:t>
      </w:r>
    </w:p>
    <w:p w:rsidR="00000000" w:rsidRDefault="009E01B0">
      <w:pPr>
        <w:divId w:val="1041512621"/>
        <w:rPr>
          <w:rFonts w:eastAsia="Times New Roman"/>
        </w:rPr>
      </w:pPr>
      <w:r>
        <w:rPr>
          <w:rFonts w:ascii="Arial" w:eastAsia="Times New Roman" w:hAnsi="Arial" w:cs="Arial"/>
          <w:color w:val="000000"/>
          <w:sz w:val="20"/>
          <w:szCs w:val="20"/>
        </w:rPr>
        <w:t> </w:t>
      </w:r>
    </w:p>
    <w:p w:rsidR="00000000" w:rsidRDefault="009E01B0">
      <w:pPr>
        <w:divId w:val="1291208098"/>
        <w:rPr>
          <w:rFonts w:eastAsia="Times New Roman"/>
        </w:rPr>
      </w:pPr>
      <w:r>
        <w:rPr>
          <w:rFonts w:ascii="Arial" w:eastAsia="Times New Roman" w:hAnsi="Arial" w:cs="Arial"/>
          <w:color w:val="000000"/>
          <w:sz w:val="20"/>
          <w:szCs w:val="20"/>
        </w:rPr>
        <w:t>There were no transfers into or out of Level 3 as at March 31, 2021 or December 31, 2020.</w:t>
      </w:r>
    </w:p>
    <w:p w:rsidR="00000000" w:rsidRDefault="009E01B0">
      <w:pPr>
        <w:divId w:val="2103986143"/>
        <w:rPr>
          <w:rFonts w:eastAsia="Times New Roman"/>
        </w:rPr>
      </w:pPr>
    </w:p>
    <w:p w:rsidR="00000000" w:rsidRDefault="009E01B0">
      <w:pPr>
        <w:divId w:val="1578857967"/>
        <w:rPr>
          <w:rFonts w:eastAsia="Times New Roman"/>
        </w:rPr>
      </w:pPr>
      <w:r>
        <w:rPr>
          <w:rFonts w:ascii="Arial" w:eastAsia="Times New Roman" w:hAnsi="Arial" w:cs="Arial"/>
          <w:b/>
          <w:bCs/>
          <w:color w:val="000000"/>
          <w:sz w:val="20"/>
          <w:szCs w:val="20"/>
        </w:rPr>
        <w:t>N</w:t>
      </w:r>
      <w:r>
        <w:rPr>
          <w:rFonts w:ascii="Arial" w:eastAsia="Times New Roman" w:hAnsi="Arial" w:cs="Arial"/>
          <w:b/>
          <w:bCs/>
          <w:color w:val="000000"/>
          <w:sz w:val="20"/>
          <w:szCs w:val="20"/>
        </w:rPr>
        <w:t>ET INVESTMENT HEDGES</w:t>
      </w:r>
    </w:p>
    <w:p w:rsidR="00000000" w:rsidRDefault="009E01B0">
      <w:pPr>
        <w:divId w:val="1933706184"/>
        <w:rPr>
          <w:rFonts w:eastAsia="Times New Roman"/>
        </w:rPr>
      </w:pPr>
      <w:r>
        <w:rPr>
          <w:rFonts w:ascii="Arial" w:eastAsia="Times New Roman" w:hAnsi="Arial" w:cs="Arial"/>
          <w:color w:val="000000"/>
          <w:sz w:val="20"/>
          <w:szCs w:val="20"/>
        </w:rPr>
        <w:t>We currently have designated a portion of our US dollar denominated debt, as well as a portfolio of foreign exchange forward contracts in prior periods, as a hedge of our net investment in US dollar denominated investments and subsidia</w:t>
      </w:r>
      <w:r>
        <w:rPr>
          <w:rFonts w:ascii="Arial" w:eastAsia="Times New Roman" w:hAnsi="Arial" w:cs="Arial"/>
          <w:color w:val="000000"/>
          <w:sz w:val="20"/>
          <w:szCs w:val="20"/>
        </w:rPr>
        <w:t>ries.</w:t>
      </w:r>
    </w:p>
    <w:p w:rsidR="00000000" w:rsidRDefault="009E01B0">
      <w:pPr>
        <w:divId w:val="593243165"/>
        <w:rPr>
          <w:rFonts w:eastAsia="Times New Roman"/>
        </w:rPr>
      </w:pPr>
      <w:r>
        <w:rPr>
          <w:rFonts w:ascii="Arial" w:eastAsia="Times New Roman" w:hAnsi="Arial" w:cs="Arial"/>
          <w:color w:val="000000"/>
          <w:sz w:val="20"/>
          <w:szCs w:val="20"/>
        </w:rPr>
        <w:t> </w:t>
      </w:r>
    </w:p>
    <w:p w:rsidR="00000000" w:rsidRDefault="009E01B0">
      <w:pPr>
        <w:divId w:val="1686323312"/>
        <w:rPr>
          <w:rFonts w:eastAsia="Times New Roman"/>
        </w:rPr>
      </w:pPr>
      <w:r>
        <w:rPr>
          <w:rFonts w:ascii="Arial" w:eastAsia="Times New Roman" w:hAnsi="Arial" w:cs="Arial"/>
          <w:color w:val="000000"/>
          <w:sz w:val="20"/>
          <w:szCs w:val="20"/>
        </w:rPr>
        <w:t>During the three months ended March 31, 2021 and 2020, we recognized an unrealized foreign exchange gain of $105 million and a loss of $708 million, respectively, on the translation of US dollar denominated debt and unrealized loss of nil and $7 mi</w:t>
      </w:r>
      <w:r>
        <w:rPr>
          <w:rFonts w:ascii="Arial" w:eastAsia="Times New Roman" w:hAnsi="Arial" w:cs="Arial"/>
          <w:color w:val="000000"/>
          <w:sz w:val="20"/>
          <w:szCs w:val="20"/>
        </w:rPr>
        <w:t xml:space="preserve">llion, respectively, on the change in fair value of our outstanding foreign exchange forward contracts in OCI. During the three months ended March 31, 2021 and 2020, we recognized no OCI associated with the settlement of foreign exchange forward contracts </w:t>
      </w:r>
      <w:r>
        <w:rPr>
          <w:rFonts w:ascii="Arial" w:eastAsia="Times New Roman" w:hAnsi="Arial" w:cs="Arial"/>
          <w:color w:val="000000"/>
          <w:sz w:val="20"/>
          <w:szCs w:val="20"/>
        </w:rPr>
        <w:t xml:space="preserve">or with the settlement of US dollar denominated debt that had matured during the period. </w:t>
      </w:r>
    </w:p>
    <w:p w:rsidR="00000000" w:rsidRDefault="009E01B0">
      <w:pPr>
        <w:divId w:val="380250063"/>
        <w:rPr>
          <w:rFonts w:eastAsia="Times New Roman"/>
        </w:rPr>
      </w:pPr>
    </w:p>
    <w:p w:rsidR="00000000" w:rsidRDefault="009E01B0">
      <w:pPr>
        <w:divId w:val="827675412"/>
        <w:rPr>
          <w:rFonts w:eastAsia="Times New Roman"/>
        </w:rPr>
      </w:pPr>
      <w:r>
        <w:rPr>
          <w:rFonts w:ascii="Arial" w:eastAsia="Times New Roman" w:hAnsi="Arial" w:cs="Arial"/>
          <w:b/>
          <w:bCs/>
          <w:color w:val="000000"/>
          <w:sz w:val="20"/>
          <w:szCs w:val="20"/>
        </w:rPr>
        <w:t>FAIR VALUE OF OTHER FINANCIAL INSTRUMENTS</w:t>
      </w:r>
    </w:p>
    <w:p w:rsidR="00000000" w:rsidRDefault="009E01B0">
      <w:pPr>
        <w:divId w:val="1105805690"/>
        <w:rPr>
          <w:rFonts w:eastAsia="Times New Roman"/>
        </w:rPr>
      </w:pPr>
      <w:r>
        <w:rPr>
          <w:rFonts w:ascii="Arial" w:eastAsia="Times New Roman" w:hAnsi="Arial" w:cs="Arial"/>
          <w:color w:val="000000"/>
          <w:sz w:val="20"/>
          <w:szCs w:val="20"/>
        </w:rPr>
        <w:t>Certain long-term investments in other entities with no actively quoted prices are classified as Fair Value Measurement Al</w:t>
      </w:r>
      <w:r>
        <w:rPr>
          <w:rFonts w:ascii="Arial" w:eastAsia="Times New Roman" w:hAnsi="Arial" w:cs="Arial"/>
          <w:color w:val="000000"/>
          <w:sz w:val="20"/>
          <w:szCs w:val="20"/>
        </w:rPr>
        <w:t xml:space="preserve">ternative (FVMA) investments and are recorded at cost less impairment. The carrying value of FVMA investments totaled $52 million as at March 31, 2021 and December 31, 2020. </w:t>
      </w:r>
    </w:p>
    <w:p w:rsidR="00000000" w:rsidRDefault="009E01B0">
      <w:pPr>
        <w:divId w:val="87774165"/>
        <w:rPr>
          <w:rFonts w:eastAsia="Times New Roman"/>
        </w:rPr>
      </w:pPr>
    </w:p>
    <w:p w:rsidR="00000000" w:rsidRDefault="009E01B0">
      <w:pPr>
        <w:divId w:val="594360038"/>
        <w:rPr>
          <w:rFonts w:eastAsia="Times New Roman"/>
        </w:rPr>
      </w:pPr>
      <w:r>
        <w:rPr>
          <w:rFonts w:ascii="Arial" w:eastAsia="Times New Roman" w:hAnsi="Arial" w:cs="Arial"/>
          <w:color w:val="000000"/>
          <w:sz w:val="20"/>
          <w:szCs w:val="20"/>
        </w:rPr>
        <w:t>We have Restricted long-term investments held in trust totaling $529 million and $553 million as at March 31, 2021 and December 31, 2020, respectively, which are recognized at fair value.</w:t>
      </w:r>
    </w:p>
    <w:p w:rsidR="00000000" w:rsidRDefault="009E01B0">
      <w:pPr>
        <w:divId w:val="783768506"/>
        <w:rPr>
          <w:rFonts w:eastAsia="Times New Roman"/>
        </w:rPr>
      </w:pPr>
      <w:r>
        <w:rPr>
          <w:rFonts w:ascii="Arial" w:eastAsia="Times New Roman" w:hAnsi="Arial" w:cs="Arial"/>
          <w:color w:val="000000"/>
          <w:sz w:val="20"/>
          <w:szCs w:val="20"/>
        </w:rPr>
        <w:t> </w:t>
      </w:r>
    </w:p>
    <w:p w:rsidR="00000000" w:rsidRDefault="009E01B0">
      <w:pPr>
        <w:divId w:val="249003675"/>
        <w:rPr>
          <w:rFonts w:eastAsia="Times New Roman"/>
        </w:rPr>
      </w:pPr>
      <w:r>
        <w:rPr>
          <w:rFonts w:ascii="Arial" w:eastAsia="Times New Roman" w:hAnsi="Arial" w:cs="Arial"/>
          <w:color w:val="000000"/>
          <w:sz w:val="20"/>
          <w:szCs w:val="20"/>
        </w:rPr>
        <w:t>We have a held-to-maturity preferred share investment carried at i</w:t>
      </w:r>
      <w:r>
        <w:rPr>
          <w:rFonts w:ascii="Arial" w:eastAsia="Times New Roman" w:hAnsi="Arial" w:cs="Arial"/>
          <w:color w:val="000000"/>
          <w:sz w:val="20"/>
          <w:szCs w:val="20"/>
        </w:rPr>
        <w:t>ts amortized cost of $566 million and $567 million as at March 31, 2021 and December 31, 2020, respectively. These preferred shares are entitled to a cumulative preferred dividend based on the yield of 10-year Government of Canada bonds plus a margin of 4.</w:t>
      </w:r>
      <w:r>
        <w:rPr>
          <w:rFonts w:ascii="Arial" w:eastAsia="Times New Roman" w:hAnsi="Arial" w:cs="Arial"/>
          <w:color w:val="000000"/>
          <w:sz w:val="20"/>
          <w:szCs w:val="20"/>
        </w:rPr>
        <w:t>38%. The fair value of this preferred share investment is $566 million and $567 million as at March 31, 2021 and December 31, 2020, respectively.</w:t>
      </w:r>
    </w:p>
    <w:p w:rsidR="00000000" w:rsidRDefault="009E01B0">
      <w:pPr>
        <w:divId w:val="1081953097"/>
        <w:rPr>
          <w:rFonts w:eastAsia="Times New Roman"/>
        </w:rPr>
      </w:pPr>
      <w:r>
        <w:rPr>
          <w:rFonts w:ascii="Arial" w:eastAsia="Times New Roman" w:hAnsi="Arial" w:cs="Arial"/>
          <w:color w:val="000000"/>
          <w:sz w:val="20"/>
          <w:szCs w:val="20"/>
        </w:rPr>
        <w:t> </w:t>
      </w:r>
    </w:p>
    <w:p w:rsidR="00000000" w:rsidRDefault="009E01B0">
      <w:pPr>
        <w:jc w:val="center"/>
        <w:divId w:val="1026521233"/>
        <w:rPr>
          <w:rFonts w:eastAsia="Times New Roman"/>
        </w:rPr>
      </w:pPr>
      <w:r>
        <w:rPr>
          <w:rFonts w:ascii="Arial" w:eastAsia="Times New Roman" w:hAnsi="Arial" w:cs="Arial"/>
          <w:color w:val="000000"/>
          <w:sz w:val="20"/>
          <w:szCs w:val="20"/>
        </w:rPr>
        <w:t>31</w:t>
      </w:r>
    </w:p>
    <w:p w:rsidR="00000000" w:rsidRDefault="009E01B0">
      <w:pPr>
        <w:rPr>
          <w:rFonts w:eastAsia="Times New Roman"/>
        </w:rPr>
      </w:pPr>
      <w:r>
        <w:rPr>
          <w:rFonts w:eastAsia="Times New Roman"/>
        </w:rPr>
        <w:pict>
          <v:rect id="_x0000_i1056" style="width:0;height:1.5pt" o:hralign="center" o:hrstd="t" o:hr="t" fillcolor="#a0a0a0" stroked="f"/>
        </w:pict>
      </w:r>
    </w:p>
    <w:p w:rsidR="00000000" w:rsidRDefault="009E01B0">
      <w:pPr>
        <w:jc w:val="center"/>
        <w:divId w:val="1588535530"/>
        <w:rPr>
          <w:rFonts w:eastAsia="Times New Roman"/>
        </w:rPr>
      </w:pPr>
    </w:p>
    <w:p w:rsidR="00000000" w:rsidRDefault="009E01B0">
      <w:pPr>
        <w:jc w:val="center"/>
        <w:divId w:val="1588535530"/>
        <w:rPr>
          <w:rFonts w:eastAsia="Times New Roman"/>
        </w:rPr>
      </w:pPr>
    </w:p>
    <w:p w:rsidR="00000000" w:rsidRDefault="009E01B0">
      <w:pPr>
        <w:divId w:val="1199127627"/>
        <w:rPr>
          <w:rFonts w:eastAsia="Times New Roman"/>
        </w:rPr>
      </w:pPr>
      <w:r>
        <w:rPr>
          <w:rFonts w:ascii="Arial" w:eastAsia="Times New Roman" w:hAnsi="Arial" w:cs="Arial"/>
          <w:color w:val="000000"/>
          <w:sz w:val="20"/>
          <w:szCs w:val="20"/>
        </w:rPr>
        <w:t>As at March 31, 2021 and December 31, 2020, our long-term debt h</w:t>
      </w:r>
      <w:r>
        <w:rPr>
          <w:rFonts w:ascii="Arial" w:eastAsia="Times New Roman" w:hAnsi="Arial" w:cs="Arial"/>
          <w:color w:val="000000"/>
          <w:sz w:val="20"/>
          <w:szCs w:val="20"/>
        </w:rPr>
        <w:t>ad a carrying value of $67.0 billion and $66.1 billion, respectively, before debt issuance costs and a fair value of $72.5 billion and $75.1 billion, respectively. We also have non-current notes receivable carried at book value and recorded in Deferred amo</w:t>
      </w:r>
      <w:r>
        <w:rPr>
          <w:rFonts w:ascii="Arial" w:eastAsia="Times New Roman" w:hAnsi="Arial" w:cs="Arial"/>
          <w:color w:val="000000"/>
          <w:sz w:val="20"/>
          <w:szCs w:val="20"/>
        </w:rPr>
        <w:t>unts and other assets in the Consolidated Statements of Financial Position. As at March 31, 2021 and December 31, 2020, the non-current notes receivable had a carrying value of $1.0 billion and $1.1 billion, respectively, which also approximates their fair</w:t>
      </w:r>
      <w:r>
        <w:rPr>
          <w:rFonts w:ascii="Arial" w:eastAsia="Times New Roman" w:hAnsi="Arial" w:cs="Arial"/>
          <w:color w:val="000000"/>
          <w:sz w:val="20"/>
          <w:szCs w:val="20"/>
        </w:rPr>
        <w:t xml:space="preserve"> value. </w:t>
      </w:r>
    </w:p>
    <w:p w:rsidR="00000000" w:rsidRDefault="009E01B0">
      <w:pPr>
        <w:divId w:val="579367688"/>
        <w:rPr>
          <w:rFonts w:eastAsia="Times New Roman"/>
        </w:rPr>
      </w:pPr>
    </w:p>
    <w:p w:rsidR="00000000" w:rsidRDefault="009E01B0">
      <w:pPr>
        <w:divId w:val="739063444"/>
        <w:rPr>
          <w:rFonts w:eastAsia="Times New Roman"/>
        </w:rPr>
      </w:pPr>
      <w:r>
        <w:rPr>
          <w:rFonts w:ascii="Arial" w:eastAsia="Times New Roman" w:hAnsi="Arial" w:cs="Arial"/>
          <w:color w:val="000000"/>
          <w:sz w:val="20"/>
          <w:szCs w:val="20"/>
        </w:rPr>
        <w:t>The fair value of financial assets and liabilities other than derivative instruments, long-term investments, restricted long-term investments, long-term debt and non-current notes receivable described above approximate their carrying value due t</w:t>
      </w:r>
      <w:r>
        <w:rPr>
          <w:rFonts w:ascii="Arial" w:eastAsia="Times New Roman" w:hAnsi="Arial" w:cs="Arial"/>
          <w:color w:val="000000"/>
          <w:sz w:val="20"/>
          <w:szCs w:val="20"/>
        </w:rPr>
        <w:t>o the short period to maturity.</w:t>
      </w:r>
    </w:p>
    <w:p w:rsidR="00000000" w:rsidRDefault="009E01B0">
      <w:pPr>
        <w:divId w:val="1974409680"/>
        <w:rPr>
          <w:rFonts w:eastAsia="Times New Roman"/>
        </w:rPr>
      </w:pPr>
    </w:p>
    <w:p w:rsidR="00000000" w:rsidRDefault="009E01B0">
      <w:pPr>
        <w:divId w:val="1557472666"/>
        <w:rPr>
          <w:rFonts w:eastAsia="Times New Roman"/>
        </w:rPr>
      </w:pPr>
      <w:r>
        <w:rPr>
          <w:rFonts w:ascii="Arial" w:eastAsia="Times New Roman" w:hAnsi="Arial" w:cs="Arial"/>
          <w:b/>
          <w:bCs/>
          <w:color w:val="000000"/>
          <w:sz w:val="26"/>
          <w:szCs w:val="26"/>
        </w:rPr>
        <w:t xml:space="preserve">10. INCOME TAXES </w:t>
      </w:r>
    </w:p>
    <w:p w:rsidR="00000000" w:rsidRDefault="009E01B0">
      <w:pPr>
        <w:divId w:val="569002537"/>
        <w:rPr>
          <w:rFonts w:eastAsia="Times New Roman"/>
        </w:rPr>
      </w:pPr>
    </w:p>
    <w:p w:rsidR="00000000" w:rsidRDefault="009E01B0">
      <w:pPr>
        <w:divId w:val="350647043"/>
        <w:rPr>
          <w:rFonts w:eastAsia="Times New Roman"/>
        </w:rPr>
      </w:pPr>
      <w:r>
        <w:rPr>
          <w:rFonts w:ascii="Arial" w:eastAsia="Times New Roman" w:hAnsi="Arial" w:cs="Arial"/>
          <w:color w:val="000000"/>
          <w:sz w:val="20"/>
          <w:szCs w:val="20"/>
        </w:rPr>
        <w:t xml:space="preserve">The effective income tax rates for the three months ended March 31, 2021 and 2020 were 19.3% and 28.7%, respectively. </w:t>
      </w:r>
    </w:p>
    <w:p w:rsidR="00000000" w:rsidRDefault="009E01B0">
      <w:pPr>
        <w:divId w:val="1369985072"/>
        <w:rPr>
          <w:rFonts w:eastAsia="Times New Roman"/>
        </w:rPr>
      </w:pPr>
    </w:p>
    <w:p w:rsidR="00000000" w:rsidRDefault="009E01B0">
      <w:pPr>
        <w:divId w:val="1861503976"/>
        <w:rPr>
          <w:rFonts w:eastAsia="Times New Roman"/>
        </w:rPr>
      </w:pPr>
      <w:r>
        <w:rPr>
          <w:rFonts w:ascii="Arial" w:eastAsia="Times New Roman" w:hAnsi="Arial" w:cs="Arial"/>
          <w:color w:val="000000"/>
          <w:sz w:val="20"/>
          <w:szCs w:val="20"/>
        </w:rPr>
        <w:t xml:space="preserve">The period-over-period decrease in the effective income tax rates is due to the effect of rate-regulated accounting for income taxes and the benefit of foreign tax rate differentials relative to the change in earnings. </w:t>
      </w:r>
    </w:p>
    <w:p w:rsidR="00000000" w:rsidRDefault="009E01B0">
      <w:pPr>
        <w:divId w:val="868446378"/>
        <w:rPr>
          <w:rFonts w:eastAsia="Times New Roman"/>
        </w:rPr>
      </w:pPr>
    </w:p>
    <w:p w:rsidR="00000000" w:rsidRDefault="009E01B0">
      <w:pPr>
        <w:divId w:val="1201355222"/>
        <w:rPr>
          <w:rFonts w:eastAsia="Times New Roman"/>
        </w:rPr>
      </w:pPr>
      <w:r>
        <w:rPr>
          <w:rFonts w:ascii="Arial" w:eastAsia="Times New Roman" w:hAnsi="Arial" w:cs="Arial"/>
          <w:b/>
          <w:bCs/>
          <w:color w:val="000000"/>
          <w:sz w:val="26"/>
          <w:szCs w:val="26"/>
        </w:rPr>
        <w:t>11. PENSION AND OTHER POSTRETIREME</w:t>
      </w:r>
      <w:r>
        <w:rPr>
          <w:rFonts w:ascii="Arial" w:eastAsia="Times New Roman" w:hAnsi="Arial" w:cs="Arial"/>
          <w:b/>
          <w:bCs/>
          <w:color w:val="000000"/>
          <w:sz w:val="26"/>
          <w:szCs w:val="26"/>
        </w:rPr>
        <w:t xml:space="preserve">NT BENEFITS </w:t>
      </w:r>
    </w:p>
    <w:tbl>
      <w:tblPr>
        <w:tblW w:w="5000" w:type="pct"/>
        <w:tblCellMar>
          <w:top w:w="15" w:type="dxa"/>
          <w:left w:w="15" w:type="dxa"/>
          <w:bottom w:w="15" w:type="dxa"/>
          <w:right w:w="15" w:type="dxa"/>
        </w:tblCellMar>
        <w:tblLook w:val="04A0" w:firstRow="1" w:lastRow="0" w:firstColumn="1" w:lastColumn="0" w:noHBand="0" w:noVBand="1"/>
      </w:tblPr>
      <w:tblGrid>
        <w:gridCol w:w="68"/>
        <w:gridCol w:w="6366"/>
        <w:gridCol w:w="38"/>
        <w:gridCol w:w="68"/>
        <w:gridCol w:w="811"/>
        <w:gridCol w:w="37"/>
        <w:gridCol w:w="69"/>
        <w:gridCol w:w="812"/>
        <w:gridCol w:w="37"/>
      </w:tblGrid>
      <w:tr w:rsidR="00000000">
        <w:trPr>
          <w:divId w:val="1674987615"/>
        </w:trPr>
        <w:tc>
          <w:tcPr>
            <w:tcW w:w="50" w:type="pct"/>
            <w:vAlign w:val="center"/>
            <w:hideMark/>
          </w:tcPr>
          <w:p w:rsidR="00000000" w:rsidRDefault="009E01B0">
            <w:pPr>
              <w:rPr>
                <w:rFonts w:eastAsia="Times New Roman"/>
              </w:rPr>
            </w:pPr>
          </w:p>
        </w:tc>
        <w:tc>
          <w:tcPr>
            <w:tcW w:w="383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674987615"/>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r>
      <w:tr w:rsidR="00000000">
        <w:trPr>
          <w:divId w:val="1674987615"/>
        </w:trPr>
        <w:tc>
          <w:tcPr>
            <w:tcW w:w="0" w:type="auto"/>
            <w:gridSpan w:val="3"/>
            <w:tcMar>
              <w:top w:w="0" w:type="dxa"/>
              <w:left w:w="20" w:type="dxa"/>
              <w:bottom w:w="0" w:type="dxa"/>
              <w:right w:w="20" w:type="dxa"/>
            </w:tcMar>
            <w:vAlign w:val="center"/>
            <w:hideMark/>
          </w:tcPr>
          <w:p w:rsidR="00000000" w:rsidRDefault="009E01B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2020</w:t>
            </w:r>
          </w:p>
        </w:tc>
      </w:tr>
      <w:tr w:rsidR="00000000">
        <w:trPr>
          <w:divId w:val="167498761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674987615"/>
        </w:trPr>
        <w:tc>
          <w:tcPr>
            <w:tcW w:w="0" w:type="auto"/>
            <w:gridSpan w:val="3"/>
            <w:tcMar>
              <w:top w:w="30" w:type="dxa"/>
              <w:left w:w="20" w:type="dxa"/>
              <w:bottom w:w="30" w:type="dxa"/>
              <w:right w:w="20" w:type="dxa"/>
            </w:tcMar>
            <w:vAlign w:val="bottom"/>
            <w:hideMark/>
          </w:tcPr>
          <w:p w:rsidR="00000000" w:rsidRDefault="009E01B0">
            <w:pPr>
              <w:jc w:val="both"/>
              <w:rPr>
                <w:rFonts w:eastAsia="Times New Roman"/>
              </w:rPr>
            </w:pPr>
            <w:r>
              <w:rPr>
                <w:rFonts w:ascii="Arial" w:eastAsia="Times New Roman" w:hAnsi="Arial" w:cs="Arial"/>
                <w:color w:val="000000"/>
                <w:sz w:val="20"/>
                <w:szCs w:val="20"/>
              </w:rPr>
              <w:t>Service cost</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48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42 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674987615"/>
        </w:trPr>
        <w:tc>
          <w:tcPr>
            <w:tcW w:w="0" w:type="auto"/>
            <w:gridSpan w:val="3"/>
            <w:tcMar>
              <w:top w:w="30" w:type="dxa"/>
              <w:left w:w="20" w:type="dxa"/>
              <w:bottom w:w="30" w:type="dxa"/>
              <w:right w:w="20" w:type="dxa"/>
            </w:tcMar>
            <w:vAlign w:val="bottom"/>
            <w:hideMark/>
          </w:tcPr>
          <w:p w:rsidR="00000000" w:rsidRDefault="009E01B0">
            <w:pPr>
              <w:jc w:val="both"/>
              <w:rPr>
                <w:rFonts w:eastAsia="Times New Roman"/>
              </w:rPr>
            </w:pPr>
            <w:r>
              <w:rPr>
                <w:rFonts w:ascii="Arial" w:eastAsia="Times New Roman" w:hAnsi="Arial" w:cs="Arial"/>
                <w:color w:val="000000"/>
                <w:sz w:val="20"/>
                <w:szCs w:val="20"/>
              </w:rPr>
              <w:t>Interest cost</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33 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674987615"/>
        </w:trPr>
        <w:tc>
          <w:tcPr>
            <w:tcW w:w="0" w:type="auto"/>
            <w:gridSpan w:val="3"/>
            <w:tcMar>
              <w:top w:w="30" w:type="dxa"/>
              <w:left w:w="20" w:type="dxa"/>
              <w:bottom w:w="30" w:type="dxa"/>
              <w:right w:w="20" w:type="dxa"/>
            </w:tcMar>
            <w:vAlign w:val="bottom"/>
            <w:hideMark/>
          </w:tcPr>
          <w:p w:rsidR="00000000" w:rsidRDefault="009E01B0">
            <w:pPr>
              <w:jc w:val="both"/>
              <w:rPr>
                <w:rFonts w:eastAsia="Times New Roman"/>
              </w:rPr>
            </w:pPr>
            <w:r>
              <w:rPr>
                <w:rFonts w:ascii="Arial" w:eastAsia="Times New Roman" w:hAnsi="Arial" w:cs="Arial"/>
                <w:color w:val="000000"/>
                <w:sz w:val="20"/>
                <w:szCs w:val="20"/>
              </w:rPr>
              <w:t>Expected return on plan assets</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(84)</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(67)</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674987615"/>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Amortization of actuarial loss and prior service costs</w:t>
            </w: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9 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674987615"/>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9E01B0">
            <w:pPr>
              <w:ind w:hanging="180"/>
              <w:divId w:val="1418206699"/>
              <w:rPr>
                <w:rFonts w:eastAsia="Times New Roman"/>
              </w:rPr>
            </w:pPr>
            <w:r>
              <w:rPr>
                <w:rFonts w:ascii="Arial" w:eastAsia="Times New Roman" w:hAnsi="Arial" w:cs="Arial"/>
                <w:color w:val="000000"/>
                <w:sz w:val="20"/>
                <w:szCs w:val="20"/>
              </w:rPr>
              <w:t>Net periodic benefit costs</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17 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r>
    </w:tbl>
    <w:p w:rsidR="00000000" w:rsidRDefault="009E01B0">
      <w:pPr>
        <w:divId w:val="118573548"/>
        <w:rPr>
          <w:rFonts w:eastAsia="Times New Roman"/>
        </w:rPr>
      </w:pPr>
    </w:p>
    <w:p w:rsidR="00000000" w:rsidRDefault="009E01B0">
      <w:pPr>
        <w:divId w:val="146095861"/>
        <w:rPr>
          <w:rFonts w:eastAsia="Times New Roman"/>
        </w:rPr>
      </w:pPr>
      <w:r>
        <w:rPr>
          <w:rFonts w:ascii="Arial" w:eastAsia="Times New Roman" w:hAnsi="Arial" w:cs="Arial"/>
          <w:b/>
          <w:bCs/>
          <w:color w:val="000000"/>
          <w:sz w:val="26"/>
          <w:szCs w:val="26"/>
        </w:rPr>
        <w:t xml:space="preserve">12. CONTINGENCIES </w:t>
      </w:r>
    </w:p>
    <w:p w:rsidR="00000000" w:rsidRDefault="009E01B0">
      <w:pPr>
        <w:divId w:val="1212350521"/>
        <w:rPr>
          <w:rFonts w:eastAsia="Times New Roman"/>
        </w:rPr>
      </w:pPr>
      <w:r>
        <w:rPr>
          <w:rFonts w:ascii="Arial" w:eastAsia="Times New Roman" w:hAnsi="Arial" w:cs="Arial"/>
          <w:color w:val="000000"/>
          <w:sz w:val="20"/>
          <w:szCs w:val="20"/>
        </w:rPr>
        <w:t> </w:t>
      </w:r>
    </w:p>
    <w:p w:rsidR="00000000" w:rsidRDefault="009E01B0">
      <w:pPr>
        <w:divId w:val="247346299"/>
        <w:rPr>
          <w:rFonts w:eastAsia="Times New Roman"/>
        </w:rPr>
      </w:pPr>
      <w:r>
        <w:rPr>
          <w:rFonts w:ascii="Arial" w:eastAsia="Times New Roman" w:hAnsi="Arial" w:cs="Arial"/>
          <w:color w:val="000000"/>
          <w:sz w:val="20"/>
          <w:szCs w:val="20"/>
        </w:rPr>
        <w:t>We and our subsidiaries are involved in various legal and regulatory actions and proceedings which arise in the normal course of business, including interventions in regulatory proceedings and challenges to regulatory approvals and permits. While the final</w:t>
      </w:r>
      <w:r>
        <w:rPr>
          <w:rFonts w:ascii="Arial" w:eastAsia="Times New Roman" w:hAnsi="Arial" w:cs="Arial"/>
          <w:color w:val="000000"/>
          <w:sz w:val="20"/>
          <w:szCs w:val="20"/>
        </w:rPr>
        <w:t xml:space="preserve"> outcome of such actions and proceedings cannot be predicted with certainty, management believes that the resolution of such actions and proceedings will not have a material impact on our interim consolidated financial position or results of operations.</w:t>
      </w:r>
    </w:p>
    <w:p w:rsidR="00000000" w:rsidRDefault="009E01B0">
      <w:pPr>
        <w:divId w:val="2055931457"/>
        <w:rPr>
          <w:rFonts w:eastAsia="Times New Roman"/>
        </w:rPr>
      </w:pPr>
    </w:p>
    <w:p w:rsidR="00000000" w:rsidRDefault="009E01B0">
      <w:pPr>
        <w:divId w:val="2027168114"/>
        <w:rPr>
          <w:rFonts w:eastAsia="Times New Roman"/>
        </w:rPr>
      </w:pPr>
      <w:r>
        <w:rPr>
          <w:rFonts w:ascii="Arial" w:eastAsia="Times New Roman" w:hAnsi="Arial" w:cs="Arial"/>
          <w:b/>
          <w:bCs/>
          <w:color w:val="000000"/>
          <w:sz w:val="20"/>
          <w:szCs w:val="20"/>
        </w:rPr>
        <w:t>TAX MATTERS</w:t>
      </w:r>
    </w:p>
    <w:p w:rsidR="00000000" w:rsidRDefault="009E01B0">
      <w:pPr>
        <w:divId w:val="586811477"/>
        <w:rPr>
          <w:rFonts w:eastAsia="Times New Roman"/>
        </w:rPr>
      </w:pPr>
      <w:r>
        <w:rPr>
          <w:rFonts w:ascii="Arial" w:eastAsia="Times New Roman" w:hAnsi="Arial" w:cs="Arial"/>
          <w:color w:val="000000"/>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9E01B0">
      <w:pPr>
        <w:jc w:val="center"/>
        <w:divId w:val="834304134"/>
        <w:rPr>
          <w:rFonts w:eastAsia="Times New Roman"/>
        </w:rPr>
      </w:pPr>
      <w:r>
        <w:rPr>
          <w:rFonts w:ascii="Arial" w:eastAsia="Times New Roman" w:hAnsi="Arial" w:cs="Arial"/>
          <w:color w:val="000000"/>
          <w:sz w:val="20"/>
          <w:szCs w:val="20"/>
        </w:rPr>
        <w:t>32</w:t>
      </w:r>
    </w:p>
    <w:p w:rsidR="00000000" w:rsidRDefault="009E01B0">
      <w:pPr>
        <w:rPr>
          <w:rFonts w:eastAsia="Times New Roman"/>
        </w:rPr>
      </w:pPr>
      <w:r>
        <w:rPr>
          <w:rFonts w:eastAsia="Times New Roman"/>
        </w:rPr>
        <w:pict>
          <v:rect id="_x0000_i1057" style="width:0;height:1.5pt" o:hralign="center" o:hrstd="t" o:hr="t" fillcolor="#a0a0a0" stroked="f"/>
        </w:pict>
      </w:r>
    </w:p>
    <w:p w:rsidR="00000000" w:rsidRDefault="009E01B0">
      <w:pPr>
        <w:jc w:val="center"/>
        <w:divId w:val="1715301819"/>
        <w:rPr>
          <w:rFonts w:eastAsia="Times New Roman"/>
        </w:rPr>
      </w:pPr>
    </w:p>
    <w:p w:rsidR="00000000" w:rsidRDefault="009E01B0">
      <w:pPr>
        <w:jc w:val="center"/>
        <w:divId w:val="1715301819"/>
        <w:rPr>
          <w:rFonts w:eastAsia="Times New Roman"/>
        </w:rPr>
      </w:pPr>
    </w:p>
    <w:p w:rsidR="00000000" w:rsidRDefault="009E01B0">
      <w:pPr>
        <w:divId w:val="1329677569"/>
        <w:rPr>
          <w:rFonts w:eastAsia="Times New Roman"/>
        </w:rPr>
      </w:pPr>
      <w:r>
        <w:rPr>
          <w:rFonts w:ascii="Arial" w:eastAsia="Times New Roman" w:hAnsi="Arial" w:cs="Arial"/>
          <w:b/>
          <w:bCs/>
          <w:color w:val="000000"/>
          <w:sz w:val="28"/>
          <w:szCs w:val="28"/>
        </w:rPr>
        <w:t>ITEM 2. MANAGEMENT’S DISCUSSION AND ANALYSIS OF FINANCIAL CONDITION AND RESULTS OF OPERATIONS</w:t>
      </w:r>
    </w:p>
    <w:p w:rsidR="00000000" w:rsidRDefault="009E01B0">
      <w:pPr>
        <w:divId w:val="1616599935"/>
        <w:rPr>
          <w:rFonts w:eastAsia="Times New Roman"/>
        </w:rPr>
      </w:pPr>
      <w:r>
        <w:rPr>
          <w:rFonts w:ascii="Arial" w:eastAsia="Times New Roman" w:hAnsi="Arial" w:cs="Arial"/>
          <w:b/>
          <w:bCs/>
          <w:color w:val="000000"/>
          <w:sz w:val="26"/>
          <w:szCs w:val="26"/>
        </w:rPr>
        <w:t>INTRODUCTION</w:t>
      </w:r>
    </w:p>
    <w:p w:rsidR="00000000" w:rsidRDefault="009E01B0">
      <w:pPr>
        <w:divId w:val="776798772"/>
        <w:rPr>
          <w:rFonts w:eastAsia="Times New Roman"/>
        </w:rPr>
      </w:pPr>
      <w:r>
        <w:rPr>
          <w:rFonts w:ascii="Arial" w:eastAsia="Times New Roman" w:hAnsi="Arial" w:cs="Arial"/>
          <w:color w:val="000000"/>
          <w:sz w:val="20"/>
          <w:szCs w:val="20"/>
        </w:rPr>
        <w:t> </w:t>
      </w:r>
    </w:p>
    <w:p w:rsidR="00000000" w:rsidRDefault="009E01B0">
      <w:pPr>
        <w:divId w:val="2098015840"/>
        <w:rPr>
          <w:rFonts w:eastAsia="Times New Roman"/>
        </w:rPr>
      </w:pPr>
      <w:r>
        <w:rPr>
          <w:rFonts w:ascii="Arial" w:eastAsia="Times New Roman" w:hAnsi="Arial" w:cs="Arial"/>
          <w:color w:val="000000"/>
          <w:sz w:val="20"/>
          <w:szCs w:val="20"/>
        </w:rPr>
        <w:t xml:space="preserve">The following discussion and analysis of our financial condition and results of operations is based on and should be read in conjunction with our interim consolidated financial statements and the accompanying notes included in Part I. </w:t>
      </w:r>
      <w:r>
        <w:rPr>
          <w:rFonts w:ascii="Arial" w:eastAsia="Times New Roman" w:hAnsi="Arial" w:cs="Arial"/>
          <w:i/>
          <w:iCs/>
          <w:color w:val="000000"/>
          <w:sz w:val="20"/>
          <w:szCs w:val="20"/>
        </w:rPr>
        <w:t>Item 1. Financial Sta</w:t>
      </w:r>
      <w:r>
        <w:rPr>
          <w:rFonts w:ascii="Arial" w:eastAsia="Times New Roman" w:hAnsi="Arial" w:cs="Arial"/>
          <w:i/>
          <w:iCs/>
          <w:color w:val="000000"/>
          <w:sz w:val="20"/>
          <w:szCs w:val="20"/>
        </w:rPr>
        <w:t>tements</w:t>
      </w:r>
      <w:r>
        <w:rPr>
          <w:rFonts w:ascii="Arial" w:eastAsia="Times New Roman" w:hAnsi="Arial" w:cs="Arial"/>
          <w:color w:val="000000"/>
          <w:sz w:val="20"/>
          <w:szCs w:val="20"/>
        </w:rPr>
        <w:t xml:space="preserve"> of this quarterly report on Form 10-Q and our consolidated financial statements and the accompanying notes included in Part II. </w:t>
      </w:r>
      <w:r>
        <w:rPr>
          <w:rFonts w:ascii="Arial" w:eastAsia="Times New Roman" w:hAnsi="Arial" w:cs="Arial"/>
          <w:i/>
          <w:iCs/>
          <w:color w:val="000000"/>
          <w:sz w:val="20"/>
          <w:szCs w:val="20"/>
        </w:rPr>
        <w:t xml:space="preserve">Item 8. Financial Statements and Supplementary Data </w:t>
      </w:r>
      <w:r>
        <w:rPr>
          <w:rFonts w:ascii="Arial" w:eastAsia="Times New Roman" w:hAnsi="Arial" w:cs="Arial"/>
          <w:color w:val="000000"/>
          <w:sz w:val="20"/>
          <w:szCs w:val="20"/>
        </w:rPr>
        <w:t>of our annual report on Form 10-K for the year ended December 31, 20</w:t>
      </w:r>
      <w:r>
        <w:rPr>
          <w:rFonts w:ascii="Arial" w:eastAsia="Times New Roman" w:hAnsi="Arial" w:cs="Arial"/>
          <w:color w:val="000000"/>
          <w:sz w:val="20"/>
          <w:szCs w:val="20"/>
        </w:rPr>
        <w:t>20.</w:t>
      </w:r>
    </w:p>
    <w:p w:rsidR="00000000" w:rsidRDefault="009E01B0">
      <w:pPr>
        <w:divId w:val="1081219479"/>
        <w:rPr>
          <w:rFonts w:eastAsia="Times New Roman"/>
        </w:rPr>
      </w:pPr>
    </w:p>
    <w:p w:rsidR="00000000" w:rsidRDefault="009E01B0">
      <w:pPr>
        <w:divId w:val="1323657857"/>
        <w:rPr>
          <w:rFonts w:eastAsia="Times New Roman"/>
        </w:rPr>
      </w:pPr>
      <w:r>
        <w:rPr>
          <w:rFonts w:ascii="Arial" w:eastAsia="Times New Roman" w:hAnsi="Arial" w:cs="Arial"/>
          <w:color w:val="000000"/>
          <w:sz w:val="20"/>
          <w:szCs w:val="20"/>
        </w:rPr>
        <w:t>As of the end of the second quarter of 2020, we continue to qualify as a foreign private issuer for purposes of the United States Securities Exchange Act of 1934, as amended (Exchange Act). We intend to continue to file annual reports on Form 10-K, q</w:t>
      </w:r>
      <w:r>
        <w:rPr>
          <w:rFonts w:ascii="Arial" w:eastAsia="Times New Roman" w:hAnsi="Arial" w:cs="Arial"/>
          <w:color w:val="000000"/>
          <w:sz w:val="20"/>
          <w:szCs w:val="20"/>
        </w:rPr>
        <w:t>uarterly reports on Form 10-Q and current reports on Form 8-K with the US Securities and Exchange Commission (SEC) instead of filing the reporting forms available to foreign private issuers. We also intend to maintain our Form S-3 registration statements.</w:t>
      </w:r>
    </w:p>
    <w:p w:rsidR="00000000" w:rsidRDefault="009E01B0">
      <w:pPr>
        <w:divId w:val="46223456"/>
        <w:rPr>
          <w:rFonts w:eastAsia="Times New Roman"/>
        </w:rPr>
      </w:pPr>
    </w:p>
    <w:p w:rsidR="00000000" w:rsidRDefault="009E01B0">
      <w:pPr>
        <w:divId w:val="16584767"/>
        <w:rPr>
          <w:rFonts w:eastAsia="Times New Roman"/>
        </w:rPr>
      </w:pPr>
      <w:r>
        <w:rPr>
          <w:rFonts w:ascii="Arial" w:eastAsia="Times New Roman" w:hAnsi="Arial" w:cs="Arial"/>
          <w:b/>
          <w:bCs/>
          <w:color w:val="000000"/>
          <w:sz w:val="26"/>
          <w:szCs w:val="26"/>
        </w:rPr>
        <w:t xml:space="preserve">RECENT DEVELOPMENTS </w:t>
      </w:r>
    </w:p>
    <w:p w:rsidR="00000000" w:rsidRDefault="009E01B0">
      <w:pPr>
        <w:divId w:val="1504777614"/>
        <w:rPr>
          <w:rFonts w:eastAsia="Times New Roman"/>
        </w:rPr>
      </w:pPr>
    </w:p>
    <w:p w:rsidR="00000000" w:rsidRDefault="009E01B0">
      <w:pPr>
        <w:divId w:val="2096627746"/>
        <w:rPr>
          <w:rFonts w:eastAsia="Times New Roman"/>
        </w:rPr>
      </w:pPr>
      <w:r>
        <w:rPr>
          <w:rFonts w:ascii="Arial" w:eastAsia="Times New Roman" w:hAnsi="Arial" w:cs="Arial"/>
          <w:b/>
          <w:bCs/>
          <w:color w:val="000000"/>
          <w:sz w:val="20"/>
          <w:szCs w:val="20"/>
        </w:rPr>
        <w:t>COVID-19 PANDEMIC</w:t>
      </w:r>
    </w:p>
    <w:p w:rsidR="00000000" w:rsidRDefault="009E01B0">
      <w:pPr>
        <w:divId w:val="313993220"/>
        <w:rPr>
          <w:rFonts w:eastAsia="Times New Roman"/>
        </w:rPr>
      </w:pPr>
    </w:p>
    <w:p w:rsidR="00000000" w:rsidRDefault="009E01B0">
      <w:pPr>
        <w:divId w:val="841357968"/>
        <w:rPr>
          <w:rFonts w:eastAsia="Times New Roman"/>
        </w:rPr>
      </w:pPr>
      <w:r>
        <w:rPr>
          <w:rFonts w:ascii="Arial" w:eastAsia="Times New Roman" w:hAnsi="Arial" w:cs="Arial"/>
          <w:color w:val="000000"/>
          <w:sz w:val="20"/>
          <w:szCs w:val="20"/>
        </w:rPr>
        <w:t>Since the outbreak of COVID-19 in early 2020, our business continuity plans and commercial models have been effective in enabling the continued operation of our business. Initially, the COVID-19 pandemic signifi</w:t>
      </w:r>
      <w:r>
        <w:rPr>
          <w:rFonts w:ascii="Arial" w:eastAsia="Times New Roman" w:hAnsi="Arial" w:cs="Arial"/>
          <w:color w:val="000000"/>
          <w:sz w:val="20"/>
          <w:szCs w:val="20"/>
        </w:rPr>
        <w:t>cantly impacted crude oil market fundamentals which resulted in elevated risks to our business. Crude oil demand experienced an unprecedented drop in mid-2020 as the economy slowed and personal mobility decreased due to government restrictions. This, in tu</w:t>
      </w:r>
      <w:r>
        <w:rPr>
          <w:rFonts w:ascii="Arial" w:eastAsia="Times New Roman" w:hAnsi="Arial" w:cs="Arial"/>
          <w:color w:val="000000"/>
          <w:sz w:val="20"/>
          <w:szCs w:val="20"/>
        </w:rPr>
        <w:t>rn, led to a decrease in crude oil throughput on our liquids pipelines systems as refinery runs decreased. There has since been a substantial recovery in oil demand as vaccination rates rise and economies continue to reopen. Crude oil prices have also sinc</w:t>
      </w:r>
      <w:r>
        <w:rPr>
          <w:rFonts w:ascii="Arial" w:eastAsia="Times New Roman" w:hAnsi="Arial" w:cs="Arial"/>
          <w:color w:val="000000"/>
          <w:sz w:val="20"/>
          <w:szCs w:val="20"/>
        </w:rPr>
        <w:t xml:space="preserve">e stabilized, in part as a result of measured global supply management from the Organization of Petroleum Exporting Countries Plus producers. </w:t>
      </w:r>
    </w:p>
    <w:p w:rsidR="00000000" w:rsidRDefault="009E01B0">
      <w:pPr>
        <w:divId w:val="335311203"/>
        <w:rPr>
          <w:rFonts w:eastAsia="Times New Roman"/>
        </w:rPr>
      </w:pPr>
    </w:p>
    <w:p w:rsidR="00000000" w:rsidRDefault="009E01B0">
      <w:pPr>
        <w:divId w:val="8065"/>
        <w:rPr>
          <w:rFonts w:eastAsia="Times New Roman"/>
        </w:rPr>
      </w:pPr>
      <w:r>
        <w:rPr>
          <w:rFonts w:ascii="Arial" w:eastAsia="Times New Roman" w:hAnsi="Arial" w:cs="Arial"/>
          <w:color w:val="000000"/>
          <w:sz w:val="20"/>
          <w:szCs w:val="20"/>
        </w:rPr>
        <w:t>During the first quarter of 2021, Western Canadian Sedimentary Basin heavy production returned to near recent h</w:t>
      </w:r>
      <w:r>
        <w:rPr>
          <w:rFonts w:ascii="Arial" w:eastAsia="Times New Roman" w:hAnsi="Arial" w:cs="Arial"/>
          <w:color w:val="000000"/>
          <w:sz w:val="20"/>
          <w:szCs w:val="20"/>
        </w:rPr>
        <w:t>ighs to meet the demand resurgence. However, conventional light production recovery has lagged due to lack of new drilling in 2020 and weaker jet fuel demand. As a result, during the first quarter of 2021, Mainline System throughput substantially recovered</w:t>
      </w:r>
      <w:r>
        <w:rPr>
          <w:rFonts w:ascii="Arial" w:eastAsia="Times New Roman" w:hAnsi="Arial" w:cs="Arial"/>
          <w:color w:val="000000"/>
          <w:sz w:val="20"/>
          <w:szCs w:val="20"/>
        </w:rPr>
        <w:t xml:space="preserve"> to pre-pandemic levels, particularly on the heavy portion of the Mainline System. Utilization of our liquids systems, natural gas pipeline systems and natural gas utility are again relatively strong. Given the continued elevated risks that remain with the</w:t>
      </w:r>
      <w:r>
        <w:rPr>
          <w:rFonts w:ascii="Arial" w:eastAsia="Times New Roman" w:hAnsi="Arial" w:cs="Arial"/>
          <w:color w:val="000000"/>
          <w:sz w:val="20"/>
          <w:szCs w:val="20"/>
        </w:rPr>
        <w:t xml:space="preserve"> ongoing pandemic, we continue to monitor fundamental market conditions for risks to system utilization.</w:t>
      </w:r>
    </w:p>
    <w:p w:rsidR="00000000" w:rsidRDefault="009E01B0">
      <w:pPr>
        <w:divId w:val="1003780194"/>
        <w:rPr>
          <w:rFonts w:eastAsia="Times New Roman"/>
        </w:rPr>
      </w:pPr>
    </w:p>
    <w:p w:rsidR="00000000" w:rsidRDefault="009E01B0">
      <w:pPr>
        <w:divId w:val="1791169795"/>
        <w:rPr>
          <w:rFonts w:eastAsia="Times New Roman"/>
        </w:rPr>
      </w:pPr>
      <w:r>
        <w:rPr>
          <w:rFonts w:ascii="Arial" w:eastAsia="Times New Roman" w:hAnsi="Arial" w:cs="Arial"/>
          <w:color w:val="000000"/>
          <w:sz w:val="20"/>
          <w:szCs w:val="20"/>
        </w:rPr>
        <w:t>We continue to follow recommendations from public health authorities and medical experts, which vary by jurisdiction, and to employ regular safety pr</w:t>
      </w:r>
      <w:r>
        <w:rPr>
          <w:rFonts w:ascii="Arial" w:eastAsia="Times New Roman" w:hAnsi="Arial" w:cs="Arial"/>
          <w:color w:val="000000"/>
          <w:sz w:val="20"/>
          <w:szCs w:val="20"/>
        </w:rPr>
        <w:t>ocesses and procedures in the normal course. Despite ongoing uncertainty as to the duration and impact of the pandemic and corresponding public health measures, our business continuity plans are designed to enable us to manage operational developments rela</w:t>
      </w:r>
      <w:r>
        <w:rPr>
          <w:rFonts w:ascii="Arial" w:eastAsia="Times New Roman" w:hAnsi="Arial" w:cs="Arial"/>
          <w:color w:val="000000"/>
          <w:sz w:val="20"/>
          <w:szCs w:val="20"/>
        </w:rPr>
        <w:t>ted to COVID-19 as they unfold, including those related to construction and integrity projects. We provide an essential service across North America. Our customers, and the communities where we operate, depend on us to safely and reliably provide the energ</w:t>
      </w:r>
      <w:r>
        <w:rPr>
          <w:rFonts w:ascii="Arial" w:eastAsia="Times New Roman" w:hAnsi="Arial" w:cs="Arial"/>
          <w:color w:val="000000"/>
          <w:sz w:val="20"/>
          <w:szCs w:val="20"/>
        </w:rPr>
        <w:t xml:space="preserve">y they need. </w:t>
      </w:r>
    </w:p>
    <w:p w:rsidR="00000000" w:rsidRDefault="009E01B0">
      <w:pPr>
        <w:divId w:val="457341469"/>
        <w:rPr>
          <w:rFonts w:eastAsia="Times New Roman"/>
        </w:rPr>
      </w:pPr>
    </w:p>
    <w:p w:rsidR="00000000" w:rsidRDefault="009E01B0">
      <w:pPr>
        <w:jc w:val="center"/>
        <w:divId w:val="1454134451"/>
        <w:rPr>
          <w:rFonts w:eastAsia="Times New Roman"/>
        </w:rPr>
      </w:pPr>
      <w:r>
        <w:rPr>
          <w:rFonts w:ascii="Arial" w:eastAsia="Times New Roman" w:hAnsi="Arial" w:cs="Arial"/>
          <w:color w:val="000000"/>
          <w:sz w:val="20"/>
          <w:szCs w:val="20"/>
        </w:rPr>
        <w:t>33</w:t>
      </w:r>
    </w:p>
    <w:p w:rsidR="00000000" w:rsidRDefault="009E01B0">
      <w:pPr>
        <w:rPr>
          <w:rFonts w:eastAsia="Times New Roman"/>
        </w:rPr>
      </w:pPr>
      <w:r>
        <w:rPr>
          <w:rFonts w:eastAsia="Times New Roman"/>
        </w:rPr>
        <w:pict>
          <v:rect id="_x0000_i1058" style="width:0;height:1.5pt" o:hralign="center" o:hrstd="t" o:hr="t" fillcolor="#a0a0a0" stroked="f"/>
        </w:pict>
      </w:r>
    </w:p>
    <w:p w:rsidR="00000000" w:rsidRDefault="009E01B0">
      <w:pPr>
        <w:divId w:val="2024626171"/>
        <w:rPr>
          <w:rFonts w:eastAsia="Times New Roman"/>
        </w:rPr>
      </w:pPr>
    </w:p>
    <w:p w:rsidR="00000000" w:rsidRDefault="009E01B0">
      <w:pPr>
        <w:divId w:val="1399404853"/>
        <w:rPr>
          <w:rFonts w:eastAsia="Times New Roman"/>
        </w:rPr>
      </w:pPr>
      <w:r>
        <w:rPr>
          <w:rFonts w:ascii="Arial" w:eastAsia="Times New Roman" w:hAnsi="Arial" w:cs="Arial"/>
          <w:b/>
          <w:bCs/>
          <w:color w:val="000000"/>
          <w:sz w:val="20"/>
          <w:szCs w:val="20"/>
        </w:rPr>
        <w:t>US LINE 3 REPLACEMENT PROGRAM</w:t>
      </w:r>
    </w:p>
    <w:p w:rsidR="00000000" w:rsidRDefault="009E01B0">
      <w:pPr>
        <w:divId w:val="780298236"/>
        <w:rPr>
          <w:rFonts w:eastAsia="Times New Roman"/>
        </w:rPr>
      </w:pPr>
    </w:p>
    <w:p w:rsidR="00000000" w:rsidRDefault="009E01B0">
      <w:pPr>
        <w:divId w:val="1141922637"/>
        <w:rPr>
          <w:rFonts w:eastAsia="Times New Roman"/>
        </w:rPr>
      </w:pPr>
      <w:r>
        <w:rPr>
          <w:rFonts w:ascii="Arial" w:eastAsia="Times New Roman" w:hAnsi="Arial" w:cs="Arial"/>
          <w:color w:val="000000"/>
          <w:sz w:val="20"/>
          <w:szCs w:val="20"/>
        </w:rPr>
        <w:t>Construction of the US portion of the Line 3 Replacement Project in Minnesota continues to advance on schedule utilizing industry-leading environmental protection mea</w:t>
      </w:r>
      <w:r>
        <w:rPr>
          <w:rFonts w:ascii="Arial" w:eastAsia="Times New Roman" w:hAnsi="Arial" w:cs="Arial"/>
          <w:color w:val="000000"/>
          <w:sz w:val="20"/>
          <w:szCs w:val="20"/>
        </w:rPr>
        <w:t xml:space="preserve">sures and construction techniques and is over half complete. The project is expected to be completed and placed into service in the fourth quarter of 2021. </w:t>
      </w:r>
    </w:p>
    <w:p w:rsidR="00000000" w:rsidRDefault="009E01B0">
      <w:pPr>
        <w:divId w:val="1110196843"/>
        <w:rPr>
          <w:rFonts w:eastAsia="Times New Roman"/>
        </w:rPr>
      </w:pPr>
    </w:p>
    <w:p w:rsidR="00000000" w:rsidRDefault="009E01B0">
      <w:pPr>
        <w:divId w:val="241911514"/>
        <w:rPr>
          <w:rFonts w:eastAsia="Times New Roman"/>
        </w:rPr>
      </w:pPr>
      <w:r>
        <w:rPr>
          <w:rFonts w:ascii="Arial" w:eastAsia="Times New Roman" w:hAnsi="Arial" w:cs="Arial"/>
          <w:b/>
          <w:bCs/>
          <w:color w:val="000000"/>
          <w:sz w:val="20"/>
          <w:szCs w:val="20"/>
        </w:rPr>
        <w:t xml:space="preserve">MAINLINE SYSTEM CONTRACTING </w:t>
      </w:r>
    </w:p>
    <w:p w:rsidR="00000000" w:rsidRDefault="009E01B0">
      <w:pPr>
        <w:divId w:val="719864437"/>
        <w:rPr>
          <w:rFonts w:eastAsia="Times New Roman"/>
        </w:rPr>
      </w:pPr>
    </w:p>
    <w:p w:rsidR="00000000" w:rsidRDefault="009E01B0">
      <w:pPr>
        <w:divId w:val="481239225"/>
        <w:rPr>
          <w:rFonts w:eastAsia="Times New Roman"/>
        </w:rPr>
      </w:pPr>
      <w:r>
        <w:rPr>
          <w:rFonts w:ascii="Arial" w:eastAsia="Times New Roman" w:hAnsi="Arial" w:cs="Arial"/>
          <w:color w:val="000000"/>
          <w:sz w:val="20"/>
          <w:szCs w:val="20"/>
        </w:rPr>
        <w:t>On December 19, 2019, we submitted an application to the Canada Energy Regulator (CER) to implement contracting on our Mainline System. The application for contracted and uncommitted service included the associated terms, conditions and tolls of each servi</w:t>
      </w:r>
      <w:r>
        <w:rPr>
          <w:rFonts w:ascii="Arial" w:eastAsia="Times New Roman" w:hAnsi="Arial" w:cs="Arial"/>
          <w:color w:val="000000"/>
          <w:sz w:val="20"/>
          <w:szCs w:val="20"/>
        </w:rPr>
        <w:t xml:space="preserve">ce, which would be offered in an open season following approval by the CER. </w:t>
      </w:r>
    </w:p>
    <w:p w:rsidR="00000000" w:rsidRDefault="009E01B0">
      <w:pPr>
        <w:divId w:val="1831797829"/>
        <w:rPr>
          <w:rFonts w:eastAsia="Times New Roman"/>
        </w:rPr>
      </w:pPr>
    </w:p>
    <w:p w:rsidR="00000000" w:rsidRDefault="009E01B0">
      <w:pPr>
        <w:divId w:val="1571308039"/>
        <w:rPr>
          <w:rFonts w:eastAsia="Times New Roman"/>
        </w:rPr>
      </w:pPr>
      <w:r>
        <w:rPr>
          <w:rFonts w:ascii="Arial" w:eastAsia="Times New Roman" w:hAnsi="Arial" w:cs="Arial"/>
          <w:color w:val="000000"/>
          <w:sz w:val="20"/>
          <w:szCs w:val="20"/>
        </w:rPr>
        <w:t>All active participants have completed Information Requests throughout 2020 and into 2021. The written portion of the Mainline contracting hearing before the CER has been concluded, with oral arguments set for May 19, 2021.</w:t>
      </w:r>
    </w:p>
    <w:p w:rsidR="00000000" w:rsidRDefault="009E01B0">
      <w:pPr>
        <w:divId w:val="509951252"/>
        <w:rPr>
          <w:rFonts w:eastAsia="Times New Roman"/>
        </w:rPr>
      </w:pPr>
    </w:p>
    <w:p w:rsidR="00000000" w:rsidRDefault="009E01B0">
      <w:pPr>
        <w:divId w:val="1009134648"/>
        <w:rPr>
          <w:rFonts w:eastAsia="Times New Roman"/>
        </w:rPr>
      </w:pPr>
      <w:r>
        <w:rPr>
          <w:rFonts w:ascii="Arial" w:eastAsia="Times New Roman" w:hAnsi="Arial" w:cs="Arial"/>
          <w:color w:val="000000"/>
          <w:sz w:val="20"/>
          <w:szCs w:val="20"/>
        </w:rPr>
        <w:t>A replacement agreement for th</w:t>
      </w:r>
      <w:r>
        <w:rPr>
          <w:rFonts w:ascii="Arial" w:eastAsia="Times New Roman" w:hAnsi="Arial" w:cs="Arial"/>
          <w:color w:val="000000"/>
          <w:sz w:val="20"/>
          <w:szCs w:val="20"/>
        </w:rPr>
        <w:t>e Competitive Tolling Settlement (CTS) is not expected to be in place by June 30, 2021, and in accordance with the terms of the CTS the tolls at the expiry of the CTS will continue on an interim basis, subject to finalization and adjustment applicable to t</w:t>
      </w:r>
      <w:r>
        <w:rPr>
          <w:rFonts w:ascii="Arial" w:eastAsia="Times New Roman" w:hAnsi="Arial" w:cs="Arial"/>
          <w:color w:val="000000"/>
          <w:sz w:val="20"/>
          <w:szCs w:val="20"/>
        </w:rPr>
        <w:t>he interim period, if any.</w:t>
      </w:r>
    </w:p>
    <w:p w:rsidR="00000000" w:rsidRDefault="009E01B0">
      <w:pPr>
        <w:divId w:val="1711800326"/>
        <w:rPr>
          <w:rFonts w:eastAsia="Times New Roman"/>
        </w:rPr>
      </w:pPr>
    </w:p>
    <w:p w:rsidR="00000000" w:rsidRDefault="009E01B0">
      <w:pPr>
        <w:divId w:val="1980501345"/>
        <w:rPr>
          <w:rFonts w:eastAsia="Times New Roman"/>
        </w:rPr>
      </w:pPr>
      <w:r>
        <w:rPr>
          <w:rFonts w:ascii="Arial" w:eastAsia="Times New Roman" w:hAnsi="Arial" w:cs="Arial"/>
          <w:b/>
          <w:bCs/>
          <w:color w:val="000000"/>
          <w:sz w:val="20"/>
          <w:szCs w:val="20"/>
        </w:rPr>
        <w:t>GAS TRANSMISSION AND MIDSTREAM RATE PROCEEDINGS</w:t>
      </w:r>
    </w:p>
    <w:p w:rsidR="00000000" w:rsidRDefault="009E01B0">
      <w:pPr>
        <w:divId w:val="1500458574"/>
        <w:rPr>
          <w:rFonts w:eastAsia="Times New Roman"/>
        </w:rPr>
      </w:pPr>
    </w:p>
    <w:p w:rsidR="00000000" w:rsidRDefault="009E01B0">
      <w:pPr>
        <w:divId w:val="1793396768"/>
        <w:rPr>
          <w:rFonts w:eastAsia="Times New Roman"/>
        </w:rPr>
      </w:pPr>
      <w:r>
        <w:rPr>
          <w:rFonts w:ascii="Arial" w:eastAsia="Times New Roman" w:hAnsi="Arial" w:cs="Arial"/>
          <w:b/>
          <w:bCs/>
          <w:color w:val="000000"/>
          <w:sz w:val="20"/>
          <w:szCs w:val="20"/>
        </w:rPr>
        <w:t>East Tennessee</w:t>
      </w:r>
    </w:p>
    <w:p w:rsidR="00000000" w:rsidRDefault="009E01B0">
      <w:pPr>
        <w:divId w:val="672416602"/>
        <w:rPr>
          <w:rFonts w:eastAsia="Times New Roman"/>
        </w:rPr>
      </w:pPr>
      <w:r>
        <w:rPr>
          <w:rFonts w:ascii="Arial" w:eastAsia="Times New Roman" w:hAnsi="Arial" w:cs="Arial"/>
          <w:color w:val="000000"/>
          <w:sz w:val="20"/>
          <w:szCs w:val="20"/>
        </w:rPr>
        <w:t xml:space="preserve">East Tennessee Natural Gas, LLC filed a rate case in the second quarter of 2020 and an agreement in principle was reached with shippers in April 2021. </w:t>
      </w:r>
    </w:p>
    <w:p w:rsidR="00000000" w:rsidRDefault="009E01B0">
      <w:pPr>
        <w:divId w:val="1968077422"/>
        <w:rPr>
          <w:rFonts w:eastAsia="Times New Roman"/>
        </w:rPr>
      </w:pPr>
    </w:p>
    <w:p w:rsidR="00000000" w:rsidRDefault="009E01B0">
      <w:pPr>
        <w:divId w:val="1983920624"/>
        <w:rPr>
          <w:rFonts w:eastAsia="Times New Roman"/>
        </w:rPr>
      </w:pPr>
      <w:r>
        <w:rPr>
          <w:rFonts w:ascii="Arial" w:eastAsia="Times New Roman" w:hAnsi="Arial" w:cs="Arial"/>
          <w:b/>
          <w:bCs/>
          <w:color w:val="000000"/>
          <w:sz w:val="20"/>
          <w:szCs w:val="20"/>
        </w:rPr>
        <w:t>Maritime</w:t>
      </w:r>
      <w:r>
        <w:rPr>
          <w:rFonts w:ascii="Arial" w:eastAsia="Times New Roman" w:hAnsi="Arial" w:cs="Arial"/>
          <w:b/>
          <w:bCs/>
          <w:color w:val="000000"/>
          <w:sz w:val="20"/>
          <w:szCs w:val="20"/>
        </w:rPr>
        <w:t>s &amp; Northeast Pipeline</w:t>
      </w:r>
    </w:p>
    <w:p w:rsidR="00000000" w:rsidRDefault="009E01B0">
      <w:pPr>
        <w:divId w:val="1093287151"/>
        <w:rPr>
          <w:rFonts w:eastAsia="Times New Roman"/>
        </w:rPr>
      </w:pPr>
      <w:r>
        <w:rPr>
          <w:rFonts w:ascii="Arial" w:eastAsia="Times New Roman" w:hAnsi="Arial" w:cs="Arial"/>
          <w:color w:val="000000"/>
          <w:sz w:val="20"/>
          <w:szCs w:val="20"/>
        </w:rPr>
        <w:t>The US portion of Maritimes &amp; Northeast Pipeline filed a rate case in the second quarter of 2020 and an agreement in principle was reached with shippers in December 2020. A Stipulation and Agreement was filed on February 21, 2021 and</w:t>
      </w:r>
      <w:r>
        <w:rPr>
          <w:rFonts w:ascii="Arial" w:eastAsia="Times New Roman" w:hAnsi="Arial" w:cs="Arial"/>
          <w:color w:val="000000"/>
          <w:sz w:val="20"/>
          <w:szCs w:val="20"/>
        </w:rPr>
        <w:t xml:space="preserve"> approved by the Federal Energy Regulatory Commission (FERC) on April 30, 2021, to be effective June 1, 2021 if no requests for rehearings are filed.</w:t>
      </w:r>
    </w:p>
    <w:p w:rsidR="00000000" w:rsidRDefault="009E01B0">
      <w:pPr>
        <w:divId w:val="1222445868"/>
        <w:rPr>
          <w:rFonts w:eastAsia="Times New Roman"/>
        </w:rPr>
      </w:pPr>
    </w:p>
    <w:p w:rsidR="00000000" w:rsidRDefault="009E01B0">
      <w:pPr>
        <w:divId w:val="599412047"/>
        <w:rPr>
          <w:rFonts w:eastAsia="Times New Roman"/>
        </w:rPr>
      </w:pPr>
      <w:r>
        <w:rPr>
          <w:rFonts w:ascii="Arial" w:eastAsia="Times New Roman" w:hAnsi="Arial" w:cs="Arial"/>
          <w:b/>
          <w:bCs/>
          <w:color w:val="000000"/>
          <w:sz w:val="20"/>
          <w:szCs w:val="20"/>
        </w:rPr>
        <w:t>Alliance Pipeline</w:t>
      </w:r>
    </w:p>
    <w:p w:rsidR="00000000" w:rsidRDefault="009E01B0">
      <w:pPr>
        <w:divId w:val="1590189326"/>
        <w:rPr>
          <w:rFonts w:eastAsia="Times New Roman"/>
        </w:rPr>
      </w:pPr>
      <w:r>
        <w:rPr>
          <w:rFonts w:ascii="Arial" w:eastAsia="Times New Roman" w:hAnsi="Arial" w:cs="Arial"/>
          <w:color w:val="000000"/>
          <w:sz w:val="20"/>
          <w:szCs w:val="20"/>
        </w:rPr>
        <w:t>The US portion of Alliance Pipeline filed a rate case in the second quarter of 2020 an</w:t>
      </w:r>
      <w:r>
        <w:rPr>
          <w:rFonts w:ascii="Arial" w:eastAsia="Times New Roman" w:hAnsi="Arial" w:cs="Arial"/>
          <w:color w:val="000000"/>
          <w:sz w:val="20"/>
          <w:szCs w:val="20"/>
        </w:rPr>
        <w:t>d an agreement in principle was reached with shippers in January 2021. A Stipulation and Agreement was filed on March 31, 2021 and we await FERC approval.</w:t>
      </w:r>
    </w:p>
    <w:p w:rsidR="00000000" w:rsidRDefault="009E01B0">
      <w:pPr>
        <w:divId w:val="94978621"/>
        <w:rPr>
          <w:rFonts w:eastAsia="Times New Roman"/>
        </w:rPr>
      </w:pPr>
    </w:p>
    <w:p w:rsidR="00000000" w:rsidRDefault="009E01B0">
      <w:pPr>
        <w:divId w:val="873229645"/>
        <w:rPr>
          <w:rFonts w:eastAsia="Times New Roman"/>
        </w:rPr>
      </w:pPr>
      <w:r>
        <w:rPr>
          <w:rFonts w:ascii="Arial" w:eastAsia="Times New Roman" w:hAnsi="Arial" w:cs="Arial"/>
          <w:b/>
          <w:bCs/>
          <w:color w:val="000000"/>
          <w:sz w:val="20"/>
          <w:szCs w:val="20"/>
        </w:rPr>
        <w:t>GAS DISTRIBUTION AND STORAGE RATE APPLICATIONS</w:t>
      </w:r>
    </w:p>
    <w:p w:rsidR="00000000" w:rsidRDefault="009E01B0">
      <w:pPr>
        <w:divId w:val="1107457988"/>
        <w:rPr>
          <w:rFonts w:eastAsia="Times New Roman"/>
        </w:rPr>
      </w:pPr>
    </w:p>
    <w:p w:rsidR="00000000" w:rsidRDefault="009E01B0">
      <w:pPr>
        <w:divId w:val="963316405"/>
        <w:rPr>
          <w:rFonts w:eastAsia="Times New Roman"/>
        </w:rPr>
      </w:pPr>
      <w:r>
        <w:rPr>
          <w:rFonts w:ascii="Arial" w:eastAsia="Times New Roman" w:hAnsi="Arial" w:cs="Arial"/>
          <w:b/>
          <w:bCs/>
          <w:color w:val="000000"/>
          <w:sz w:val="20"/>
          <w:szCs w:val="20"/>
        </w:rPr>
        <w:t>2021 Rate Application</w:t>
      </w:r>
    </w:p>
    <w:p w:rsidR="00000000" w:rsidRDefault="009E01B0">
      <w:pPr>
        <w:divId w:val="1291521620"/>
        <w:rPr>
          <w:rFonts w:eastAsia="Times New Roman"/>
        </w:rPr>
      </w:pPr>
      <w:r>
        <w:rPr>
          <w:rFonts w:ascii="Arial" w:eastAsia="Times New Roman" w:hAnsi="Arial" w:cs="Arial"/>
          <w:color w:val="000000"/>
          <w:sz w:val="20"/>
          <w:szCs w:val="20"/>
        </w:rPr>
        <w:t>On June 30, 2020, Enbridge G</w:t>
      </w:r>
      <w:r>
        <w:rPr>
          <w:rFonts w:ascii="Arial" w:eastAsia="Times New Roman" w:hAnsi="Arial" w:cs="Arial"/>
          <w:color w:val="000000"/>
          <w:sz w:val="20"/>
          <w:szCs w:val="20"/>
        </w:rPr>
        <w:t>as Inc. (Enbridge Gas) filed Phase 1 of an application with the Ontario Energy Board (OEB) for the setting of rates for 2021. The 2021 rate application was filed in accordance with the parameters of Enbridge Gas's OEB approved Price Cap Incentive Regulatio</w:t>
      </w:r>
      <w:r>
        <w:rPr>
          <w:rFonts w:ascii="Arial" w:eastAsia="Times New Roman" w:hAnsi="Arial" w:cs="Arial"/>
          <w:color w:val="000000"/>
          <w:sz w:val="20"/>
          <w:szCs w:val="20"/>
        </w:rPr>
        <w:t>n rate setting mechanism and represents the third year of a five-year term. On November 6, 2020, as part of its Decision on Settlement Proposal and Interim Rate Order, the OEB approved Enbridge Gas's Phase 1 Settlement Proposal and interim rates, effective</w:t>
      </w:r>
      <w:r>
        <w:rPr>
          <w:rFonts w:ascii="Arial" w:eastAsia="Times New Roman" w:hAnsi="Arial" w:cs="Arial"/>
          <w:color w:val="000000"/>
          <w:sz w:val="20"/>
          <w:szCs w:val="20"/>
        </w:rPr>
        <w:t xml:space="preserve"> January 1, 2021. Phase 2 of Enbridge Gas's application, addressing 2021 incremental capital module funding requirements, was filed on October 15, 2020. </w:t>
      </w:r>
    </w:p>
    <w:p w:rsidR="00000000" w:rsidRDefault="009E01B0">
      <w:pPr>
        <w:divId w:val="963346218"/>
        <w:rPr>
          <w:rFonts w:eastAsia="Times New Roman"/>
        </w:rPr>
      </w:pPr>
    </w:p>
    <w:p w:rsidR="00000000" w:rsidRDefault="009E01B0">
      <w:pPr>
        <w:jc w:val="center"/>
        <w:divId w:val="685331943"/>
        <w:rPr>
          <w:rFonts w:eastAsia="Times New Roman"/>
        </w:rPr>
      </w:pPr>
      <w:r>
        <w:rPr>
          <w:rFonts w:ascii="Arial" w:eastAsia="Times New Roman" w:hAnsi="Arial" w:cs="Arial"/>
          <w:color w:val="000000"/>
          <w:sz w:val="20"/>
          <w:szCs w:val="20"/>
        </w:rPr>
        <w:t>34</w:t>
      </w:r>
    </w:p>
    <w:p w:rsidR="00000000" w:rsidRDefault="009E01B0">
      <w:pPr>
        <w:rPr>
          <w:rFonts w:eastAsia="Times New Roman"/>
        </w:rPr>
      </w:pPr>
      <w:r>
        <w:rPr>
          <w:rFonts w:eastAsia="Times New Roman"/>
        </w:rPr>
        <w:pict>
          <v:rect id="_x0000_i1059" style="width:0;height:1.5pt" o:hralign="center" o:hrstd="t" o:hr="t" fillcolor="#a0a0a0" stroked="f"/>
        </w:pict>
      </w:r>
    </w:p>
    <w:p w:rsidR="00000000" w:rsidRDefault="009E01B0">
      <w:pPr>
        <w:divId w:val="715927747"/>
        <w:rPr>
          <w:rFonts w:eastAsia="Times New Roman"/>
        </w:rPr>
      </w:pPr>
    </w:p>
    <w:p w:rsidR="00000000" w:rsidRDefault="009E01B0">
      <w:pPr>
        <w:divId w:val="1692218187"/>
        <w:rPr>
          <w:rFonts w:eastAsia="Times New Roman"/>
        </w:rPr>
      </w:pPr>
      <w:r>
        <w:rPr>
          <w:rFonts w:ascii="Arial" w:eastAsia="Times New Roman" w:hAnsi="Arial" w:cs="Arial"/>
          <w:b/>
          <w:bCs/>
          <w:color w:val="000000"/>
          <w:sz w:val="20"/>
          <w:szCs w:val="20"/>
        </w:rPr>
        <w:t>SOLAR SELF-POWER PROJECT</w:t>
      </w:r>
    </w:p>
    <w:p w:rsidR="00000000" w:rsidRDefault="009E01B0">
      <w:pPr>
        <w:divId w:val="1544710650"/>
        <w:rPr>
          <w:rFonts w:eastAsia="Times New Roman"/>
        </w:rPr>
      </w:pPr>
    </w:p>
    <w:p w:rsidR="00000000" w:rsidRDefault="009E01B0">
      <w:pPr>
        <w:divId w:val="1392268902"/>
        <w:rPr>
          <w:rFonts w:eastAsia="Times New Roman"/>
        </w:rPr>
      </w:pPr>
      <w:r>
        <w:rPr>
          <w:rFonts w:ascii="Arial" w:eastAsia="Times New Roman" w:hAnsi="Arial" w:cs="Arial"/>
          <w:b/>
          <w:bCs/>
          <w:color w:val="000000"/>
          <w:sz w:val="20"/>
          <w:szCs w:val="20"/>
        </w:rPr>
        <w:t>Alberta Solar One</w:t>
      </w:r>
    </w:p>
    <w:p w:rsidR="00000000" w:rsidRDefault="009E01B0">
      <w:pPr>
        <w:divId w:val="532888142"/>
        <w:rPr>
          <w:rFonts w:eastAsia="Times New Roman"/>
        </w:rPr>
      </w:pPr>
      <w:r>
        <w:rPr>
          <w:rFonts w:ascii="Arial" w:eastAsia="Times New Roman" w:hAnsi="Arial" w:cs="Arial"/>
          <w:color w:val="000000"/>
          <w:sz w:val="20"/>
          <w:szCs w:val="20"/>
        </w:rPr>
        <w:t>In March 2021</w:t>
      </w:r>
      <w:r>
        <w:rPr>
          <w:rFonts w:ascii="Arial" w:eastAsia="Times New Roman" w:hAnsi="Arial" w:cs="Arial"/>
          <w:color w:val="000000"/>
          <w:sz w:val="20"/>
          <w:szCs w:val="20"/>
        </w:rPr>
        <w:t>, we commenced commercial operations on our first self-powering solar generation facility in Alberta and our third across our enterprise. The 10.5-megawatts (MW) solar project, located near Burdett, Alberta, will supply a portion of our Canadian Mainline p</w:t>
      </w:r>
      <w:r>
        <w:rPr>
          <w:rFonts w:ascii="Arial" w:eastAsia="Times New Roman" w:hAnsi="Arial" w:cs="Arial"/>
          <w:color w:val="000000"/>
          <w:sz w:val="20"/>
          <w:szCs w:val="20"/>
        </w:rPr>
        <w:t xml:space="preserve">ower requirements with solar energy. </w:t>
      </w:r>
    </w:p>
    <w:p w:rsidR="00000000" w:rsidRDefault="009E01B0">
      <w:pPr>
        <w:divId w:val="1400521068"/>
        <w:rPr>
          <w:rFonts w:eastAsia="Times New Roman"/>
        </w:rPr>
      </w:pPr>
    </w:p>
    <w:p w:rsidR="00000000" w:rsidRDefault="009E01B0">
      <w:pPr>
        <w:divId w:val="1643463879"/>
        <w:rPr>
          <w:rFonts w:eastAsia="Times New Roman"/>
        </w:rPr>
      </w:pPr>
      <w:r>
        <w:rPr>
          <w:rFonts w:ascii="Arial" w:eastAsia="Times New Roman" w:hAnsi="Arial" w:cs="Arial"/>
          <w:b/>
          <w:bCs/>
          <w:color w:val="000000"/>
          <w:sz w:val="20"/>
          <w:szCs w:val="20"/>
        </w:rPr>
        <w:t>FINANCING UPDATE</w:t>
      </w:r>
    </w:p>
    <w:p w:rsidR="00000000" w:rsidRDefault="009E01B0">
      <w:pPr>
        <w:divId w:val="609895244"/>
        <w:rPr>
          <w:rFonts w:eastAsia="Times New Roman"/>
        </w:rPr>
      </w:pPr>
    </w:p>
    <w:p w:rsidR="00000000" w:rsidRDefault="009E01B0">
      <w:pPr>
        <w:divId w:val="1380399201"/>
        <w:rPr>
          <w:rFonts w:eastAsia="Times New Roman"/>
        </w:rPr>
      </w:pPr>
      <w:r>
        <w:rPr>
          <w:rFonts w:ascii="Arial" w:eastAsia="Times New Roman" w:hAnsi="Arial" w:cs="Arial"/>
          <w:color w:val="000000"/>
          <w:sz w:val="20"/>
          <w:szCs w:val="20"/>
        </w:rPr>
        <w:t>On February 10, 2021, we entered into a three year, revolving, extendible, sustainability linked credit facility for $1.0 billion with a syndicate of lenders. As a result of the sustainability linked credit facility and other financing activities completed</w:t>
      </w:r>
      <w:r>
        <w:rPr>
          <w:rFonts w:ascii="Arial" w:eastAsia="Times New Roman" w:hAnsi="Arial" w:cs="Arial"/>
          <w:color w:val="000000"/>
          <w:sz w:val="20"/>
          <w:szCs w:val="20"/>
        </w:rPr>
        <w:t xml:space="preserve"> in 2020, our resilient cash flows and our current liquidity position, we concurrently cancelled a one year, revolving, syndicated credit facility for $3.0 billion, ahead of its scheduled March 2021 maturity.</w:t>
      </w:r>
    </w:p>
    <w:p w:rsidR="00000000" w:rsidRDefault="009E01B0">
      <w:pPr>
        <w:divId w:val="137963568"/>
        <w:rPr>
          <w:rFonts w:eastAsia="Times New Roman"/>
        </w:rPr>
      </w:pPr>
    </w:p>
    <w:p w:rsidR="00000000" w:rsidRDefault="009E01B0">
      <w:pPr>
        <w:divId w:val="1020468342"/>
        <w:rPr>
          <w:rFonts w:eastAsia="Times New Roman"/>
        </w:rPr>
      </w:pPr>
      <w:r>
        <w:rPr>
          <w:rFonts w:ascii="Arial" w:eastAsia="Times New Roman" w:hAnsi="Arial" w:cs="Arial"/>
          <w:color w:val="000000"/>
          <w:sz w:val="20"/>
          <w:szCs w:val="20"/>
        </w:rPr>
        <w:t>On February 19, 2021, we closed our inaugural</w:t>
      </w:r>
      <w:r>
        <w:rPr>
          <w:rFonts w:ascii="Arial" w:eastAsia="Times New Roman" w:hAnsi="Arial" w:cs="Arial"/>
          <w:color w:val="000000"/>
          <w:sz w:val="20"/>
          <w:szCs w:val="20"/>
        </w:rPr>
        <w:t xml:space="preserve"> US$500 million two-year Secured Overnight Financing Rate (SOFR) based Floating Rate Note (FRN) offering. The transaction has been reported to be the first SOFR-linked FRN offering by a non-financial issuer in the global fixed income market. Proceeds of th</w:t>
      </w:r>
      <w:r>
        <w:rPr>
          <w:rFonts w:ascii="Arial" w:eastAsia="Times New Roman" w:hAnsi="Arial" w:cs="Arial"/>
          <w:color w:val="000000"/>
          <w:sz w:val="20"/>
          <w:szCs w:val="20"/>
        </w:rPr>
        <w:t xml:space="preserve">is offering were used for repayment of two USD term loans for the equivalent aggregate amount which matured on February 25, 2021. </w:t>
      </w:r>
    </w:p>
    <w:p w:rsidR="00000000" w:rsidRDefault="009E01B0">
      <w:pPr>
        <w:divId w:val="1523738915"/>
        <w:rPr>
          <w:rFonts w:eastAsia="Times New Roman"/>
        </w:rPr>
      </w:pPr>
    </w:p>
    <w:p w:rsidR="00000000" w:rsidRDefault="009E01B0">
      <w:pPr>
        <w:divId w:val="369770689"/>
        <w:rPr>
          <w:rFonts w:eastAsia="Times New Roman"/>
        </w:rPr>
      </w:pPr>
      <w:r>
        <w:rPr>
          <w:rFonts w:ascii="Arial" w:eastAsia="Times New Roman" w:hAnsi="Arial" w:cs="Arial"/>
          <w:color w:val="000000"/>
          <w:sz w:val="20"/>
          <w:szCs w:val="20"/>
        </w:rPr>
        <w:t>These financing activities, in combination with the financing activities executed in 2020, are expected to provide signific</w:t>
      </w:r>
      <w:r>
        <w:rPr>
          <w:rFonts w:ascii="Arial" w:eastAsia="Times New Roman" w:hAnsi="Arial" w:cs="Arial"/>
          <w:color w:val="000000"/>
          <w:sz w:val="20"/>
          <w:szCs w:val="20"/>
        </w:rPr>
        <w:t xml:space="preserve">ant liquidity and to enable us to fund our current portfolio of capital projects without requiring access to the capital markets throughout 2021 if market access is restricted or pricing is unattractive. Refer to </w:t>
      </w:r>
      <w:r>
        <w:rPr>
          <w:rFonts w:ascii="Arial" w:eastAsia="Times New Roman" w:hAnsi="Arial" w:cs="Arial"/>
          <w:i/>
          <w:iCs/>
          <w:color w:val="000000"/>
          <w:sz w:val="20"/>
          <w:szCs w:val="20"/>
        </w:rPr>
        <w:t>Liquidity and Capital Resources</w:t>
      </w:r>
      <w:r>
        <w:rPr>
          <w:rFonts w:ascii="Arial" w:eastAsia="Times New Roman" w:hAnsi="Arial" w:cs="Arial"/>
          <w:color w:val="000000"/>
          <w:sz w:val="20"/>
          <w:szCs w:val="20"/>
        </w:rPr>
        <w:t xml:space="preserve">. </w:t>
      </w:r>
    </w:p>
    <w:p w:rsidR="00000000" w:rsidRDefault="009E01B0">
      <w:pPr>
        <w:divId w:val="1486698869"/>
        <w:rPr>
          <w:rFonts w:eastAsia="Times New Roman"/>
        </w:rPr>
      </w:pPr>
    </w:p>
    <w:p w:rsidR="00000000" w:rsidRDefault="009E01B0">
      <w:pPr>
        <w:divId w:val="1521312291"/>
        <w:rPr>
          <w:rFonts w:eastAsia="Times New Roman"/>
        </w:rPr>
      </w:pPr>
      <w:r>
        <w:rPr>
          <w:rFonts w:ascii="Arial" w:eastAsia="Times New Roman" w:hAnsi="Arial" w:cs="Arial"/>
          <w:b/>
          <w:bCs/>
          <w:color w:val="000000"/>
          <w:sz w:val="20"/>
          <w:szCs w:val="20"/>
        </w:rPr>
        <w:t>ASSET M</w:t>
      </w:r>
      <w:r>
        <w:rPr>
          <w:rFonts w:ascii="Arial" w:eastAsia="Times New Roman" w:hAnsi="Arial" w:cs="Arial"/>
          <w:b/>
          <w:bCs/>
          <w:color w:val="000000"/>
          <w:sz w:val="20"/>
          <w:szCs w:val="20"/>
        </w:rPr>
        <w:t xml:space="preserve">ONETIZATION </w:t>
      </w:r>
    </w:p>
    <w:p w:rsidR="00000000" w:rsidRDefault="009E01B0">
      <w:pPr>
        <w:divId w:val="2078627205"/>
        <w:rPr>
          <w:rFonts w:eastAsia="Times New Roman"/>
        </w:rPr>
      </w:pPr>
    </w:p>
    <w:p w:rsidR="00000000" w:rsidRDefault="009E01B0">
      <w:pPr>
        <w:divId w:val="3702687"/>
        <w:rPr>
          <w:rFonts w:eastAsia="Times New Roman"/>
        </w:rPr>
      </w:pPr>
      <w:r>
        <w:rPr>
          <w:rFonts w:ascii="Arial" w:eastAsia="Times New Roman" w:hAnsi="Arial" w:cs="Arial"/>
          <w:b/>
          <w:bCs/>
          <w:color w:val="000000"/>
          <w:sz w:val="20"/>
          <w:szCs w:val="20"/>
        </w:rPr>
        <w:t>Éolien Maritime France SAS</w:t>
      </w:r>
    </w:p>
    <w:p w:rsidR="00000000" w:rsidRDefault="009E01B0">
      <w:pPr>
        <w:divId w:val="546526292"/>
        <w:rPr>
          <w:rFonts w:eastAsia="Times New Roman"/>
        </w:rPr>
      </w:pPr>
      <w:r>
        <w:rPr>
          <w:rFonts w:ascii="Arial" w:eastAsia="Times New Roman" w:hAnsi="Arial" w:cs="Arial"/>
          <w:color w:val="000000"/>
          <w:sz w:val="20"/>
          <w:szCs w:val="20"/>
        </w:rPr>
        <w:t>On March 18, 2021, we sold 49% of an entity that holds our 50% interest in Éolien Maritime France SAS (EMF) to the Canada Pension Plan Investment Board (CPP Investments). CPP Investments will fund their 49% share o</w:t>
      </w:r>
      <w:r>
        <w:rPr>
          <w:rFonts w:ascii="Arial" w:eastAsia="Times New Roman" w:hAnsi="Arial" w:cs="Arial"/>
          <w:color w:val="000000"/>
          <w:sz w:val="20"/>
          <w:szCs w:val="20"/>
        </w:rPr>
        <w:t>f all ongoing future development capital. Through our investment in EMF, we own equity interests in three French offshore wind projects, including Saint-Nazaire (25.5%), Fécamp (17.9%) and Calvados (21.7%). The Calvados Offshore Wind Project reached a posi</w:t>
      </w:r>
      <w:r>
        <w:rPr>
          <w:rFonts w:ascii="Arial" w:eastAsia="Times New Roman" w:hAnsi="Arial" w:cs="Arial"/>
          <w:color w:val="000000"/>
          <w:sz w:val="20"/>
          <w:szCs w:val="20"/>
        </w:rPr>
        <w:t xml:space="preserve">tive final investment decision in February 2021 and all three projects are now considered commercially secured. </w:t>
      </w:r>
    </w:p>
    <w:p w:rsidR="00000000" w:rsidRDefault="009E01B0">
      <w:pPr>
        <w:divId w:val="949430748"/>
        <w:rPr>
          <w:rFonts w:eastAsia="Times New Roman"/>
        </w:rPr>
      </w:pPr>
    </w:p>
    <w:p w:rsidR="00000000" w:rsidRDefault="009E01B0">
      <w:pPr>
        <w:jc w:val="center"/>
        <w:divId w:val="1742364923"/>
        <w:rPr>
          <w:rFonts w:eastAsia="Times New Roman"/>
        </w:rPr>
      </w:pPr>
      <w:r>
        <w:rPr>
          <w:rFonts w:ascii="Arial" w:eastAsia="Times New Roman" w:hAnsi="Arial" w:cs="Arial"/>
          <w:color w:val="000000"/>
          <w:sz w:val="20"/>
          <w:szCs w:val="20"/>
        </w:rPr>
        <w:t>35</w:t>
      </w:r>
    </w:p>
    <w:p w:rsidR="00000000" w:rsidRDefault="009E01B0">
      <w:pPr>
        <w:rPr>
          <w:rFonts w:eastAsia="Times New Roman"/>
        </w:rPr>
      </w:pPr>
      <w:r>
        <w:rPr>
          <w:rFonts w:eastAsia="Times New Roman"/>
        </w:rPr>
        <w:pict>
          <v:rect id="_x0000_i1060" style="width:0;height:1.5pt" o:hralign="center" o:hrstd="t" o:hr="t" fillcolor="#a0a0a0" stroked="f"/>
        </w:pict>
      </w:r>
    </w:p>
    <w:p w:rsidR="00000000" w:rsidRDefault="009E01B0">
      <w:pPr>
        <w:divId w:val="714814526"/>
        <w:rPr>
          <w:rFonts w:eastAsia="Times New Roman"/>
        </w:rPr>
      </w:pPr>
    </w:p>
    <w:p w:rsidR="00000000" w:rsidRDefault="009E01B0">
      <w:pPr>
        <w:divId w:val="1738362433"/>
        <w:rPr>
          <w:rFonts w:eastAsia="Times New Roman"/>
        </w:rPr>
      </w:pPr>
      <w:r>
        <w:rPr>
          <w:rFonts w:ascii="Arial" w:eastAsia="Times New Roman" w:hAnsi="Arial" w:cs="Arial"/>
          <w:b/>
          <w:bCs/>
          <w:color w:val="000000"/>
          <w:sz w:val="26"/>
          <w:szCs w:val="26"/>
        </w:rPr>
        <w:t>RESULTS OF OPERATIONS</w:t>
      </w:r>
    </w:p>
    <w:p w:rsidR="00000000" w:rsidRDefault="009E01B0">
      <w:pPr>
        <w:divId w:val="767651458"/>
        <w:rPr>
          <w:rFonts w:eastAsia="Times New Roman"/>
        </w:rPr>
      </w:pPr>
      <w:r>
        <w:rPr>
          <w:rFonts w:ascii="Arial" w:eastAsia="Times New Roman" w:hAnsi="Arial" w:cs="Arial"/>
          <w:color w:val="000000"/>
          <w:sz w:val="4"/>
          <w:szCs w:val="4"/>
        </w:rPr>
        <w:t> </w:t>
      </w:r>
    </w:p>
    <w:tbl>
      <w:tblPr>
        <w:tblW w:w="5000" w:type="pct"/>
        <w:tblCellMar>
          <w:top w:w="15" w:type="dxa"/>
          <w:left w:w="15" w:type="dxa"/>
          <w:bottom w:w="15" w:type="dxa"/>
          <w:right w:w="15" w:type="dxa"/>
        </w:tblCellMar>
        <w:tblLook w:val="04A0" w:firstRow="1" w:lastRow="0" w:firstColumn="1" w:lastColumn="0" w:noHBand="0" w:noVBand="1"/>
      </w:tblPr>
      <w:tblGrid>
        <w:gridCol w:w="66"/>
        <w:gridCol w:w="6228"/>
        <w:gridCol w:w="38"/>
        <w:gridCol w:w="67"/>
        <w:gridCol w:w="793"/>
        <w:gridCol w:w="37"/>
        <w:gridCol w:w="67"/>
        <w:gridCol w:w="793"/>
        <w:gridCol w:w="37"/>
        <w:gridCol w:w="36"/>
        <w:gridCol w:w="36"/>
        <w:gridCol w:w="36"/>
        <w:gridCol w:w="36"/>
        <w:gridCol w:w="36"/>
      </w:tblGrid>
      <w:tr w:rsidR="00000000">
        <w:trPr>
          <w:divId w:val="566888258"/>
        </w:trPr>
        <w:tc>
          <w:tcPr>
            <w:tcW w:w="50" w:type="pct"/>
            <w:vAlign w:val="center"/>
            <w:hideMark/>
          </w:tcPr>
          <w:p w:rsidR="00000000" w:rsidRDefault="009E01B0">
            <w:pPr>
              <w:rPr>
                <w:rFonts w:eastAsia="Times New Roman"/>
              </w:rPr>
            </w:pPr>
          </w:p>
        </w:tc>
        <w:tc>
          <w:tcPr>
            <w:tcW w:w="383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9E01B0">
            <w:pPr>
              <w:jc w:val="cente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566888258"/>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2020</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i/>
                <w:iCs/>
                <w:color w:val="000000"/>
                <w:sz w:val="16"/>
                <w:szCs w:val="16"/>
              </w:rPr>
              <w:t>(millions of Canadian dollars, except per share amounts)</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Mar>
              <w:top w:w="30" w:type="dxa"/>
              <w:left w:w="20" w:type="dxa"/>
              <w:bottom w:w="30" w:type="dxa"/>
              <w:right w:w="20" w:type="dxa"/>
            </w:tcMar>
            <w:hideMark/>
          </w:tcPr>
          <w:p w:rsidR="00000000" w:rsidRDefault="009E01B0">
            <w:pPr>
              <w:ind w:hanging="180"/>
              <w:divId w:val="366489774"/>
              <w:rPr>
                <w:rFonts w:eastAsia="Times New Roman"/>
              </w:rPr>
            </w:pPr>
            <w:r>
              <w:rPr>
                <w:rFonts w:ascii="Arial" w:eastAsia="Times New Roman" w:hAnsi="Arial" w:cs="Arial"/>
                <w:b/>
                <w:bCs/>
                <w:color w:val="000000"/>
                <w:sz w:val="20"/>
                <w:szCs w:val="20"/>
              </w:rPr>
              <w:t>Segment earnings/(loss) before interest, income taxes and 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9E01B0">
            <w:pPr>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Mar>
              <w:top w:w="30" w:type="dxa"/>
              <w:left w:w="20" w:type="dxa"/>
              <w:bottom w:w="30" w:type="dxa"/>
              <w:right w:w="20" w:type="dxa"/>
            </w:tcMar>
            <w:hideMark/>
          </w:tcPr>
          <w:p w:rsidR="00000000" w:rsidRDefault="009E01B0">
            <w:pPr>
              <w:divId w:val="204147069"/>
              <w:rPr>
                <w:rFonts w:eastAsia="Times New Roman"/>
              </w:rPr>
            </w:pPr>
            <w:r>
              <w:rPr>
                <w:rFonts w:ascii="Arial" w:eastAsia="Times New Roman" w:hAnsi="Arial" w:cs="Arial"/>
                <w:color w:val="000000"/>
                <w:sz w:val="20"/>
                <w:szCs w:val="20"/>
              </w:rPr>
              <w:t>Liquids Pipelines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2,039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850 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Mar>
              <w:top w:w="30" w:type="dxa"/>
              <w:left w:w="20" w:type="dxa"/>
              <w:bottom w:w="30" w:type="dxa"/>
              <w:right w:w="20" w:type="dxa"/>
            </w:tcMar>
            <w:hideMark/>
          </w:tcPr>
          <w:p w:rsidR="00000000" w:rsidRDefault="009E01B0">
            <w:pPr>
              <w:divId w:val="185103335"/>
              <w:rPr>
                <w:rFonts w:eastAsia="Times New Roman"/>
              </w:rPr>
            </w:pPr>
            <w:r>
              <w:rPr>
                <w:rFonts w:ascii="Arial" w:eastAsia="Times New Roman" w:hAnsi="Arial" w:cs="Arial"/>
                <w:color w:val="000000"/>
                <w:sz w:val="20"/>
                <w:szCs w:val="20"/>
              </w:rPr>
              <w:t>Gas Transmission and Midstream</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973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(1,054)</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Mar>
              <w:top w:w="30" w:type="dxa"/>
              <w:left w:w="20" w:type="dxa"/>
              <w:bottom w:w="30" w:type="dxa"/>
              <w:right w:w="20" w:type="dxa"/>
            </w:tcMar>
            <w:hideMark/>
          </w:tcPr>
          <w:p w:rsidR="00000000" w:rsidRDefault="009E01B0">
            <w:pPr>
              <w:divId w:val="496265501"/>
              <w:rPr>
                <w:rFonts w:eastAsia="Times New Roman"/>
              </w:rPr>
            </w:pPr>
            <w:r>
              <w:rPr>
                <w:rFonts w:ascii="Arial" w:eastAsia="Times New Roman" w:hAnsi="Arial" w:cs="Arial"/>
                <w:color w:val="000000"/>
                <w:sz w:val="20"/>
                <w:szCs w:val="20"/>
              </w:rPr>
              <w:t>Gas Distribution and Storage</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634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604 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Mar>
              <w:top w:w="30" w:type="dxa"/>
              <w:left w:w="20" w:type="dxa"/>
              <w:bottom w:w="30" w:type="dxa"/>
              <w:right w:w="20" w:type="dxa"/>
            </w:tcMar>
            <w:hideMark/>
          </w:tcPr>
          <w:p w:rsidR="00000000" w:rsidRDefault="009E01B0">
            <w:pPr>
              <w:divId w:val="828056709"/>
              <w:rPr>
                <w:rFonts w:eastAsia="Times New Roman"/>
              </w:rPr>
            </w:pPr>
            <w:r>
              <w:rPr>
                <w:rFonts w:ascii="Arial" w:eastAsia="Times New Roman" w:hAnsi="Arial" w:cs="Arial"/>
                <w:color w:val="000000"/>
                <w:sz w:val="20"/>
                <w:szCs w:val="20"/>
              </w:rPr>
              <w:t>Renewable Power Generation</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156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120 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Mar>
              <w:top w:w="30" w:type="dxa"/>
              <w:left w:w="20" w:type="dxa"/>
              <w:bottom w:w="30" w:type="dxa"/>
              <w:right w:w="20" w:type="dxa"/>
            </w:tcMar>
            <w:hideMark/>
          </w:tcPr>
          <w:p w:rsidR="00000000" w:rsidRDefault="009E01B0">
            <w:pPr>
              <w:divId w:val="208494798"/>
              <w:rPr>
                <w:rFonts w:eastAsia="Times New Roman"/>
              </w:rPr>
            </w:pPr>
            <w:r>
              <w:rPr>
                <w:rFonts w:ascii="Arial" w:eastAsia="Times New Roman" w:hAnsi="Arial" w:cs="Arial"/>
                <w:color w:val="000000"/>
                <w:sz w:val="20"/>
                <w:szCs w:val="20"/>
              </w:rPr>
              <w:t>Energy Services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121 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Mar>
              <w:top w:w="30" w:type="dxa"/>
              <w:left w:w="20" w:type="dxa"/>
              <w:bottom w:w="30" w:type="dxa"/>
              <w:right w:w="20" w:type="dxa"/>
            </w:tcMar>
            <w:hideMark/>
          </w:tcPr>
          <w:p w:rsidR="00000000" w:rsidRDefault="009E01B0">
            <w:pPr>
              <w:divId w:val="1973056091"/>
              <w:rPr>
                <w:rFonts w:eastAsia="Times New Roman"/>
              </w:rPr>
            </w:pPr>
            <w:r>
              <w:rPr>
                <w:rFonts w:ascii="Arial" w:eastAsia="Times New Roman" w:hAnsi="Arial" w:cs="Arial"/>
                <w:color w:val="000000"/>
                <w:sz w:val="20"/>
                <w:szCs w:val="20"/>
              </w:rPr>
              <w:t>Eliminations and Other</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(966)</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Borders>
              <w:top w:val="single" w:sz="8" w:space="0" w:color="000000"/>
            </w:tcBorders>
            <w:tcMar>
              <w:top w:w="30" w:type="dxa"/>
              <w:left w:w="20" w:type="dxa"/>
              <w:bottom w:w="30" w:type="dxa"/>
              <w:right w:w="20" w:type="dxa"/>
            </w:tcMar>
            <w:hideMark/>
          </w:tcPr>
          <w:p w:rsidR="00000000" w:rsidRDefault="009E01B0">
            <w:pPr>
              <w:ind w:hanging="180"/>
              <w:divId w:val="1197698014"/>
              <w:rPr>
                <w:rFonts w:eastAsia="Times New Roman"/>
              </w:rPr>
            </w:pPr>
            <w:r>
              <w:rPr>
                <w:rFonts w:ascii="Arial" w:eastAsia="Times New Roman" w:hAnsi="Arial" w:cs="Arial"/>
                <w:b/>
                <w:bCs/>
                <w:color w:val="000000"/>
                <w:sz w:val="20"/>
                <w:szCs w:val="20"/>
              </w:rPr>
              <w:t>Earnings before interest, income taxes and depreciation and amortization</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4,086</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(325)</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Mar>
              <w:top w:w="30" w:type="dxa"/>
              <w:left w:w="20" w:type="dxa"/>
              <w:bottom w:w="30" w:type="dxa"/>
              <w:right w:w="20" w:type="dxa"/>
            </w:tcMar>
            <w:hideMark/>
          </w:tcPr>
          <w:p w:rsidR="00000000" w:rsidRDefault="009E01B0">
            <w:pPr>
              <w:divId w:val="1158574245"/>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(932)</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(882)</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Mar>
              <w:top w:w="30" w:type="dxa"/>
              <w:left w:w="20" w:type="dxa"/>
              <w:bottom w:w="30" w:type="dxa"/>
              <w:right w:w="20" w:type="dxa"/>
            </w:tcMar>
            <w:hideMark/>
          </w:tcPr>
          <w:p w:rsidR="00000000" w:rsidRDefault="009E01B0">
            <w:pPr>
              <w:divId w:val="299967029"/>
              <w:rPr>
                <w:rFonts w:eastAsia="Times New Roman"/>
              </w:rPr>
            </w:pPr>
            <w:r>
              <w:rPr>
                <w:rFonts w:ascii="Arial" w:eastAsia="Times New Roman" w:hAnsi="Arial" w:cs="Arial"/>
                <w:color w:val="000000"/>
                <w:sz w:val="20"/>
                <w:szCs w:val="20"/>
              </w:rPr>
              <w:t>Interest expense</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(657)</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(706)</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Mar>
              <w:top w:w="30" w:type="dxa"/>
              <w:left w:w="20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Income tax (expense)/recovery</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(483)</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549 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Mar>
              <w:top w:w="30" w:type="dxa"/>
              <w:left w:w="20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 xml:space="preserve">(Earnings)/loss attributable to noncontrolling interests </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(22)</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Mar>
              <w:top w:w="30" w:type="dxa"/>
              <w:left w:w="20" w:type="dxa"/>
              <w:bottom w:w="30" w:type="dxa"/>
              <w:right w:w="20" w:type="dxa"/>
            </w:tcMar>
            <w:hideMark/>
          </w:tcPr>
          <w:p w:rsidR="00000000" w:rsidRDefault="009E01B0">
            <w:pPr>
              <w:divId w:val="1479148758"/>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(92)</w:t>
            </w:r>
          </w:p>
        </w:tc>
        <w:tc>
          <w:tcPr>
            <w:tcW w:w="0" w:type="auto"/>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(96)</w:t>
            </w:r>
          </w:p>
        </w:tc>
        <w:tc>
          <w:tcPr>
            <w:tcW w:w="0" w:type="auto"/>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b/>
                <w:bCs/>
                <w:color w:val="000000"/>
                <w:sz w:val="20"/>
                <w:szCs w:val="20"/>
              </w:rPr>
              <w:t>Earnings attributable to common shareholders</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b/>
                <w:bCs/>
                <w:color w:val="000000"/>
                <w:sz w:val="20"/>
                <w:szCs w:val="20"/>
              </w:rPr>
              <w:t>1,900</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(1,429)</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Borders>
              <w:top w:val="single" w:sz="8" w:space="0" w:color="000000"/>
            </w:tcBorders>
            <w:tcMar>
              <w:top w:w="30" w:type="dxa"/>
              <w:left w:w="380" w:type="dxa"/>
              <w:bottom w:w="30" w:type="dxa"/>
              <w:right w:w="20" w:type="dxa"/>
            </w:tcMar>
            <w:hideMark/>
          </w:tcPr>
          <w:p w:rsidR="00000000" w:rsidRDefault="009E01B0">
            <w:pPr>
              <w:ind w:hanging="180"/>
              <w:rPr>
                <w:rFonts w:eastAsia="Times New Roman"/>
              </w:rPr>
            </w:pPr>
            <w:r>
              <w:rPr>
                <w:rFonts w:ascii="Arial" w:eastAsia="Times New Roman" w:hAnsi="Arial" w:cs="Arial"/>
                <w:color w:val="000000"/>
                <w:sz w:val="20"/>
                <w:szCs w:val="20"/>
              </w:rPr>
              <w:t>Earnings/(loss) per common share attributable to common shareholders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0.94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(0.71)</w:t>
            </w:r>
          </w:p>
        </w:tc>
        <w:tc>
          <w:tcPr>
            <w:tcW w:w="0" w:type="auto"/>
            <w:tcBorders>
              <w:top w:val="single" w:sz="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66888258"/>
        </w:trPr>
        <w:tc>
          <w:tcPr>
            <w:tcW w:w="0" w:type="auto"/>
            <w:gridSpan w:val="3"/>
            <w:tcBorders>
              <w:bottom w:val="single" w:sz="18" w:space="0" w:color="000000"/>
            </w:tcBorders>
            <w:tcMar>
              <w:top w:w="30" w:type="dxa"/>
              <w:left w:w="380" w:type="dxa"/>
              <w:bottom w:w="30" w:type="dxa"/>
              <w:right w:w="20" w:type="dxa"/>
            </w:tcMar>
            <w:hideMark/>
          </w:tcPr>
          <w:p w:rsidR="00000000" w:rsidRDefault="009E01B0">
            <w:pPr>
              <w:ind w:hanging="180"/>
              <w:rPr>
                <w:rFonts w:eastAsia="Times New Roman"/>
              </w:rPr>
            </w:pPr>
            <w:r>
              <w:rPr>
                <w:rFonts w:ascii="Arial" w:eastAsia="Times New Roman" w:hAnsi="Arial" w:cs="Arial"/>
                <w:color w:val="000000"/>
                <w:sz w:val="20"/>
                <w:szCs w:val="20"/>
              </w:rPr>
              <w:t>Diluted earnings/(loss) per common share attributable to common shareholders</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0.94</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(0.71)</w:t>
            </w:r>
          </w:p>
        </w:tc>
        <w:tc>
          <w:tcPr>
            <w:tcW w:w="0" w:type="auto"/>
            <w:tcBorders>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bl>
    <w:p w:rsidR="00000000" w:rsidRDefault="009E01B0">
      <w:pPr>
        <w:divId w:val="1914508665"/>
        <w:rPr>
          <w:rFonts w:eastAsia="Times New Roman"/>
        </w:rPr>
      </w:pPr>
    </w:p>
    <w:p w:rsidR="00000000" w:rsidRDefault="009E01B0">
      <w:pPr>
        <w:divId w:val="1105343836"/>
        <w:rPr>
          <w:rFonts w:eastAsia="Times New Roman"/>
        </w:rPr>
      </w:pPr>
      <w:r>
        <w:rPr>
          <w:rFonts w:ascii="Arial" w:eastAsia="Times New Roman" w:hAnsi="Arial" w:cs="Arial"/>
          <w:b/>
          <w:bCs/>
          <w:color w:val="000000"/>
          <w:sz w:val="20"/>
          <w:szCs w:val="20"/>
        </w:rPr>
        <w:t>EARNINGS ATTRIBUTABLE TO COMMON SHAREHOLDERS</w:t>
      </w:r>
    </w:p>
    <w:p w:rsidR="00000000" w:rsidRDefault="009E01B0">
      <w:pPr>
        <w:divId w:val="387388631"/>
        <w:rPr>
          <w:rFonts w:eastAsia="Times New Roman"/>
        </w:rPr>
      </w:pPr>
    </w:p>
    <w:p w:rsidR="00000000" w:rsidRDefault="009E01B0">
      <w:pPr>
        <w:divId w:val="213779360"/>
        <w:rPr>
          <w:rFonts w:eastAsia="Times New Roman"/>
        </w:rPr>
      </w:pPr>
      <w:r>
        <w:rPr>
          <w:rFonts w:ascii="Arial" w:eastAsia="Times New Roman" w:hAnsi="Arial" w:cs="Arial"/>
          <w:b/>
          <w:bCs/>
          <w:color w:val="000000"/>
          <w:sz w:val="20"/>
          <w:szCs w:val="20"/>
        </w:rPr>
        <w:t>Three months ended March 31, 2021, compared with the three months ended March 31, 2020</w:t>
      </w:r>
    </w:p>
    <w:p w:rsidR="00000000" w:rsidRDefault="009E01B0">
      <w:pPr>
        <w:divId w:val="732653996"/>
        <w:rPr>
          <w:rFonts w:eastAsia="Times New Roman"/>
        </w:rPr>
      </w:pPr>
    </w:p>
    <w:p w:rsidR="00000000" w:rsidRDefault="009E01B0">
      <w:pPr>
        <w:divId w:val="621152740"/>
        <w:rPr>
          <w:rFonts w:eastAsia="Times New Roman"/>
        </w:rPr>
      </w:pPr>
      <w:r>
        <w:rPr>
          <w:rFonts w:ascii="Arial" w:eastAsia="Times New Roman" w:hAnsi="Arial" w:cs="Arial"/>
          <w:color w:val="000000"/>
          <w:sz w:val="20"/>
          <w:szCs w:val="20"/>
        </w:rPr>
        <w:t>Earnings attributable to common shareholders were positively impacted by $3.4 billion due to certain unusual, infrequent or other non-operating factors, primarily expl</w:t>
      </w:r>
      <w:r>
        <w:rPr>
          <w:rFonts w:ascii="Arial" w:eastAsia="Times New Roman" w:hAnsi="Arial" w:cs="Arial"/>
          <w:color w:val="000000"/>
          <w:sz w:val="20"/>
          <w:szCs w:val="20"/>
        </w:rPr>
        <w:t>ained by the following factors, some of which relate to the onset of COVID-19 effects in March 2020:</w:t>
      </w:r>
    </w:p>
    <w:p w:rsidR="00000000" w:rsidRDefault="009E01B0">
      <w:pPr>
        <w:ind w:hanging="360"/>
        <w:divId w:val="1947033169"/>
        <w:rPr>
          <w:rFonts w:eastAsia="Times New Roman"/>
        </w:rPr>
      </w:pPr>
      <w:r>
        <w:rPr>
          <w:rFonts w:ascii="Arial" w:eastAsia="Times New Roman" w:hAnsi="Arial" w:cs="Arial"/>
          <w:color w:val="000000"/>
          <w:sz w:val="20"/>
          <w:szCs w:val="20"/>
        </w:rPr>
        <w:t>•a non-cash, unrealized derivative fair value gain of $279 million ($211 million after-tax) in 2021, compared with a loss of $2.0 billion ($1.5 billion aft</w:t>
      </w:r>
      <w:r>
        <w:rPr>
          <w:rFonts w:ascii="Arial" w:eastAsia="Times New Roman" w:hAnsi="Arial" w:cs="Arial"/>
          <w:color w:val="000000"/>
          <w:sz w:val="20"/>
          <w:szCs w:val="20"/>
        </w:rPr>
        <w:t xml:space="preserve">er-tax) in 2020, reflecting changes in the mark-to-market value of derivative financial instruments used to manage foreign exchange risks; </w:t>
      </w:r>
    </w:p>
    <w:p w:rsidR="00000000" w:rsidRDefault="009E01B0">
      <w:pPr>
        <w:ind w:hanging="360"/>
        <w:divId w:val="1895116354"/>
        <w:rPr>
          <w:rFonts w:eastAsia="Times New Roman"/>
        </w:rPr>
      </w:pPr>
      <w:r>
        <w:rPr>
          <w:rFonts w:ascii="Arial" w:eastAsia="Times New Roman" w:hAnsi="Arial" w:cs="Arial"/>
          <w:color w:val="000000"/>
          <w:sz w:val="20"/>
          <w:szCs w:val="20"/>
        </w:rPr>
        <w:t>•the absence in 2021 of a non-cash impairment to the carrying value of our investment in DCP Midstream, LLC (DCP Mid</w:t>
      </w:r>
      <w:r>
        <w:rPr>
          <w:rFonts w:ascii="Arial" w:eastAsia="Times New Roman" w:hAnsi="Arial" w:cs="Arial"/>
          <w:color w:val="000000"/>
          <w:sz w:val="20"/>
          <w:szCs w:val="20"/>
        </w:rPr>
        <w:t>stream) of $1.7 billion ($1.3 billion after-tax) recognized in 2020;</w:t>
      </w:r>
    </w:p>
    <w:p w:rsidR="00000000" w:rsidRDefault="009E01B0">
      <w:pPr>
        <w:ind w:hanging="360"/>
        <w:divId w:val="612327966"/>
        <w:rPr>
          <w:rFonts w:eastAsia="Times New Roman"/>
        </w:rPr>
      </w:pPr>
      <w:r>
        <w:rPr>
          <w:rFonts w:ascii="Arial" w:eastAsia="Times New Roman" w:hAnsi="Arial" w:cs="Arial"/>
          <w:color w:val="000000"/>
          <w:sz w:val="20"/>
          <w:szCs w:val="20"/>
        </w:rPr>
        <w:t>•the absence in 2021 of a loss of $324 million ($244 million after-tax) resulting from asset and goodwill impairment losses within DCP Midstream recognized in 2020;</w:t>
      </w:r>
    </w:p>
    <w:p w:rsidR="00000000" w:rsidRDefault="009E01B0">
      <w:pPr>
        <w:ind w:hanging="360"/>
        <w:divId w:val="931746575"/>
        <w:rPr>
          <w:rFonts w:eastAsia="Times New Roman"/>
        </w:rPr>
      </w:pPr>
      <w:r>
        <w:rPr>
          <w:rFonts w:ascii="Arial" w:eastAsia="Times New Roman" w:hAnsi="Arial" w:cs="Arial"/>
          <w:color w:val="000000"/>
          <w:sz w:val="20"/>
          <w:szCs w:val="20"/>
        </w:rPr>
        <w:t>•the absence in 2021 o</w:t>
      </w:r>
      <w:r>
        <w:rPr>
          <w:rFonts w:ascii="Arial" w:eastAsia="Times New Roman" w:hAnsi="Arial" w:cs="Arial"/>
          <w:color w:val="000000"/>
          <w:sz w:val="20"/>
          <w:szCs w:val="20"/>
        </w:rPr>
        <w:t>f a loss of $159 million ($119 million after-tax) in 2020 resulting from the Texas Eastern Transmission, LP (Texas Eastern) rate case settlement that re-established the Excess Accumulated Deferred Income Tax (EDIT) regulated liability that was previously e</w:t>
      </w:r>
      <w:r>
        <w:rPr>
          <w:rFonts w:ascii="Arial" w:eastAsia="Times New Roman" w:hAnsi="Arial" w:cs="Arial"/>
          <w:color w:val="000000"/>
          <w:sz w:val="20"/>
          <w:szCs w:val="20"/>
        </w:rPr>
        <w:t>liminated in December 2018; and</w:t>
      </w:r>
    </w:p>
    <w:p w:rsidR="00000000" w:rsidRDefault="009E01B0">
      <w:pPr>
        <w:ind w:hanging="360"/>
        <w:divId w:val="34945237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absence in 2021 of a non-cash, write-down of crude oil and natural gas inventories to the lower of cost or market in our Energy Services business segment of $342 million ($255 million after-tax) in 2020.</w:t>
      </w:r>
    </w:p>
    <w:p w:rsidR="00000000" w:rsidRDefault="009E01B0">
      <w:pPr>
        <w:divId w:val="1649214155"/>
        <w:rPr>
          <w:rFonts w:eastAsia="Times New Roman"/>
        </w:rPr>
      </w:pPr>
    </w:p>
    <w:p w:rsidR="00000000" w:rsidRDefault="009E01B0">
      <w:pPr>
        <w:divId w:val="777411491"/>
        <w:rPr>
          <w:rFonts w:eastAsia="Times New Roman"/>
        </w:rPr>
      </w:pPr>
      <w:r>
        <w:rPr>
          <w:rFonts w:ascii="Arial" w:eastAsia="Times New Roman" w:hAnsi="Arial" w:cs="Arial"/>
          <w:color w:val="000000"/>
          <w:sz w:val="20"/>
          <w:szCs w:val="20"/>
        </w:rPr>
        <w:t>The positive factors above were partially offs</w:t>
      </w:r>
      <w:r>
        <w:rPr>
          <w:rFonts w:ascii="Arial" w:eastAsia="Times New Roman" w:hAnsi="Arial" w:cs="Arial"/>
          <w:color w:val="000000"/>
          <w:sz w:val="20"/>
          <w:szCs w:val="20"/>
        </w:rPr>
        <w:t>et by a non-cash, unrealized gain of $139 million ($105 million after-tax) in 2021, compared with a gain of $476 million ($355 million after-tax) in 2020, reflecting the revaluation of derivatives used to manage the profitability of transportation and stor</w:t>
      </w:r>
      <w:r>
        <w:rPr>
          <w:rFonts w:ascii="Arial" w:eastAsia="Times New Roman" w:hAnsi="Arial" w:cs="Arial"/>
          <w:color w:val="000000"/>
          <w:sz w:val="20"/>
          <w:szCs w:val="20"/>
        </w:rPr>
        <w:t>age transactions, as well as manage the exposure to movements in commodity prices.</w:t>
      </w:r>
    </w:p>
    <w:p w:rsidR="00000000" w:rsidRDefault="009E01B0">
      <w:pPr>
        <w:divId w:val="323819217"/>
        <w:rPr>
          <w:rFonts w:eastAsia="Times New Roman"/>
        </w:rPr>
      </w:pPr>
    </w:p>
    <w:p w:rsidR="00000000" w:rsidRDefault="009E01B0">
      <w:pPr>
        <w:jc w:val="center"/>
        <w:divId w:val="1400594556"/>
        <w:rPr>
          <w:rFonts w:eastAsia="Times New Roman"/>
        </w:rPr>
      </w:pPr>
      <w:r>
        <w:rPr>
          <w:rFonts w:ascii="Arial" w:eastAsia="Times New Roman" w:hAnsi="Arial" w:cs="Arial"/>
          <w:color w:val="000000"/>
          <w:sz w:val="20"/>
          <w:szCs w:val="20"/>
        </w:rPr>
        <w:t>36</w:t>
      </w:r>
    </w:p>
    <w:p w:rsidR="00000000" w:rsidRDefault="009E01B0">
      <w:pPr>
        <w:rPr>
          <w:rFonts w:eastAsia="Times New Roman"/>
        </w:rPr>
      </w:pPr>
      <w:r>
        <w:rPr>
          <w:rFonts w:eastAsia="Times New Roman"/>
        </w:rPr>
        <w:pict>
          <v:rect id="_x0000_i1061" style="width:0;height:1.5pt" o:hralign="center" o:hrstd="t" o:hr="t" fillcolor="#a0a0a0" stroked="f"/>
        </w:pict>
      </w:r>
    </w:p>
    <w:p w:rsidR="00000000" w:rsidRDefault="009E01B0">
      <w:pPr>
        <w:divId w:val="1001665973"/>
        <w:rPr>
          <w:rFonts w:eastAsia="Times New Roman"/>
        </w:rPr>
      </w:pPr>
    </w:p>
    <w:p w:rsidR="00000000" w:rsidRDefault="009E01B0">
      <w:pPr>
        <w:divId w:val="1064108830"/>
        <w:rPr>
          <w:rFonts w:eastAsia="Times New Roman"/>
        </w:rPr>
      </w:pPr>
      <w:r>
        <w:rPr>
          <w:rFonts w:ascii="Arial" w:eastAsia="Times New Roman" w:hAnsi="Arial" w:cs="Arial"/>
          <w:color w:val="000000"/>
          <w:sz w:val="20"/>
          <w:szCs w:val="20"/>
        </w:rPr>
        <w:t>The non-cash, unrealized derivative fair value gains and losses discussed above generally arise as a result of a comprehensive lon</w:t>
      </w:r>
      <w:r>
        <w:rPr>
          <w:rFonts w:ascii="Arial" w:eastAsia="Times New Roman" w:hAnsi="Arial" w:cs="Arial"/>
          <w:color w:val="000000"/>
          <w:sz w:val="20"/>
          <w:szCs w:val="20"/>
        </w:rPr>
        <w:t>g-term economic hedging program to mitigate foreign exchange and commodity price risks. This program creates volatility in reported short-term earnings through the recognition of unrealized non-cash gains and losses on financial derivative instruments used</w:t>
      </w:r>
      <w:r>
        <w:rPr>
          <w:rFonts w:ascii="Arial" w:eastAsia="Times New Roman" w:hAnsi="Arial" w:cs="Arial"/>
          <w:color w:val="000000"/>
          <w:sz w:val="20"/>
          <w:szCs w:val="20"/>
        </w:rPr>
        <w:t xml:space="preserve"> to hedge these risks. Over the long-term, we believe our hedging program supports the reliable cash flows and dividend growth upon which our investor value proposition is based.</w:t>
      </w:r>
    </w:p>
    <w:p w:rsidR="00000000" w:rsidRDefault="009E01B0">
      <w:pPr>
        <w:divId w:val="813332569"/>
        <w:rPr>
          <w:rFonts w:eastAsia="Times New Roman"/>
        </w:rPr>
      </w:pPr>
    </w:p>
    <w:p w:rsidR="00000000" w:rsidRDefault="009E01B0">
      <w:pPr>
        <w:divId w:val="507912117"/>
        <w:rPr>
          <w:rFonts w:eastAsia="Times New Roman"/>
        </w:rPr>
      </w:pPr>
      <w:r>
        <w:rPr>
          <w:rFonts w:ascii="Arial" w:eastAsia="Times New Roman" w:hAnsi="Arial" w:cs="Arial"/>
          <w:color w:val="000000"/>
          <w:sz w:val="20"/>
          <w:szCs w:val="20"/>
        </w:rPr>
        <w:t>After taking into consideration the factors above, the remaining $34 millio</w:t>
      </w:r>
      <w:r>
        <w:rPr>
          <w:rFonts w:ascii="Arial" w:eastAsia="Times New Roman" w:hAnsi="Arial" w:cs="Arial"/>
          <w:color w:val="000000"/>
          <w:sz w:val="20"/>
          <w:szCs w:val="20"/>
        </w:rPr>
        <w:t>n decrease in earnings attributable to common shareholders is primarily explained by the following significant business factors:</w:t>
      </w:r>
    </w:p>
    <w:p w:rsidR="00000000" w:rsidRDefault="009E01B0">
      <w:pPr>
        <w:ind w:hanging="360"/>
        <w:divId w:val="1866475981"/>
        <w:rPr>
          <w:rFonts w:eastAsia="Times New Roman"/>
        </w:rPr>
      </w:pPr>
      <w:r>
        <w:rPr>
          <w:rFonts w:ascii="Arial" w:eastAsia="Times New Roman" w:hAnsi="Arial" w:cs="Arial"/>
          <w:color w:val="000000"/>
          <w:sz w:val="20"/>
          <w:szCs w:val="20"/>
        </w:rPr>
        <w:t>•the absence in 2021 of the recognition of revenues in 2020 from settled rates on Texas Eastern, retroactive to June 1, 2019 in</w:t>
      </w:r>
      <w:r>
        <w:rPr>
          <w:rFonts w:ascii="Arial" w:eastAsia="Times New Roman" w:hAnsi="Arial" w:cs="Arial"/>
          <w:color w:val="000000"/>
          <w:sz w:val="20"/>
          <w:szCs w:val="20"/>
        </w:rPr>
        <w:t xml:space="preserve"> our Gas Transmission and Midstream segment; and</w:t>
      </w:r>
    </w:p>
    <w:p w:rsidR="00000000" w:rsidRDefault="009E01B0">
      <w:pPr>
        <w:ind w:hanging="360"/>
        <w:divId w:val="725765721"/>
        <w:rPr>
          <w:rFonts w:eastAsia="Times New Roman"/>
        </w:rPr>
      </w:pPr>
      <w:r>
        <w:rPr>
          <w:rFonts w:ascii="Arial" w:eastAsia="Times New Roman" w:hAnsi="Arial" w:cs="Arial"/>
          <w:color w:val="000000"/>
          <w:sz w:val="20"/>
          <w:szCs w:val="20"/>
        </w:rPr>
        <w:t>•decreased earnings from our Energy Services segment due to the significant compression of location and quality differentials in certain markets, adverse impacts from the major winter storm experienced acros</w:t>
      </w:r>
      <w:r>
        <w:rPr>
          <w:rFonts w:ascii="Arial" w:eastAsia="Times New Roman" w:hAnsi="Arial" w:cs="Arial"/>
          <w:color w:val="000000"/>
          <w:sz w:val="20"/>
          <w:szCs w:val="20"/>
        </w:rPr>
        <w:t>s the US Midwest during February 2021 and fewer opportunities to achieve profitable transportation margins on facilities in which Energy Services holds capacity obligations.</w:t>
      </w:r>
    </w:p>
    <w:p w:rsidR="00000000" w:rsidRDefault="009E01B0">
      <w:pPr>
        <w:ind w:hanging="720"/>
        <w:divId w:val="1306348202"/>
        <w:rPr>
          <w:rFonts w:eastAsia="Times New Roman"/>
        </w:rPr>
      </w:pPr>
    </w:p>
    <w:p w:rsidR="00000000" w:rsidRDefault="009E01B0">
      <w:pPr>
        <w:divId w:val="2052459753"/>
        <w:rPr>
          <w:rFonts w:eastAsia="Times New Roman"/>
        </w:rPr>
      </w:pPr>
      <w:r>
        <w:rPr>
          <w:rFonts w:ascii="Arial" w:eastAsia="Times New Roman" w:hAnsi="Arial" w:cs="Arial"/>
          <w:color w:val="000000"/>
          <w:sz w:val="20"/>
          <w:szCs w:val="20"/>
        </w:rPr>
        <w:t xml:space="preserve">The business factors above were partially offset by increased earnings from our </w:t>
      </w:r>
      <w:r>
        <w:rPr>
          <w:rFonts w:ascii="Arial" w:eastAsia="Times New Roman" w:hAnsi="Arial" w:cs="Arial"/>
          <w:color w:val="000000"/>
          <w:sz w:val="20"/>
          <w:szCs w:val="20"/>
        </w:rPr>
        <w:t xml:space="preserve">Gas Distribution and Storage segment due to higher distribution charges resulting from increases in rates and customer base as well as colder weather experienced in our franchise service areas in 2021 compared to 2020. </w:t>
      </w:r>
    </w:p>
    <w:p w:rsidR="00000000" w:rsidRDefault="009E01B0">
      <w:pPr>
        <w:ind w:hanging="720"/>
        <w:divId w:val="1678843189"/>
        <w:rPr>
          <w:rFonts w:eastAsia="Times New Roman"/>
        </w:rPr>
      </w:pPr>
    </w:p>
    <w:p w:rsidR="00000000" w:rsidRDefault="009E01B0">
      <w:pPr>
        <w:divId w:val="296224529"/>
        <w:rPr>
          <w:rFonts w:eastAsia="Times New Roman"/>
        </w:rPr>
      </w:pPr>
      <w:r>
        <w:rPr>
          <w:rFonts w:ascii="Arial" w:eastAsia="Times New Roman" w:hAnsi="Arial" w:cs="Arial"/>
          <w:b/>
          <w:bCs/>
          <w:color w:val="000000"/>
          <w:sz w:val="20"/>
          <w:szCs w:val="20"/>
        </w:rPr>
        <w:t>BUSINESS SEGMENTS</w:t>
      </w:r>
    </w:p>
    <w:p w:rsidR="00000000" w:rsidRDefault="009E01B0">
      <w:pPr>
        <w:divId w:val="284967377"/>
        <w:rPr>
          <w:rFonts w:eastAsia="Times New Roman"/>
        </w:rPr>
      </w:pPr>
    </w:p>
    <w:p w:rsidR="00000000" w:rsidRDefault="009E01B0">
      <w:pPr>
        <w:divId w:val="147016464"/>
        <w:rPr>
          <w:rFonts w:eastAsia="Times New Roman"/>
        </w:rPr>
      </w:pPr>
      <w:r>
        <w:rPr>
          <w:rFonts w:ascii="Arial" w:eastAsia="Times New Roman" w:hAnsi="Arial" w:cs="Arial"/>
          <w:b/>
          <w:bCs/>
          <w:color w:val="000000"/>
          <w:sz w:val="20"/>
          <w:szCs w:val="20"/>
        </w:rPr>
        <w:t>LIQUIDS PIPELI</w:t>
      </w:r>
      <w:r>
        <w:rPr>
          <w:rFonts w:ascii="Arial" w:eastAsia="Times New Roman" w:hAnsi="Arial" w:cs="Arial"/>
          <w:b/>
          <w:bCs/>
          <w:color w:val="000000"/>
          <w:sz w:val="20"/>
          <w:szCs w:val="20"/>
        </w:rPr>
        <w:t>NES</w:t>
      </w:r>
    </w:p>
    <w:p w:rsidR="00000000" w:rsidRDefault="009E01B0">
      <w:pPr>
        <w:divId w:val="1370496630"/>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6"/>
        <w:gridCol w:w="6229"/>
        <w:gridCol w:w="37"/>
        <w:gridCol w:w="67"/>
        <w:gridCol w:w="793"/>
        <w:gridCol w:w="37"/>
        <w:gridCol w:w="67"/>
        <w:gridCol w:w="793"/>
        <w:gridCol w:w="37"/>
        <w:gridCol w:w="36"/>
        <w:gridCol w:w="36"/>
        <w:gridCol w:w="36"/>
        <w:gridCol w:w="36"/>
        <w:gridCol w:w="36"/>
      </w:tblGrid>
      <w:tr w:rsidR="00000000">
        <w:trPr>
          <w:divId w:val="558445136"/>
        </w:trPr>
        <w:tc>
          <w:tcPr>
            <w:tcW w:w="50" w:type="pct"/>
            <w:vAlign w:val="center"/>
            <w:hideMark/>
          </w:tcPr>
          <w:p w:rsidR="00000000" w:rsidRDefault="009E01B0">
            <w:pPr>
              <w:rPr>
                <w:rFonts w:eastAsia="Times New Roman"/>
              </w:rPr>
            </w:pPr>
          </w:p>
        </w:tc>
        <w:tc>
          <w:tcPr>
            <w:tcW w:w="383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58445136"/>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9E01B0">
            <w:pPr>
              <w:jc w:val="cente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558445136"/>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2020</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5844513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558445136"/>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9E01B0">
            <w:pPr>
              <w:ind w:hanging="180"/>
              <w:divId w:val="768815729"/>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2,039</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850 </w:t>
            </w:r>
          </w:p>
        </w:tc>
        <w:tc>
          <w:tcPr>
            <w:tcW w:w="0" w:type="auto"/>
            <w:tcBorders>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bl>
    <w:p w:rsidR="00000000" w:rsidRDefault="009E01B0">
      <w:pPr>
        <w:divId w:val="1054934222"/>
        <w:rPr>
          <w:rFonts w:eastAsia="Times New Roman"/>
        </w:rPr>
      </w:pPr>
    </w:p>
    <w:p w:rsidR="00000000" w:rsidRDefault="009E01B0">
      <w:pPr>
        <w:divId w:val="1365212752"/>
        <w:rPr>
          <w:rFonts w:eastAsia="Times New Roman"/>
        </w:rPr>
      </w:pPr>
      <w:r>
        <w:rPr>
          <w:rFonts w:ascii="Arial" w:eastAsia="Times New Roman" w:hAnsi="Arial" w:cs="Arial"/>
          <w:b/>
          <w:bCs/>
          <w:color w:val="000000"/>
          <w:sz w:val="20"/>
          <w:szCs w:val="20"/>
        </w:rPr>
        <w:t>Three months ended March 31, 2021, compared with the three months ended March 31, 2020</w:t>
      </w:r>
    </w:p>
    <w:p w:rsidR="00000000" w:rsidRDefault="009E01B0">
      <w:pPr>
        <w:divId w:val="1598518401"/>
        <w:rPr>
          <w:rFonts w:eastAsia="Times New Roman"/>
        </w:rPr>
      </w:pPr>
    </w:p>
    <w:p w:rsidR="00000000" w:rsidRDefault="009E01B0">
      <w:pPr>
        <w:divId w:val="325939855"/>
        <w:rPr>
          <w:rFonts w:eastAsia="Times New Roman"/>
        </w:rPr>
      </w:pPr>
      <w:r>
        <w:rPr>
          <w:rFonts w:ascii="Arial" w:eastAsia="Times New Roman" w:hAnsi="Arial" w:cs="Arial"/>
          <w:color w:val="000000"/>
          <w:sz w:val="20"/>
          <w:szCs w:val="20"/>
        </w:rPr>
        <w:t>Earnings before interest, income taxes and depreciation and amortization (EBITDA) was positively impacted by $1.2 billion due to non-operating, non-cash, unrealized ga</w:t>
      </w:r>
      <w:r>
        <w:rPr>
          <w:rFonts w:ascii="Arial" w:eastAsia="Times New Roman" w:hAnsi="Arial" w:cs="Arial"/>
          <w:color w:val="000000"/>
          <w:sz w:val="20"/>
          <w:szCs w:val="20"/>
        </w:rPr>
        <w:t>ins of $161 million in 2021, compared with losses of $1.1 billion in 2020, reflecting net fair value gains and losses arising from changes in the mark-to-market value of derivative financial instruments used to manage foreign exchange risks.</w:t>
      </w:r>
    </w:p>
    <w:p w:rsidR="00000000" w:rsidRDefault="009E01B0">
      <w:pPr>
        <w:divId w:val="2107654507"/>
        <w:rPr>
          <w:rFonts w:eastAsia="Times New Roman"/>
        </w:rPr>
      </w:pPr>
    </w:p>
    <w:p w:rsidR="00000000" w:rsidRDefault="009E01B0">
      <w:pPr>
        <w:divId w:val="1414738920"/>
        <w:rPr>
          <w:rFonts w:eastAsia="Times New Roman"/>
        </w:rPr>
      </w:pPr>
      <w:r>
        <w:rPr>
          <w:rFonts w:ascii="Arial" w:eastAsia="Times New Roman" w:hAnsi="Arial" w:cs="Arial"/>
          <w:color w:val="000000"/>
          <w:sz w:val="20"/>
          <w:szCs w:val="20"/>
        </w:rPr>
        <w:t>After taking</w:t>
      </w:r>
      <w:r>
        <w:rPr>
          <w:rFonts w:ascii="Arial" w:eastAsia="Times New Roman" w:hAnsi="Arial" w:cs="Arial"/>
          <w:color w:val="000000"/>
          <w:sz w:val="20"/>
          <w:szCs w:val="20"/>
        </w:rPr>
        <w:t xml:space="preserve"> into consideration the factor above, the remaining $38 million decrease is primarily explained by the following significant business factors:</w:t>
      </w:r>
    </w:p>
    <w:p w:rsidR="00000000" w:rsidRDefault="009E01B0">
      <w:pPr>
        <w:ind w:hanging="360"/>
        <w:divId w:val="1680035763"/>
        <w:rPr>
          <w:rFonts w:eastAsia="Times New Roman"/>
        </w:rPr>
      </w:pPr>
      <w:r>
        <w:rPr>
          <w:rFonts w:ascii="Arial" w:eastAsia="Times New Roman" w:hAnsi="Arial" w:cs="Arial"/>
          <w:color w:val="000000"/>
          <w:sz w:val="20"/>
          <w:szCs w:val="20"/>
        </w:rPr>
        <w:t>•lower Mainline System ex-Gretna throughput of 2.7 million barrels per day (mmbpd) in 2021 compared with 2.8 mmbp</w:t>
      </w:r>
      <w:r>
        <w:rPr>
          <w:rFonts w:ascii="Arial" w:eastAsia="Times New Roman" w:hAnsi="Arial" w:cs="Arial"/>
          <w:color w:val="000000"/>
          <w:sz w:val="20"/>
          <w:szCs w:val="20"/>
        </w:rPr>
        <w:t xml:space="preserve">d in 2020 due to lower volume demand resulting from the COVID-19 pandemic impact on supply and demand for crude oil and related products; </w:t>
      </w:r>
    </w:p>
    <w:p w:rsidR="00000000" w:rsidRDefault="009E01B0">
      <w:pPr>
        <w:ind w:hanging="360"/>
        <w:divId w:val="455562923"/>
        <w:rPr>
          <w:rFonts w:eastAsia="Times New Roman"/>
        </w:rPr>
      </w:pPr>
      <w:r>
        <w:rPr>
          <w:rFonts w:ascii="Arial" w:eastAsia="Times New Roman" w:hAnsi="Arial" w:cs="Arial"/>
          <w:color w:val="000000"/>
          <w:sz w:val="20"/>
          <w:szCs w:val="20"/>
        </w:rPr>
        <w:t>•lower throughput on our Bakken Pipeline System, Seaway Crude Pipeline System and Flanagan South Pipeline driven by s</w:t>
      </w:r>
      <w:r>
        <w:rPr>
          <w:rFonts w:ascii="Arial" w:eastAsia="Times New Roman" w:hAnsi="Arial" w:cs="Arial"/>
          <w:color w:val="000000"/>
          <w:sz w:val="20"/>
          <w:szCs w:val="20"/>
        </w:rPr>
        <w:t>imilar reasons we noted for the Mainline System; and</w:t>
      </w:r>
    </w:p>
    <w:p w:rsidR="00000000" w:rsidRDefault="009E01B0">
      <w:pPr>
        <w:ind w:hanging="360"/>
        <w:divId w:val="225066964"/>
        <w:rPr>
          <w:rFonts w:eastAsia="Times New Roman"/>
        </w:rPr>
      </w:pPr>
      <w:r>
        <w:rPr>
          <w:rFonts w:ascii="Arial" w:eastAsia="Times New Roman" w:hAnsi="Arial" w:cs="Arial"/>
          <w:color w:val="000000"/>
          <w:sz w:val="20"/>
          <w:szCs w:val="20"/>
        </w:rPr>
        <w:t xml:space="preserve">•the net unfavorable effect of translating US dollar EBITDA to Canadian dollars at a lower average exchange rate in 2021 compared with 2020. </w:t>
      </w:r>
    </w:p>
    <w:p w:rsidR="00000000" w:rsidRDefault="009E01B0">
      <w:pPr>
        <w:divId w:val="1342703829"/>
        <w:rPr>
          <w:rFonts w:eastAsia="Times New Roman"/>
        </w:rPr>
      </w:pPr>
    </w:p>
    <w:p w:rsidR="00000000" w:rsidRDefault="009E01B0">
      <w:pPr>
        <w:jc w:val="center"/>
        <w:divId w:val="1276985295"/>
        <w:rPr>
          <w:rFonts w:eastAsia="Times New Roman"/>
        </w:rPr>
      </w:pPr>
      <w:r>
        <w:rPr>
          <w:rFonts w:ascii="Arial" w:eastAsia="Times New Roman" w:hAnsi="Arial" w:cs="Arial"/>
          <w:color w:val="000000"/>
          <w:sz w:val="20"/>
          <w:szCs w:val="20"/>
        </w:rPr>
        <w:t>37</w:t>
      </w:r>
    </w:p>
    <w:p w:rsidR="00000000" w:rsidRDefault="009E01B0">
      <w:pPr>
        <w:rPr>
          <w:rFonts w:eastAsia="Times New Roman"/>
        </w:rPr>
      </w:pPr>
      <w:r>
        <w:rPr>
          <w:rFonts w:eastAsia="Times New Roman"/>
        </w:rPr>
        <w:pict>
          <v:rect id="_x0000_i1062" style="width:0;height:1.5pt" o:hralign="center" o:hrstd="t" o:hr="t" fillcolor="#a0a0a0" stroked="f"/>
        </w:pict>
      </w:r>
    </w:p>
    <w:p w:rsidR="00000000" w:rsidRDefault="009E01B0">
      <w:pPr>
        <w:divId w:val="1261915459"/>
        <w:rPr>
          <w:rFonts w:eastAsia="Times New Roman"/>
        </w:rPr>
      </w:pPr>
    </w:p>
    <w:p w:rsidR="00000000" w:rsidRDefault="009E01B0">
      <w:pPr>
        <w:divId w:val="585114119"/>
        <w:rPr>
          <w:rFonts w:eastAsia="Times New Roman"/>
        </w:rPr>
      </w:pPr>
      <w:r>
        <w:rPr>
          <w:rFonts w:ascii="Arial" w:eastAsia="Times New Roman" w:hAnsi="Arial" w:cs="Arial"/>
          <w:color w:val="000000"/>
          <w:sz w:val="20"/>
          <w:szCs w:val="20"/>
        </w:rPr>
        <w:t>The business factors above were partially offset by the following positive factors:</w:t>
      </w:r>
    </w:p>
    <w:p w:rsidR="00000000" w:rsidRDefault="009E01B0">
      <w:pPr>
        <w:ind w:hanging="360"/>
        <w:divId w:val="2114932988"/>
        <w:rPr>
          <w:rFonts w:eastAsia="Times New Roman"/>
        </w:rPr>
      </w:pPr>
      <w:r>
        <w:rPr>
          <w:rFonts w:ascii="Arial" w:eastAsia="Times New Roman" w:hAnsi="Arial" w:cs="Arial"/>
          <w:color w:val="000000"/>
          <w:sz w:val="20"/>
          <w:szCs w:val="20"/>
        </w:rPr>
        <w:t>•a higher International Joint Tariff Benchmark Toll on our Mainline System of US$4.27 in 2021 compared with US$4.21 in 2020;</w:t>
      </w:r>
    </w:p>
    <w:p w:rsidR="00000000" w:rsidRDefault="009E01B0">
      <w:pPr>
        <w:ind w:hanging="360"/>
        <w:divId w:val="1827941157"/>
        <w:rPr>
          <w:rFonts w:eastAsia="Times New Roman"/>
        </w:rPr>
      </w:pPr>
      <w:r>
        <w:rPr>
          <w:rFonts w:ascii="Arial" w:eastAsia="Times New Roman" w:hAnsi="Arial" w:cs="Arial"/>
          <w:color w:val="000000"/>
          <w:sz w:val="20"/>
          <w:szCs w:val="20"/>
        </w:rPr>
        <w:t>•a higher</w:t>
      </w:r>
      <w:r>
        <w:rPr>
          <w:rFonts w:ascii="Arial" w:eastAsia="Times New Roman" w:hAnsi="Arial" w:cs="Arial"/>
          <w:color w:val="000000"/>
          <w:sz w:val="20"/>
          <w:szCs w:val="20"/>
        </w:rPr>
        <w:t xml:space="preserve"> foreign exchange hedge rate used to lock-in US dollar denominated Canadian Mainline revenue;</w:t>
      </w:r>
    </w:p>
    <w:p w:rsidR="00000000" w:rsidRDefault="009E01B0">
      <w:pPr>
        <w:ind w:hanging="360"/>
        <w:divId w:val="1308783170"/>
        <w:rPr>
          <w:rFonts w:eastAsia="Times New Roman"/>
        </w:rPr>
      </w:pPr>
      <w:r>
        <w:rPr>
          <w:rFonts w:ascii="Arial" w:eastAsia="Times New Roman" w:hAnsi="Arial" w:cs="Arial"/>
          <w:color w:val="000000"/>
          <w:sz w:val="20"/>
          <w:szCs w:val="20"/>
        </w:rPr>
        <w:t xml:space="preserve">•CTS surcharges of US$0.11 per barrel; and </w:t>
      </w:r>
    </w:p>
    <w:p w:rsidR="00000000" w:rsidRDefault="009E01B0">
      <w:pPr>
        <w:ind w:hanging="360"/>
        <w:divId w:val="1814784321"/>
        <w:rPr>
          <w:rFonts w:eastAsia="Times New Roman"/>
        </w:rPr>
      </w:pPr>
      <w:r>
        <w:rPr>
          <w:rFonts w:ascii="Arial" w:eastAsia="Times New Roman" w:hAnsi="Arial" w:cs="Arial"/>
          <w:color w:val="000000"/>
          <w:sz w:val="20"/>
          <w:szCs w:val="20"/>
        </w:rPr>
        <w:t>•higher throughput on our Athabasca Mainline and Waupisoo pipelines.</w:t>
      </w:r>
    </w:p>
    <w:p w:rsidR="00000000" w:rsidRDefault="009E01B0">
      <w:pPr>
        <w:divId w:val="409351271"/>
        <w:rPr>
          <w:rFonts w:eastAsia="Times New Roman"/>
        </w:rPr>
      </w:pPr>
    </w:p>
    <w:p w:rsidR="00000000" w:rsidRDefault="009E01B0">
      <w:pPr>
        <w:divId w:val="1890459488"/>
        <w:rPr>
          <w:rFonts w:eastAsia="Times New Roman"/>
        </w:rPr>
      </w:pPr>
    </w:p>
    <w:p w:rsidR="00000000" w:rsidRDefault="009E01B0">
      <w:pPr>
        <w:divId w:val="941260698"/>
        <w:rPr>
          <w:rFonts w:eastAsia="Times New Roman"/>
        </w:rPr>
      </w:pPr>
      <w:r>
        <w:rPr>
          <w:rFonts w:ascii="Arial" w:eastAsia="Times New Roman" w:hAnsi="Arial" w:cs="Arial"/>
          <w:b/>
          <w:bCs/>
          <w:color w:val="000000"/>
          <w:sz w:val="20"/>
          <w:szCs w:val="20"/>
        </w:rPr>
        <w:t>GAS TRANSMISSION AND MIDSTREAM</w:t>
      </w:r>
    </w:p>
    <w:p w:rsidR="00000000" w:rsidRDefault="009E01B0">
      <w:pPr>
        <w:divId w:val="1618174689"/>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6"/>
        <w:gridCol w:w="6229"/>
        <w:gridCol w:w="37"/>
        <w:gridCol w:w="67"/>
        <w:gridCol w:w="793"/>
        <w:gridCol w:w="37"/>
        <w:gridCol w:w="67"/>
        <w:gridCol w:w="793"/>
        <w:gridCol w:w="37"/>
        <w:gridCol w:w="36"/>
        <w:gridCol w:w="36"/>
        <w:gridCol w:w="36"/>
        <w:gridCol w:w="36"/>
        <w:gridCol w:w="36"/>
      </w:tblGrid>
      <w:tr w:rsidR="00000000">
        <w:trPr>
          <w:divId w:val="130681531"/>
        </w:trPr>
        <w:tc>
          <w:tcPr>
            <w:tcW w:w="50" w:type="pct"/>
            <w:vAlign w:val="center"/>
            <w:hideMark/>
          </w:tcPr>
          <w:p w:rsidR="00000000" w:rsidRDefault="009E01B0">
            <w:pPr>
              <w:rPr>
                <w:rFonts w:eastAsia="Times New Roman"/>
              </w:rPr>
            </w:pPr>
          </w:p>
        </w:tc>
        <w:tc>
          <w:tcPr>
            <w:tcW w:w="383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30681531"/>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9E01B0">
            <w:pPr>
              <w:jc w:val="cente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30681531"/>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2020</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30681531"/>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30681531"/>
        </w:trPr>
        <w:tc>
          <w:tcPr>
            <w:tcW w:w="0" w:type="auto"/>
            <w:gridSpan w:val="3"/>
            <w:tcBorders>
              <w:bottom w:val="single" w:sz="18" w:space="0" w:color="000000"/>
            </w:tcBorders>
            <w:tcMar>
              <w:top w:w="30" w:type="dxa"/>
              <w:left w:w="200" w:type="dxa"/>
              <w:bottom w:w="30" w:type="dxa"/>
              <w:right w:w="20" w:type="dxa"/>
            </w:tcMar>
            <w:vAlign w:val="bottom"/>
            <w:hideMark/>
          </w:tcPr>
          <w:p w:rsidR="00000000" w:rsidRDefault="009E01B0">
            <w:pPr>
              <w:ind w:hanging="180"/>
              <w:rPr>
                <w:rFonts w:eastAsia="Times New Roman"/>
              </w:rPr>
            </w:pPr>
            <w:r>
              <w:rPr>
                <w:rFonts w:ascii="Arial" w:eastAsia="Times New Roman" w:hAnsi="Arial" w:cs="Arial"/>
                <w:color w:val="000000"/>
                <w:sz w:val="20"/>
                <w:szCs w:val="20"/>
              </w:rPr>
              <w:t>Earnings/(loss)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973</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(1,054)</w:t>
            </w:r>
          </w:p>
        </w:tc>
        <w:tc>
          <w:tcPr>
            <w:tcW w:w="0" w:type="auto"/>
            <w:tcBorders>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bl>
    <w:p w:rsidR="00000000" w:rsidRDefault="009E01B0">
      <w:pPr>
        <w:divId w:val="1088305399"/>
        <w:rPr>
          <w:rFonts w:eastAsia="Times New Roman"/>
        </w:rPr>
      </w:pPr>
    </w:p>
    <w:p w:rsidR="00000000" w:rsidRDefault="009E01B0">
      <w:pPr>
        <w:divId w:val="1809711485"/>
        <w:rPr>
          <w:rFonts w:eastAsia="Times New Roman"/>
        </w:rPr>
      </w:pPr>
      <w:r>
        <w:rPr>
          <w:rFonts w:ascii="Arial" w:eastAsia="Times New Roman" w:hAnsi="Arial" w:cs="Arial"/>
          <w:color w:val="000000"/>
          <w:sz w:val="2"/>
          <w:szCs w:val="2"/>
        </w:rPr>
        <w:t> </w:t>
      </w:r>
    </w:p>
    <w:p w:rsidR="00000000" w:rsidRDefault="009E01B0">
      <w:pPr>
        <w:divId w:val="566646238"/>
        <w:rPr>
          <w:rFonts w:eastAsia="Times New Roman"/>
        </w:rPr>
      </w:pPr>
      <w:r>
        <w:rPr>
          <w:rFonts w:ascii="Arial" w:eastAsia="Times New Roman" w:hAnsi="Arial" w:cs="Arial"/>
          <w:b/>
          <w:bCs/>
          <w:color w:val="000000"/>
          <w:sz w:val="20"/>
          <w:szCs w:val="20"/>
        </w:rPr>
        <w:t>Three months ended March 31, 2021, compared with the three months ended March 31, 2020</w:t>
      </w:r>
    </w:p>
    <w:p w:rsidR="00000000" w:rsidRDefault="009E01B0">
      <w:pPr>
        <w:divId w:val="1159419060"/>
        <w:rPr>
          <w:rFonts w:eastAsia="Times New Roman"/>
        </w:rPr>
      </w:pPr>
    </w:p>
    <w:p w:rsidR="00000000" w:rsidRDefault="009E01B0">
      <w:pPr>
        <w:divId w:val="702903758"/>
        <w:rPr>
          <w:rFonts w:eastAsia="Times New Roman"/>
        </w:rPr>
      </w:pPr>
      <w:r>
        <w:rPr>
          <w:rFonts w:ascii="Arial" w:eastAsia="Times New Roman" w:hAnsi="Arial" w:cs="Arial"/>
          <w:color w:val="000000"/>
          <w:sz w:val="20"/>
          <w:szCs w:val="20"/>
        </w:rPr>
        <w:t>EBITDA was positively impacted by $2.1 billion due to certain unusual, infrequent or other non-operating factors, primarily explained by the following:</w:t>
      </w:r>
    </w:p>
    <w:p w:rsidR="00000000" w:rsidRDefault="009E01B0">
      <w:pPr>
        <w:ind w:hanging="360"/>
        <w:divId w:val="56322521"/>
        <w:rPr>
          <w:rFonts w:eastAsia="Times New Roman"/>
        </w:rPr>
      </w:pPr>
      <w:r>
        <w:rPr>
          <w:rFonts w:ascii="Arial" w:eastAsia="Times New Roman" w:hAnsi="Arial" w:cs="Arial"/>
          <w:color w:val="000000"/>
          <w:sz w:val="20"/>
          <w:szCs w:val="20"/>
        </w:rPr>
        <w:t>•the absence in</w:t>
      </w:r>
      <w:r>
        <w:rPr>
          <w:rFonts w:ascii="Arial" w:eastAsia="Times New Roman" w:hAnsi="Arial" w:cs="Arial"/>
          <w:color w:val="000000"/>
          <w:sz w:val="20"/>
          <w:szCs w:val="20"/>
        </w:rPr>
        <w:t xml:space="preserve"> 2021 of a non-cash impairment to the carrying value of our investment in DCP Midstream of $1.7 billion recognized in 2020;</w:t>
      </w:r>
    </w:p>
    <w:p w:rsidR="00000000" w:rsidRDefault="009E01B0">
      <w:pPr>
        <w:ind w:hanging="360"/>
        <w:divId w:val="1459563527"/>
        <w:rPr>
          <w:rFonts w:eastAsia="Times New Roman"/>
        </w:rPr>
      </w:pPr>
      <w:r>
        <w:rPr>
          <w:rFonts w:ascii="Arial" w:eastAsia="Times New Roman" w:hAnsi="Arial" w:cs="Arial"/>
          <w:color w:val="000000"/>
          <w:sz w:val="20"/>
          <w:szCs w:val="20"/>
        </w:rPr>
        <w:t>•the absence in 2021 of a loss of $324 million resulting from asset and goodwill impairment losses within DCP Midstream recognized i</w:t>
      </w:r>
      <w:r>
        <w:rPr>
          <w:rFonts w:ascii="Arial" w:eastAsia="Times New Roman" w:hAnsi="Arial" w:cs="Arial"/>
          <w:color w:val="000000"/>
          <w:sz w:val="20"/>
          <w:szCs w:val="20"/>
        </w:rPr>
        <w:t>n 2020; and</w:t>
      </w:r>
    </w:p>
    <w:p w:rsidR="00000000" w:rsidRDefault="009E01B0">
      <w:pPr>
        <w:ind w:hanging="360"/>
        <w:divId w:val="450786453"/>
        <w:rPr>
          <w:rFonts w:eastAsia="Times New Roman"/>
        </w:rPr>
      </w:pPr>
      <w:r>
        <w:rPr>
          <w:rFonts w:ascii="Arial" w:eastAsia="Times New Roman" w:hAnsi="Arial" w:cs="Arial"/>
          <w:color w:val="000000"/>
          <w:sz w:val="20"/>
          <w:szCs w:val="20"/>
        </w:rPr>
        <w:t>•the absence in 2021 of a loss of $159 million in 2020 resulting from the Texas Eastern rate case settlement that re-established the EDIT regulated liability that was previously eliminated in December 2018.</w:t>
      </w:r>
    </w:p>
    <w:p w:rsidR="00000000" w:rsidRDefault="009E01B0">
      <w:pPr>
        <w:divId w:val="670530366"/>
        <w:rPr>
          <w:rFonts w:eastAsia="Times New Roman"/>
        </w:rPr>
      </w:pPr>
    </w:p>
    <w:p w:rsidR="00000000" w:rsidRDefault="009E01B0">
      <w:pPr>
        <w:divId w:val="822283333"/>
        <w:rPr>
          <w:rFonts w:eastAsia="Times New Roman"/>
        </w:rPr>
      </w:pPr>
      <w:r>
        <w:rPr>
          <w:rFonts w:ascii="Arial" w:eastAsia="Times New Roman" w:hAnsi="Arial" w:cs="Arial"/>
          <w:color w:val="000000"/>
          <w:sz w:val="20"/>
          <w:szCs w:val="20"/>
        </w:rPr>
        <w:t>The positive factors above were par</w:t>
      </w:r>
      <w:r>
        <w:rPr>
          <w:rFonts w:ascii="Arial" w:eastAsia="Times New Roman" w:hAnsi="Arial" w:cs="Arial"/>
          <w:color w:val="000000"/>
          <w:sz w:val="20"/>
          <w:szCs w:val="20"/>
        </w:rPr>
        <w:t>tially offset by a non-cash, negative equity earnings adjustment of $19 million in 2021 compared with a positive adjustment of $53 million in 2020 relating to changes in the mark-to-market value of derivative financial instruments of our equity method inve</w:t>
      </w:r>
      <w:r>
        <w:rPr>
          <w:rFonts w:ascii="Arial" w:eastAsia="Times New Roman" w:hAnsi="Arial" w:cs="Arial"/>
          <w:color w:val="000000"/>
          <w:sz w:val="20"/>
          <w:szCs w:val="20"/>
        </w:rPr>
        <w:t>stee, DCP Midstream.</w:t>
      </w:r>
    </w:p>
    <w:p w:rsidR="00000000" w:rsidRDefault="009E01B0">
      <w:pPr>
        <w:divId w:val="848642014"/>
        <w:rPr>
          <w:rFonts w:eastAsia="Times New Roman"/>
        </w:rPr>
      </w:pPr>
    </w:p>
    <w:p w:rsidR="00000000" w:rsidRDefault="009E01B0">
      <w:pPr>
        <w:divId w:val="1143620141"/>
        <w:rPr>
          <w:rFonts w:eastAsia="Times New Roman"/>
        </w:rPr>
      </w:pPr>
      <w:r>
        <w:rPr>
          <w:rFonts w:ascii="Arial" w:eastAsia="Times New Roman" w:hAnsi="Arial" w:cs="Arial"/>
          <w:color w:val="000000"/>
          <w:sz w:val="20"/>
          <w:szCs w:val="20"/>
        </w:rPr>
        <w:t>After taking into consideration the factors above, the remaining $90 million decrease is primarily explained by the following significant business factors:</w:t>
      </w:r>
    </w:p>
    <w:p w:rsidR="00000000" w:rsidRDefault="009E01B0">
      <w:pPr>
        <w:ind w:hanging="360"/>
        <w:divId w:val="1364398842"/>
        <w:rPr>
          <w:rFonts w:eastAsia="Times New Roman"/>
        </w:rPr>
      </w:pPr>
      <w:r>
        <w:rPr>
          <w:rFonts w:ascii="Arial" w:eastAsia="Times New Roman" w:hAnsi="Arial" w:cs="Arial"/>
          <w:color w:val="000000"/>
          <w:sz w:val="20"/>
          <w:szCs w:val="20"/>
        </w:rPr>
        <w:t>•the absence in 2021 of the recognition of revenues in 2020 from settled rates on Texas Eastern, ret</w:t>
      </w:r>
      <w:r>
        <w:rPr>
          <w:rFonts w:ascii="Arial" w:eastAsia="Times New Roman" w:hAnsi="Arial" w:cs="Arial"/>
          <w:color w:val="000000"/>
          <w:sz w:val="20"/>
          <w:szCs w:val="20"/>
        </w:rPr>
        <w:t>roactive to June 1, 2019; and</w:t>
      </w:r>
    </w:p>
    <w:p w:rsidR="00000000" w:rsidRDefault="009E01B0">
      <w:pPr>
        <w:ind w:hanging="360"/>
        <w:divId w:val="491261427"/>
        <w:rPr>
          <w:rFonts w:eastAsia="Times New Roman"/>
        </w:rPr>
      </w:pPr>
      <w:r>
        <w:rPr>
          <w:rFonts w:ascii="Arial" w:eastAsia="Times New Roman" w:hAnsi="Arial" w:cs="Arial"/>
          <w:color w:val="000000"/>
          <w:sz w:val="20"/>
          <w:szCs w:val="20"/>
        </w:rPr>
        <w:t>•the net unfavorable effect of translating US dollar EBITDA at a lower Canadian to US dollar average exchange rate in 2021 compared to the same period in 2020.</w:t>
      </w:r>
    </w:p>
    <w:p w:rsidR="00000000" w:rsidRDefault="009E01B0">
      <w:pPr>
        <w:divId w:val="1029841498"/>
        <w:rPr>
          <w:rFonts w:eastAsia="Times New Roman"/>
        </w:rPr>
      </w:pPr>
    </w:p>
    <w:p w:rsidR="00000000" w:rsidRDefault="009E01B0">
      <w:pPr>
        <w:divId w:val="1797408661"/>
        <w:rPr>
          <w:rFonts w:eastAsia="Times New Roman"/>
        </w:rPr>
      </w:pPr>
      <w:r>
        <w:rPr>
          <w:rFonts w:ascii="Arial" w:eastAsia="Times New Roman" w:hAnsi="Arial" w:cs="Arial"/>
          <w:color w:val="000000"/>
          <w:sz w:val="20"/>
          <w:szCs w:val="20"/>
        </w:rPr>
        <w:t>The business factors above were partially offset by contribution</w:t>
      </w:r>
      <w:r>
        <w:rPr>
          <w:rFonts w:ascii="Arial" w:eastAsia="Times New Roman" w:hAnsi="Arial" w:cs="Arial"/>
          <w:color w:val="000000"/>
          <w:sz w:val="20"/>
          <w:szCs w:val="20"/>
        </w:rPr>
        <w:t>s from the Atlantic Bridge Phase III project that was placed into service in January 2021.</w:t>
      </w:r>
    </w:p>
    <w:p w:rsidR="00000000" w:rsidRDefault="009E01B0">
      <w:pPr>
        <w:divId w:val="786433479"/>
        <w:rPr>
          <w:rFonts w:eastAsia="Times New Roman"/>
        </w:rPr>
      </w:pPr>
    </w:p>
    <w:p w:rsidR="00000000" w:rsidRDefault="009E01B0">
      <w:pPr>
        <w:jc w:val="center"/>
        <w:divId w:val="436410298"/>
        <w:rPr>
          <w:rFonts w:eastAsia="Times New Roman"/>
        </w:rPr>
      </w:pPr>
      <w:r>
        <w:rPr>
          <w:rFonts w:ascii="Arial" w:eastAsia="Times New Roman" w:hAnsi="Arial" w:cs="Arial"/>
          <w:color w:val="000000"/>
          <w:sz w:val="20"/>
          <w:szCs w:val="20"/>
        </w:rPr>
        <w:t>38</w:t>
      </w:r>
    </w:p>
    <w:p w:rsidR="00000000" w:rsidRDefault="009E01B0">
      <w:pPr>
        <w:rPr>
          <w:rFonts w:eastAsia="Times New Roman"/>
        </w:rPr>
      </w:pPr>
      <w:r>
        <w:rPr>
          <w:rFonts w:eastAsia="Times New Roman"/>
        </w:rPr>
        <w:pict>
          <v:rect id="_x0000_i1063" style="width:0;height:1.5pt" o:hralign="center" o:hrstd="t" o:hr="t" fillcolor="#a0a0a0" stroked="f"/>
        </w:pict>
      </w:r>
    </w:p>
    <w:p w:rsidR="00000000" w:rsidRDefault="009E01B0">
      <w:pPr>
        <w:divId w:val="494341347"/>
        <w:rPr>
          <w:rFonts w:eastAsia="Times New Roman"/>
        </w:rPr>
      </w:pPr>
    </w:p>
    <w:p w:rsidR="00000000" w:rsidRDefault="009E01B0">
      <w:pPr>
        <w:divId w:val="1966933167"/>
        <w:rPr>
          <w:rFonts w:eastAsia="Times New Roman"/>
        </w:rPr>
      </w:pPr>
      <w:r>
        <w:rPr>
          <w:rFonts w:ascii="Arial" w:eastAsia="Times New Roman" w:hAnsi="Arial" w:cs="Arial"/>
          <w:b/>
          <w:bCs/>
          <w:color w:val="000000"/>
          <w:sz w:val="20"/>
          <w:szCs w:val="20"/>
        </w:rPr>
        <w:t>GAS DISTRIBUTION AND STORAGE</w:t>
      </w:r>
    </w:p>
    <w:tbl>
      <w:tblPr>
        <w:tblW w:w="5000" w:type="pct"/>
        <w:tblCellMar>
          <w:top w:w="15" w:type="dxa"/>
          <w:left w:w="15" w:type="dxa"/>
          <w:bottom w:w="15" w:type="dxa"/>
          <w:right w:w="15" w:type="dxa"/>
        </w:tblCellMar>
        <w:tblLook w:val="04A0" w:firstRow="1" w:lastRow="0" w:firstColumn="1" w:lastColumn="0" w:noHBand="0" w:noVBand="1"/>
      </w:tblPr>
      <w:tblGrid>
        <w:gridCol w:w="66"/>
        <w:gridCol w:w="6229"/>
        <w:gridCol w:w="37"/>
        <w:gridCol w:w="67"/>
        <w:gridCol w:w="793"/>
        <w:gridCol w:w="37"/>
        <w:gridCol w:w="67"/>
        <w:gridCol w:w="793"/>
        <w:gridCol w:w="37"/>
        <w:gridCol w:w="36"/>
        <w:gridCol w:w="36"/>
        <w:gridCol w:w="36"/>
        <w:gridCol w:w="36"/>
        <w:gridCol w:w="36"/>
      </w:tblGrid>
      <w:tr w:rsidR="00000000">
        <w:trPr>
          <w:divId w:val="68618800"/>
        </w:trPr>
        <w:tc>
          <w:tcPr>
            <w:tcW w:w="50" w:type="pct"/>
            <w:vAlign w:val="center"/>
            <w:hideMark/>
          </w:tcPr>
          <w:p w:rsidR="00000000" w:rsidRDefault="009E01B0">
            <w:pPr>
              <w:rPr>
                <w:rFonts w:eastAsia="Times New Roman"/>
              </w:rPr>
            </w:pPr>
          </w:p>
        </w:tc>
        <w:tc>
          <w:tcPr>
            <w:tcW w:w="383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68618800"/>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9E01B0">
            <w:pPr>
              <w:jc w:val="cente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68618800"/>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2020</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68618800"/>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68618800"/>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9E01B0">
            <w:pPr>
              <w:ind w:hanging="180"/>
              <w:divId w:val="1220897422"/>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634</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604 </w:t>
            </w:r>
          </w:p>
        </w:tc>
        <w:tc>
          <w:tcPr>
            <w:tcW w:w="0" w:type="auto"/>
            <w:tcBorders>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bl>
    <w:p w:rsidR="00000000" w:rsidRDefault="009E01B0">
      <w:pPr>
        <w:divId w:val="1575969464"/>
        <w:rPr>
          <w:rFonts w:eastAsia="Times New Roman"/>
        </w:rPr>
      </w:pPr>
      <w:r>
        <w:rPr>
          <w:rFonts w:ascii="Arial" w:eastAsia="Times New Roman" w:hAnsi="Arial" w:cs="Arial"/>
          <w:color w:val="000000"/>
          <w:sz w:val="2"/>
          <w:szCs w:val="2"/>
        </w:rPr>
        <w:t> </w:t>
      </w:r>
    </w:p>
    <w:p w:rsidR="00000000" w:rsidRDefault="009E01B0">
      <w:pPr>
        <w:ind w:hanging="180"/>
        <w:divId w:val="1411080408"/>
        <w:rPr>
          <w:rFonts w:eastAsia="Times New Roman"/>
        </w:rPr>
      </w:pPr>
    </w:p>
    <w:p w:rsidR="00000000" w:rsidRDefault="009E01B0">
      <w:pPr>
        <w:divId w:val="1806073223"/>
        <w:rPr>
          <w:rFonts w:eastAsia="Times New Roman"/>
        </w:rPr>
      </w:pPr>
      <w:r>
        <w:rPr>
          <w:rFonts w:ascii="Arial" w:eastAsia="Times New Roman" w:hAnsi="Arial" w:cs="Arial"/>
          <w:b/>
          <w:bCs/>
          <w:color w:val="000000"/>
          <w:sz w:val="20"/>
          <w:szCs w:val="20"/>
        </w:rPr>
        <w:t>Three months ended March 31, 2021, compared with the three months ended March 31, 2020</w:t>
      </w:r>
    </w:p>
    <w:p w:rsidR="00000000" w:rsidRDefault="009E01B0">
      <w:pPr>
        <w:divId w:val="1178344487"/>
        <w:rPr>
          <w:rFonts w:eastAsia="Times New Roman"/>
        </w:rPr>
      </w:pPr>
    </w:p>
    <w:p w:rsidR="00000000" w:rsidRDefault="009E01B0">
      <w:pPr>
        <w:divId w:val="224681289"/>
        <w:rPr>
          <w:rFonts w:eastAsia="Times New Roman"/>
        </w:rPr>
      </w:pPr>
      <w:r>
        <w:rPr>
          <w:rFonts w:ascii="Arial" w:eastAsia="Times New Roman" w:hAnsi="Arial" w:cs="Arial"/>
          <w:color w:val="000000"/>
          <w:sz w:val="20"/>
          <w:szCs w:val="20"/>
        </w:rPr>
        <w:t>EBITDA was positively impacted by $30 million primarily due to the following:</w:t>
      </w:r>
    </w:p>
    <w:p w:rsidR="00000000" w:rsidRDefault="009E01B0">
      <w:pPr>
        <w:ind w:hanging="360"/>
        <w:divId w:val="1804807464"/>
        <w:rPr>
          <w:rFonts w:eastAsia="Times New Roman"/>
        </w:rPr>
      </w:pPr>
      <w:r>
        <w:rPr>
          <w:rFonts w:ascii="Arial" w:eastAsia="Times New Roman" w:hAnsi="Arial" w:cs="Arial"/>
          <w:color w:val="000000"/>
          <w:sz w:val="20"/>
          <w:szCs w:val="20"/>
        </w:rPr>
        <w:t>•higher distribution charges resulting from increases in rates and customer base;</w:t>
      </w:r>
    </w:p>
    <w:p w:rsidR="00000000" w:rsidRDefault="009E01B0">
      <w:pPr>
        <w:ind w:hanging="360"/>
        <w:divId w:val="2009356666"/>
        <w:rPr>
          <w:rFonts w:eastAsia="Times New Roman"/>
        </w:rPr>
      </w:pPr>
      <w:r>
        <w:rPr>
          <w:rFonts w:ascii="Arial" w:eastAsia="Times New Roman" w:hAnsi="Arial" w:cs="Arial"/>
          <w:color w:val="000000"/>
          <w:sz w:val="20"/>
          <w:szCs w:val="20"/>
        </w:rPr>
        <w:t>•when c</w:t>
      </w:r>
      <w:r>
        <w:rPr>
          <w:rFonts w:ascii="Arial" w:eastAsia="Times New Roman" w:hAnsi="Arial" w:cs="Arial"/>
          <w:color w:val="000000"/>
          <w:sz w:val="20"/>
          <w:szCs w:val="20"/>
        </w:rPr>
        <w:t>ompared with the normal weather forecast embedded in rates, weather was warmer in both 2021 and 2020, negatively impacting EBITDA in both years. Warmer than normal weather in 2021 negatively impacted 2021 EBITDA by approximately $24 million while the warme</w:t>
      </w:r>
      <w:r>
        <w:rPr>
          <w:rFonts w:ascii="Arial" w:eastAsia="Times New Roman" w:hAnsi="Arial" w:cs="Arial"/>
          <w:color w:val="000000"/>
          <w:sz w:val="20"/>
          <w:szCs w:val="20"/>
        </w:rPr>
        <w:t>r than normal weather in 2020 negatively impacted 2020 EBITDA by approximately $41 million; and</w:t>
      </w:r>
    </w:p>
    <w:p w:rsidR="00000000" w:rsidRDefault="009E01B0">
      <w:pPr>
        <w:ind w:hanging="360"/>
        <w:divId w:val="1001935839"/>
        <w:rPr>
          <w:rFonts w:eastAsia="Times New Roman"/>
        </w:rPr>
      </w:pPr>
      <w:r>
        <w:rPr>
          <w:rFonts w:ascii="Arial" w:eastAsia="Times New Roman" w:hAnsi="Arial" w:cs="Arial"/>
          <w:color w:val="000000"/>
          <w:sz w:val="20"/>
          <w:szCs w:val="20"/>
        </w:rPr>
        <w:t>•higher storage revenue, mainly relating to storage optimization activities.</w:t>
      </w:r>
    </w:p>
    <w:p w:rsidR="00000000" w:rsidRDefault="009E01B0">
      <w:pPr>
        <w:divId w:val="731195130"/>
        <w:rPr>
          <w:rFonts w:eastAsia="Times New Roman"/>
        </w:rPr>
      </w:pPr>
    </w:p>
    <w:p w:rsidR="00000000" w:rsidRDefault="009E01B0">
      <w:pPr>
        <w:divId w:val="1221944413"/>
        <w:rPr>
          <w:rFonts w:eastAsia="Times New Roman"/>
        </w:rPr>
      </w:pPr>
      <w:r>
        <w:rPr>
          <w:rFonts w:ascii="Arial" w:eastAsia="Times New Roman" w:hAnsi="Arial" w:cs="Arial"/>
          <w:b/>
          <w:bCs/>
          <w:color w:val="000000"/>
          <w:sz w:val="20"/>
          <w:szCs w:val="20"/>
        </w:rPr>
        <w:t>RENEWABLE POWER GENERATION</w:t>
      </w:r>
    </w:p>
    <w:p w:rsidR="00000000" w:rsidRDefault="009E01B0">
      <w:pPr>
        <w:divId w:val="1981425247"/>
        <w:rPr>
          <w:rFonts w:eastAsia="Times New Roman"/>
        </w:rPr>
      </w:pPr>
      <w:r>
        <w:rPr>
          <w:rFonts w:ascii="Arial" w:eastAsia="Times New Roman" w:hAnsi="Arial" w:cs="Arial"/>
          <w:color w:val="000000"/>
          <w:sz w:val="2"/>
          <w:szCs w:val="2"/>
        </w:rPr>
        <w:t> </w:t>
      </w:r>
    </w:p>
    <w:p w:rsidR="00000000" w:rsidRDefault="009E01B0">
      <w:pPr>
        <w:divId w:val="373431838"/>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6"/>
        <w:gridCol w:w="6229"/>
        <w:gridCol w:w="37"/>
        <w:gridCol w:w="67"/>
        <w:gridCol w:w="793"/>
        <w:gridCol w:w="37"/>
        <w:gridCol w:w="67"/>
        <w:gridCol w:w="793"/>
        <w:gridCol w:w="37"/>
        <w:gridCol w:w="36"/>
        <w:gridCol w:w="36"/>
        <w:gridCol w:w="36"/>
        <w:gridCol w:w="36"/>
        <w:gridCol w:w="36"/>
      </w:tblGrid>
      <w:tr w:rsidR="00000000">
        <w:trPr>
          <w:divId w:val="891886094"/>
        </w:trPr>
        <w:tc>
          <w:tcPr>
            <w:tcW w:w="50" w:type="pct"/>
            <w:vAlign w:val="center"/>
            <w:hideMark/>
          </w:tcPr>
          <w:p w:rsidR="00000000" w:rsidRDefault="009E01B0">
            <w:pPr>
              <w:rPr>
                <w:rFonts w:eastAsia="Times New Roman"/>
              </w:rPr>
            </w:pPr>
          </w:p>
        </w:tc>
        <w:tc>
          <w:tcPr>
            <w:tcW w:w="383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891886094"/>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9E01B0">
            <w:pPr>
              <w:jc w:val="cente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891886094"/>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2020</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891886094"/>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891886094"/>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9E01B0">
            <w:pPr>
              <w:ind w:hanging="180"/>
              <w:divId w:val="1872299154"/>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156</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120 </w:t>
            </w:r>
          </w:p>
        </w:tc>
        <w:tc>
          <w:tcPr>
            <w:tcW w:w="0" w:type="auto"/>
            <w:tcBorders>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bl>
    <w:p w:rsidR="00000000" w:rsidRDefault="009E01B0">
      <w:pPr>
        <w:divId w:val="673805807"/>
        <w:rPr>
          <w:rFonts w:eastAsia="Times New Roman"/>
        </w:rPr>
      </w:pPr>
      <w:r>
        <w:rPr>
          <w:rFonts w:ascii="Arial" w:eastAsia="Times New Roman" w:hAnsi="Arial" w:cs="Arial"/>
          <w:color w:val="000000"/>
          <w:sz w:val="20"/>
          <w:szCs w:val="20"/>
        </w:rPr>
        <w:t> </w:t>
      </w:r>
    </w:p>
    <w:p w:rsidR="00000000" w:rsidRDefault="009E01B0">
      <w:pPr>
        <w:divId w:val="1812557555"/>
        <w:rPr>
          <w:rFonts w:eastAsia="Times New Roman"/>
        </w:rPr>
      </w:pPr>
      <w:r>
        <w:rPr>
          <w:rFonts w:ascii="Arial" w:eastAsia="Times New Roman" w:hAnsi="Arial" w:cs="Arial"/>
          <w:b/>
          <w:bCs/>
          <w:color w:val="000000"/>
          <w:sz w:val="20"/>
          <w:szCs w:val="20"/>
        </w:rPr>
        <w:t>Three months ended March 31, 2021, compared with the three months ended March 31, 2020</w:t>
      </w:r>
    </w:p>
    <w:p w:rsidR="00000000" w:rsidRDefault="009E01B0">
      <w:pPr>
        <w:divId w:val="8141215"/>
        <w:rPr>
          <w:rFonts w:eastAsia="Times New Roman"/>
        </w:rPr>
      </w:pPr>
    </w:p>
    <w:p w:rsidR="00000000" w:rsidRDefault="009E01B0">
      <w:pPr>
        <w:divId w:val="678585765"/>
        <w:rPr>
          <w:rFonts w:eastAsia="Times New Roman"/>
        </w:rPr>
      </w:pPr>
      <w:r>
        <w:rPr>
          <w:rFonts w:ascii="Arial" w:eastAsia="Times New Roman" w:hAnsi="Arial" w:cs="Arial"/>
          <w:color w:val="000000"/>
          <w:sz w:val="20"/>
          <w:szCs w:val="20"/>
        </w:rPr>
        <w:t>EBITDA was positively impacted by $36 million primarily due to the following:</w:t>
      </w:r>
    </w:p>
    <w:p w:rsidR="00000000" w:rsidRDefault="009E01B0">
      <w:pPr>
        <w:ind w:hanging="360"/>
        <w:divId w:val="80950414"/>
        <w:rPr>
          <w:rFonts w:eastAsia="Times New Roman"/>
        </w:rPr>
      </w:pPr>
      <w:r>
        <w:rPr>
          <w:rFonts w:ascii="Arial" w:eastAsia="Times New Roman" w:hAnsi="Arial" w:cs="Arial"/>
          <w:color w:val="000000"/>
          <w:sz w:val="20"/>
          <w:szCs w:val="20"/>
        </w:rPr>
        <w:t>•the sale of a 49% interest of an entity that holds our 50% interest in EMF; and</w:t>
      </w:r>
    </w:p>
    <w:p w:rsidR="00000000" w:rsidRDefault="009E01B0">
      <w:pPr>
        <w:ind w:hanging="360"/>
        <w:divId w:val="1106071910"/>
        <w:rPr>
          <w:rFonts w:eastAsia="Times New Roman"/>
        </w:rPr>
      </w:pPr>
      <w:r>
        <w:rPr>
          <w:rFonts w:ascii="Arial" w:eastAsia="Times New Roman" w:hAnsi="Arial" w:cs="Arial"/>
          <w:color w:val="000000"/>
          <w:sz w:val="20"/>
          <w:szCs w:val="20"/>
        </w:rPr>
        <w:t>•stronge</w:t>
      </w:r>
      <w:r>
        <w:rPr>
          <w:rFonts w:ascii="Arial" w:eastAsia="Times New Roman" w:hAnsi="Arial" w:cs="Arial"/>
          <w:color w:val="000000"/>
          <w:sz w:val="20"/>
          <w:szCs w:val="20"/>
        </w:rPr>
        <w:t xml:space="preserve">r wind production at certain offshore wind facilities. </w:t>
      </w:r>
    </w:p>
    <w:p w:rsidR="00000000" w:rsidRDefault="009E01B0">
      <w:pPr>
        <w:divId w:val="1654870922"/>
        <w:rPr>
          <w:rFonts w:eastAsia="Times New Roman"/>
        </w:rPr>
      </w:pPr>
    </w:p>
    <w:p w:rsidR="00000000" w:rsidRDefault="009E01B0">
      <w:pPr>
        <w:divId w:val="1965113422"/>
        <w:rPr>
          <w:rFonts w:eastAsia="Times New Roman"/>
        </w:rPr>
      </w:pPr>
      <w:r>
        <w:rPr>
          <w:rFonts w:ascii="Arial" w:eastAsia="Times New Roman" w:hAnsi="Arial" w:cs="Arial"/>
          <w:color w:val="000000"/>
          <w:sz w:val="20"/>
          <w:szCs w:val="20"/>
        </w:rPr>
        <w:t>The positive business factors above were partially offset by the following:</w:t>
      </w:r>
    </w:p>
    <w:p w:rsidR="00000000" w:rsidRDefault="009E01B0">
      <w:pPr>
        <w:ind w:hanging="360"/>
        <w:divId w:val="185413405"/>
        <w:rPr>
          <w:rFonts w:eastAsia="Times New Roman"/>
        </w:rPr>
      </w:pPr>
      <w:r>
        <w:rPr>
          <w:rFonts w:ascii="Arial" w:eastAsia="Times New Roman" w:hAnsi="Arial" w:cs="Arial"/>
          <w:color w:val="000000"/>
          <w:sz w:val="20"/>
          <w:szCs w:val="20"/>
        </w:rPr>
        <w:t>•lower wind resources at the Canadian and US wind facilities and the effects from the winter storm in Texas during Februar</w:t>
      </w:r>
      <w:r>
        <w:rPr>
          <w:rFonts w:ascii="Arial" w:eastAsia="Times New Roman" w:hAnsi="Arial" w:cs="Arial"/>
          <w:color w:val="000000"/>
          <w:sz w:val="20"/>
          <w:szCs w:val="20"/>
        </w:rPr>
        <w:t>y 2021.</w:t>
      </w:r>
    </w:p>
    <w:p w:rsidR="00000000" w:rsidRDefault="009E01B0">
      <w:pPr>
        <w:ind w:hanging="720"/>
        <w:divId w:val="112750424"/>
        <w:rPr>
          <w:rFonts w:eastAsia="Times New Roman"/>
        </w:rPr>
      </w:pPr>
    </w:p>
    <w:p w:rsidR="00000000" w:rsidRDefault="009E01B0">
      <w:pPr>
        <w:divId w:val="699210799"/>
        <w:rPr>
          <w:rFonts w:eastAsia="Times New Roman"/>
        </w:rPr>
      </w:pPr>
      <w:r>
        <w:rPr>
          <w:rFonts w:ascii="Arial" w:eastAsia="Times New Roman" w:hAnsi="Arial" w:cs="Arial"/>
          <w:b/>
          <w:bCs/>
          <w:color w:val="000000"/>
          <w:sz w:val="20"/>
          <w:szCs w:val="20"/>
        </w:rPr>
        <w:t>ENERGY SERVICES</w:t>
      </w:r>
    </w:p>
    <w:tbl>
      <w:tblPr>
        <w:tblW w:w="5000" w:type="pct"/>
        <w:tblCellMar>
          <w:top w:w="15" w:type="dxa"/>
          <w:left w:w="15" w:type="dxa"/>
          <w:bottom w:w="15" w:type="dxa"/>
          <w:right w:w="15" w:type="dxa"/>
        </w:tblCellMar>
        <w:tblLook w:val="04A0" w:firstRow="1" w:lastRow="0" w:firstColumn="1" w:lastColumn="0" w:noHBand="0" w:noVBand="1"/>
      </w:tblPr>
      <w:tblGrid>
        <w:gridCol w:w="66"/>
        <w:gridCol w:w="6229"/>
        <w:gridCol w:w="37"/>
        <w:gridCol w:w="67"/>
        <w:gridCol w:w="793"/>
        <w:gridCol w:w="37"/>
        <w:gridCol w:w="67"/>
        <w:gridCol w:w="793"/>
        <w:gridCol w:w="37"/>
        <w:gridCol w:w="36"/>
        <w:gridCol w:w="36"/>
        <w:gridCol w:w="36"/>
        <w:gridCol w:w="36"/>
        <w:gridCol w:w="36"/>
      </w:tblGrid>
      <w:tr w:rsidR="00000000">
        <w:trPr>
          <w:divId w:val="1161460462"/>
        </w:trPr>
        <w:tc>
          <w:tcPr>
            <w:tcW w:w="50" w:type="pct"/>
            <w:vAlign w:val="center"/>
            <w:hideMark/>
          </w:tcPr>
          <w:p w:rsidR="00000000" w:rsidRDefault="009E01B0">
            <w:pPr>
              <w:rPr>
                <w:rFonts w:eastAsia="Times New Roman"/>
              </w:rPr>
            </w:pPr>
          </w:p>
        </w:tc>
        <w:tc>
          <w:tcPr>
            <w:tcW w:w="383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161460462"/>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9E01B0">
            <w:pPr>
              <w:jc w:val="cente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161460462"/>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2020</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161460462"/>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161460462"/>
        </w:trPr>
        <w:tc>
          <w:tcPr>
            <w:tcW w:w="0" w:type="auto"/>
            <w:gridSpan w:val="3"/>
            <w:tcBorders>
              <w:bottom w:val="single" w:sz="18" w:space="0" w:color="000000"/>
            </w:tcBorders>
            <w:tcMar>
              <w:top w:w="30" w:type="dxa"/>
              <w:left w:w="200" w:type="dxa"/>
              <w:bottom w:w="30" w:type="dxa"/>
              <w:right w:w="20" w:type="dxa"/>
            </w:tcMar>
            <w:vAlign w:val="bottom"/>
            <w:hideMark/>
          </w:tcPr>
          <w:p w:rsidR="00000000" w:rsidRDefault="009E01B0">
            <w:pPr>
              <w:ind w:hanging="180"/>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64</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121 </w:t>
            </w:r>
          </w:p>
        </w:tc>
        <w:tc>
          <w:tcPr>
            <w:tcW w:w="0" w:type="auto"/>
            <w:tcBorders>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bl>
    <w:p w:rsidR="00000000" w:rsidRDefault="009E01B0">
      <w:pPr>
        <w:divId w:val="983197176"/>
        <w:rPr>
          <w:rFonts w:eastAsia="Times New Roman"/>
        </w:rPr>
      </w:pPr>
      <w:r>
        <w:rPr>
          <w:rFonts w:ascii="Arial" w:eastAsia="Times New Roman" w:hAnsi="Arial" w:cs="Arial"/>
          <w:color w:val="000000"/>
          <w:sz w:val="20"/>
          <w:szCs w:val="20"/>
        </w:rPr>
        <w:t> </w:t>
      </w:r>
    </w:p>
    <w:p w:rsidR="00000000" w:rsidRDefault="009E01B0">
      <w:pPr>
        <w:divId w:val="1955749611"/>
        <w:rPr>
          <w:rFonts w:eastAsia="Times New Roman"/>
        </w:rPr>
      </w:pPr>
      <w:r>
        <w:rPr>
          <w:rFonts w:ascii="Arial" w:eastAsia="Times New Roman" w:hAnsi="Arial" w:cs="Arial"/>
          <w:color w:val="000000"/>
          <w:sz w:val="20"/>
          <w:szCs w:val="20"/>
        </w:rPr>
        <w:t>EBITDA from Energy Services is dependent on market conditions and results achieved in one period may not be indicative of results to be achieved in future periods.</w:t>
      </w:r>
    </w:p>
    <w:p w:rsidR="00000000" w:rsidRDefault="009E01B0">
      <w:pPr>
        <w:divId w:val="186480369"/>
        <w:rPr>
          <w:rFonts w:eastAsia="Times New Roman"/>
        </w:rPr>
      </w:pPr>
    </w:p>
    <w:p w:rsidR="00000000" w:rsidRDefault="009E01B0">
      <w:pPr>
        <w:jc w:val="center"/>
        <w:divId w:val="558906441"/>
        <w:rPr>
          <w:rFonts w:eastAsia="Times New Roman"/>
        </w:rPr>
      </w:pPr>
      <w:r>
        <w:rPr>
          <w:rFonts w:ascii="Arial" w:eastAsia="Times New Roman" w:hAnsi="Arial" w:cs="Arial"/>
          <w:color w:val="000000"/>
          <w:sz w:val="20"/>
          <w:szCs w:val="20"/>
        </w:rPr>
        <w:t>39</w:t>
      </w:r>
    </w:p>
    <w:p w:rsidR="00000000" w:rsidRDefault="009E01B0">
      <w:pPr>
        <w:rPr>
          <w:rFonts w:eastAsia="Times New Roman"/>
        </w:rPr>
      </w:pPr>
      <w:r>
        <w:rPr>
          <w:rFonts w:eastAsia="Times New Roman"/>
        </w:rPr>
        <w:pict>
          <v:rect id="_x0000_i1064" style="width:0;height:1.5pt" o:hralign="center" o:hrstd="t" o:hr="t" fillcolor="#a0a0a0" stroked="f"/>
        </w:pict>
      </w:r>
    </w:p>
    <w:p w:rsidR="00000000" w:rsidRDefault="009E01B0">
      <w:pPr>
        <w:divId w:val="1706442237"/>
        <w:rPr>
          <w:rFonts w:eastAsia="Times New Roman"/>
        </w:rPr>
      </w:pPr>
    </w:p>
    <w:p w:rsidR="00000000" w:rsidRDefault="009E01B0">
      <w:pPr>
        <w:divId w:val="1944456949"/>
        <w:rPr>
          <w:rFonts w:eastAsia="Times New Roman"/>
        </w:rPr>
      </w:pPr>
      <w:r>
        <w:rPr>
          <w:rFonts w:ascii="Arial" w:eastAsia="Times New Roman" w:hAnsi="Arial" w:cs="Arial"/>
          <w:b/>
          <w:bCs/>
          <w:color w:val="000000"/>
          <w:sz w:val="20"/>
          <w:szCs w:val="20"/>
        </w:rPr>
        <w:t>Three months ended March 31, 2021, compared with</w:t>
      </w:r>
      <w:r>
        <w:rPr>
          <w:rFonts w:ascii="Arial" w:eastAsia="Times New Roman" w:hAnsi="Arial" w:cs="Arial"/>
          <w:b/>
          <w:bCs/>
          <w:color w:val="000000"/>
          <w:sz w:val="20"/>
          <w:szCs w:val="20"/>
        </w:rPr>
        <w:t xml:space="preserve"> the three months ended March 31, 2020</w:t>
      </w:r>
    </w:p>
    <w:p w:rsidR="00000000" w:rsidRDefault="009E01B0">
      <w:pPr>
        <w:divId w:val="1508137087"/>
        <w:rPr>
          <w:rFonts w:eastAsia="Times New Roman"/>
        </w:rPr>
      </w:pPr>
    </w:p>
    <w:p w:rsidR="00000000" w:rsidRDefault="009E01B0">
      <w:pPr>
        <w:divId w:val="327245790"/>
        <w:rPr>
          <w:rFonts w:eastAsia="Times New Roman"/>
        </w:rPr>
      </w:pPr>
      <w:r>
        <w:rPr>
          <w:rFonts w:ascii="Arial" w:eastAsia="Times New Roman" w:hAnsi="Arial" w:cs="Arial"/>
          <w:color w:val="000000"/>
          <w:sz w:val="20"/>
          <w:szCs w:val="20"/>
        </w:rPr>
        <w:t>EBITDA was positively impacted by $5 million due to certain unusual or other non-operating factors, explained by the absence in 2021 of a net negative adjustment to crude oil and natural gas inventories of $342 mill</w:t>
      </w:r>
      <w:r>
        <w:rPr>
          <w:rFonts w:ascii="Arial" w:eastAsia="Times New Roman" w:hAnsi="Arial" w:cs="Arial"/>
          <w:color w:val="000000"/>
          <w:sz w:val="20"/>
          <w:szCs w:val="20"/>
        </w:rPr>
        <w:t xml:space="preserve">ion in 2020. </w:t>
      </w:r>
    </w:p>
    <w:p w:rsidR="00000000" w:rsidRDefault="009E01B0">
      <w:pPr>
        <w:divId w:val="1972980010"/>
        <w:rPr>
          <w:rFonts w:eastAsia="Times New Roman"/>
        </w:rPr>
      </w:pPr>
    </w:p>
    <w:p w:rsidR="00000000" w:rsidRDefault="009E01B0">
      <w:pPr>
        <w:divId w:val="2050756712"/>
        <w:rPr>
          <w:rFonts w:eastAsia="Times New Roman"/>
        </w:rPr>
      </w:pPr>
      <w:r>
        <w:rPr>
          <w:rFonts w:ascii="Arial" w:eastAsia="Times New Roman" w:hAnsi="Arial" w:cs="Arial"/>
          <w:color w:val="000000"/>
          <w:sz w:val="20"/>
          <w:szCs w:val="20"/>
        </w:rPr>
        <w:t>The factor above was partially offset by a non-cash, unrealized gain of $139 million in 2021, compared with a gain of $476 million in 2020, reflecting the revaluation of derivatives used to manage the profitability of transportation and storage transaction</w:t>
      </w:r>
      <w:r>
        <w:rPr>
          <w:rFonts w:ascii="Arial" w:eastAsia="Times New Roman" w:hAnsi="Arial" w:cs="Arial"/>
          <w:color w:val="000000"/>
          <w:sz w:val="20"/>
          <w:szCs w:val="20"/>
        </w:rPr>
        <w:t>s, as well as manage the exposure to movements in commodity prices.</w:t>
      </w:r>
    </w:p>
    <w:p w:rsidR="00000000" w:rsidRDefault="009E01B0">
      <w:pPr>
        <w:divId w:val="1772046112"/>
        <w:rPr>
          <w:rFonts w:eastAsia="Times New Roman"/>
        </w:rPr>
      </w:pPr>
    </w:p>
    <w:p w:rsidR="00000000" w:rsidRDefault="009E01B0">
      <w:pPr>
        <w:divId w:val="941767738"/>
        <w:rPr>
          <w:rFonts w:eastAsia="Times New Roman"/>
        </w:rPr>
      </w:pPr>
      <w:r>
        <w:rPr>
          <w:rFonts w:ascii="Arial" w:eastAsia="Times New Roman" w:hAnsi="Arial" w:cs="Arial"/>
          <w:color w:val="000000"/>
          <w:sz w:val="20"/>
          <w:szCs w:val="20"/>
        </w:rPr>
        <w:t>After taking into consideration the factors above, the remaining $62 million decrease is primarily explained by the following:</w:t>
      </w:r>
    </w:p>
    <w:p w:rsidR="00000000" w:rsidRDefault="009E01B0">
      <w:pPr>
        <w:ind w:hanging="360"/>
        <w:divId w:val="466434509"/>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significant compression of location and quality differentials in certain markets;</w:t>
      </w:r>
    </w:p>
    <w:p w:rsidR="00000000" w:rsidRDefault="009E01B0">
      <w:pPr>
        <w:ind w:hanging="360"/>
        <w:divId w:val="257561437"/>
        <w:rPr>
          <w:rFonts w:eastAsia="Times New Roman"/>
        </w:rPr>
      </w:pPr>
      <w:r>
        <w:rPr>
          <w:rFonts w:ascii="Arial" w:eastAsia="Times New Roman" w:hAnsi="Arial" w:cs="Arial"/>
          <w:color w:val="000000"/>
          <w:sz w:val="20"/>
          <w:szCs w:val="20"/>
        </w:rPr>
        <w:t xml:space="preserve">•adverse impacts from the major winter storm experienced across the US Midwest during February 2021; and </w:t>
      </w:r>
    </w:p>
    <w:p w:rsidR="00000000" w:rsidRDefault="009E01B0">
      <w:pPr>
        <w:ind w:hanging="360"/>
        <w:divId w:val="1546479759"/>
        <w:rPr>
          <w:rFonts w:eastAsia="Times New Roman"/>
        </w:rPr>
      </w:pPr>
      <w:r>
        <w:rPr>
          <w:rFonts w:ascii="Arial" w:eastAsia="Times New Roman" w:hAnsi="Arial" w:cs="Arial"/>
          <w:color w:val="000000"/>
          <w:sz w:val="20"/>
          <w:szCs w:val="20"/>
        </w:rPr>
        <w:t>•fewer opportunities to achieve profitable transportation margin</w:t>
      </w:r>
      <w:r>
        <w:rPr>
          <w:rFonts w:ascii="Arial" w:eastAsia="Times New Roman" w:hAnsi="Arial" w:cs="Arial"/>
          <w:color w:val="000000"/>
          <w:sz w:val="20"/>
          <w:szCs w:val="20"/>
        </w:rPr>
        <w:t>s on facilities in which Energy Services holds capacity obligations.</w:t>
      </w:r>
    </w:p>
    <w:p w:rsidR="00000000" w:rsidRDefault="009E01B0">
      <w:pPr>
        <w:divId w:val="1793283791"/>
        <w:rPr>
          <w:rFonts w:eastAsia="Times New Roman"/>
        </w:rPr>
      </w:pPr>
    </w:p>
    <w:p w:rsidR="00000000" w:rsidRDefault="009E01B0">
      <w:pPr>
        <w:divId w:val="1448743604"/>
        <w:rPr>
          <w:rFonts w:eastAsia="Times New Roman"/>
        </w:rPr>
      </w:pPr>
      <w:r>
        <w:rPr>
          <w:rFonts w:ascii="Arial" w:eastAsia="Times New Roman" w:hAnsi="Arial" w:cs="Arial"/>
          <w:b/>
          <w:bCs/>
          <w:color w:val="000000"/>
          <w:sz w:val="20"/>
          <w:szCs w:val="20"/>
        </w:rPr>
        <w:t>ELIMINATIONS AND OTHER</w:t>
      </w:r>
    </w:p>
    <w:p w:rsidR="00000000" w:rsidRDefault="009E01B0">
      <w:pPr>
        <w:divId w:val="81417813"/>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6"/>
        <w:gridCol w:w="6229"/>
        <w:gridCol w:w="37"/>
        <w:gridCol w:w="67"/>
        <w:gridCol w:w="793"/>
        <w:gridCol w:w="37"/>
        <w:gridCol w:w="67"/>
        <w:gridCol w:w="793"/>
        <w:gridCol w:w="37"/>
        <w:gridCol w:w="36"/>
        <w:gridCol w:w="36"/>
        <w:gridCol w:w="36"/>
        <w:gridCol w:w="36"/>
        <w:gridCol w:w="36"/>
      </w:tblGrid>
      <w:tr w:rsidR="00000000">
        <w:trPr>
          <w:divId w:val="1537356473"/>
        </w:trPr>
        <w:tc>
          <w:tcPr>
            <w:tcW w:w="50" w:type="pct"/>
            <w:vAlign w:val="center"/>
            <w:hideMark/>
          </w:tcPr>
          <w:p w:rsidR="00000000" w:rsidRDefault="009E01B0">
            <w:pPr>
              <w:rPr>
                <w:rFonts w:eastAsia="Times New Roman"/>
              </w:rPr>
            </w:pPr>
          </w:p>
        </w:tc>
        <w:tc>
          <w:tcPr>
            <w:tcW w:w="383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537356473"/>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9E01B0">
            <w:pPr>
              <w:jc w:val="cente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537356473"/>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2020</w:t>
            </w:r>
          </w:p>
        </w:tc>
        <w:tc>
          <w:tcPr>
            <w:tcW w:w="0" w:type="auto"/>
            <w:vAlign w:val="center"/>
            <w:hideMark/>
          </w:tcPr>
          <w:p w:rsidR="00000000" w:rsidRDefault="009E01B0">
            <w:pPr>
              <w:jc w:val="right"/>
              <w:rPr>
                <w:rFonts w:eastAsia="Times New Roman"/>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537356473"/>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537356473"/>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9E01B0">
            <w:pPr>
              <w:ind w:hanging="180"/>
              <w:divId w:val="750540968"/>
              <w:rPr>
                <w:rFonts w:eastAsia="Times New Roman"/>
              </w:rPr>
            </w:pPr>
            <w:r>
              <w:rPr>
                <w:rFonts w:ascii="Arial" w:eastAsia="Times New Roman" w:hAnsi="Arial" w:cs="Arial"/>
                <w:color w:val="000000"/>
                <w:sz w:val="20"/>
                <w:szCs w:val="20"/>
              </w:rPr>
              <w:t>Earnings/(loss)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220</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(966)</w:t>
            </w:r>
          </w:p>
        </w:tc>
        <w:tc>
          <w:tcPr>
            <w:tcW w:w="0" w:type="auto"/>
            <w:tcBorders>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bl>
    <w:p w:rsidR="00000000" w:rsidRDefault="009E01B0">
      <w:pPr>
        <w:divId w:val="176971714"/>
        <w:rPr>
          <w:rFonts w:eastAsia="Times New Roman"/>
        </w:rPr>
      </w:pPr>
      <w:r>
        <w:rPr>
          <w:rFonts w:ascii="Arial" w:eastAsia="Times New Roman" w:hAnsi="Arial" w:cs="Arial"/>
          <w:color w:val="000000"/>
          <w:sz w:val="20"/>
          <w:szCs w:val="20"/>
        </w:rPr>
        <w:t> </w:t>
      </w:r>
    </w:p>
    <w:p w:rsidR="00000000" w:rsidRDefault="009E01B0">
      <w:pPr>
        <w:divId w:val="1112625849"/>
        <w:rPr>
          <w:rFonts w:eastAsia="Times New Roman"/>
        </w:rPr>
      </w:pPr>
      <w:r>
        <w:rPr>
          <w:rFonts w:ascii="Arial" w:eastAsia="Times New Roman" w:hAnsi="Arial" w:cs="Arial"/>
          <w:color w:val="000000"/>
          <w:sz w:val="20"/>
          <w:szCs w:val="20"/>
        </w:rPr>
        <w:t>Eliminations and Other includes operating and administrative costs and the impact of foreign exchange hedge settlements, which are not allocated to business segments. Eliminations and Other also includes the impact of new business development activities an</w:t>
      </w:r>
      <w:r>
        <w:rPr>
          <w:rFonts w:ascii="Arial" w:eastAsia="Times New Roman" w:hAnsi="Arial" w:cs="Arial"/>
          <w:color w:val="000000"/>
          <w:sz w:val="20"/>
          <w:szCs w:val="20"/>
        </w:rPr>
        <w:t>d corporate investments.</w:t>
      </w:r>
    </w:p>
    <w:p w:rsidR="00000000" w:rsidRDefault="009E01B0">
      <w:pPr>
        <w:divId w:val="909389082"/>
        <w:rPr>
          <w:rFonts w:eastAsia="Times New Roman"/>
        </w:rPr>
      </w:pPr>
    </w:p>
    <w:p w:rsidR="00000000" w:rsidRDefault="009E01B0">
      <w:pPr>
        <w:divId w:val="1202087701"/>
        <w:rPr>
          <w:rFonts w:eastAsia="Times New Roman"/>
        </w:rPr>
      </w:pPr>
      <w:r>
        <w:rPr>
          <w:rFonts w:ascii="Arial" w:eastAsia="Times New Roman" w:hAnsi="Arial" w:cs="Arial"/>
          <w:b/>
          <w:bCs/>
          <w:color w:val="000000"/>
          <w:sz w:val="20"/>
          <w:szCs w:val="20"/>
        </w:rPr>
        <w:t>Three months ended March 31, 2021, compared with the three months ended March 31, 2020</w:t>
      </w:r>
    </w:p>
    <w:p w:rsidR="00000000" w:rsidRDefault="009E01B0">
      <w:pPr>
        <w:divId w:val="789475396"/>
        <w:rPr>
          <w:rFonts w:eastAsia="Times New Roman"/>
        </w:rPr>
      </w:pPr>
    </w:p>
    <w:p w:rsidR="00000000" w:rsidRDefault="009E01B0">
      <w:pPr>
        <w:divId w:val="10836555"/>
        <w:rPr>
          <w:rFonts w:eastAsia="Times New Roman"/>
        </w:rPr>
      </w:pPr>
      <w:r>
        <w:rPr>
          <w:rFonts w:ascii="Arial" w:eastAsia="Times New Roman" w:hAnsi="Arial" w:cs="Arial"/>
          <w:color w:val="000000"/>
          <w:sz w:val="20"/>
          <w:szCs w:val="20"/>
        </w:rPr>
        <w:t>EBITDA was positively impacted by $1.1 billion due to certain unusual, infrequent and other non-operating factors, primarily explained by th</w:t>
      </w:r>
      <w:r>
        <w:rPr>
          <w:rFonts w:ascii="Arial" w:eastAsia="Times New Roman" w:hAnsi="Arial" w:cs="Arial"/>
          <w:color w:val="000000"/>
          <w:sz w:val="20"/>
          <w:szCs w:val="20"/>
        </w:rPr>
        <w:t>e following:</w:t>
      </w:r>
    </w:p>
    <w:p w:rsidR="00000000" w:rsidRDefault="009E01B0">
      <w:pPr>
        <w:ind w:hanging="360"/>
        <w:divId w:val="46146923"/>
        <w:rPr>
          <w:rFonts w:eastAsia="Times New Roman"/>
        </w:rPr>
      </w:pPr>
      <w:r>
        <w:rPr>
          <w:rFonts w:ascii="Arial" w:eastAsia="Times New Roman" w:hAnsi="Arial" w:cs="Arial"/>
          <w:color w:val="000000"/>
          <w:sz w:val="20"/>
          <w:szCs w:val="20"/>
        </w:rPr>
        <w:t>•a non-cash, unrealized gain of $109 million in 2021, compared with a loss of $898 million in 2020, reflecting the change in the mark-to-market value of derivative financial instruments used to manage foreign exchange risk;</w:t>
      </w:r>
    </w:p>
    <w:p w:rsidR="00000000" w:rsidRDefault="009E01B0">
      <w:pPr>
        <w:ind w:hanging="360"/>
        <w:divId w:val="304626398"/>
        <w:rPr>
          <w:rFonts w:eastAsia="Times New Roman"/>
        </w:rPr>
      </w:pPr>
      <w:r>
        <w:rPr>
          <w:rFonts w:ascii="Arial" w:eastAsia="Times New Roman" w:hAnsi="Arial" w:cs="Arial"/>
          <w:color w:val="000000"/>
          <w:sz w:val="20"/>
          <w:szCs w:val="20"/>
        </w:rPr>
        <w:t>•the absence in 202</w:t>
      </w:r>
      <w:r>
        <w:rPr>
          <w:rFonts w:ascii="Arial" w:eastAsia="Times New Roman" w:hAnsi="Arial" w:cs="Arial"/>
          <w:color w:val="000000"/>
          <w:sz w:val="20"/>
          <w:szCs w:val="20"/>
        </w:rPr>
        <w:t>1 of a loss of $74 million in 2020 from non-cash changes in a corporate guarantee obligation; and</w:t>
      </w:r>
    </w:p>
    <w:p w:rsidR="00000000" w:rsidRDefault="009E01B0">
      <w:pPr>
        <w:ind w:hanging="360"/>
        <w:divId w:val="1849445537"/>
        <w:rPr>
          <w:rFonts w:eastAsia="Times New Roman"/>
        </w:rPr>
      </w:pPr>
      <w:r>
        <w:rPr>
          <w:rFonts w:ascii="Arial" w:eastAsia="Times New Roman" w:hAnsi="Arial" w:cs="Arial"/>
          <w:color w:val="000000"/>
          <w:sz w:val="20"/>
          <w:szCs w:val="20"/>
        </w:rPr>
        <w:t>•the absence in 2021 of a loss of $43 million in 2020 from the write-down of certain investments in emerging energy and other technologies.</w:t>
      </w:r>
    </w:p>
    <w:p w:rsidR="00000000" w:rsidRDefault="009E01B0">
      <w:pPr>
        <w:divId w:val="1414660708"/>
        <w:rPr>
          <w:rFonts w:eastAsia="Times New Roman"/>
        </w:rPr>
      </w:pPr>
    </w:p>
    <w:p w:rsidR="00000000" w:rsidRDefault="009E01B0">
      <w:pPr>
        <w:divId w:val="1000698671"/>
        <w:rPr>
          <w:rFonts w:eastAsia="Times New Roman"/>
        </w:rPr>
      </w:pPr>
      <w:r>
        <w:rPr>
          <w:rFonts w:ascii="Arial" w:eastAsia="Times New Roman" w:hAnsi="Arial" w:cs="Arial"/>
          <w:color w:val="000000"/>
          <w:sz w:val="20"/>
          <w:szCs w:val="20"/>
        </w:rPr>
        <w:t>After taking int</w:t>
      </w:r>
      <w:r>
        <w:rPr>
          <w:rFonts w:ascii="Arial" w:eastAsia="Times New Roman" w:hAnsi="Arial" w:cs="Arial"/>
          <w:color w:val="000000"/>
          <w:sz w:val="20"/>
          <w:szCs w:val="20"/>
        </w:rPr>
        <w:t>o consideration the factors above, the remaining $97 million increase is primarily explained by realized gains related to settlements under our enterprise-wide foreign exchange risk management program which substantially offset the foreign currency exposur</w:t>
      </w:r>
      <w:r>
        <w:rPr>
          <w:rFonts w:ascii="Arial" w:eastAsia="Times New Roman" w:hAnsi="Arial" w:cs="Arial"/>
          <w:color w:val="000000"/>
          <w:sz w:val="20"/>
          <w:szCs w:val="20"/>
        </w:rPr>
        <w:t>es realized within our business segments' results.</w:t>
      </w:r>
    </w:p>
    <w:p w:rsidR="00000000" w:rsidRDefault="009E01B0">
      <w:pPr>
        <w:divId w:val="2105953318"/>
        <w:rPr>
          <w:rFonts w:eastAsia="Times New Roman"/>
        </w:rPr>
      </w:pPr>
    </w:p>
    <w:p w:rsidR="00000000" w:rsidRDefault="009E01B0">
      <w:pPr>
        <w:jc w:val="center"/>
        <w:divId w:val="2046250979"/>
        <w:rPr>
          <w:rFonts w:eastAsia="Times New Roman"/>
        </w:rPr>
      </w:pPr>
      <w:r>
        <w:rPr>
          <w:rFonts w:ascii="Arial" w:eastAsia="Times New Roman" w:hAnsi="Arial" w:cs="Arial"/>
          <w:color w:val="000000"/>
          <w:sz w:val="20"/>
          <w:szCs w:val="20"/>
        </w:rPr>
        <w:t>40</w:t>
      </w:r>
    </w:p>
    <w:p w:rsidR="00000000" w:rsidRDefault="009E01B0">
      <w:pPr>
        <w:rPr>
          <w:rFonts w:eastAsia="Times New Roman"/>
        </w:rPr>
      </w:pPr>
      <w:r>
        <w:rPr>
          <w:rFonts w:eastAsia="Times New Roman"/>
        </w:rPr>
        <w:pict>
          <v:rect id="_x0000_i1065" style="width:0;height:1.5pt" o:hralign="center" o:hrstd="t" o:hr="t" fillcolor="#a0a0a0" stroked="f"/>
        </w:pict>
      </w:r>
    </w:p>
    <w:p w:rsidR="00000000" w:rsidRDefault="009E01B0">
      <w:pPr>
        <w:divId w:val="677973653"/>
        <w:rPr>
          <w:rFonts w:eastAsia="Times New Roman"/>
        </w:rPr>
      </w:pPr>
    </w:p>
    <w:p w:rsidR="00000000" w:rsidRDefault="009E01B0">
      <w:pPr>
        <w:divId w:val="1091511895"/>
        <w:rPr>
          <w:rFonts w:eastAsia="Times New Roman"/>
        </w:rPr>
      </w:pPr>
      <w:r>
        <w:rPr>
          <w:rFonts w:ascii="Arial" w:eastAsia="Times New Roman" w:hAnsi="Arial" w:cs="Arial"/>
          <w:b/>
          <w:bCs/>
          <w:color w:val="000000"/>
          <w:sz w:val="26"/>
          <w:szCs w:val="26"/>
        </w:rPr>
        <w:t xml:space="preserve">GROWTH PROJECTS – COMMERCIALLY SECURED PROJECTS </w:t>
      </w:r>
    </w:p>
    <w:p w:rsidR="00000000" w:rsidRDefault="009E01B0">
      <w:pPr>
        <w:divId w:val="1730228349"/>
        <w:rPr>
          <w:rFonts w:eastAsia="Times New Roman"/>
        </w:rPr>
      </w:pPr>
      <w:r>
        <w:rPr>
          <w:rFonts w:ascii="Arial" w:eastAsia="Times New Roman" w:hAnsi="Arial" w:cs="Arial"/>
          <w:b/>
          <w:bCs/>
          <w:color w:val="000000"/>
          <w:sz w:val="20"/>
          <w:szCs w:val="20"/>
        </w:rPr>
        <w:t> </w:t>
      </w:r>
    </w:p>
    <w:p w:rsidR="00000000" w:rsidRDefault="009E01B0">
      <w:pPr>
        <w:divId w:val="1092240304"/>
        <w:rPr>
          <w:rFonts w:eastAsia="Times New Roman"/>
        </w:rPr>
      </w:pPr>
      <w:r>
        <w:rPr>
          <w:rFonts w:ascii="Arial" w:eastAsia="Times New Roman" w:hAnsi="Arial" w:cs="Arial"/>
          <w:color w:val="000000"/>
          <w:sz w:val="20"/>
          <w:szCs w:val="20"/>
        </w:rPr>
        <w:t>The following table summarizes the status of our commercially secured projects, organized by business segment:</w:t>
      </w:r>
    </w:p>
    <w:tbl>
      <w:tblPr>
        <w:tblW w:w="5000" w:type="pct"/>
        <w:tblCellMar>
          <w:top w:w="15" w:type="dxa"/>
          <w:left w:w="15" w:type="dxa"/>
          <w:bottom w:w="15" w:type="dxa"/>
          <w:right w:w="15" w:type="dxa"/>
        </w:tblCellMar>
        <w:tblLook w:val="04A0" w:firstRow="1" w:lastRow="0" w:firstColumn="1" w:lastColumn="0" w:noHBand="0" w:noVBand="1"/>
      </w:tblPr>
      <w:tblGrid>
        <w:gridCol w:w="74"/>
        <w:gridCol w:w="238"/>
        <w:gridCol w:w="36"/>
        <w:gridCol w:w="61"/>
        <w:gridCol w:w="1893"/>
        <w:gridCol w:w="37"/>
        <w:gridCol w:w="88"/>
        <w:gridCol w:w="978"/>
        <w:gridCol w:w="198"/>
        <w:gridCol w:w="63"/>
        <w:gridCol w:w="1138"/>
        <w:gridCol w:w="36"/>
        <w:gridCol w:w="85"/>
        <w:gridCol w:w="1214"/>
        <w:gridCol w:w="36"/>
        <w:gridCol w:w="84"/>
        <w:gridCol w:w="1027"/>
        <w:gridCol w:w="36"/>
        <w:gridCol w:w="73"/>
        <w:gridCol w:w="875"/>
        <w:gridCol w:w="36"/>
      </w:tblGrid>
      <w:tr w:rsidR="00000000">
        <w:trPr>
          <w:divId w:val="1586692262"/>
        </w:trPr>
        <w:tc>
          <w:tcPr>
            <w:tcW w:w="50" w:type="pct"/>
            <w:vAlign w:val="center"/>
            <w:hideMark/>
          </w:tcPr>
          <w:p w:rsidR="00000000" w:rsidRDefault="009E01B0">
            <w:pPr>
              <w:rPr>
                <w:rFonts w:eastAsia="Times New Roman"/>
              </w:rPr>
            </w:pPr>
          </w:p>
        </w:tc>
        <w:tc>
          <w:tcPr>
            <w:tcW w:w="16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123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6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738"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714"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618"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86"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586692262"/>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Enbridge's Ownership Interest</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Estimated</w:t>
            </w:r>
            <w:r>
              <w:rPr>
                <w:rFonts w:ascii="Arial" w:eastAsia="Times New Roman" w:hAnsi="Arial" w:cs="Arial"/>
                <w:b/>
                <w:bCs/>
                <w:color w:val="000000"/>
                <w:sz w:val="20"/>
                <w:szCs w:val="20"/>
              </w:rPr>
              <w:br/>
              <w:t xml:space="preserve">Capital </w:t>
            </w:r>
          </w:p>
          <w:p w:rsidR="00000000" w:rsidRDefault="009E01B0">
            <w:pPr>
              <w:jc w:val="right"/>
              <w:rPr>
                <w:rFonts w:eastAsia="Times New Roman"/>
              </w:rPr>
            </w:pPr>
            <w:r>
              <w:rPr>
                <w:rFonts w:ascii="Arial" w:eastAsia="Times New Roman" w:hAnsi="Arial" w:cs="Arial"/>
                <w:b/>
                <w:bCs/>
                <w:color w:val="000000"/>
                <w:sz w:val="20"/>
                <w:szCs w:val="20"/>
              </w:rPr>
              <w:t>Cos</w:t>
            </w:r>
            <w:r>
              <w:rPr>
                <w:rFonts w:ascii="Arial" w:eastAsia="Times New Roman" w:hAnsi="Arial" w:cs="Arial"/>
                <w:b/>
                <w:bCs/>
                <w:color w:val="000000"/>
                <w:sz w:val="20"/>
                <w:szCs w:val="20"/>
              </w:rPr>
              <w:t>t</w:t>
            </w:r>
            <w:r>
              <w:rPr>
                <w:rFonts w:ascii="Arial" w:eastAsia="Times New Roman" w:hAnsi="Arial" w:cs="Arial"/>
                <w:b/>
                <w:bCs/>
                <w:color w:val="000000"/>
                <w:sz w:val="10"/>
                <w:szCs w:val="10"/>
              </w:rPr>
              <w:t>1</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Expenditures</w:t>
            </w:r>
            <w:r>
              <w:rPr>
                <w:rFonts w:ascii="Arial" w:eastAsia="Times New Roman" w:hAnsi="Arial" w:cs="Arial"/>
                <w:b/>
                <w:bCs/>
                <w:color w:val="000000"/>
                <w:sz w:val="20"/>
                <w:szCs w:val="20"/>
              </w:rPr>
              <w:br/>
              <w:t>to Dat</w:t>
            </w:r>
            <w:r>
              <w:rPr>
                <w:rFonts w:ascii="Arial" w:eastAsia="Times New Roman" w:hAnsi="Arial" w:cs="Arial"/>
                <w:b/>
                <w:bCs/>
                <w:color w:val="000000"/>
                <w:sz w:val="20"/>
                <w:szCs w:val="20"/>
              </w:rPr>
              <w:t>e</w:t>
            </w:r>
            <w:r>
              <w:rPr>
                <w:rFonts w:ascii="Arial" w:eastAsia="Times New Roman" w:hAnsi="Arial" w:cs="Arial"/>
                <w:b/>
                <w:bCs/>
                <w:color w:val="000000"/>
                <w:sz w:val="10"/>
                <w:szCs w:val="10"/>
              </w:rPr>
              <w:t>2</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Status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Expected</w:t>
            </w:r>
            <w:r>
              <w:rPr>
                <w:rFonts w:ascii="Arial" w:eastAsia="Times New Roman" w:hAnsi="Arial" w:cs="Arial"/>
                <w:b/>
                <w:bCs/>
                <w:color w:val="000000"/>
                <w:sz w:val="20"/>
                <w:szCs w:val="20"/>
              </w:rPr>
              <w:br/>
              <w:t>In-Service</w:t>
            </w:r>
            <w:r>
              <w:rPr>
                <w:rFonts w:ascii="Arial" w:eastAsia="Times New Roman" w:hAnsi="Arial" w:cs="Arial"/>
                <w:b/>
                <w:bCs/>
                <w:color w:val="000000"/>
                <w:sz w:val="20"/>
                <w:szCs w:val="20"/>
              </w:rPr>
              <w:br/>
              <w:t>Date</w:t>
            </w:r>
          </w:p>
        </w:tc>
      </w:tr>
      <w:tr w:rsidR="00000000">
        <w:trPr>
          <w:divId w:val="1586692262"/>
        </w:trPr>
        <w:tc>
          <w:tcPr>
            <w:tcW w:w="0" w:type="auto"/>
            <w:gridSpan w:val="9"/>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i/>
                <w:iCs/>
                <w:color w:val="000000"/>
                <w:sz w:val="16"/>
                <w:szCs w:val="16"/>
              </w:rPr>
              <w:t>(Canadian dollars, unless stated otherwise)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586692262"/>
        </w:trPr>
        <w:tc>
          <w:tcPr>
            <w:tcW w:w="0" w:type="auto"/>
            <w:gridSpan w:val="9"/>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b/>
                <w:bCs/>
                <w:color w:val="000000"/>
                <w:sz w:val="20"/>
                <w:szCs w:val="20"/>
              </w:rPr>
              <w:t>LIQUIDS PIPELINES</w:t>
            </w:r>
          </w:p>
        </w:tc>
        <w:tc>
          <w:tcPr>
            <w:tcW w:w="0" w:type="auto"/>
            <w:gridSpan w:val="3"/>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586692262"/>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1.</w:t>
            </w:r>
          </w:p>
        </w:tc>
        <w:tc>
          <w:tcPr>
            <w:tcW w:w="0" w:type="auto"/>
            <w:gridSpan w:val="3"/>
            <w:tcBorders>
              <w:top w:val="single" w:sz="8" w:space="0" w:color="000000"/>
            </w:tcBorders>
            <w:tcMar>
              <w:top w:w="30" w:type="dxa"/>
              <w:left w:w="200" w:type="dxa"/>
              <w:bottom w:w="30" w:type="dxa"/>
              <w:right w:w="20" w:type="dxa"/>
            </w:tcMar>
            <w:hideMark/>
          </w:tcPr>
          <w:p w:rsidR="00000000" w:rsidRDefault="009E01B0">
            <w:pPr>
              <w:ind w:hanging="180"/>
              <w:rPr>
                <w:rFonts w:eastAsia="Times New Roman"/>
              </w:rPr>
            </w:pPr>
            <w:r>
              <w:rPr>
                <w:rFonts w:ascii="Arial" w:eastAsia="Times New Roman" w:hAnsi="Arial" w:cs="Arial"/>
                <w:color w:val="000000"/>
                <w:sz w:val="20"/>
                <w:szCs w:val="20"/>
              </w:rPr>
              <w:t xml:space="preserve">US Line 3 Replacement Program </w:t>
            </w: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US$4.0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US$2.8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Q4 - 2021</w:t>
            </w:r>
          </w:p>
        </w:tc>
      </w:tr>
      <w:tr w:rsidR="00000000">
        <w:trPr>
          <w:divId w:val="1586692262"/>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2.</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ind w:hanging="180"/>
              <w:divId w:val="1430278904"/>
              <w:rPr>
                <w:rFonts w:eastAsia="Times New Roman"/>
              </w:rPr>
            </w:pPr>
            <w:r>
              <w:rPr>
                <w:rFonts w:ascii="Arial" w:eastAsia="Times New Roman" w:hAnsi="Arial" w:cs="Arial"/>
                <w:color w:val="000000"/>
                <w:sz w:val="20"/>
                <w:szCs w:val="20"/>
              </w:rPr>
              <w:t>Southern Access Expansio</w:t>
            </w:r>
            <w:r>
              <w:rPr>
                <w:rFonts w:ascii="Arial" w:eastAsia="Times New Roman" w:hAnsi="Arial" w:cs="Arial"/>
                <w:color w:val="000000"/>
                <w:sz w:val="20"/>
                <w:szCs w:val="20"/>
              </w:rPr>
              <w:t>n</w:t>
            </w:r>
            <w:r>
              <w:rPr>
                <w:rFonts w:ascii="Arial" w:eastAsia="Times New Roman" w:hAnsi="Arial" w:cs="Arial"/>
                <w:color w:val="000000"/>
                <w:sz w:val="10"/>
                <w:szCs w:val="10"/>
              </w:rPr>
              <w:t>3</w:t>
            </w: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US$0.5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US$0.5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Q4 - 2021</w:t>
            </w:r>
          </w:p>
        </w:tc>
      </w:tr>
      <w:tr w:rsidR="00000000">
        <w:trPr>
          <w:divId w:val="1586692262"/>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3.</w:t>
            </w:r>
          </w:p>
        </w:tc>
        <w:tc>
          <w:tcPr>
            <w:tcW w:w="0" w:type="auto"/>
            <w:gridSpan w:val="3"/>
            <w:tcBorders>
              <w:top w:val="single" w:sz="8" w:space="0" w:color="000000"/>
              <w:bottom w:val="single" w:sz="8" w:space="0" w:color="000000"/>
            </w:tcBorders>
            <w:tcMar>
              <w:top w:w="30" w:type="dxa"/>
              <w:left w:w="200" w:type="dxa"/>
              <w:bottom w:w="30" w:type="dxa"/>
              <w:right w:w="20" w:type="dxa"/>
            </w:tcMar>
            <w:hideMark/>
          </w:tcPr>
          <w:p w:rsidR="00000000" w:rsidRDefault="009E01B0">
            <w:pPr>
              <w:ind w:hanging="180"/>
              <w:rPr>
                <w:rFonts w:eastAsia="Times New Roman"/>
              </w:rPr>
            </w:pPr>
            <w:r>
              <w:rPr>
                <w:rFonts w:ascii="Arial" w:eastAsia="Times New Roman" w:hAnsi="Arial" w:cs="Arial"/>
                <w:color w:val="000000"/>
                <w:sz w:val="20"/>
                <w:szCs w:val="20"/>
              </w:rPr>
              <w:t>Other - US</w:t>
            </w:r>
          </w:p>
        </w:tc>
        <w:tc>
          <w:tcPr>
            <w:tcW w:w="0" w:type="auto"/>
            <w:gridSpan w:val="2"/>
            <w:tcBorders>
              <w:top w:val="single" w:sz="8" w:space="0" w:color="000000"/>
              <w:bottom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bottom w:val="single" w:sz="8" w:space="0" w:color="000000"/>
            </w:tcBorders>
            <w:tcMar>
              <w:top w:w="30" w:type="dxa"/>
              <w:left w:w="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US$0.1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US$0.1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Q3 - 2021</w:t>
            </w:r>
          </w:p>
        </w:tc>
      </w:tr>
      <w:tr w:rsidR="00000000">
        <w:trPr>
          <w:divId w:val="1586692262"/>
        </w:trPr>
        <w:tc>
          <w:tcPr>
            <w:tcW w:w="0" w:type="auto"/>
            <w:gridSpan w:val="9"/>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b/>
                <w:bCs/>
                <w:color w:val="000000"/>
                <w:sz w:val="20"/>
                <w:szCs w:val="20"/>
              </w:rPr>
              <w:t>GAS TRANSMISSION AND MIDSTREAM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586692262"/>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4.</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ind w:hanging="180"/>
              <w:divId w:val="522596913"/>
              <w:rPr>
                <w:rFonts w:eastAsia="Times New Roman"/>
              </w:rPr>
            </w:pPr>
            <w:r>
              <w:rPr>
                <w:rFonts w:ascii="Arial" w:eastAsia="Times New Roman" w:hAnsi="Arial" w:cs="Arial"/>
                <w:color w:val="000000"/>
                <w:sz w:val="20"/>
                <w:szCs w:val="20"/>
              </w:rPr>
              <w:t xml:space="preserve">T-South Reliability &amp; Expansion Program </w:t>
            </w: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$1.0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$0.8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Q4 - 2021</w:t>
            </w:r>
          </w:p>
        </w:tc>
      </w:tr>
      <w:tr w:rsidR="00000000">
        <w:trPr>
          <w:divId w:val="1586692262"/>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5.</w:t>
            </w:r>
          </w:p>
        </w:tc>
        <w:tc>
          <w:tcPr>
            <w:tcW w:w="0" w:type="auto"/>
            <w:gridSpan w:val="3"/>
            <w:tcBorders>
              <w:top w:val="single" w:sz="8" w:space="0" w:color="000000"/>
            </w:tcBorders>
            <w:tcMar>
              <w:top w:w="30" w:type="dxa"/>
              <w:left w:w="200" w:type="dxa"/>
              <w:bottom w:w="30" w:type="dxa"/>
              <w:right w:w="20" w:type="dxa"/>
            </w:tcMar>
            <w:hideMark/>
          </w:tcPr>
          <w:p w:rsidR="00000000" w:rsidRDefault="009E01B0">
            <w:pPr>
              <w:ind w:hanging="180"/>
              <w:rPr>
                <w:rFonts w:eastAsia="Times New Roman"/>
              </w:rPr>
            </w:pPr>
            <w:r>
              <w:rPr>
                <w:rFonts w:ascii="Arial" w:eastAsia="Times New Roman" w:hAnsi="Arial" w:cs="Arial"/>
                <w:color w:val="000000"/>
                <w:sz w:val="20"/>
                <w:szCs w:val="20"/>
              </w:rPr>
              <w:t>Spruce Ridge Project</w:t>
            </w: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$0.5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$0.3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Q4 - 2021</w:t>
            </w:r>
          </w:p>
        </w:tc>
      </w:tr>
      <w:tr w:rsidR="00000000">
        <w:trPr>
          <w:divId w:val="1586692262"/>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6.</w:t>
            </w:r>
          </w:p>
        </w:tc>
        <w:tc>
          <w:tcPr>
            <w:tcW w:w="0" w:type="auto"/>
            <w:gridSpan w:val="3"/>
            <w:tcBorders>
              <w:top w:val="single" w:sz="8" w:space="0" w:color="000000"/>
              <w:bottom w:val="single" w:sz="8" w:space="0" w:color="000000"/>
            </w:tcBorders>
            <w:tcMar>
              <w:top w:w="30" w:type="dxa"/>
              <w:left w:w="200" w:type="dxa"/>
              <w:bottom w:w="30" w:type="dxa"/>
              <w:right w:w="20" w:type="dxa"/>
            </w:tcMar>
            <w:hideMark/>
          </w:tcPr>
          <w:p w:rsidR="00000000" w:rsidRDefault="009E01B0">
            <w:pPr>
              <w:ind w:hanging="180"/>
              <w:rPr>
                <w:rFonts w:eastAsia="Times New Roman"/>
              </w:rPr>
            </w:pPr>
            <w:r>
              <w:rPr>
                <w:rFonts w:ascii="Arial" w:eastAsia="Times New Roman" w:hAnsi="Arial" w:cs="Arial"/>
                <w:color w:val="000000"/>
                <w:sz w:val="20"/>
                <w:szCs w:val="20"/>
              </w:rPr>
              <w:t>Other - US</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Various</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US$0.8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US$0.3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Various stages</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2021 - 2023</w:t>
            </w:r>
          </w:p>
        </w:tc>
      </w:tr>
      <w:tr w:rsidR="00000000">
        <w:trPr>
          <w:divId w:val="1586692262"/>
        </w:trPr>
        <w:tc>
          <w:tcPr>
            <w:tcW w:w="0" w:type="auto"/>
            <w:gridSpan w:val="9"/>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b/>
                <w:bCs/>
                <w:color w:val="000000"/>
                <w:sz w:val="20"/>
                <w:szCs w:val="20"/>
              </w:rPr>
              <w:t>GAS DISTRIBUTION AND STORAGE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586692262"/>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7.</w:t>
            </w:r>
          </w:p>
        </w:tc>
        <w:tc>
          <w:tcPr>
            <w:tcW w:w="0" w:type="auto"/>
            <w:gridSpan w:val="3"/>
            <w:tcBorders>
              <w:top w:val="single" w:sz="8" w:space="0" w:color="000000"/>
            </w:tcBorders>
            <w:tcMar>
              <w:top w:w="30" w:type="dxa"/>
              <w:left w:w="200" w:type="dxa"/>
              <w:bottom w:w="30" w:type="dxa"/>
              <w:right w:w="20" w:type="dxa"/>
            </w:tcMar>
            <w:hideMark/>
          </w:tcPr>
          <w:p w:rsidR="00000000" w:rsidRDefault="009E01B0">
            <w:pPr>
              <w:ind w:hanging="180"/>
              <w:rPr>
                <w:rFonts w:eastAsia="Times New Roman"/>
              </w:rPr>
            </w:pPr>
            <w:r>
              <w:rPr>
                <w:rFonts w:ascii="Arial" w:eastAsia="Times New Roman" w:hAnsi="Arial" w:cs="Arial"/>
                <w:color w:val="000000"/>
                <w:sz w:val="20"/>
                <w:szCs w:val="20"/>
              </w:rPr>
              <w:t>London Line Replacement Project</w:t>
            </w: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$0.2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Pre-construction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Q4 - 2021</w:t>
            </w:r>
          </w:p>
        </w:tc>
      </w:tr>
      <w:tr w:rsidR="00000000">
        <w:trPr>
          <w:divId w:val="1586692262"/>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8.</w:t>
            </w:r>
          </w:p>
        </w:tc>
        <w:tc>
          <w:tcPr>
            <w:tcW w:w="0" w:type="auto"/>
            <w:gridSpan w:val="3"/>
            <w:tcBorders>
              <w:top w:val="single" w:sz="8" w:space="0" w:color="000000"/>
              <w:bottom w:val="single" w:sz="8" w:space="0" w:color="000000"/>
            </w:tcBorders>
            <w:tcMar>
              <w:top w:w="30" w:type="dxa"/>
              <w:left w:w="200" w:type="dxa"/>
              <w:bottom w:w="30" w:type="dxa"/>
              <w:right w:w="20" w:type="dxa"/>
            </w:tcMar>
            <w:hideMark/>
          </w:tcPr>
          <w:p w:rsidR="00000000" w:rsidRDefault="009E01B0">
            <w:pPr>
              <w:ind w:hanging="180"/>
              <w:rPr>
                <w:rFonts w:eastAsia="Times New Roman"/>
              </w:rPr>
            </w:pPr>
            <w:r>
              <w:rPr>
                <w:rFonts w:ascii="Arial" w:eastAsia="Times New Roman" w:hAnsi="Arial" w:cs="Arial"/>
                <w:color w:val="000000"/>
                <w:sz w:val="20"/>
                <w:szCs w:val="20"/>
              </w:rPr>
              <w:t>Storage Enhancements</w:t>
            </w:r>
          </w:p>
        </w:tc>
        <w:tc>
          <w:tcPr>
            <w:tcW w:w="0" w:type="auto"/>
            <w:gridSpan w:val="2"/>
            <w:tcBorders>
              <w:top w:val="single" w:sz="8" w:space="0" w:color="000000"/>
              <w:bottom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bottom w:val="single" w:sz="8" w:space="0" w:color="000000"/>
            </w:tcBorders>
            <w:tcMar>
              <w:top w:w="30" w:type="dxa"/>
              <w:left w:w="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$0.1 billion</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Pre-construction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2021 - 2022</w:t>
            </w:r>
          </w:p>
        </w:tc>
      </w:tr>
      <w:tr w:rsidR="00000000">
        <w:trPr>
          <w:divId w:val="1586692262"/>
        </w:trPr>
        <w:tc>
          <w:tcPr>
            <w:tcW w:w="0" w:type="auto"/>
            <w:gridSpan w:val="15"/>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b/>
                <w:bCs/>
                <w:color w:val="000000"/>
                <w:sz w:val="20"/>
                <w:szCs w:val="20"/>
              </w:rPr>
              <w:t>RENEWABLE POWER GENERATION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586692262"/>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9.</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ind w:hanging="180"/>
              <w:divId w:val="670832520"/>
              <w:rPr>
                <w:rFonts w:eastAsia="Times New Roman"/>
              </w:rPr>
            </w:pPr>
            <w:r>
              <w:rPr>
                <w:rFonts w:ascii="Arial" w:eastAsia="Times New Roman" w:hAnsi="Arial" w:cs="Arial"/>
                <w:color w:val="000000"/>
                <w:sz w:val="20"/>
                <w:szCs w:val="20"/>
              </w:rPr>
              <w:t>East-West Tie Line</w:t>
            </w:r>
          </w:p>
        </w:tc>
        <w:tc>
          <w:tcPr>
            <w:tcW w:w="0" w:type="auto"/>
            <w:gridSpan w:val="2"/>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25.0 </w:t>
            </w:r>
          </w:p>
        </w:tc>
        <w:tc>
          <w:tcPr>
            <w:tcW w:w="0" w:type="auto"/>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$0.2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$0.1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1H - 2022</w:t>
            </w:r>
          </w:p>
        </w:tc>
      </w:tr>
      <w:tr w:rsidR="00000000">
        <w:trPr>
          <w:divId w:val="1586692262"/>
          <w:trHeight w:val="240"/>
        </w:trPr>
        <w:tc>
          <w:tcPr>
            <w:tcW w:w="0" w:type="auto"/>
            <w:gridSpan w:val="3"/>
            <w:vMerge w:val="restart"/>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10.</w:t>
            </w:r>
          </w:p>
        </w:tc>
        <w:tc>
          <w:tcPr>
            <w:tcW w:w="0" w:type="auto"/>
            <w:gridSpan w:val="3"/>
            <w:vMerge w:val="restart"/>
            <w:tcBorders>
              <w:top w:val="single" w:sz="8" w:space="0" w:color="000000"/>
            </w:tcBorders>
            <w:tcMar>
              <w:top w:w="30" w:type="dxa"/>
              <w:left w:w="20" w:type="dxa"/>
              <w:bottom w:w="30" w:type="dxa"/>
              <w:right w:w="20" w:type="dxa"/>
            </w:tcMar>
            <w:hideMark/>
          </w:tcPr>
          <w:p w:rsidR="00000000" w:rsidRDefault="009E01B0">
            <w:pPr>
              <w:ind w:hanging="180"/>
              <w:divId w:val="1000307249"/>
              <w:rPr>
                <w:rFonts w:eastAsia="Times New Roman"/>
              </w:rPr>
            </w:pPr>
            <w:r>
              <w:rPr>
                <w:rFonts w:ascii="Arial" w:eastAsia="Times New Roman" w:hAnsi="Arial" w:cs="Arial"/>
                <w:color w:val="000000"/>
                <w:sz w:val="20"/>
                <w:szCs w:val="20"/>
              </w:rPr>
              <w:t>Saint-Nazaire France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4</w:t>
            </w:r>
          </w:p>
        </w:tc>
        <w:tc>
          <w:tcPr>
            <w:tcW w:w="0" w:type="auto"/>
            <w:gridSpan w:val="2"/>
            <w:vMerge w:val="restart"/>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25.5 </w:t>
            </w:r>
          </w:p>
        </w:tc>
        <w:tc>
          <w:tcPr>
            <w:tcW w:w="0" w:type="auto"/>
            <w:vMerge w:val="restart"/>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$0.9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$0.3 billion</w:t>
            </w:r>
          </w:p>
        </w:tc>
        <w:tc>
          <w:tcPr>
            <w:tcW w:w="0" w:type="auto"/>
            <w:gridSpan w:val="3"/>
            <w:vMerge w:val="restart"/>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Under construction</w:t>
            </w:r>
          </w:p>
        </w:tc>
        <w:tc>
          <w:tcPr>
            <w:tcW w:w="0" w:type="auto"/>
            <w:gridSpan w:val="3"/>
            <w:vMerge w:val="restart"/>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2H - 2022</w:t>
            </w:r>
          </w:p>
        </w:tc>
      </w:tr>
      <w:tr w:rsidR="00000000">
        <w:trPr>
          <w:divId w:val="1586692262"/>
          <w:trHeight w:val="240"/>
        </w:trPr>
        <w:tc>
          <w:tcPr>
            <w:tcW w:w="0" w:type="auto"/>
            <w:gridSpan w:val="3"/>
            <w:vMerge/>
            <w:tcBorders>
              <w:top w:val="single" w:sz="8" w:space="0" w:color="000000"/>
            </w:tcBorders>
            <w:vAlign w:val="center"/>
            <w:hideMark/>
          </w:tcPr>
          <w:p w:rsidR="00000000" w:rsidRDefault="009E01B0">
            <w:pPr>
              <w:rPr>
                <w:rFonts w:eastAsia="Times New Roman"/>
              </w:rPr>
            </w:pPr>
          </w:p>
        </w:tc>
        <w:tc>
          <w:tcPr>
            <w:tcW w:w="0" w:type="auto"/>
            <w:gridSpan w:val="3"/>
            <w:vMerge/>
            <w:tcBorders>
              <w:top w:val="single" w:sz="8" w:space="0" w:color="000000"/>
            </w:tcBorders>
            <w:vAlign w:val="center"/>
            <w:hideMark/>
          </w:tcPr>
          <w:p w:rsidR="00000000" w:rsidRDefault="009E01B0">
            <w:pPr>
              <w:rPr>
                <w:rFonts w:eastAsia="Times New Roman"/>
              </w:rPr>
            </w:pPr>
          </w:p>
        </w:tc>
        <w:tc>
          <w:tcPr>
            <w:tcW w:w="0" w:type="auto"/>
            <w:gridSpan w:val="2"/>
            <w:vMerge/>
            <w:tcBorders>
              <w:top w:val="single" w:sz="8" w:space="0" w:color="000000"/>
            </w:tcBorders>
            <w:vAlign w:val="center"/>
            <w:hideMark/>
          </w:tcPr>
          <w:p w:rsidR="00000000" w:rsidRDefault="009E01B0">
            <w:pPr>
              <w:rPr>
                <w:rFonts w:eastAsia="Times New Roman"/>
              </w:rPr>
            </w:pPr>
          </w:p>
        </w:tc>
        <w:tc>
          <w:tcPr>
            <w:tcW w:w="0" w:type="auto"/>
            <w:vMerge/>
            <w:tcBorders>
              <w:top w:val="single" w:sz="8" w:space="0" w:color="000000"/>
            </w:tcBorders>
            <w:vAlign w:val="center"/>
            <w:hideMark/>
          </w:tcPr>
          <w:p w:rsidR="00000000" w:rsidRDefault="009E01B0">
            <w:pPr>
              <w:rPr>
                <w:rFonts w:eastAsia="Times New Roman"/>
              </w:rPr>
            </w:pP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(€0.6 billion)</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(€0.2 billion)</w:t>
            </w:r>
          </w:p>
        </w:tc>
        <w:tc>
          <w:tcPr>
            <w:tcW w:w="0" w:type="auto"/>
            <w:gridSpan w:val="3"/>
            <w:vMerge/>
            <w:tcBorders>
              <w:top w:val="single" w:sz="8" w:space="0" w:color="000000"/>
            </w:tcBorders>
            <w:vAlign w:val="center"/>
            <w:hideMark/>
          </w:tcPr>
          <w:p w:rsidR="00000000" w:rsidRDefault="009E01B0">
            <w:pPr>
              <w:rPr>
                <w:rFonts w:eastAsia="Times New Roman"/>
              </w:rPr>
            </w:pPr>
          </w:p>
        </w:tc>
        <w:tc>
          <w:tcPr>
            <w:tcW w:w="0" w:type="auto"/>
            <w:gridSpan w:val="3"/>
            <w:vMerge/>
            <w:tcBorders>
              <w:top w:val="single" w:sz="8" w:space="0" w:color="000000"/>
            </w:tcBorders>
            <w:vAlign w:val="center"/>
            <w:hideMark/>
          </w:tcPr>
          <w:p w:rsidR="00000000" w:rsidRDefault="009E01B0">
            <w:pPr>
              <w:rPr>
                <w:rFonts w:eastAsia="Times New Roman"/>
              </w:rPr>
            </w:pPr>
          </w:p>
        </w:tc>
      </w:tr>
      <w:tr w:rsidR="00000000">
        <w:trPr>
          <w:divId w:val="1586692262"/>
          <w:trHeight w:val="240"/>
        </w:trPr>
        <w:tc>
          <w:tcPr>
            <w:tcW w:w="0" w:type="auto"/>
            <w:gridSpan w:val="3"/>
            <w:vMerge w:val="restart"/>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11.</w:t>
            </w:r>
          </w:p>
        </w:tc>
        <w:tc>
          <w:tcPr>
            <w:tcW w:w="0" w:type="auto"/>
            <w:gridSpan w:val="3"/>
            <w:vMerge w:val="restart"/>
            <w:tcBorders>
              <w:top w:val="single" w:sz="8" w:space="0" w:color="000000"/>
            </w:tcBorders>
            <w:tcMar>
              <w:top w:w="30" w:type="dxa"/>
              <w:left w:w="20" w:type="dxa"/>
              <w:bottom w:w="30" w:type="dxa"/>
              <w:right w:w="20" w:type="dxa"/>
            </w:tcMar>
            <w:hideMark/>
          </w:tcPr>
          <w:p w:rsidR="00000000" w:rsidRDefault="009E01B0">
            <w:pPr>
              <w:ind w:hanging="180"/>
              <w:divId w:val="1736657916"/>
              <w:rPr>
                <w:rFonts w:eastAsia="Times New Roman"/>
              </w:rPr>
            </w:pPr>
            <w:r>
              <w:rPr>
                <w:rFonts w:ascii="Arial" w:eastAsia="Times New Roman" w:hAnsi="Arial" w:cs="Arial"/>
                <w:color w:val="000000"/>
                <w:sz w:val="20"/>
                <w:szCs w:val="20"/>
              </w:rPr>
              <w:t>Fécamp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5</w:t>
            </w:r>
          </w:p>
        </w:tc>
        <w:tc>
          <w:tcPr>
            <w:tcW w:w="0" w:type="auto"/>
            <w:gridSpan w:val="2"/>
            <w:vMerge w:val="restart"/>
            <w:tcBorders>
              <w:top w:val="single" w:sz="8"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17.9 </w:t>
            </w:r>
          </w:p>
        </w:tc>
        <w:tc>
          <w:tcPr>
            <w:tcW w:w="0" w:type="auto"/>
            <w:vMerge w:val="restart"/>
            <w:tcBorders>
              <w:top w:val="single" w:sz="8" w:space="0" w:color="000000"/>
            </w:tcBorders>
            <w:tcMar>
              <w:top w:w="30" w:type="dxa"/>
              <w:left w:w="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$0.7 billion</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$0.2 billion</w:t>
            </w:r>
          </w:p>
        </w:tc>
        <w:tc>
          <w:tcPr>
            <w:tcW w:w="0" w:type="auto"/>
            <w:gridSpan w:val="3"/>
            <w:vMerge w:val="restart"/>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Under construction</w:t>
            </w:r>
          </w:p>
        </w:tc>
        <w:tc>
          <w:tcPr>
            <w:tcW w:w="0" w:type="auto"/>
            <w:gridSpan w:val="3"/>
            <w:vMerge w:val="restart"/>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2023</w:t>
            </w:r>
          </w:p>
        </w:tc>
      </w:tr>
      <w:tr w:rsidR="00000000">
        <w:trPr>
          <w:divId w:val="1586692262"/>
          <w:trHeight w:val="240"/>
        </w:trPr>
        <w:tc>
          <w:tcPr>
            <w:tcW w:w="0" w:type="auto"/>
            <w:gridSpan w:val="3"/>
            <w:vMerge/>
            <w:tcBorders>
              <w:top w:val="single" w:sz="8" w:space="0" w:color="000000"/>
            </w:tcBorders>
            <w:vAlign w:val="center"/>
            <w:hideMark/>
          </w:tcPr>
          <w:p w:rsidR="00000000" w:rsidRDefault="009E01B0">
            <w:pPr>
              <w:rPr>
                <w:rFonts w:eastAsia="Times New Roman"/>
              </w:rPr>
            </w:pPr>
          </w:p>
        </w:tc>
        <w:tc>
          <w:tcPr>
            <w:tcW w:w="0" w:type="auto"/>
            <w:gridSpan w:val="3"/>
            <w:vMerge/>
            <w:tcBorders>
              <w:top w:val="single" w:sz="8" w:space="0" w:color="000000"/>
            </w:tcBorders>
            <w:vAlign w:val="center"/>
            <w:hideMark/>
          </w:tcPr>
          <w:p w:rsidR="00000000" w:rsidRDefault="009E01B0">
            <w:pPr>
              <w:rPr>
                <w:rFonts w:eastAsia="Times New Roman"/>
              </w:rPr>
            </w:pPr>
          </w:p>
        </w:tc>
        <w:tc>
          <w:tcPr>
            <w:tcW w:w="0" w:type="auto"/>
            <w:gridSpan w:val="2"/>
            <w:vMerge/>
            <w:tcBorders>
              <w:top w:val="single" w:sz="8" w:space="0" w:color="000000"/>
            </w:tcBorders>
            <w:vAlign w:val="center"/>
            <w:hideMark/>
          </w:tcPr>
          <w:p w:rsidR="00000000" w:rsidRDefault="009E01B0">
            <w:pPr>
              <w:rPr>
                <w:rFonts w:eastAsia="Times New Roman"/>
              </w:rPr>
            </w:pPr>
          </w:p>
        </w:tc>
        <w:tc>
          <w:tcPr>
            <w:tcW w:w="0" w:type="auto"/>
            <w:vMerge/>
            <w:tcBorders>
              <w:top w:val="single" w:sz="8" w:space="0" w:color="000000"/>
            </w:tcBorders>
            <w:vAlign w:val="center"/>
            <w:hideMark/>
          </w:tcPr>
          <w:p w:rsidR="00000000" w:rsidRDefault="009E01B0">
            <w:pPr>
              <w:rPr>
                <w:rFonts w:eastAsia="Times New Roman"/>
              </w:rPr>
            </w:pP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(€0.5 billion)</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0.1 billion)</w:t>
            </w:r>
          </w:p>
        </w:tc>
        <w:tc>
          <w:tcPr>
            <w:tcW w:w="0" w:type="auto"/>
            <w:gridSpan w:val="3"/>
            <w:vMerge/>
            <w:tcBorders>
              <w:top w:val="single" w:sz="8" w:space="0" w:color="000000"/>
            </w:tcBorders>
            <w:vAlign w:val="center"/>
            <w:hideMark/>
          </w:tcPr>
          <w:p w:rsidR="00000000" w:rsidRDefault="009E01B0">
            <w:pPr>
              <w:rPr>
                <w:rFonts w:eastAsia="Times New Roman"/>
              </w:rPr>
            </w:pPr>
          </w:p>
        </w:tc>
        <w:tc>
          <w:tcPr>
            <w:tcW w:w="0" w:type="auto"/>
            <w:gridSpan w:val="3"/>
            <w:vMerge/>
            <w:tcBorders>
              <w:top w:val="single" w:sz="8" w:space="0" w:color="000000"/>
            </w:tcBorders>
            <w:vAlign w:val="center"/>
            <w:hideMark/>
          </w:tcPr>
          <w:p w:rsidR="00000000" w:rsidRDefault="009E01B0">
            <w:pPr>
              <w:rPr>
                <w:rFonts w:eastAsia="Times New Roman"/>
              </w:rPr>
            </w:pPr>
          </w:p>
        </w:tc>
      </w:tr>
      <w:tr w:rsidR="00000000">
        <w:trPr>
          <w:divId w:val="1586692262"/>
          <w:trHeight w:val="480"/>
        </w:trPr>
        <w:tc>
          <w:tcPr>
            <w:tcW w:w="0" w:type="auto"/>
            <w:gridSpan w:val="3"/>
            <w:vMerge w:val="restart"/>
            <w:tcBorders>
              <w:top w:val="single" w:sz="8" w:space="0" w:color="000000"/>
              <w:bottom w:val="single" w:sz="12"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12.</w:t>
            </w:r>
          </w:p>
        </w:tc>
        <w:tc>
          <w:tcPr>
            <w:tcW w:w="0" w:type="auto"/>
            <w:gridSpan w:val="3"/>
            <w:vMerge w:val="restart"/>
            <w:tcBorders>
              <w:top w:val="single" w:sz="8" w:space="0" w:color="000000"/>
              <w:bottom w:val="single" w:sz="12" w:space="0" w:color="000000"/>
            </w:tcBorders>
            <w:tcMar>
              <w:top w:w="30" w:type="dxa"/>
              <w:left w:w="20" w:type="dxa"/>
              <w:bottom w:w="30" w:type="dxa"/>
              <w:right w:w="20" w:type="dxa"/>
            </w:tcMar>
            <w:hideMark/>
          </w:tcPr>
          <w:p w:rsidR="00000000" w:rsidRDefault="009E01B0">
            <w:pPr>
              <w:ind w:hanging="180"/>
              <w:divId w:val="558517529"/>
              <w:rPr>
                <w:rFonts w:eastAsia="Times New Roman"/>
              </w:rPr>
            </w:pPr>
            <w:r>
              <w:rPr>
                <w:rFonts w:ascii="Arial" w:eastAsia="Times New Roman" w:hAnsi="Arial" w:cs="Arial"/>
                <w:color w:val="000000"/>
                <w:sz w:val="20"/>
                <w:szCs w:val="20"/>
              </w:rPr>
              <w:t>Calvados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6</w:t>
            </w:r>
          </w:p>
        </w:tc>
        <w:tc>
          <w:tcPr>
            <w:tcW w:w="0" w:type="auto"/>
            <w:gridSpan w:val="2"/>
            <w:vMerge w:val="restart"/>
            <w:tcBorders>
              <w:top w:val="single" w:sz="8" w:space="0" w:color="000000"/>
              <w:bottom w:val="single" w:sz="12" w:space="0" w:color="000000"/>
            </w:tcBorders>
            <w:tcMar>
              <w:top w:w="30" w:type="dxa"/>
              <w:left w:w="20" w:type="dxa"/>
              <w:bottom w:w="30" w:type="dxa"/>
              <w:right w:w="0" w:type="dxa"/>
            </w:tcMar>
            <w:hideMark/>
          </w:tcPr>
          <w:p w:rsidR="00000000" w:rsidRDefault="009E01B0">
            <w:pPr>
              <w:jc w:val="right"/>
              <w:rPr>
                <w:rFonts w:eastAsia="Times New Roman"/>
              </w:rPr>
            </w:pPr>
            <w:r>
              <w:rPr>
                <w:rFonts w:ascii="Arial" w:eastAsia="Times New Roman" w:hAnsi="Arial" w:cs="Arial"/>
                <w:color w:val="000000"/>
                <w:sz w:val="20"/>
                <w:szCs w:val="20"/>
              </w:rPr>
              <w:t>21.7 </w:t>
            </w:r>
          </w:p>
        </w:tc>
        <w:tc>
          <w:tcPr>
            <w:tcW w:w="0" w:type="auto"/>
            <w:vMerge w:val="restart"/>
            <w:tcBorders>
              <w:top w:val="single" w:sz="8" w:space="0" w:color="000000"/>
              <w:bottom w:val="single" w:sz="12" w:space="0" w:color="000000"/>
            </w:tcBorders>
            <w:tcMar>
              <w:top w:w="30" w:type="dxa"/>
              <w:left w:w="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$0.9 billion</w:t>
            </w:r>
          </w:p>
        </w:tc>
        <w:tc>
          <w:tcPr>
            <w:tcW w:w="0" w:type="auto"/>
            <w:gridSpan w:val="3"/>
            <w:vMerge w:val="restart"/>
            <w:tcBorders>
              <w:top w:val="single" w:sz="8" w:space="0" w:color="000000"/>
              <w:bottom w:val="single" w:sz="12"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vMerge w:val="restart"/>
            <w:tcBorders>
              <w:top w:val="single" w:sz="8" w:space="0" w:color="000000"/>
              <w:bottom w:val="single" w:sz="12"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Under construction</w:t>
            </w:r>
          </w:p>
        </w:tc>
        <w:tc>
          <w:tcPr>
            <w:tcW w:w="0" w:type="auto"/>
            <w:gridSpan w:val="3"/>
            <w:vMerge w:val="restart"/>
            <w:tcBorders>
              <w:top w:val="single" w:sz="8" w:space="0" w:color="000000"/>
              <w:bottom w:val="single" w:sz="12"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2024</w:t>
            </w:r>
          </w:p>
        </w:tc>
      </w:tr>
      <w:tr w:rsidR="00000000">
        <w:trPr>
          <w:divId w:val="1586692262"/>
          <w:trHeight w:val="240"/>
        </w:trPr>
        <w:tc>
          <w:tcPr>
            <w:tcW w:w="0" w:type="auto"/>
            <w:gridSpan w:val="3"/>
            <w:vMerge/>
            <w:tcBorders>
              <w:top w:val="single" w:sz="8" w:space="0" w:color="000000"/>
              <w:bottom w:val="single" w:sz="12" w:space="0" w:color="000000"/>
            </w:tcBorders>
            <w:vAlign w:val="center"/>
            <w:hideMark/>
          </w:tcPr>
          <w:p w:rsidR="00000000" w:rsidRDefault="009E01B0">
            <w:pPr>
              <w:rPr>
                <w:rFonts w:eastAsia="Times New Roman"/>
              </w:rPr>
            </w:pPr>
          </w:p>
        </w:tc>
        <w:tc>
          <w:tcPr>
            <w:tcW w:w="0" w:type="auto"/>
            <w:gridSpan w:val="3"/>
            <w:vMerge/>
            <w:tcBorders>
              <w:top w:val="single" w:sz="8" w:space="0" w:color="000000"/>
              <w:bottom w:val="single" w:sz="12" w:space="0" w:color="000000"/>
            </w:tcBorders>
            <w:vAlign w:val="center"/>
            <w:hideMark/>
          </w:tcPr>
          <w:p w:rsidR="00000000" w:rsidRDefault="009E01B0">
            <w:pPr>
              <w:rPr>
                <w:rFonts w:eastAsia="Times New Roman"/>
              </w:rPr>
            </w:pPr>
          </w:p>
        </w:tc>
        <w:tc>
          <w:tcPr>
            <w:tcW w:w="0" w:type="auto"/>
            <w:gridSpan w:val="2"/>
            <w:vMerge/>
            <w:tcBorders>
              <w:top w:val="single" w:sz="8" w:space="0" w:color="000000"/>
              <w:bottom w:val="single" w:sz="12" w:space="0" w:color="000000"/>
            </w:tcBorders>
            <w:vAlign w:val="center"/>
            <w:hideMark/>
          </w:tcPr>
          <w:p w:rsidR="00000000" w:rsidRDefault="009E01B0">
            <w:pPr>
              <w:rPr>
                <w:rFonts w:eastAsia="Times New Roman"/>
              </w:rPr>
            </w:pPr>
          </w:p>
        </w:tc>
        <w:tc>
          <w:tcPr>
            <w:tcW w:w="0" w:type="auto"/>
            <w:vMerge/>
            <w:tcBorders>
              <w:top w:val="single" w:sz="8" w:space="0" w:color="000000"/>
              <w:bottom w:val="single" w:sz="12" w:space="0" w:color="000000"/>
            </w:tcBorders>
            <w:vAlign w:val="center"/>
            <w:hideMark/>
          </w:tcPr>
          <w:p w:rsidR="00000000" w:rsidRDefault="009E01B0">
            <w:pPr>
              <w:rPr>
                <w:rFonts w:eastAsia="Times New Roman"/>
              </w:rPr>
            </w:pPr>
          </w:p>
        </w:tc>
        <w:tc>
          <w:tcPr>
            <w:tcW w:w="0" w:type="auto"/>
            <w:gridSpan w:val="3"/>
            <w:tcBorders>
              <w:bottom w:val="single" w:sz="12"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(€0.6 billion)</w:t>
            </w:r>
          </w:p>
        </w:tc>
        <w:tc>
          <w:tcPr>
            <w:tcW w:w="0" w:type="auto"/>
            <w:gridSpan w:val="3"/>
            <w:vMerge/>
            <w:tcBorders>
              <w:top w:val="single" w:sz="8" w:space="0" w:color="000000"/>
              <w:bottom w:val="single" w:sz="12" w:space="0" w:color="000000"/>
            </w:tcBorders>
            <w:vAlign w:val="center"/>
            <w:hideMark/>
          </w:tcPr>
          <w:p w:rsidR="00000000" w:rsidRDefault="009E01B0">
            <w:pPr>
              <w:rPr>
                <w:rFonts w:eastAsia="Times New Roman"/>
              </w:rPr>
            </w:pPr>
          </w:p>
        </w:tc>
        <w:tc>
          <w:tcPr>
            <w:tcW w:w="0" w:type="auto"/>
            <w:gridSpan w:val="3"/>
            <w:vMerge/>
            <w:tcBorders>
              <w:top w:val="single" w:sz="8" w:space="0" w:color="000000"/>
              <w:bottom w:val="single" w:sz="12" w:space="0" w:color="000000"/>
            </w:tcBorders>
            <w:vAlign w:val="center"/>
            <w:hideMark/>
          </w:tcPr>
          <w:p w:rsidR="00000000" w:rsidRDefault="009E01B0">
            <w:pPr>
              <w:rPr>
                <w:rFonts w:eastAsia="Times New Roman"/>
              </w:rPr>
            </w:pPr>
          </w:p>
        </w:tc>
        <w:tc>
          <w:tcPr>
            <w:tcW w:w="0" w:type="auto"/>
            <w:gridSpan w:val="3"/>
            <w:vMerge/>
            <w:tcBorders>
              <w:top w:val="single" w:sz="8" w:space="0" w:color="000000"/>
              <w:bottom w:val="single" w:sz="12" w:space="0" w:color="000000"/>
            </w:tcBorders>
            <w:vAlign w:val="center"/>
            <w:hideMark/>
          </w:tcPr>
          <w:p w:rsidR="00000000" w:rsidRDefault="009E01B0">
            <w:pPr>
              <w:rPr>
                <w:rFonts w:eastAsia="Times New Roman"/>
              </w:rPr>
            </w:pPr>
          </w:p>
        </w:tc>
      </w:tr>
    </w:tbl>
    <w:p w:rsidR="00000000" w:rsidRDefault="009E01B0">
      <w:pPr>
        <w:ind w:hanging="180"/>
        <w:divId w:val="1823306513"/>
        <w:rPr>
          <w:rFonts w:eastAsia="Times New Roman"/>
        </w:rPr>
      </w:pPr>
      <w:r>
        <w:rPr>
          <w:rFonts w:ascii="Arial" w:eastAsia="Times New Roman" w:hAnsi="Arial" w:cs="Arial"/>
          <w:i/>
          <w:iCs/>
          <w:color w:val="000000"/>
          <w:sz w:val="16"/>
          <w:szCs w:val="16"/>
        </w:rPr>
        <w:t>1 These amounts are estimates and are subject to upward or downward adjustment based on various factors. Where appropriate, the amounts reflect our share of joint venture projects.</w:t>
      </w:r>
    </w:p>
    <w:p w:rsidR="00000000" w:rsidRDefault="009E01B0">
      <w:pPr>
        <w:divId w:val="1869291667"/>
        <w:rPr>
          <w:rFonts w:eastAsia="Times New Roman"/>
        </w:rPr>
      </w:pPr>
      <w:r>
        <w:rPr>
          <w:rFonts w:ascii="Arial" w:eastAsia="Times New Roman" w:hAnsi="Arial" w:cs="Arial"/>
          <w:i/>
          <w:iCs/>
          <w:color w:val="000000"/>
          <w:sz w:val="16"/>
          <w:szCs w:val="16"/>
        </w:rPr>
        <w:t xml:space="preserve">2 Expenditures to date reflect total cumulative expenditures incurred from </w:t>
      </w:r>
      <w:r>
        <w:rPr>
          <w:rFonts w:ascii="Arial" w:eastAsia="Times New Roman" w:hAnsi="Arial" w:cs="Arial"/>
          <w:i/>
          <w:iCs/>
          <w:color w:val="000000"/>
          <w:sz w:val="16"/>
          <w:szCs w:val="16"/>
        </w:rPr>
        <w:t>inception of the project up to March 31, 2021.</w:t>
      </w:r>
    </w:p>
    <w:p w:rsidR="00000000" w:rsidRDefault="009E01B0">
      <w:pPr>
        <w:divId w:val="1153839973"/>
        <w:rPr>
          <w:rFonts w:eastAsia="Times New Roman"/>
        </w:rPr>
      </w:pPr>
      <w:r>
        <w:rPr>
          <w:rFonts w:ascii="Arial" w:eastAsia="Times New Roman" w:hAnsi="Arial" w:cs="Arial"/>
          <w:i/>
          <w:iCs/>
          <w:color w:val="000000"/>
          <w:sz w:val="16"/>
          <w:szCs w:val="16"/>
        </w:rPr>
        <w:t>3 The status and in-service date will coincide with the status and in-service date of the US L3R Program.</w:t>
      </w:r>
    </w:p>
    <w:p w:rsidR="00000000" w:rsidRDefault="009E01B0">
      <w:pPr>
        <w:ind w:hanging="180"/>
        <w:divId w:val="885260313"/>
        <w:rPr>
          <w:rFonts w:eastAsia="Times New Roman"/>
        </w:rPr>
      </w:pPr>
      <w:r>
        <w:rPr>
          <w:rFonts w:ascii="Arial" w:eastAsia="Times New Roman" w:hAnsi="Arial" w:cs="Arial"/>
          <w:i/>
          <w:iCs/>
          <w:color w:val="000000"/>
          <w:sz w:val="16"/>
          <w:szCs w:val="16"/>
        </w:rPr>
        <w:t>4 Reflects the sale of 49% of an entity that holds our 50% interest in EMF to CPP Investments that clos</w:t>
      </w:r>
      <w:r>
        <w:rPr>
          <w:rFonts w:ascii="Arial" w:eastAsia="Times New Roman" w:hAnsi="Arial" w:cs="Arial"/>
          <w:i/>
          <w:iCs/>
          <w:color w:val="000000"/>
          <w:sz w:val="16"/>
          <w:szCs w:val="16"/>
        </w:rPr>
        <w:t>ed in the first quarter of 2021. Our equity contribution is $0.15 billion, with the remainder of the project financed through non-recourse project level debt.</w:t>
      </w:r>
    </w:p>
    <w:p w:rsidR="00000000" w:rsidRDefault="009E01B0">
      <w:pPr>
        <w:ind w:hanging="180"/>
        <w:divId w:val="1454902577"/>
        <w:rPr>
          <w:rFonts w:eastAsia="Times New Roman"/>
        </w:rPr>
      </w:pPr>
      <w:r>
        <w:rPr>
          <w:rFonts w:ascii="Arial" w:eastAsia="Times New Roman" w:hAnsi="Arial" w:cs="Arial"/>
          <w:i/>
          <w:iCs/>
          <w:color w:val="000000"/>
          <w:sz w:val="16"/>
          <w:szCs w:val="16"/>
        </w:rPr>
        <w:t>5 Reflects the sale of 49% of an entity that holds our 50% interest in EMF to CPP Investments tha</w:t>
      </w:r>
      <w:r>
        <w:rPr>
          <w:rFonts w:ascii="Arial" w:eastAsia="Times New Roman" w:hAnsi="Arial" w:cs="Arial"/>
          <w:i/>
          <w:iCs/>
          <w:color w:val="000000"/>
          <w:sz w:val="16"/>
          <w:szCs w:val="16"/>
        </w:rPr>
        <w:t>t closed in the first quarter of 2021. Our equity contribution is $0.10 billion, with the remainder of the project financed through non-recourse project level debt.</w:t>
      </w:r>
    </w:p>
    <w:p w:rsidR="00000000" w:rsidRDefault="009E01B0">
      <w:pPr>
        <w:ind w:hanging="180"/>
        <w:divId w:val="661540779"/>
        <w:rPr>
          <w:rFonts w:eastAsia="Times New Roman"/>
        </w:rPr>
      </w:pPr>
      <w:r>
        <w:rPr>
          <w:rFonts w:ascii="Arial" w:eastAsia="Times New Roman" w:hAnsi="Arial" w:cs="Arial"/>
          <w:i/>
          <w:iCs/>
          <w:color w:val="000000"/>
          <w:sz w:val="16"/>
          <w:szCs w:val="16"/>
        </w:rPr>
        <w:t>6 Reflects the sale of 49% of an entity that holds our 50% interest in EMF to CPP Investmen</w:t>
      </w:r>
      <w:r>
        <w:rPr>
          <w:rFonts w:ascii="Arial" w:eastAsia="Times New Roman" w:hAnsi="Arial" w:cs="Arial"/>
          <w:i/>
          <w:iCs/>
          <w:color w:val="000000"/>
          <w:sz w:val="16"/>
          <w:szCs w:val="16"/>
        </w:rPr>
        <w:t>ts that closed in the first quarter of 2021. The project is primarily financed through non-recourse project level debt.</w:t>
      </w:r>
    </w:p>
    <w:p w:rsidR="00000000" w:rsidRDefault="009E01B0">
      <w:pPr>
        <w:ind w:hanging="180"/>
        <w:divId w:val="1896696786"/>
        <w:rPr>
          <w:rFonts w:eastAsia="Times New Roman"/>
        </w:rPr>
      </w:pPr>
    </w:p>
    <w:p w:rsidR="00000000" w:rsidRDefault="009E01B0">
      <w:pPr>
        <w:divId w:val="1605110908"/>
        <w:rPr>
          <w:rFonts w:eastAsia="Times New Roman"/>
        </w:rPr>
      </w:pPr>
      <w:r>
        <w:rPr>
          <w:rFonts w:ascii="Arial" w:eastAsia="Times New Roman" w:hAnsi="Arial" w:cs="Arial"/>
          <w:color w:val="000000"/>
          <w:sz w:val="20"/>
          <w:szCs w:val="20"/>
        </w:rPr>
        <w:t>A full description of each of our projects is provided in our annual report on Form 10-K. Significant updates that have occurred since</w:t>
      </w:r>
      <w:r>
        <w:rPr>
          <w:rFonts w:ascii="Arial" w:eastAsia="Times New Roman" w:hAnsi="Arial" w:cs="Arial"/>
          <w:color w:val="000000"/>
          <w:sz w:val="20"/>
          <w:szCs w:val="20"/>
        </w:rPr>
        <w:t xml:space="preserve"> the date of filing are discussed below.</w:t>
      </w:r>
    </w:p>
    <w:p w:rsidR="00000000" w:rsidRDefault="009E01B0">
      <w:pPr>
        <w:divId w:val="2024436756"/>
        <w:rPr>
          <w:rFonts w:eastAsia="Times New Roman"/>
        </w:rPr>
      </w:pPr>
    </w:p>
    <w:p w:rsidR="00000000" w:rsidRDefault="009E01B0">
      <w:pPr>
        <w:jc w:val="center"/>
        <w:divId w:val="1356344034"/>
        <w:rPr>
          <w:rFonts w:eastAsia="Times New Roman"/>
        </w:rPr>
      </w:pPr>
      <w:r>
        <w:rPr>
          <w:rFonts w:ascii="Arial" w:eastAsia="Times New Roman" w:hAnsi="Arial" w:cs="Arial"/>
          <w:color w:val="000000"/>
          <w:sz w:val="20"/>
          <w:szCs w:val="20"/>
        </w:rPr>
        <w:t>41</w:t>
      </w:r>
    </w:p>
    <w:p w:rsidR="00000000" w:rsidRDefault="009E01B0">
      <w:pPr>
        <w:rPr>
          <w:rFonts w:eastAsia="Times New Roman"/>
        </w:rPr>
      </w:pPr>
      <w:r>
        <w:rPr>
          <w:rFonts w:eastAsia="Times New Roman"/>
        </w:rPr>
        <w:pict>
          <v:rect id="_x0000_i1066" style="width:0;height:1.5pt" o:hralign="center" o:hrstd="t" o:hr="t" fillcolor="#a0a0a0" stroked="f"/>
        </w:pict>
      </w:r>
    </w:p>
    <w:p w:rsidR="00000000" w:rsidRDefault="009E01B0">
      <w:pPr>
        <w:divId w:val="2128771085"/>
        <w:rPr>
          <w:rFonts w:eastAsia="Times New Roman"/>
        </w:rPr>
      </w:pPr>
    </w:p>
    <w:p w:rsidR="00000000" w:rsidRDefault="009E01B0">
      <w:pPr>
        <w:divId w:val="1511026626"/>
        <w:rPr>
          <w:rFonts w:eastAsia="Times New Roman"/>
        </w:rPr>
      </w:pPr>
      <w:r>
        <w:rPr>
          <w:rFonts w:ascii="Arial" w:eastAsia="Times New Roman" w:hAnsi="Arial" w:cs="Arial"/>
          <w:b/>
          <w:bCs/>
          <w:color w:val="000000"/>
          <w:sz w:val="20"/>
          <w:szCs w:val="20"/>
        </w:rPr>
        <w:t>RENEWABLE POWER GENERATION</w:t>
      </w:r>
    </w:p>
    <w:p w:rsidR="00000000" w:rsidRDefault="009E01B0">
      <w:pPr>
        <w:divId w:val="444346777"/>
        <w:rPr>
          <w:rFonts w:eastAsia="Times New Roman"/>
        </w:rPr>
      </w:pPr>
    </w:p>
    <w:p w:rsidR="00000000" w:rsidRDefault="009E01B0">
      <w:pPr>
        <w:ind w:hanging="360"/>
        <w:divId w:val="1309361476"/>
        <w:rPr>
          <w:rFonts w:eastAsia="Times New Roman"/>
        </w:rPr>
      </w:pPr>
      <w:r>
        <w:rPr>
          <w:rFonts w:ascii="Arial" w:eastAsia="Times New Roman" w:hAnsi="Arial" w:cs="Arial"/>
          <w:b/>
          <w:bCs/>
          <w:color w:val="000000"/>
          <w:sz w:val="20"/>
          <w:szCs w:val="20"/>
        </w:rPr>
        <w:t xml:space="preserve">•Calvados Offshore Wind Project – </w:t>
      </w:r>
      <w:r>
        <w:rPr>
          <w:rFonts w:ascii="Arial" w:eastAsia="Times New Roman" w:hAnsi="Arial" w:cs="Arial"/>
          <w:color w:val="000000"/>
          <w:sz w:val="20"/>
          <w:szCs w:val="20"/>
        </w:rPr>
        <w:t xml:space="preserve">an offshore wind project located off the northwest coast of France that is expected to generate approximately 448 MW. Project revenues are underpinned by a 20-year fixed price power purchase agreement. </w:t>
      </w:r>
    </w:p>
    <w:p w:rsidR="00000000" w:rsidRDefault="009E01B0">
      <w:pPr>
        <w:divId w:val="1406412106"/>
        <w:rPr>
          <w:rFonts w:eastAsia="Times New Roman"/>
        </w:rPr>
      </w:pPr>
    </w:p>
    <w:p w:rsidR="00000000" w:rsidRDefault="009E01B0">
      <w:pPr>
        <w:divId w:val="281963651"/>
        <w:rPr>
          <w:rFonts w:eastAsia="Times New Roman"/>
        </w:rPr>
      </w:pPr>
      <w:r>
        <w:rPr>
          <w:rFonts w:ascii="Arial" w:eastAsia="Times New Roman" w:hAnsi="Arial" w:cs="Arial"/>
          <w:color w:val="000000"/>
          <w:sz w:val="20"/>
          <w:szCs w:val="20"/>
        </w:rPr>
        <w:t>During the first quarter of 2021, we sold 49% of an</w:t>
      </w:r>
      <w:r>
        <w:rPr>
          <w:rFonts w:ascii="Arial" w:eastAsia="Times New Roman" w:hAnsi="Arial" w:cs="Arial"/>
          <w:color w:val="000000"/>
          <w:sz w:val="20"/>
          <w:szCs w:val="20"/>
        </w:rPr>
        <w:t xml:space="preserve"> entity that holds our 50% interest in EMF to CPP Investments. EMF holds equity interests in the Fécamp Offshore Wind Project, the Saint-Nazaire France Offshore Wind Project and the Calvados Offshore Wind Project. CPP Investments will fund their 49% share </w:t>
      </w:r>
      <w:r>
        <w:rPr>
          <w:rFonts w:ascii="Arial" w:eastAsia="Times New Roman" w:hAnsi="Arial" w:cs="Arial"/>
          <w:color w:val="000000"/>
          <w:sz w:val="20"/>
          <w:szCs w:val="20"/>
        </w:rPr>
        <w:t>of all ongoing future development capital.</w:t>
      </w:r>
    </w:p>
    <w:p w:rsidR="00000000" w:rsidRDefault="009E01B0">
      <w:pPr>
        <w:divId w:val="213932293"/>
        <w:rPr>
          <w:rFonts w:eastAsia="Times New Roman"/>
        </w:rPr>
      </w:pPr>
    </w:p>
    <w:p w:rsidR="00000000" w:rsidRDefault="009E01B0">
      <w:pPr>
        <w:divId w:val="670790071"/>
        <w:rPr>
          <w:rFonts w:eastAsia="Times New Roman"/>
        </w:rPr>
      </w:pPr>
      <w:r>
        <w:rPr>
          <w:rFonts w:ascii="Arial" w:eastAsia="Times New Roman" w:hAnsi="Arial" w:cs="Arial"/>
          <w:b/>
          <w:bCs/>
          <w:color w:val="000000"/>
          <w:sz w:val="26"/>
          <w:szCs w:val="26"/>
        </w:rPr>
        <w:t>OTHER ANNOUNCED PROJECTS UNDER DEVELOPMENT</w:t>
      </w:r>
    </w:p>
    <w:p w:rsidR="00000000" w:rsidRDefault="009E01B0">
      <w:pPr>
        <w:divId w:val="583145754"/>
        <w:rPr>
          <w:rFonts w:eastAsia="Times New Roman"/>
        </w:rPr>
      </w:pPr>
      <w:r>
        <w:rPr>
          <w:rFonts w:ascii="Arial" w:eastAsia="Times New Roman" w:hAnsi="Arial" w:cs="Arial"/>
          <w:color w:val="000000"/>
          <w:sz w:val="20"/>
          <w:szCs w:val="20"/>
        </w:rPr>
        <w:t> </w:t>
      </w:r>
    </w:p>
    <w:p w:rsidR="00000000" w:rsidRDefault="009E01B0">
      <w:pPr>
        <w:divId w:val="439300358"/>
        <w:rPr>
          <w:rFonts w:eastAsia="Times New Roman"/>
        </w:rPr>
      </w:pPr>
      <w:r>
        <w:rPr>
          <w:rFonts w:ascii="Arial" w:eastAsia="Times New Roman" w:hAnsi="Arial" w:cs="Arial"/>
          <w:color w:val="000000"/>
          <w:sz w:val="20"/>
          <w:szCs w:val="20"/>
        </w:rPr>
        <w:t>The following projects have been announced by us, but have not yet met our criteria to be classified as commercially secured:</w:t>
      </w:r>
    </w:p>
    <w:p w:rsidR="00000000" w:rsidRDefault="009E01B0">
      <w:pPr>
        <w:divId w:val="941306671"/>
        <w:rPr>
          <w:rFonts w:eastAsia="Times New Roman"/>
        </w:rPr>
      </w:pPr>
    </w:p>
    <w:p w:rsidR="00000000" w:rsidRDefault="009E01B0">
      <w:pPr>
        <w:divId w:val="867254210"/>
        <w:rPr>
          <w:rFonts w:eastAsia="Times New Roman"/>
        </w:rPr>
      </w:pPr>
      <w:r>
        <w:rPr>
          <w:rFonts w:ascii="Arial" w:eastAsia="Times New Roman" w:hAnsi="Arial" w:cs="Arial"/>
          <w:b/>
          <w:bCs/>
          <w:color w:val="000000"/>
          <w:sz w:val="20"/>
          <w:szCs w:val="20"/>
        </w:rPr>
        <w:t>GAS TRANSMISSION AND MIDSTREAM</w:t>
      </w:r>
    </w:p>
    <w:p w:rsidR="00000000" w:rsidRDefault="009E01B0">
      <w:pPr>
        <w:divId w:val="140003526"/>
        <w:rPr>
          <w:rFonts w:eastAsia="Times New Roman"/>
        </w:rPr>
      </w:pPr>
    </w:p>
    <w:p w:rsidR="00000000" w:rsidRDefault="009E01B0">
      <w:pPr>
        <w:ind w:hanging="360"/>
        <w:divId w:val="1842157220"/>
        <w:rPr>
          <w:rFonts w:eastAsia="Times New Roman"/>
        </w:rPr>
      </w:pPr>
      <w:r>
        <w:rPr>
          <w:rFonts w:ascii="Arial" w:eastAsia="Times New Roman" w:hAnsi="Arial" w:cs="Arial"/>
          <w:b/>
          <w:bCs/>
          <w:color w:val="000000"/>
          <w:sz w:val="20"/>
          <w:szCs w:val="20"/>
        </w:rPr>
        <w:t>•</w:t>
      </w:r>
      <w:r>
        <w:rPr>
          <w:rFonts w:ascii="Arial" w:eastAsia="Times New Roman" w:hAnsi="Arial" w:cs="Arial"/>
          <w:b/>
          <w:bCs/>
          <w:color w:val="000000"/>
          <w:sz w:val="20"/>
          <w:szCs w:val="20"/>
        </w:rPr>
        <w:t>Rio Bravo Pipeline</w:t>
      </w:r>
      <w:r>
        <w:rPr>
          <w:rFonts w:ascii="Arial" w:eastAsia="Times New Roman" w:hAnsi="Arial" w:cs="Arial"/>
          <w:color w:val="000000"/>
          <w:sz w:val="20"/>
          <w:szCs w:val="20"/>
        </w:rPr>
        <w:t xml:space="preserve"> - the Rio Bravo Pipeline is designed to transport up to 4.5 billion cubic feet per day of natural gas from the Agua Dulce supply area to NextDecade's Rio Grande LNG export facility in the Port of Brownsville, Texas. We have acquired the </w:t>
      </w:r>
      <w:r>
        <w:rPr>
          <w:rFonts w:ascii="Arial" w:eastAsia="Times New Roman" w:hAnsi="Arial" w:cs="Arial"/>
          <w:color w:val="000000"/>
          <w:sz w:val="20"/>
          <w:szCs w:val="20"/>
        </w:rPr>
        <w:t>Rio Bravo Pipeline development project from NextDecade. In addition, we have executed a precedent agreement with NextDecade under which we will provide firm transportation capacity on the Rio Bravo Pipeline to NextDecade's Rio Grande LNG export facility fo</w:t>
      </w:r>
      <w:r>
        <w:rPr>
          <w:rFonts w:ascii="Arial" w:eastAsia="Times New Roman" w:hAnsi="Arial" w:cs="Arial"/>
          <w:color w:val="000000"/>
          <w:sz w:val="20"/>
          <w:szCs w:val="20"/>
        </w:rPr>
        <w:t>r a term of at least 20 years. Construction of the pipeline will be subject to the Rio Grande LNG export facility reaching a final investment decision which is forecasted to occur in the second half of 2021.</w:t>
      </w:r>
    </w:p>
    <w:p w:rsidR="00000000" w:rsidRDefault="009E01B0">
      <w:pPr>
        <w:divId w:val="808939563"/>
        <w:rPr>
          <w:rFonts w:eastAsia="Times New Roman"/>
        </w:rPr>
      </w:pPr>
    </w:p>
    <w:p w:rsidR="00000000" w:rsidRDefault="009E01B0">
      <w:pPr>
        <w:ind w:hanging="360"/>
        <w:divId w:val="1106924879"/>
        <w:rPr>
          <w:rFonts w:eastAsia="Times New Roman"/>
        </w:rPr>
      </w:pPr>
      <w:r>
        <w:rPr>
          <w:rFonts w:ascii="Arial" w:eastAsia="Times New Roman" w:hAnsi="Arial" w:cs="Arial"/>
          <w:b/>
          <w:bCs/>
          <w:color w:val="000000"/>
          <w:sz w:val="20"/>
          <w:szCs w:val="20"/>
        </w:rPr>
        <w:t>•Annova LNG</w:t>
      </w:r>
      <w:r>
        <w:rPr>
          <w:rFonts w:ascii="Arial" w:eastAsia="Times New Roman" w:hAnsi="Arial" w:cs="Arial"/>
          <w:color w:val="000000"/>
          <w:sz w:val="20"/>
          <w:szCs w:val="20"/>
        </w:rPr>
        <w:t xml:space="preserve"> - we had executed an agreement to </w:t>
      </w:r>
      <w:r>
        <w:rPr>
          <w:rFonts w:ascii="Arial" w:eastAsia="Times New Roman" w:hAnsi="Arial" w:cs="Arial"/>
          <w:color w:val="000000"/>
          <w:sz w:val="20"/>
          <w:szCs w:val="20"/>
        </w:rPr>
        <w:t>provide natural gas transportation services to supply the 6.5 million tonnes per annum to the Annova LNG export facility in the Port of Brownsville, Texas for a term of at least 20 years, by expanding our existing Valley Crossing system. However, in the fi</w:t>
      </w:r>
      <w:r>
        <w:rPr>
          <w:rFonts w:ascii="Arial" w:eastAsia="Times New Roman" w:hAnsi="Arial" w:cs="Arial"/>
          <w:color w:val="000000"/>
          <w:sz w:val="20"/>
          <w:szCs w:val="20"/>
        </w:rPr>
        <w:t>rst quarter of 2021 Annova announced that it will not be proceeding with the project citing changes in the global LNG market as the reason for terminating the project.</w:t>
      </w:r>
    </w:p>
    <w:p w:rsidR="00000000" w:rsidRDefault="009E01B0">
      <w:pPr>
        <w:divId w:val="1698577519"/>
        <w:rPr>
          <w:rFonts w:eastAsia="Times New Roman"/>
        </w:rPr>
      </w:pPr>
    </w:p>
    <w:p w:rsidR="00000000" w:rsidRDefault="009E01B0">
      <w:pPr>
        <w:divId w:val="2094085537"/>
        <w:rPr>
          <w:rFonts w:eastAsia="Times New Roman"/>
        </w:rPr>
      </w:pPr>
      <w:r>
        <w:rPr>
          <w:rFonts w:ascii="Arial" w:eastAsia="Times New Roman" w:hAnsi="Arial" w:cs="Arial"/>
          <w:color w:val="000000"/>
          <w:sz w:val="20"/>
          <w:szCs w:val="20"/>
        </w:rPr>
        <w:t>We also have a portfolio of additional projects under development that have not yet pr</w:t>
      </w:r>
      <w:r>
        <w:rPr>
          <w:rFonts w:ascii="Arial" w:eastAsia="Times New Roman" w:hAnsi="Arial" w:cs="Arial"/>
          <w:color w:val="000000"/>
          <w:sz w:val="20"/>
          <w:szCs w:val="20"/>
        </w:rPr>
        <w:t>ogressed to the point of securement.</w:t>
      </w:r>
    </w:p>
    <w:p w:rsidR="00000000" w:rsidRDefault="009E01B0">
      <w:pPr>
        <w:divId w:val="156851464"/>
        <w:rPr>
          <w:rFonts w:eastAsia="Times New Roman"/>
        </w:rPr>
      </w:pPr>
    </w:p>
    <w:p w:rsidR="00000000" w:rsidRDefault="009E01B0">
      <w:pPr>
        <w:divId w:val="600990646"/>
        <w:rPr>
          <w:rFonts w:eastAsia="Times New Roman"/>
        </w:rPr>
      </w:pPr>
      <w:r>
        <w:rPr>
          <w:rFonts w:ascii="Arial" w:eastAsia="Times New Roman" w:hAnsi="Arial" w:cs="Arial"/>
          <w:b/>
          <w:bCs/>
          <w:color w:val="000000"/>
          <w:sz w:val="26"/>
          <w:szCs w:val="26"/>
        </w:rPr>
        <w:t xml:space="preserve">LIQUIDITY AND CAPITAL RESOURCES </w:t>
      </w:r>
    </w:p>
    <w:p w:rsidR="00000000" w:rsidRDefault="009E01B0">
      <w:pPr>
        <w:divId w:val="1812987933"/>
        <w:rPr>
          <w:rFonts w:eastAsia="Times New Roman"/>
        </w:rPr>
      </w:pPr>
      <w:r>
        <w:rPr>
          <w:rFonts w:ascii="Arial" w:eastAsia="Times New Roman" w:hAnsi="Arial" w:cs="Arial"/>
          <w:color w:val="000000"/>
          <w:sz w:val="20"/>
          <w:szCs w:val="20"/>
        </w:rPr>
        <w:t> </w:t>
      </w:r>
    </w:p>
    <w:p w:rsidR="00000000" w:rsidRDefault="009E01B0">
      <w:pPr>
        <w:divId w:val="1677272046"/>
        <w:rPr>
          <w:rFonts w:eastAsia="Times New Roman"/>
        </w:rPr>
      </w:pPr>
      <w:r>
        <w:rPr>
          <w:rFonts w:ascii="Arial" w:eastAsia="Times New Roman" w:hAnsi="Arial" w:cs="Arial"/>
          <w:color w:val="000000"/>
          <w:sz w:val="20"/>
          <w:szCs w:val="20"/>
        </w:rPr>
        <w:t>The maintenance of financial strength and flexibility is fundamental to our growth strategy, particularly in light of the significant number and size of capital projects currently se</w:t>
      </w:r>
      <w:r>
        <w:rPr>
          <w:rFonts w:ascii="Arial" w:eastAsia="Times New Roman" w:hAnsi="Arial" w:cs="Arial"/>
          <w:color w:val="000000"/>
          <w:sz w:val="20"/>
          <w:szCs w:val="20"/>
        </w:rPr>
        <w:t>cured or under development. Access to timely funding from capital markets could be limited by factors outside our control, including but not limited to financial market volatility resulting from economic and political events both inside and outside North A</w:t>
      </w:r>
      <w:r>
        <w:rPr>
          <w:rFonts w:ascii="Arial" w:eastAsia="Times New Roman" w:hAnsi="Arial" w:cs="Arial"/>
          <w:color w:val="000000"/>
          <w:sz w:val="20"/>
          <w:szCs w:val="20"/>
        </w:rPr>
        <w:t>merica. To mitigate such risks, we actively manage financial plans and strategies to help ensure we maintain sufficient liquidity to meet routine operating and future capital requirements. In the near term, we generally expect to utilize cash from operatio</w:t>
      </w:r>
      <w:r>
        <w:rPr>
          <w:rFonts w:ascii="Arial" w:eastAsia="Times New Roman" w:hAnsi="Arial" w:cs="Arial"/>
          <w:color w:val="000000"/>
          <w:sz w:val="20"/>
          <w:szCs w:val="20"/>
        </w:rPr>
        <w:t xml:space="preserve">ns together with commercial paper issuance and/or credit facility draws and the proceeds of capital market offerings to fund liabilities as they become due, finance capital expenditures, fund debt retirements and pay common and preference share dividends. </w:t>
      </w:r>
      <w:r>
        <w:rPr>
          <w:rFonts w:ascii="Arial" w:eastAsia="Times New Roman" w:hAnsi="Arial" w:cs="Arial"/>
          <w:color w:val="000000"/>
          <w:sz w:val="20"/>
          <w:szCs w:val="20"/>
        </w:rPr>
        <w:t>We target to maintain sufficient liquidity through securement of committed credit facilities with a diversified group of banks and financial institutions to enable us to fund all anticipated requirements for approximately one year without accessing the cap</w:t>
      </w:r>
      <w:r>
        <w:rPr>
          <w:rFonts w:ascii="Arial" w:eastAsia="Times New Roman" w:hAnsi="Arial" w:cs="Arial"/>
          <w:color w:val="000000"/>
          <w:sz w:val="20"/>
          <w:szCs w:val="20"/>
        </w:rPr>
        <w:t>ital markets.</w:t>
      </w:r>
    </w:p>
    <w:p w:rsidR="00000000" w:rsidRDefault="009E01B0">
      <w:pPr>
        <w:divId w:val="1749615341"/>
        <w:rPr>
          <w:rFonts w:eastAsia="Times New Roman"/>
        </w:rPr>
      </w:pPr>
      <w:r>
        <w:rPr>
          <w:rFonts w:ascii="Arial" w:eastAsia="Times New Roman" w:hAnsi="Arial" w:cs="Arial"/>
          <w:color w:val="000000"/>
          <w:sz w:val="20"/>
          <w:szCs w:val="20"/>
        </w:rPr>
        <w:t> </w:t>
      </w:r>
    </w:p>
    <w:p w:rsidR="00000000" w:rsidRDefault="009E01B0">
      <w:pPr>
        <w:jc w:val="center"/>
        <w:divId w:val="1132746142"/>
        <w:rPr>
          <w:rFonts w:eastAsia="Times New Roman"/>
        </w:rPr>
      </w:pPr>
      <w:r>
        <w:rPr>
          <w:rFonts w:ascii="Arial" w:eastAsia="Times New Roman" w:hAnsi="Arial" w:cs="Arial"/>
          <w:color w:val="000000"/>
          <w:sz w:val="20"/>
          <w:szCs w:val="20"/>
        </w:rPr>
        <w:t>42</w:t>
      </w:r>
    </w:p>
    <w:p w:rsidR="00000000" w:rsidRDefault="009E01B0">
      <w:pPr>
        <w:rPr>
          <w:rFonts w:eastAsia="Times New Roman"/>
        </w:rPr>
      </w:pPr>
      <w:r>
        <w:rPr>
          <w:rFonts w:eastAsia="Times New Roman"/>
        </w:rPr>
        <w:pict>
          <v:rect id="_x0000_i1067" style="width:0;height:1.5pt" o:hralign="center" o:hrstd="t" o:hr="t" fillcolor="#a0a0a0" stroked="f"/>
        </w:pict>
      </w:r>
    </w:p>
    <w:p w:rsidR="00000000" w:rsidRDefault="009E01B0">
      <w:pPr>
        <w:divId w:val="1895698763"/>
        <w:rPr>
          <w:rFonts w:eastAsia="Times New Roman"/>
        </w:rPr>
      </w:pPr>
    </w:p>
    <w:p w:rsidR="00000000" w:rsidRDefault="009E01B0">
      <w:pPr>
        <w:divId w:val="1090857691"/>
        <w:rPr>
          <w:rFonts w:eastAsia="Times New Roman"/>
        </w:rPr>
      </w:pPr>
      <w:r>
        <w:rPr>
          <w:rFonts w:ascii="Arial" w:eastAsia="Times New Roman" w:hAnsi="Arial" w:cs="Arial"/>
          <w:color w:val="000000"/>
          <w:sz w:val="20"/>
          <w:szCs w:val="20"/>
        </w:rPr>
        <w:t>Our financing plan is regularly updated to reflect evolving capital requirements and financial market conditions and identifies a variety of potential sources of debt and equity funding alternatives</w:t>
      </w:r>
      <w:r>
        <w:rPr>
          <w:rFonts w:ascii="Arial" w:eastAsia="Times New Roman" w:hAnsi="Arial" w:cs="Arial"/>
          <w:color w:val="000000"/>
          <w:sz w:val="20"/>
          <w:szCs w:val="20"/>
        </w:rPr>
        <w:t>. </w:t>
      </w:r>
    </w:p>
    <w:p w:rsidR="00000000" w:rsidRDefault="009E01B0">
      <w:pPr>
        <w:divId w:val="593822012"/>
        <w:rPr>
          <w:rFonts w:eastAsia="Times New Roman"/>
        </w:rPr>
      </w:pPr>
    </w:p>
    <w:p w:rsidR="00000000" w:rsidRDefault="009E01B0">
      <w:pPr>
        <w:divId w:val="1419474469"/>
        <w:rPr>
          <w:rFonts w:eastAsia="Times New Roman"/>
        </w:rPr>
      </w:pPr>
      <w:r>
        <w:rPr>
          <w:rFonts w:ascii="Arial" w:eastAsia="Times New Roman" w:hAnsi="Arial" w:cs="Arial"/>
          <w:b/>
          <w:bCs/>
          <w:color w:val="000000"/>
          <w:sz w:val="20"/>
          <w:szCs w:val="20"/>
        </w:rPr>
        <w:t>CAPITAL MARKET ACCESS</w:t>
      </w:r>
    </w:p>
    <w:p w:rsidR="00000000" w:rsidRDefault="009E01B0">
      <w:pPr>
        <w:divId w:val="99766494"/>
        <w:rPr>
          <w:rFonts w:eastAsia="Times New Roman"/>
        </w:rPr>
      </w:pPr>
      <w:r>
        <w:rPr>
          <w:rFonts w:ascii="Arial" w:eastAsia="Times New Roman" w:hAnsi="Arial" w:cs="Arial"/>
          <w:color w:val="000000"/>
          <w:sz w:val="20"/>
          <w:szCs w:val="20"/>
        </w:rPr>
        <w:t xml:space="preserve">We ensure ready access to capital markets, subject to market conditions, through maintenance of shelf prospectuses that allow for issuance of long-term debt, equity and other forms of long-term capital when market conditions are </w:t>
      </w:r>
      <w:r>
        <w:rPr>
          <w:rFonts w:ascii="Arial" w:eastAsia="Times New Roman" w:hAnsi="Arial" w:cs="Arial"/>
          <w:color w:val="000000"/>
          <w:sz w:val="20"/>
          <w:szCs w:val="20"/>
        </w:rPr>
        <w:t>attractive.</w:t>
      </w:r>
    </w:p>
    <w:p w:rsidR="00000000" w:rsidRDefault="009E01B0">
      <w:pPr>
        <w:divId w:val="1994868264"/>
        <w:rPr>
          <w:rFonts w:eastAsia="Times New Roman"/>
        </w:rPr>
      </w:pPr>
    </w:p>
    <w:p w:rsidR="00000000" w:rsidRDefault="009E01B0">
      <w:pPr>
        <w:divId w:val="371421705"/>
        <w:rPr>
          <w:rFonts w:eastAsia="Times New Roman"/>
        </w:rPr>
      </w:pPr>
      <w:r>
        <w:rPr>
          <w:rFonts w:ascii="Arial" w:eastAsia="Times New Roman" w:hAnsi="Arial" w:cs="Arial"/>
          <w:b/>
          <w:bCs/>
          <w:color w:val="000000"/>
          <w:sz w:val="20"/>
          <w:szCs w:val="20"/>
        </w:rPr>
        <w:t>Credit Facilities and Liquidity</w:t>
      </w:r>
    </w:p>
    <w:p w:rsidR="00000000" w:rsidRDefault="009E01B0">
      <w:pPr>
        <w:divId w:val="1982954206"/>
        <w:rPr>
          <w:rFonts w:eastAsia="Times New Roman"/>
        </w:rPr>
      </w:pPr>
      <w:r>
        <w:rPr>
          <w:rFonts w:ascii="Arial" w:eastAsia="Times New Roman" w:hAnsi="Arial" w:cs="Arial"/>
          <w:color w:val="000000"/>
          <w:sz w:val="20"/>
          <w:szCs w:val="20"/>
        </w:rPr>
        <w:t>To ensure ongoing liquidity and to mitigate the risk of capital market disruption, we maintain ready access to funds through committed bank credit facilities and actively manage our bank funding sources to optimize pricing and other terms. The following ta</w:t>
      </w:r>
      <w:r>
        <w:rPr>
          <w:rFonts w:ascii="Arial" w:eastAsia="Times New Roman" w:hAnsi="Arial" w:cs="Arial"/>
          <w:color w:val="000000"/>
          <w:sz w:val="20"/>
          <w:szCs w:val="20"/>
        </w:rPr>
        <w:t>ble provides details of our committed credit facilities as at March 31,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4370"/>
        <w:gridCol w:w="38"/>
        <w:gridCol w:w="71"/>
        <w:gridCol w:w="849"/>
        <w:gridCol w:w="36"/>
        <w:gridCol w:w="72"/>
        <w:gridCol w:w="848"/>
        <w:gridCol w:w="36"/>
        <w:gridCol w:w="69"/>
        <w:gridCol w:w="852"/>
        <w:gridCol w:w="36"/>
        <w:gridCol w:w="74"/>
        <w:gridCol w:w="850"/>
        <w:gridCol w:w="36"/>
      </w:tblGrid>
      <w:tr w:rsidR="00000000">
        <w:trPr>
          <w:divId w:val="436217660"/>
        </w:trPr>
        <w:tc>
          <w:tcPr>
            <w:tcW w:w="50" w:type="pct"/>
            <w:vAlign w:val="center"/>
            <w:hideMark/>
          </w:tcPr>
          <w:p w:rsidR="00000000" w:rsidRDefault="009E01B0">
            <w:pPr>
              <w:rPr>
                <w:rFonts w:eastAsia="Times New Roman"/>
              </w:rPr>
            </w:pPr>
          </w:p>
        </w:tc>
        <w:tc>
          <w:tcPr>
            <w:tcW w:w="263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2"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436217660"/>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Maturit</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Total</w:t>
            </w:r>
            <w:r>
              <w:rPr>
                <w:rFonts w:ascii="Arial" w:eastAsia="Times New Roman" w:hAnsi="Arial" w:cs="Arial"/>
                <w:color w:val="000000"/>
                <w:sz w:val="20"/>
                <w:szCs w:val="20"/>
              </w:rPr>
              <w:br/>
              <w:t>Facilities</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Available</w:t>
            </w:r>
          </w:p>
        </w:tc>
      </w:tr>
      <w:tr w:rsidR="00000000">
        <w:trPr>
          <w:divId w:val="43621766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 </w:t>
            </w:r>
          </w:p>
        </w:tc>
      </w:tr>
      <w:tr w:rsidR="00000000">
        <w:trPr>
          <w:divId w:val="436217660"/>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2022-2024</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9,159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7,390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1,769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436217660"/>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2022-2024</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6,913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3,351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3,562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436217660"/>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2022</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3,000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1,358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1,642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436217660"/>
        </w:trPr>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20"/>
                <w:szCs w:val="20"/>
              </w:rPr>
              <w:t>2022</w:t>
            </w: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1,094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906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r w:rsidR="00000000">
        <w:trPr>
          <w:divId w:val="436217660"/>
        </w:trPr>
        <w:tc>
          <w:tcPr>
            <w:tcW w:w="0" w:type="auto"/>
            <w:gridSpan w:val="3"/>
            <w:tcBorders>
              <w:top w:val="single" w:sz="8" w:space="0" w:color="000000"/>
              <w:bottom w:val="single" w:sz="12"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8" w:space="0" w:color="000000"/>
              <w:bottom w:val="single" w:sz="12"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21,072</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13,193</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9E01B0">
            <w:pPr>
              <w:jc w:val="right"/>
              <w:rPr>
                <w:rFonts w:eastAsia="Times New Roman"/>
              </w:rPr>
            </w:pPr>
            <w:r>
              <w:rPr>
                <w:rFonts w:ascii="Arial" w:eastAsia="Times New Roman" w:hAnsi="Arial" w:cs="Arial"/>
                <w:b/>
                <w:bCs/>
                <w:color w:val="000000"/>
                <w:sz w:val="20"/>
                <w:szCs w:val="20"/>
              </w:rPr>
              <w:t>7,879</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9E01B0">
            <w:pPr>
              <w:jc w:val="right"/>
              <w:rPr>
                <w:rFonts w:eastAsia="Times New Roman"/>
              </w:rPr>
            </w:pPr>
          </w:p>
        </w:tc>
      </w:tr>
    </w:tbl>
    <w:p w:rsidR="00000000" w:rsidRDefault="009E01B0">
      <w:pPr>
        <w:divId w:val="1030572982"/>
        <w:rPr>
          <w:rFonts w:eastAsia="Times New Roman"/>
        </w:rPr>
      </w:pPr>
      <w:r>
        <w:rPr>
          <w:rFonts w:ascii="Arial" w:eastAsia="Times New Roman" w:hAnsi="Arial" w:cs="Arial"/>
          <w:color w:val="000000"/>
          <w:sz w:val="2"/>
          <w:szCs w:val="2"/>
        </w:rPr>
        <w:t> </w:t>
      </w:r>
    </w:p>
    <w:p w:rsidR="00000000" w:rsidRDefault="009E01B0">
      <w:pPr>
        <w:ind w:hanging="180"/>
        <w:divId w:val="714551120"/>
        <w:rPr>
          <w:rFonts w:eastAsia="Times New Roman"/>
        </w:rPr>
      </w:pPr>
      <w:r>
        <w:rPr>
          <w:rFonts w:ascii="Arial" w:eastAsia="Times New Roman" w:hAnsi="Arial" w:cs="Arial"/>
          <w:i/>
          <w:iCs/>
          <w:color w:val="000000"/>
          <w:sz w:val="16"/>
          <w:szCs w:val="16"/>
        </w:rPr>
        <w:t>1Maturity date is inclusive of the one-year term out option for certain credit facilities.</w:t>
      </w:r>
    </w:p>
    <w:p w:rsidR="00000000" w:rsidRDefault="009E01B0">
      <w:pPr>
        <w:ind w:hanging="180"/>
        <w:divId w:val="439908961"/>
        <w:rPr>
          <w:rFonts w:eastAsia="Times New Roman"/>
        </w:rPr>
      </w:pPr>
      <w:r>
        <w:rPr>
          <w:rFonts w:ascii="Arial" w:eastAsia="Times New Roman" w:hAnsi="Arial" w:cs="Arial"/>
          <w:i/>
          <w:iCs/>
          <w:color w:val="000000"/>
          <w:sz w:val="16"/>
          <w:szCs w:val="16"/>
        </w:rPr>
        <w:t>2Includes facility draws and commercial paper issuances that are back-stopped by credit facilities.</w:t>
      </w:r>
    </w:p>
    <w:p w:rsidR="00000000" w:rsidRDefault="009E01B0">
      <w:pPr>
        <w:divId w:val="1993101372"/>
        <w:rPr>
          <w:rFonts w:eastAsia="Times New Roman"/>
        </w:rPr>
      </w:pPr>
    </w:p>
    <w:p w:rsidR="00000000" w:rsidRDefault="009E01B0">
      <w:pPr>
        <w:divId w:val="525292077"/>
        <w:rPr>
          <w:rFonts w:eastAsia="Times New Roman"/>
        </w:rPr>
      </w:pPr>
      <w:r>
        <w:rPr>
          <w:rFonts w:ascii="Arial" w:eastAsia="Times New Roman" w:hAnsi="Arial" w:cs="Arial"/>
          <w:color w:val="000000"/>
          <w:sz w:val="20"/>
          <w:szCs w:val="20"/>
        </w:rPr>
        <w:t>On February 10, 2021, Enbridge Inc. entered into a three year, revolving, extendible, sustainability linked credit facility for $1.0 billion with a syndicate of lenders and concurrently terminated our one year, revolving, syndicated credit facility for $3.</w:t>
      </w:r>
      <w:r>
        <w:rPr>
          <w:rFonts w:ascii="Arial" w:eastAsia="Times New Roman" w:hAnsi="Arial" w:cs="Arial"/>
          <w:color w:val="000000"/>
          <w:sz w:val="20"/>
          <w:szCs w:val="20"/>
        </w:rPr>
        <w:t>0 billion.</w:t>
      </w:r>
    </w:p>
    <w:p w:rsidR="00000000" w:rsidRDefault="009E01B0">
      <w:pPr>
        <w:divId w:val="702947030"/>
        <w:rPr>
          <w:rFonts w:eastAsia="Times New Roman"/>
        </w:rPr>
      </w:pPr>
    </w:p>
    <w:p w:rsidR="00000000" w:rsidRDefault="009E01B0">
      <w:pPr>
        <w:divId w:val="20326141"/>
        <w:rPr>
          <w:rFonts w:eastAsia="Times New Roman"/>
        </w:rPr>
      </w:pPr>
      <w:r>
        <w:rPr>
          <w:rFonts w:ascii="Arial" w:eastAsia="Times New Roman" w:hAnsi="Arial" w:cs="Arial"/>
          <w:color w:val="000000"/>
          <w:sz w:val="20"/>
          <w:szCs w:val="20"/>
        </w:rPr>
        <w:t>On February 25, 2021, two term loans with an aggregate total of US$500 million were repaid with proceeds from a floating rate notes issuance.</w:t>
      </w:r>
    </w:p>
    <w:p w:rsidR="00000000" w:rsidRDefault="009E01B0">
      <w:pPr>
        <w:divId w:val="1242908400"/>
        <w:rPr>
          <w:rFonts w:eastAsia="Times New Roman"/>
        </w:rPr>
      </w:pPr>
    </w:p>
    <w:p w:rsidR="00000000" w:rsidRDefault="009E01B0">
      <w:pPr>
        <w:divId w:val="302539749"/>
        <w:rPr>
          <w:rFonts w:eastAsia="Times New Roman"/>
        </w:rPr>
      </w:pPr>
      <w:r>
        <w:rPr>
          <w:rFonts w:ascii="Arial" w:eastAsia="Times New Roman" w:hAnsi="Arial" w:cs="Arial"/>
          <w:color w:val="000000"/>
          <w:sz w:val="20"/>
          <w:szCs w:val="20"/>
        </w:rPr>
        <w:t>In addition to the committed credit facilities noted above, we maintain $845 million of uncommitted</w:t>
      </w:r>
      <w:r>
        <w:rPr>
          <w:rFonts w:ascii="Arial" w:eastAsia="Times New Roman" w:hAnsi="Arial" w:cs="Arial"/>
          <w:color w:val="000000"/>
          <w:sz w:val="20"/>
          <w:szCs w:val="20"/>
        </w:rPr>
        <w:t xml:space="preserve"> demand credit facilities, of which $595 million was unutilized as at March 31, 2021. As at December 31, 2020, we had $849 million of uncommitted demand credit facilities, of which $533 million was unutilized.</w:t>
      </w:r>
    </w:p>
    <w:p w:rsidR="00000000" w:rsidRDefault="009E01B0">
      <w:pPr>
        <w:divId w:val="1531184175"/>
        <w:rPr>
          <w:rFonts w:eastAsia="Times New Roman"/>
        </w:rPr>
      </w:pPr>
    </w:p>
    <w:p w:rsidR="00000000" w:rsidRDefault="009E01B0">
      <w:pPr>
        <w:divId w:val="184951351"/>
        <w:rPr>
          <w:rFonts w:eastAsia="Times New Roman"/>
        </w:rPr>
      </w:pPr>
      <w:r>
        <w:rPr>
          <w:rFonts w:ascii="Arial" w:eastAsia="Times New Roman" w:hAnsi="Arial" w:cs="Arial"/>
          <w:color w:val="000000"/>
          <w:sz w:val="20"/>
          <w:szCs w:val="20"/>
        </w:rPr>
        <w:t xml:space="preserve">Our net available liquidity of $8.3 billion </w:t>
      </w:r>
      <w:r>
        <w:rPr>
          <w:rFonts w:ascii="Arial" w:eastAsia="Times New Roman" w:hAnsi="Arial" w:cs="Arial"/>
          <w:color w:val="000000"/>
          <w:sz w:val="20"/>
          <w:szCs w:val="20"/>
        </w:rPr>
        <w:t>as at March 31, 2021, was inclusive of $465 million of unrestricted cash and cash equivalents as reported in the Consolidated Statements of Financial Position.</w:t>
      </w:r>
    </w:p>
    <w:p w:rsidR="00000000" w:rsidRDefault="009E01B0">
      <w:pPr>
        <w:divId w:val="796143963"/>
        <w:rPr>
          <w:rFonts w:eastAsia="Times New Roman"/>
        </w:rPr>
      </w:pPr>
      <w:r>
        <w:rPr>
          <w:rFonts w:ascii="Arial" w:eastAsia="Times New Roman" w:hAnsi="Arial" w:cs="Arial"/>
          <w:color w:val="000000"/>
          <w:sz w:val="20"/>
          <w:szCs w:val="20"/>
        </w:rPr>
        <w:t> </w:t>
      </w:r>
    </w:p>
    <w:p w:rsidR="00000000" w:rsidRDefault="009E01B0">
      <w:pPr>
        <w:divId w:val="191192897"/>
        <w:rPr>
          <w:rFonts w:eastAsia="Times New Roman"/>
        </w:rPr>
      </w:pPr>
      <w:r>
        <w:rPr>
          <w:rFonts w:ascii="Arial" w:eastAsia="Times New Roman" w:hAnsi="Arial" w:cs="Arial"/>
          <w:color w:val="000000"/>
          <w:sz w:val="20"/>
          <w:szCs w:val="20"/>
        </w:rPr>
        <w:t>Our credit facility agreements and term debt indentures include standard events of default and</w:t>
      </w:r>
      <w:r>
        <w:rPr>
          <w:rFonts w:ascii="Arial" w:eastAsia="Times New Roman" w:hAnsi="Arial" w:cs="Arial"/>
          <w:color w:val="000000"/>
          <w:sz w:val="20"/>
          <w:szCs w:val="20"/>
        </w:rPr>
        <w:t xml:space="preserve"> covenant provisions whereby accelerated repayment and/or termination of the agreements may result if we were to default on payment or violate certain covenants. As at March 31, 2021, we were in compliance with all debt covenants and we expect to continue </w:t>
      </w:r>
      <w:r>
        <w:rPr>
          <w:rFonts w:ascii="Arial" w:eastAsia="Times New Roman" w:hAnsi="Arial" w:cs="Arial"/>
          <w:color w:val="000000"/>
          <w:sz w:val="20"/>
          <w:szCs w:val="20"/>
        </w:rPr>
        <w:t>to comply with such covenants.</w:t>
      </w:r>
    </w:p>
    <w:p w:rsidR="00000000" w:rsidRDefault="009E01B0">
      <w:pPr>
        <w:divId w:val="1980256927"/>
        <w:rPr>
          <w:rFonts w:eastAsia="Times New Roman"/>
        </w:rPr>
      </w:pPr>
    </w:p>
    <w:p w:rsidR="00000000" w:rsidRDefault="009E01B0">
      <w:pPr>
        <w:divId w:val="811556414"/>
        <w:rPr>
          <w:rFonts w:eastAsia="Times New Roman"/>
        </w:rPr>
      </w:pPr>
      <w:r>
        <w:rPr>
          <w:rFonts w:ascii="Arial" w:eastAsia="Times New Roman" w:hAnsi="Arial" w:cs="Arial"/>
          <w:b/>
          <w:bCs/>
          <w:color w:val="000000"/>
          <w:sz w:val="20"/>
          <w:szCs w:val="20"/>
        </w:rPr>
        <w:t>LONG-TERM DEBT ISSUANCE</w:t>
      </w:r>
    </w:p>
    <w:p w:rsidR="00000000" w:rsidRDefault="009E01B0">
      <w:pPr>
        <w:divId w:val="495607225"/>
        <w:rPr>
          <w:rFonts w:eastAsia="Times New Roman"/>
        </w:rPr>
      </w:pPr>
      <w:r>
        <w:rPr>
          <w:rFonts w:ascii="Arial" w:eastAsia="Times New Roman" w:hAnsi="Arial" w:cs="Arial"/>
          <w:color w:val="000000"/>
          <w:sz w:val="20"/>
          <w:szCs w:val="20"/>
        </w:rPr>
        <w:t xml:space="preserve">During the three months ended March 31, 2021, we completed the following long-term debt issuance totaling US$500 million: </w:t>
      </w:r>
    </w:p>
    <w:tbl>
      <w:tblPr>
        <w:tblW w:w="5000" w:type="pct"/>
        <w:tblCellMar>
          <w:top w:w="15" w:type="dxa"/>
          <w:left w:w="15" w:type="dxa"/>
          <w:bottom w:w="15" w:type="dxa"/>
          <w:right w:w="15" w:type="dxa"/>
        </w:tblCellMar>
        <w:tblLook w:val="04A0" w:firstRow="1" w:lastRow="0" w:firstColumn="1" w:lastColumn="0" w:noHBand="0" w:noVBand="1"/>
      </w:tblPr>
      <w:tblGrid>
        <w:gridCol w:w="85"/>
        <w:gridCol w:w="718"/>
        <w:gridCol w:w="36"/>
        <w:gridCol w:w="63"/>
        <w:gridCol w:w="2019"/>
        <w:gridCol w:w="37"/>
        <w:gridCol w:w="64"/>
        <w:gridCol w:w="2074"/>
        <w:gridCol w:w="36"/>
        <w:gridCol w:w="64"/>
        <w:gridCol w:w="2194"/>
        <w:gridCol w:w="36"/>
        <w:gridCol w:w="69"/>
        <w:gridCol w:w="775"/>
        <w:gridCol w:w="36"/>
      </w:tblGrid>
      <w:tr w:rsidR="00000000">
        <w:trPr>
          <w:divId w:val="1259479853"/>
        </w:trPr>
        <w:tc>
          <w:tcPr>
            <w:tcW w:w="50" w:type="pct"/>
            <w:vAlign w:val="center"/>
            <w:hideMark/>
          </w:tcPr>
          <w:p w:rsidR="00000000" w:rsidRDefault="009E01B0">
            <w:pPr>
              <w:rPr>
                <w:rFonts w:eastAsia="Times New Roman"/>
              </w:rPr>
            </w:pPr>
          </w:p>
        </w:tc>
        <w:tc>
          <w:tcPr>
            <w:tcW w:w="42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122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125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133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8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259479853"/>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8"/>
                <w:szCs w:val="18"/>
              </w:rPr>
              <w:t>Company</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8"/>
                <w:szCs w:val="18"/>
              </w:rPr>
              <w:t>Issue Date</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8"/>
                <w:szCs w:val="18"/>
              </w:rPr>
              <w:t>Principal Amount</w:t>
            </w:r>
          </w:p>
        </w:tc>
      </w:tr>
      <w:tr w:rsidR="00000000">
        <w:trPr>
          <w:divId w:val="1259479853"/>
        </w:trPr>
        <w:tc>
          <w:tcPr>
            <w:tcW w:w="0" w:type="auto"/>
            <w:gridSpan w:val="9"/>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259479853"/>
        </w:trPr>
        <w:tc>
          <w:tcPr>
            <w:tcW w:w="0" w:type="auto"/>
            <w:gridSpan w:val="6"/>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divId w:val="1259479853"/>
        </w:trPr>
        <w:tc>
          <w:tcPr>
            <w:tcW w:w="0" w:type="auto"/>
            <w:gridSpan w:val="3"/>
            <w:tcBorders>
              <w:bottom w:val="single" w:sz="12"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February 2021</w:t>
            </w:r>
          </w:p>
        </w:tc>
        <w:tc>
          <w:tcPr>
            <w:tcW w:w="0" w:type="auto"/>
            <w:gridSpan w:val="6"/>
            <w:tcBorders>
              <w:bottom w:val="single" w:sz="12" w:space="0" w:color="000000"/>
            </w:tcBorders>
            <w:tcMar>
              <w:top w:w="30" w:type="dxa"/>
              <w:left w:w="20" w:type="dxa"/>
              <w:bottom w:w="30" w:type="dxa"/>
              <w:right w:w="20" w:type="dxa"/>
            </w:tcMar>
            <w:vAlign w:val="center"/>
            <w:hideMark/>
          </w:tcPr>
          <w:p w:rsidR="00000000" w:rsidRDefault="009E01B0">
            <w:pPr>
              <w:divId w:val="485242015"/>
              <w:rPr>
                <w:rFonts w:eastAsia="Times New Roman"/>
              </w:rPr>
            </w:pPr>
            <w:r>
              <w:rPr>
                <w:rFonts w:ascii="Arial" w:eastAsia="Times New Roman" w:hAnsi="Arial" w:cs="Arial"/>
                <w:color w:val="000000"/>
                <w:sz w:val="18"/>
                <w:szCs w:val="18"/>
              </w:rPr>
              <w:t>Floating rate notes due February 202</w:t>
            </w:r>
            <w:r>
              <w:rPr>
                <w:rFonts w:ascii="Arial" w:eastAsia="Times New Roman" w:hAnsi="Arial" w:cs="Arial"/>
                <w:color w:val="000000"/>
                <w:sz w:val="18"/>
                <w:szCs w:val="18"/>
              </w:rPr>
              <w:t>3</w:t>
            </w:r>
            <w:r>
              <w:rPr>
                <w:rFonts w:ascii="Arial" w:eastAsia="Times New Roman" w:hAnsi="Arial" w:cs="Arial"/>
                <w:color w:val="000000"/>
                <w:sz w:val="10"/>
                <w:szCs w:val="10"/>
              </w:rPr>
              <w:t>1</w:t>
            </w: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8"/>
                <w:szCs w:val="18"/>
              </w:rPr>
              <w:t>US$500</w:t>
            </w:r>
          </w:p>
        </w:tc>
      </w:tr>
    </w:tbl>
    <w:p w:rsidR="00000000" w:rsidRDefault="009E01B0">
      <w:pPr>
        <w:ind w:hanging="180"/>
        <w:divId w:val="82267049"/>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mature in two years and carry an interest rate set to equal SOFR plus a margin of 40 basis points.</w:t>
      </w:r>
    </w:p>
    <w:p w:rsidR="00000000" w:rsidRDefault="009E01B0">
      <w:pPr>
        <w:divId w:val="978804094"/>
        <w:rPr>
          <w:rFonts w:eastAsia="Times New Roman"/>
        </w:rPr>
      </w:pPr>
    </w:p>
    <w:p w:rsidR="00000000" w:rsidRDefault="009E01B0">
      <w:pPr>
        <w:jc w:val="center"/>
        <w:divId w:val="1560751593"/>
        <w:rPr>
          <w:rFonts w:eastAsia="Times New Roman"/>
        </w:rPr>
      </w:pPr>
      <w:r>
        <w:rPr>
          <w:rFonts w:ascii="Arial" w:eastAsia="Times New Roman" w:hAnsi="Arial" w:cs="Arial"/>
          <w:color w:val="000000"/>
          <w:sz w:val="20"/>
          <w:szCs w:val="20"/>
        </w:rPr>
        <w:t>43</w:t>
      </w:r>
    </w:p>
    <w:p w:rsidR="00000000" w:rsidRDefault="009E01B0">
      <w:pPr>
        <w:rPr>
          <w:rFonts w:eastAsia="Times New Roman"/>
        </w:rPr>
      </w:pPr>
      <w:r>
        <w:rPr>
          <w:rFonts w:eastAsia="Times New Roman"/>
        </w:rPr>
        <w:pict>
          <v:rect id="_x0000_i1068" style="width:0;height:1.5pt" o:hralign="center" o:hrstd="t" o:hr="t" fillcolor="#a0a0a0" stroked="f"/>
        </w:pict>
      </w:r>
    </w:p>
    <w:p w:rsidR="00000000" w:rsidRDefault="009E01B0">
      <w:pPr>
        <w:divId w:val="313144450"/>
        <w:rPr>
          <w:rFonts w:eastAsia="Times New Roman"/>
        </w:rPr>
      </w:pPr>
    </w:p>
    <w:p w:rsidR="00000000" w:rsidRDefault="009E01B0">
      <w:pPr>
        <w:divId w:val="845171464"/>
        <w:rPr>
          <w:rFonts w:eastAsia="Times New Roman"/>
        </w:rPr>
      </w:pPr>
      <w:r>
        <w:rPr>
          <w:rFonts w:ascii="Arial" w:eastAsia="Times New Roman" w:hAnsi="Arial" w:cs="Arial"/>
          <w:b/>
          <w:bCs/>
          <w:color w:val="000000"/>
          <w:sz w:val="20"/>
          <w:szCs w:val="20"/>
        </w:rPr>
        <w:t xml:space="preserve">LONG-TERM DEBT REPAYMENTS </w:t>
      </w:r>
    </w:p>
    <w:p w:rsidR="00000000" w:rsidRDefault="009E01B0">
      <w:pPr>
        <w:divId w:val="531265900"/>
        <w:rPr>
          <w:rFonts w:eastAsia="Times New Roman"/>
        </w:rPr>
      </w:pPr>
      <w:r>
        <w:rPr>
          <w:rFonts w:ascii="Arial" w:eastAsia="Times New Roman" w:hAnsi="Arial" w:cs="Arial"/>
          <w:color w:val="000000"/>
          <w:sz w:val="20"/>
          <w:szCs w:val="20"/>
        </w:rPr>
        <w:t>During the three months ended March 31, 2021, we completed the following long-ter</w:t>
      </w:r>
      <w:r>
        <w:rPr>
          <w:rFonts w:ascii="Arial" w:eastAsia="Times New Roman" w:hAnsi="Arial" w:cs="Arial"/>
          <w:color w:val="000000"/>
          <w:sz w:val="20"/>
          <w:szCs w:val="20"/>
        </w:rPr>
        <w:t xml:space="preserve">m debt repayments totaling $600 million and US$250 million: </w:t>
      </w:r>
    </w:p>
    <w:tbl>
      <w:tblPr>
        <w:tblW w:w="4991" w:type="pct"/>
        <w:tblCellMar>
          <w:top w:w="15" w:type="dxa"/>
          <w:left w:w="15" w:type="dxa"/>
          <w:bottom w:w="15" w:type="dxa"/>
          <w:right w:w="15" w:type="dxa"/>
        </w:tblCellMar>
        <w:tblLook w:val="04A0" w:firstRow="1" w:lastRow="0" w:firstColumn="1" w:lastColumn="0" w:noHBand="0" w:noVBand="1"/>
      </w:tblPr>
      <w:tblGrid>
        <w:gridCol w:w="74"/>
        <w:gridCol w:w="795"/>
        <w:gridCol w:w="36"/>
        <w:gridCol w:w="67"/>
        <w:gridCol w:w="1327"/>
        <w:gridCol w:w="36"/>
        <w:gridCol w:w="67"/>
        <w:gridCol w:w="3694"/>
        <w:gridCol w:w="36"/>
        <w:gridCol w:w="68"/>
        <w:gridCol w:w="881"/>
        <w:gridCol w:w="36"/>
        <w:gridCol w:w="68"/>
        <w:gridCol w:w="962"/>
        <w:gridCol w:w="36"/>
        <w:gridCol w:w="36"/>
        <w:gridCol w:w="36"/>
        <w:gridCol w:w="36"/>
      </w:tblGrid>
      <w:tr w:rsidR="00000000">
        <w:trPr>
          <w:divId w:val="168646711"/>
        </w:trPr>
        <w:tc>
          <w:tcPr>
            <w:tcW w:w="50" w:type="pct"/>
            <w:vAlign w:val="center"/>
            <w:hideMark/>
          </w:tcPr>
          <w:p w:rsidR="00000000" w:rsidRDefault="009E01B0">
            <w:pPr>
              <w:rPr>
                <w:rFonts w:eastAsia="Times New Roman"/>
              </w:rPr>
            </w:pPr>
          </w:p>
        </w:tc>
        <w:tc>
          <w:tcPr>
            <w:tcW w:w="498"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81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2264"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46"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9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68646711"/>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8"/>
                <w:szCs w:val="18"/>
              </w:rPr>
              <w:t>Company</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18"/>
                <w:szCs w:val="18"/>
              </w:rPr>
              <w:t>Repayment Date</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8"/>
                <w:szCs w:val="18"/>
              </w:rPr>
              <w:t>Principal Amount</w:t>
            </w:r>
          </w:p>
        </w:tc>
        <w:tc>
          <w:tcPr>
            <w:tcW w:w="0" w:type="auto"/>
            <w:gridSpan w:val="3"/>
            <w:vAlign w:val="center"/>
            <w:hideMark/>
          </w:tcPr>
          <w:p w:rsidR="00000000" w:rsidRDefault="009E01B0">
            <w:pPr>
              <w:jc w:val="right"/>
              <w:rPr>
                <w:rFonts w:eastAsia="Times New Roman"/>
              </w:rPr>
            </w:pPr>
          </w:p>
        </w:tc>
      </w:tr>
      <w:tr w:rsidR="00000000">
        <w:trPr>
          <w:divId w:val="168646711"/>
        </w:trPr>
        <w:tc>
          <w:tcPr>
            <w:tcW w:w="0" w:type="auto"/>
            <w:gridSpan w:val="9"/>
            <w:tcBorders>
              <w:top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68646711"/>
        </w:trPr>
        <w:tc>
          <w:tcPr>
            <w:tcW w:w="0" w:type="auto"/>
            <w:gridSpan w:val="6"/>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Enbridge Inc.</w:t>
            </w:r>
          </w:p>
        </w:tc>
        <w:tc>
          <w:tcPr>
            <w:tcW w:w="0" w:type="auto"/>
            <w:gridSpan w:val="6"/>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68646711"/>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68646711"/>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February 2021</w:t>
            </w:r>
          </w:p>
        </w:tc>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4.26% medium-term notes</w:t>
            </w:r>
          </w:p>
        </w:tc>
        <w:tc>
          <w:tcPr>
            <w:tcW w:w="0" w:type="auto"/>
            <w:gridSpan w:val="3"/>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8"/>
                <w:szCs w:val="18"/>
              </w:rPr>
              <w:t>$200</w:t>
            </w:r>
          </w:p>
        </w:tc>
        <w:tc>
          <w:tcPr>
            <w:tcW w:w="0" w:type="auto"/>
            <w:gridSpan w:val="3"/>
            <w:vAlign w:val="center"/>
            <w:hideMark/>
          </w:tcPr>
          <w:p w:rsidR="00000000" w:rsidRDefault="009E01B0">
            <w:pPr>
              <w:jc w:val="right"/>
              <w:rPr>
                <w:rFonts w:eastAsia="Times New Roman"/>
              </w:rPr>
            </w:pPr>
          </w:p>
        </w:tc>
      </w:tr>
      <w:tr w:rsidR="00000000">
        <w:trPr>
          <w:divId w:val="168646711"/>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March 2021</w:t>
            </w:r>
          </w:p>
        </w:tc>
        <w:tc>
          <w:tcPr>
            <w:tcW w:w="0" w:type="auto"/>
            <w:gridSpan w:val="6"/>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3.16% medium-term notes</w:t>
            </w:r>
          </w:p>
        </w:tc>
        <w:tc>
          <w:tcPr>
            <w:tcW w:w="0" w:type="auto"/>
            <w:gridSpan w:val="3"/>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8"/>
                <w:szCs w:val="18"/>
              </w:rPr>
              <w:t>$400</w:t>
            </w:r>
          </w:p>
        </w:tc>
        <w:tc>
          <w:tcPr>
            <w:tcW w:w="0" w:type="auto"/>
            <w:gridSpan w:val="3"/>
            <w:vAlign w:val="center"/>
            <w:hideMark/>
          </w:tcPr>
          <w:p w:rsidR="00000000" w:rsidRDefault="009E01B0">
            <w:pPr>
              <w:jc w:val="right"/>
              <w:rPr>
                <w:rFonts w:eastAsia="Times New Roman"/>
              </w:rPr>
            </w:pPr>
          </w:p>
        </w:tc>
      </w:tr>
      <w:tr w:rsidR="00000000">
        <w:trPr>
          <w:divId w:val="168646711"/>
        </w:trPr>
        <w:tc>
          <w:tcPr>
            <w:tcW w:w="0" w:type="auto"/>
            <w:gridSpan w:val="9"/>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Spectra Energy Partners, LP</w:t>
            </w:r>
          </w:p>
        </w:tc>
        <w:tc>
          <w:tcPr>
            <w:tcW w:w="0" w:type="auto"/>
            <w:gridSpan w:val="3"/>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168646711"/>
        </w:trPr>
        <w:tc>
          <w:tcPr>
            <w:tcW w:w="0" w:type="auto"/>
            <w:gridSpan w:val="3"/>
            <w:tcBorders>
              <w:bottom w:val="single" w:sz="12"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March 2021</w:t>
            </w: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18"/>
                <w:szCs w:val="18"/>
              </w:rPr>
              <w:t>4.60% senior notes</w:t>
            </w:r>
          </w:p>
        </w:tc>
        <w:tc>
          <w:tcPr>
            <w:tcW w:w="0" w:type="auto"/>
            <w:gridSpan w:val="3"/>
            <w:tcBorders>
              <w:bottom w:val="single" w:sz="12" w:space="0" w:color="000000"/>
            </w:tcBorders>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9E01B0">
            <w:pPr>
              <w:jc w:val="right"/>
              <w:rPr>
                <w:rFonts w:eastAsia="Times New Roman"/>
              </w:rPr>
            </w:pPr>
            <w:r>
              <w:rPr>
                <w:rFonts w:ascii="Arial" w:eastAsia="Times New Roman" w:hAnsi="Arial" w:cs="Arial"/>
                <w:color w:val="000000"/>
                <w:sz w:val="18"/>
                <w:szCs w:val="18"/>
              </w:rPr>
              <w:t>US$250</w:t>
            </w:r>
          </w:p>
        </w:tc>
        <w:tc>
          <w:tcPr>
            <w:tcW w:w="0" w:type="auto"/>
            <w:gridSpan w:val="3"/>
            <w:vAlign w:val="center"/>
            <w:hideMark/>
          </w:tcPr>
          <w:p w:rsidR="00000000" w:rsidRDefault="009E01B0">
            <w:pPr>
              <w:jc w:val="right"/>
              <w:rPr>
                <w:rFonts w:eastAsia="Times New Roman"/>
              </w:rPr>
            </w:pPr>
          </w:p>
        </w:tc>
      </w:tr>
    </w:tbl>
    <w:p w:rsidR="00000000" w:rsidRDefault="009E01B0">
      <w:pPr>
        <w:divId w:val="1762025941"/>
        <w:rPr>
          <w:rFonts w:eastAsia="Times New Roman"/>
        </w:rPr>
      </w:pPr>
    </w:p>
    <w:p w:rsidR="00000000" w:rsidRDefault="009E01B0">
      <w:pPr>
        <w:divId w:val="1609462394"/>
        <w:rPr>
          <w:rFonts w:eastAsia="Times New Roman"/>
        </w:rPr>
      </w:pPr>
      <w:r>
        <w:rPr>
          <w:rFonts w:ascii="Arial" w:eastAsia="Times New Roman" w:hAnsi="Arial" w:cs="Arial"/>
          <w:color w:val="000000"/>
          <w:sz w:val="20"/>
          <w:szCs w:val="20"/>
        </w:rPr>
        <w:t>Strong internal cash flow, ready access to liquidity from diversified sources and a stable business model have enabled us to manage our credit profile. We actively monitor and manage key financial metrics with the objective of sustaining investment grade c</w:t>
      </w:r>
      <w:r>
        <w:rPr>
          <w:rFonts w:ascii="Arial" w:eastAsia="Times New Roman" w:hAnsi="Arial" w:cs="Arial"/>
          <w:color w:val="000000"/>
          <w:sz w:val="20"/>
          <w:szCs w:val="20"/>
        </w:rPr>
        <w:t>redit ratings from the major credit rating agencies and ongoing access to bank funding and term debt capital on attractive terms. Key measures of financial strength that are closely managed include the ability to service debt obligations from operating cas</w:t>
      </w:r>
      <w:r>
        <w:rPr>
          <w:rFonts w:ascii="Arial" w:eastAsia="Times New Roman" w:hAnsi="Arial" w:cs="Arial"/>
          <w:color w:val="000000"/>
          <w:sz w:val="20"/>
          <w:szCs w:val="20"/>
        </w:rPr>
        <w:t>h flow and the ratio of debt to EBITDA.</w:t>
      </w:r>
    </w:p>
    <w:p w:rsidR="00000000" w:rsidRDefault="009E01B0">
      <w:pPr>
        <w:divId w:val="1612084038"/>
        <w:rPr>
          <w:rFonts w:eastAsia="Times New Roman"/>
        </w:rPr>
      </w:pPr>
    </w:p>
    <w:p w:rsidR="00000000" w:rsidRDefault="009E01B0">
      <w:pPr>
        <w:divId w:val="2087262107"/>
        <w:rPr>
          <w:rFonts w:eastAsia="Times New Roman"/>
        </w:rPr>
      </w:pPr>
      <w:r>
        <w:rPr>
          <w:rFonts w:ascii="Arial" w:eastAsia="Times New Roman" w:hAnsi="Arial" w:cs="Arial"/>
          <w:color w:val="000000"/>
          <w:sz w:val="20"/>
          <w:szCs w:val="20"/>
        </w:rPr>
        <w:t>There are no material restrictions on our cash. Total restricted cash of $59 million, as reported on the Consolidated Statements of Financial Position, primarily includes cash collateral and future pipeline abandon</w:t>
      </w:r>
      <w:r>
        <w:rPr>
          <w:rFonts w:ascii="Arial" w:eastAsia="Times New Roman" w:hAnsi="Arial" w:cs="Arial"/>
          <w:color w:val="000000"/>
          <w:sz w:val="20"/>
          <w:szCs w:val="20"/>
        </w:rPr>
        <w:t>ment costs collected and held in trust. Cash and cash equivalents held by certain subsidiaries may not be readily accessible for alternative uses by us.</w:t>
      </w:r>
    </w:p>
    <w:p w:rsidR="00000000" w:rsidRDefault="009E01B0">
      <w:pPr>
        <w:divId w:val="592008858"/>
        <w:rPr>
          <w:rFonts w:eastAsia="Times New Roman"/>
        </w:rPr>
      </w:pPr>
    </w:p>
    <w:p w:rsidR="00000000" w:rsidRDefault="009E01B0">
      <w:pPr>
        <w:divId w:val="1904488076"/>
        <w:rPr>
          <w:rFonts w:eastAsia="Times New Roman"/>
        </w:rPr>
      </w:pPr>
      <w:r>
        <w:rPr>
          <w:rFonts w:ascii="Arial" w:eastAsia="Times New Roman" w:hAnsi="Arial" w:cs="Arial"/>
          <w:color w:val="000000"/>
          <w:sz w:val="20"/>
          <w:szCs w:val="20"/>
        </w:rPr>
        <w:t>Excluding current maturities of long-term debt, we had a negative working capital position as at Marc</w:t>
      </w:r>
      <w:r>
        <w:rPr>
          <w:rFonts w:ascii="Arial" w:eastAsia="Times New Roman" w:hAnsi="Arial" w:cs="Arial"/>
          <w:color w:val="000000"/>
          <w:sz w:val="20"/>
          <w:szCs w:val="20"/>
        </w:rPr>
        <w:t>h 31, 2021. The major contributing factor to the negative working capital position was the ongoing funding of our growth capital program.</w:t>
      </w:r>
    </w:p>
    <w:p w:rsidR="00000000" w:rsidRDefault="009E01B0">
      <w:pPr>
        <w:divId w:val="1320116818"/>
        <w:rPr>
          <w:rFonts w:eastAsia="Times New Roman"/>
        </w:rPr>
      </w:pPr>
      <w:r>
        <w:rPr>
          <w:rFonts w:ascii="Arial" w:eastAsia="Times New Roman" w:hAnsi="Arial" w:cs="Arial"/>
          <w:color w:val="000000"/>
          <w:sz w:val="20"/>
          <w:szCs w:val="20"/>
        </w:rPr>
        <w:t> </w:t>
      </w:r>
    </w:p>
    <w:p w:rsidR="00000000" w:rsidRDefault="009E01B0">
      <w:pPr>
        <w:divId w:val="399062684"/>
        <w:rPr>
          <w:rFonts w:eastAsia="Times New Roman"/>
        </w:rPr>
      </w:pPr>
      <w:r>
        <w:rPr>
          <w:rFonts w:ascii="Arial" w:eastAsia="Times New Roman" w:hAnsi="Arial" w:cs="Arial"/>
          <w:color w:val="000000"/>
          <w:sz w:val="20"/>
          <w:szCs w:val="20"/>
        </w:rPr>
        <w:t>To address this negative working capital position, we maintain significant liquidity in the form of committed credit</w:t>
      </w:r>
      <w:r>
        <w:rPr>
          <w:rFonts w:ascii="Arial" w:eastAsia="Times New Roman" w:hAnsi="Arial" w:cs="Arial"/>
          <w:color w:val="000000"/>
          <w:sz w:val="20"/>
          <w:szCs w:val="20"/>
        </w:rPr>
        <w:t xml:space="preserve"> facilities and other sources as previously discussed, which enable the funding of liabilities as they become due. </w:t>
      </w:r>
    </w:p>
    <w:p w:rsidR="00000000" w:rsidRDefault="009E01B0">
      <w:pPr>
        <w:divId w:val="204946610"/>
        <w:rPr>
          <w:rFonts w:eastAsia="Times New Roman"/>
        </w:rPr>
      </w:pPr>
    </w:p>
    <w:p w:rsidR="00000000" w:rsidRDefault="009E01B0">
      <w:pPr>
        <w:jc w:val="center"/>
        <w:divId w:val="497965382"/>
        <w:rPr>
          <w:rFonts w:eastAsia="Times New Roman"/>
        </w:rPr>
      </w:pPr>
      <w:r>
        <w:rPr>
          <w:rFonts w:ascii="Arial" w:eastAsia="Times New Roman" w:hAnsi="Arial" w:cs="Arial"/>
          <w:color w:val="000000"/>
          <w:sz w:val="20"/>
          <w:szCs w:val="20"/>
        </w:rPr>
        <w:t>44</w:t>
      </w:r>
    </w:p>
    <w:p w:rsidR="00000000" w:rsidRDefault="009E01B0">
      <w:pPr>
        <w:rPr>
          <w:rFonts w:eastAsia="Times New Roman"/>
        </w:rPr>
      </w:pPr>
      <w:r>
        <w:rPr>
          <w:rFonts w:eastAsia="Times New Roman"/>
        </w:rPr>
        <w:pict>
          <v:rect id="_x0000_i1069" style="width:0;height:1.5pt" o:hralign="center" o:hrstd="t" o:hr="t" fillcolor="#a0a0a0" stroked="f"/>
        </w:pict>
      </w:r>
    </w:p>
    <w:p w:rsidR="00000000" w:rsidRDefault="009E01B0">
      <w:pPr>
        <w:divId w:val="474950887"/>
        <w:rPr>
          <w:rFonts w:eastAsia="Times New Roman"/>
        </w:rPr>
      </w:pPr>
    </w:p>
    <w:p w:rsidR="00000000" w:rsidRDefault="009E01B0">
      <w:pPr>
        <w:divId w:val="606813936"/>
        <w:rPr>
          <w:rFonts w:eastAsia="Times New Roman"/>
        </w:rPr>
      </w:pPr>
      <w:r>
        <w:rPr>
          <w:rFonts w:ascii="Arial" w:eastAsia="Times New Roman" w:hAnsi="Arial" w:cs="Arial"/>
          <w:b/>
          <w:bCs/>
          <w:color w:val="000000"/>
          <w:sz w:val="26"/>
          <w:szCs w:val="26"/>
        </w:rPr>
        <w:t>SOURCES AND USES OF CASH</w:t>
      </w:r>
    </w:p>
    <w:p w:rsidR="00000000" w:rsidRDefault="009E01B0">
      <w:pPr>
        <w:divId w:val="465975838"/>
        <w:rPr>
          <w:rFonts w:eastAsia="Times New Roman"/>
        </w:rPr>
      </w:pPr>
      <w:r>
        <w:rPr>
          <w:rFonts w:ascii="Arial" w:eastAsia="Times New Roman" w:hAnsi="Arial" w:cs="Arial"/>
          <w:color w:val="000000"/>
          <w:sz w:val="2"/>
          <w:szCs w:val="2"/>
        </w:rPr>
        <w:t> </w:t>
      </w:r>
    </w:p>
    <w:tbl>
      <w:tblPr>
        <w:tblW w:w="4991" w:type="pct"/>
        <w:tblCellMar>
          <w:top w:w="15" w:type="dxa"/>
          <w:left w:w="15" w:type="dxa"/>
          <w:bottom w:w="15" w:type="dxa"/>
          <w:right w:w="15" w:type="dxa"/>
        </w:tblCellMar>
        <w:tblLook w:val="04A0" w:firstRow="1" w:lastRow="0" w:firstColumn="1" w:lastColumn="0" w:noHBand="0" w:noVBand="1"/>
      </w:tblPr>
      <w:tblGrid>
        <w:gridCol w:w="61"/>
        <w:gridCol w:w="5819"/>
        <w:gridCol w:w="38"/>
        <w:gridCol w:w="36"/>
        <w:gridCol w:w="36"/>
        <w:gridCol w:w="621"/>
        <w:gridCol w:w="61"/>
        <w:gridCol w:w="743"/>
        <w:gridCol w:w="36"/>
        <w:gridCol w:w="61"/>
        <w:gridCol w:w="743"/>
        <w:gridCol w:w="36"/>
      </w:tblGrid>
      <w:tr w:rsidR="00000000">
        <w:trPr>
          <w:divId w:val="1732800365"/>
        </w:trPr>
        <w:tc>
          <w:tcPr>
            <w:tcW w:w="50" w:type="pct"/>
            <w:vAlign w:val="center"/>
            <w:hideMark/>
          </w:tcPr>
          <w:p w:rsidR="00000000" w:rsidRDefault="009E01B0">
            <w:pPr>
              <w:rPr>
                <w:rFonts w:eastAsia="Times New Roman"/>
              </w:rPr>
            </w:pPr>
          </w:p>
        </w:tc>
        <w:tc>
          <w:tcPr>
            <w:tcW w:w="3837"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8"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98"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732800365"/>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4"/>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divId w:val="1732800365"/>
        </w:trPr>
        <w:tc>
          <w:tcPr>
            <w:tcW w:w="0" w:type="auto"/>
            <w:gridSpan w:val="3"/>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2020</w:t>
            </w:r>
          </w:p>
        </w:tc>
      </w:tr>
      <w:tr w:rsidR="00000000">
        <w:trPr>
          <w:divId w:val="1732800365"/>
        </w:trPr>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
                <w:szCs w:val="2"/>
              </w:rPr>
              <w:t> </w:t>
            </w:r>
          </w:p>
        </w:tc>
      </w:tr>
      <w:tr w:rsidR="00000000">
        <w:trPr>
          <w:divId w:val="1732800365"/>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Operating activities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2,564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2,809 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732800365"/>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Investing activities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(1,958)</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(1,270)</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732800365"/>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Financing activities</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(565)</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(1,386)</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732800365"/>
        </w:trPr>
        <w:tc>
          <w:tcPr>
            <w:tcW w:w="0" w:type="auto"/>
            <w:gridSpan w:val="3"/>
            <w:tcMar>
              <w:top w:w="30" w:type="dxa"/>
              <w:left w:w="20" w:type="dxa"/>
              <w:bottom w:w="30" w:type="dxa"/>
              <w:right w:w="20" w:type="dxa"/>
            </w:tcMar>
            <w:hideMark/>
          </w:tcPr>
          <w:p w:rsidR="00000000" w:rsidRDefault="009E01B0">
            <w:pPr>
              <w:ind w:hanging="180"/>
              <w:divId w:val="792864361"/>
              <w:rPr>
                <w:rFonts w:eastAsia="Times New Roman"/>
              </w:rPr>
            </w:pPr>
            <w:r>
              <w:rPr>
                <w:rFonts w:ascii="Arial" w:eastAsia="Times New Roman" w:hAnsi="Arial" w:cs="Arial"/>
                <w:color w:val="000000"/>
                <w:sz w:val="20"/>
                <w:szCs w:val="20"/>
              </w:rPr>
              <w:t>Effect of translation of foreign denominated cash and cash equivalents and restricted cash</w:t>
            </w:r>
          </w:p>
        </w:tc>
        <w:tc>
          <w:tcPr>
            <w:tcW w:w="0" w:type="auto"/>
            <w:vAlign w:val="center"/>
            <w:hideMark/>
          </w:tcPr>
          <w:p w:rsidR="00000000" w:rsidRDefault="009E01B0">
            <w:pPr>
              <w:ind w:hanging="180"/>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(7)</w:t>
            </w:r>
          </w:p>
        </w:tc>
        <w:tc>
          <w:tcPr>
            <w:tcW w:w="0" w:type="auto"/>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11 </w:t>
            </w:r>
          </w:p>
        </w:tc>
        <w:tc>
          <w:tcPr>
            <w:tcW w:w="0" w:type="auto"/>
            <w:tcMar>
              <w:top w:w="30" w:type="dxa"/>
              <w:left w:w="0" w:type="dxa"/>
              <w:bottom w:w="30" w:type="dxa"/>
              <w:right w:w="20" w:type="dxa"/>
            </w:tcMar>
            <w:vAlign w:val="bottom"/>
            <w:hideMark/>
          </w:tcPr>
          <w:p w:rsidR="00000000" w:rsidRDefault="009E01B0">
            <w:pPr>
              <w:jc w:val="right"/>
              <w:rPr>
                <w:rFonts w:eastAsia="Times New Roman"/>
              </w:rPr>
            </w:pPr>
          </w:p>
        </w:tc>
      </w:tr>
      <w:tr w:rsidR="00000000">
        <w:trPr>
          <w:divId w:val="1732800365"/>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Net increase in cash and cash equivalents and restricted cash</w:t>
            </w:r>
          </w:p>
        </w:tc>
        <w:tc>
          <w:tcPr>
            <w:tcW w:w="0" w:type="auto"/>
            <w:vAlign w:val="center"/>
            <w:hideMark/>
          </w:tcPr>
          <w:p w:rsidR="00000000" w:rsidRDefault="009E01B0">
            <w:pPr>
              <w:rPr>
                <w:rFonts w:eastAsia="Times New Roman"/>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34</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9E01B0">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164 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9E01B0">
            <w:pPr>
              <w:jc w:val="right"/>
              <w:rPr>
                <w:rFonts w:eastAsia="Times New Roman"/>
              </w:rPr>
            </w:pPr>
          </w:p>
        </w:tc>
      </w:tr>
    </w:tbl>
    <w:p w:rsidR="00000000" w:rsidRDefault="009E01B0">
      <w:pPr>
        <w:divId w:val="1316834533"/>
        <w:rPr>
          <w:rFonts w:eastAsia="Times New Roman"/>
        </w:rPr>
      </w:pPr>
      <w:r>
        <w:rPr>
          <w:rFonts w:ascii="Arial" w:eastAsia="Times New Roman" w:hAnsi="Arial" w:cs="Arial"/>
          <w:color w:val="000000"/>
          <w:sz w:val="20"/>
          <w:szCs w:val="20"/>
        </w:rPr>
        <w:t> </w:t>
      </w:r>
    </w:p>
    <w:p w:rsidR="00000000" w:rsidRDefault="009E01B0">
      <w:pPr>
        <w:divId w:val="470942822"/>
        <w:rPr>
          <w:rFonts w:eastAsia="Times New Roman"/>
        </w:rPr>
      </w:pPr>
      <w:r>
        <w:rPr>
          <w:rFonts w:ascii="Arial" w:eastAsia="Times New Roman" w:hAnsi="Arial" w:cs="Arial"/>
          <w:color w:val="000000"/>
          <w:sz w:val="20"/>
          <w:szCs w:val="20"/>
        </w:rPr>
        <w:t>Significant sources and uses of cash for the three months ended March 31, 2021 and 2020 are summarized below:</w:t>
      </w:r>
    </w:p>
    <w:p w:rsidR="00000000" w:rsidRDefault="009E01B0">
      <w:pPr>
        <w:divId w:val="898588815"/>
        <w:rPr>
          <w:rFonts w:eastAsia="Times New Roman"/>
        </w:rPr>
      </w:pPr>
      <w:r>
        <w:rPr>
          <w:rFonts w:ascii="Arial" w:eastAsia="Times New Roman" w:hAnsi="Arial" w:cs="Arial"/>
          <w:color w:val="000000"/>
          <w:sz w:val="20"/>
          <w:szCs w:val="20"/>
        </w:rPr>
        <w:t> </w:t>
      </w:r>
    </w:p>
    <w:p w:rsidR="00000000" w:rsidRDefault="009E01B0">
      <w:pPr>
        <w:divId w:val="1874464344"/>
        <w:rPr>
          <w:rFonts w:eastAsia="Times New Roman"/>
        </w:rPr>
      </w:pPr>
      <w:r>
        <w:rPr>
          <w:rFonts w:ascii="Arial" w:eastAsia="Times New Roman" w:hAnsi="Arial" w:cs="Arial"/>
          <w:b/>
          <w:bCs/>
          <w:color w:val="000000"/>
          <w:sz w:val="20"/>
          <w:szCs w:val="20"/>
        </w:rPr>
        <w:t xml:space="preserve">Operating Activities </w:t>
      </w:r>
    </w:p>
    <w:p w:rsidR="00000000" w:rsidRDefault="009E01B0">
      <w:pPr>
        <w:divId w:val="1088424664"/>
        <w:rPr>
          <w:rFonts w:eastAsia="Times New Roman"/>
        </w:rPr>
      </w:pPr>
      <w:r>
        <w:rPr>
          <w:rFonts w:ascii="Arial" w:eastAsia="Times New Roman" w:hAnsi="Arial" w:cs="Arial"/>
          <w:color w:val="000000"/>
          <w:sz w:val="2"/>
          <w:szCs w:val="2"/>
        </w:rPr>
        <w:t> </w:t>
      </w:r>
    </w:p>
    <w:p w:rsidR="00000000" w:rsidRDefault="009E01B0">
      <w:pPr>
        <w:divId w:val="274946676"/>
        <w:rPr>
          <w:rFonts w:eastAsia="Times New Roman"/>
        </w:rPr>
      </w:pPr>
      <w:r>
        <w:rPr>
          <w:rFonts w:ascii="Arial" w:eastAsia="Times New Roman" w:hAnsi="Arial" w:cs="Arial"/>
          <w:color w:val="000000"/>
          <w:sz w:val="20"/>
          <w:szCs w:val="20"/>
        </w:rPr>
        <w:t>The decrease in cash provided by operating activities was primarily attributable to changes in operating assets and liab</w:t>
      </w:r>
      <w:r>
        <w:rPr>
          <w:rFonts w:ascii="Arial" w:eastAsia="Times New Roman" w:hAnsi="Arial" w:cs="Arial"/>
          <w:color w:val="000000"/>
          <w:sz w:val="20"/>
          <w:szCs w:val="20"/>
        </w:rPr>
        <w:t>ilities. Our operating assets and liabilities fluctuate in the normal course due to various factors, including the impact of fluctuations in commodity prices and activity levels on working capital within our business segments, the timing of tax payments, a</w:t>
      </w:r>
      <w:r>
        <w:rPr>
          <w:rFonts w:ascii="Arial" w:eastAsia="Times New Roman" w:hAnsi="Arial" w:cs="Arial"/>
          <w:color w:val="000000"/>
          <w:sz w:val="20"/>
          <w:szCs w:val="20"/>
        </w:rPr>
        <w:t xml:space="preserve">s well as timing of cash receipts and payments generally. </w:t>
      </w:r>
    </w:p>
    <w:p w:rsidR="00000000" w:rsidRDefault="009E01B0">
      <w:pPr>
        <w:divId w:val="1148933297"/>
        <w:rPr>
          <w:rFonts w:eastAsia="Times New Roman"/>
        </w:rPr>
      </w:pPr>
    </w:p>
    <w:p w:rsidR="00000000" w:rsidRDefault="009E01B0">
      <w:pPr>
        <w:divId w:val="1048457261"/>
        <w:rPr>
          <w:rFonts w:eastAsia="Times New Roman"/>
        </w:rPr>
      </w:pPr>
      <w:r>
        <w:rPr>
          <w:rFonts w:ascii="Arial" w:eastAsia="Times New Roman" w:hAnsi="Arial" w:cs="Arial"/>
          <w:b/>
          <w:bCs/>
          <w:color w:val="000000"/>
          <w:sz w:val="20"/>
          <w:szCs w:val="20"/>
        </w:rPr>
        <w:t>Investing Activities</w:t>
      </w:r>
    </w:p>
    <w:p w:rsidR="00000000" w:rsidRDefault="009E01B0">
      <w:pPr>
        <w:divId w:val="952514835"/>
        <w:rPr>
          <w:rFonts w:eastAsia="Times New Roman"/>
        </w:rPr>
      </w:pPr>
      <w:r>
        <w:rPr>
          <w:rFonts w:ascii="Arial" w:eastAsia="Times New Roman" w:hAnsi="Arial" w:cs="Arial"/>
          <w:color w:val="000000"/>
          <w:sz w:val="2"/>
          <w:szCs w:val="2"/>
        </w:rPr>
        <w:t> </w:t>
      </w:r>
    </w:p>
    <w:p w:rsidR="00000000" w:rsidRDefault="009E01B0">
      <w:pPr>
        <w:ind w:hanging="360"/>
        <w:divId w:val="381368387"/>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The increase in cash used in investing activities was primarily attributable to proceeds received from disposition of 49% of our interest in EMF to CPP Investments in the first quarter of 2021.</w:t>
      </w:r>
    </w:p>
    <w:p w:rsidR="00000000" w:rsidRDefault="009E01B0">
      <w:pPr>
        <w:ind w:hanging="360"/>
        <w:divId w:val="113065548"/>
        <w:rPr>
          <w:rFonts w:eastAsia="Times New Roman"/>
        </w:rPr>
      </w:pPr>
      <w:r>
        <w:rPr>
          <w:rFonts w:ascii="Arial" w:eastAsia="Times New Roman" w:hAnsi="Arial" w:cs="Arial"/>
          <w:color w:val="000000"/>
          <w:sz w:val="20"/>
          <w:szCs w:val="20"/>
        </w:rPr>
        <w:t>•We are continuing with the execution of our growth capital pr</w:t>
      </w:r>
      <w:r>
        <w:rPr>
          <w:rFonts w:ascii="Arial" w:eastAsia="Times New Roman" w:hAnsi="Arial" w:cs="Arial"/>
          <w:color w:val="000000"/>
          <w:sz w:val="20"/>
          <w:szCs w:val="20"/>
        </w:rPr>
        <w:t xml:space="preserve">ogram which is further described in </w:t>
      </w:r>
      <w:r>
        <w:rPr>
          <w:rFonts w:ascii="Arial" w:eastAsia="Times New Roman" w:hAnsi="Arial" w:cs="Arial"/>
          <w:i/>
          <w:iCs/>
          <w:color w:val="000000"/>
          <w:sz w:val="20"/>
          <w:szCs w:val="20"/>
        </w:rPr>
        <w:t>Growth Projects - Commercially Secured Projects</w:t>
      </w:r>
      <w:r>
        <w:rPr>
          <w:rFonts w:ascii="Arial" w:eastAsia="Times New Roman" w:hAnsi="Arial" w:cs="Arial"/>
          <w:color w:val="000000"/>
          <w:sz w:val="20"/>
          <w:szCs w:val="20"/>
        </w:rPr>
        <w:t>.</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The timing of project approval, construction and in-service dates impacts the timing of cash requirements.</w:t>
      </w:r>
    </w:p>
    <w:p w:rsidR="00000000" w:rsidRDefault="009E01B0">
      <w:pPr>
        <w:divId w:val="1903900878"/>
        <w:rPr>
          <w:rFonts w:eastAsia="Times New Roman"/>
        </w:rPr>
      </w:pPr>
      <w:r>
        <w:rPr>
          <w:rFonts w:ascii="Arial" w:eastAsia="Times New Roman" w:hAnsi="Arial" w:cs="Arial"/>
          <w:color w:val="000000"/>
          <w:sz w:val="20"/>
          <w:szCs w:val="20"/>
        </w:rPr>
        <w:t> </w:t>
      </w:r>
    </w:p>
    <w:p w:rsidR="00000000" w:rsidRDefault="009E01B0">
      <w:pPr>
        <w:divId w:val="1513450905"/>
        <w:rPr>
          <w:rFonts w:eastAsia="Times New Roman"/>
        </w:rPr>
      </w:pPr>
      <w:r>
        <w:rPr>
          <w:rFonts w:ascii="Arial" w:eastAsia="Times New Roman" w:hAnsi="Arial" w:cs="Arial"/>
          <w:b/>
          <w:bCs/>
          <w:color w:val="000000"/>
          <w:sz w:val="20"/>
          <w:szCs w:val="20"/>
        </w:rPr>
        <w:t>Financing Activities</w:t>
      </w:r>
    </w:p>
    <w:p w:rsidR="00000000" w:rsidRDefault="009E01B0">
      <w:pPr>
        <w:divId w:val="638338378"/>
        <w:rPr>
          <w:rFonts w:eastAsia="Times New Roman"/>
        </w:rPr>
      </w:pPr>
      <w:r>
        <w:rPr>
          <w:rFonts w:ascii="Arial" w:eastAsia="Times New Roman" w:hAnsi="Arial" w:cs="Arial"/>
          <w:color w:val="000000"/>
          <w:sz w:val="2"/>
          <w:szCs w:val="2"/>
        </w:rPr>
        <w:t> </w:t>
      </w:r>
    </w:p>
    <w:p w:rsidR="00000000" w:rsidRDefault="009E01B0">
      <w:pPr>
        <w:ind w:hanging="360"/>
        <w:divId w:val="1299263966"/>
        <w:rPr>
          <w:rFonts w:eastAsia="Times New Roman"/>
        </w:rPr>
      </w:pPr>
      <w:r>
        <w:rPr>
          <w:rFonts w:ascii="Arial" w:eastAsia="Times New Roman" w:hAnsi="Arial" w:cs="Arial"/>
          <w:color w:val="000000"/>
          <w:sz w:val="20"/>
          <w:szCs w:val="20"/>
        </w:rPr>
        <w:t xml:space="preserve">•The decrease in cash used in financing activities was primarily attributable to a decrease in repayments of long-term debt </w:t>
      </w:r>
      <w:r>
        <w:rPr>
          <w:rFonts w:ascii="Arial" w:eastAsia="Times New Roman" w:hAnsi="Arial" w:cs="Arial"/>
          <w:color w:val="000000"/>
          <w:sz w:val="20"/>
          <w:szCs w:val="20"/>
        </w:rPr>
        <w:t xml:space="preserve">and an increase in commercial paper and credit facility draws. </w:t>
      </w:r>
    </w:p>
    <w:p w:rsidR="00000000" w:rsidRDefault="009E01B0">
      <w:pPr>
        <w:ind w:hanging="360"/>
        <w:divId w:val="400105152"/>
        <w:rPr>
          <w:rFonts w:eastAsia="Times New Roman"/>
        </w:rPr>
      </w:pPr>
      <w:r>
        <w:rPr>
          <w:rFonts w:ascii="Arial" w:eastAsia="Times New Roman" w:hAnsi="Arial" w:cs="Arial"/>
          <w:color w:val="000000"/>
          <w:sz w:val="20"/>
          <w:szCs w:val="20"/>
        </w:rPr>
        <w:t>•The factors above were partially offset by a decrease in issuances of long-term debt.</w:t>
      </w:r>
    </w:p>
    <w:p w:rsidR="00000000" w:rsidRDefault="009E01B0">
      <w:pPr>
        <w:ind w:hanging="360"/>
        <w:divId w:val="1179544347"/>
        <w:rPr>
          <w:rFonts w:eastAsia="Times New Roman"/>
        </w:rPr>
      </w:pPr>
      <w:r>
        <w:rPr>
          <w:rFonts w:ascii="Arial" w:eastAsia="Times New Roman" w:hAnsi="Arial" w:cs="Arial"/>
          <w:i/>
          <w:iCs/>
          <w:color w:val="000000"/>
          <w:sz w:val="20"/>
          <w:szCs w:val="20"/>
        </w:rPr>
        <w:t>•</w:t>
      </w:r>
      <w:r>
        <w:rPr>
          <w:rFonts w:ascii="Arial" w:eastAsia="Times New Roman" w:hAnsi="Arial" w:cs="Arial"/>
          <w:color w:val="000000"/>
          <w:sz w:val="20"/>
          <w:szCs w:val="20"/>
        </w:rPr>
        <w:t>Our common share dividend payments increased period-over-period primarily due to the increase in our com</w:t>
      </w:r>
      <w:r>
        <w:rPr>
          <w:rFonts w:ascii="Arial" w:eastAsia="Times New Roman" w:hAnsi="Arial" w:cs="Arial"/>
          <w:color w:val="000000"/>
          <w:sz w:val="20"/>
          <w:szCs w:val="20"/>
        </w:rPr>
        <w:t>mon share dividend rate.</w:t>
      </w:r>
    </w:p>
    <w:p w:rsidR="00000000" w:rsidRDefault="009E01B0">
      <w:pPr>
        <w:divId w:val="67657173"/>
        <w:rPr>
          <w:rFonts w:eastAsia="Times New Roman"/>
        </w:rPr>
      </w:pPr>
    </w:p>
    <w:p w:rsidR="00000000" w:rsidRDefault="009E01B0">
      <w:pPr>
        <w:jc w:val="center"/>
        <w:divId w:val="1493526679"/>
        <w:rPr>
          <w:rFonts w:eastAsia="Times New Roman"/>
        </w:rPr>
      </w:pPr>
      <w:r>
        <w:rPr>
          <w:rFonts w:ascii="Arial" w:eastAsia="Times New Roman" w:hAnsi="Arial" w:cs="Arial"/>
          <w:color w:val="000000"/>
          <w:sz w:val="20"/>
          <w:szCs w:val="20"/>
        </w:rPr>
        <w:t>45</w:t>
      </w:r>
    </w:p>
    <w:p w:rsidR="00000000" w:rsidRDefault="009E01B0">
      <w:pPr>
        <w:rPr>
          <w:rFonts w:eastAsia="Times New Roman"/>
        </w:rPr>
      </w:pPr>
      <w:r>
        <w:rPr>
          <w:rFonts w:eastAsia="Times New Roman"/>
        </w:rPr>
        <w:pict>
          <v:rect id="_x0000_i1070" style="width:0;height:1.5pt" o:hralign="center" o:hrstd="t" o:hr="t" fillcolor="#a0a0a0" stroked="f"/>
        </w:pict>
      </w:r>
    </w:p>
    <w:p w:rsidR="00000000" w:rsidRDefault="009E01B0">
      <w:pPr>
        <w:divId w:val="144399729"/>
        <w:rPr>
          <w:rFonts w:eastAsia="Times New Roman"/>
        </w:rPr>
      </w:pPr>
    </w:p>
    <w:p w:rsidR="00000000" w:rsidRDefault="009E01B0">
      <w:pPr>
        <w:jc w:val="both"/>
        <w:rPr>
          <w:rFonts w:eastAsia="Times New Roman"/>
        </w:rPr>
      </w:pPr>
      <w:r>
        <w:rPr>
          <w:rFonts w:ascii="Arial" w:eastAsia="Times New Roman" w:hAnsi="Arial" w:cs="Arial"/>
          <w:b/>
          <w:bCs/>
          <w:color w:val="000000"/>
          <w:sz w:val="26"/>
          <w:szCs w:val="26"/>
          <w:shd w:val="clear" w:color="auto" w:fill="FFFFFF"/>
        </w:rPr>
        <w:t>SUMMARIZED FINANCIAL INFORMATION</w:t>
      </w:r>
    </w:p>
    <w:p w:rsidR="00000000" w:rsidRDefault="009E01B0">
      <w:pPr>
        <w:divId w:val="820075473"/>
        <w:rPr>
          <w:rFonts w:eastAsia="Times New Roman"/>
        </w:rPr>
      </w:pPr>
    </w:p>
    <w:p w:rsidR="00000000" w:rsidRDefault="009E01B0">
      <w:pPr>
        <w:divId w:val="84347882"/>
        <w:rPr>
          <w:rFonts w:eastAsia="Times New Roman"/>
        </w:rPr>
      </w:pPr>
      <w:r>
        <w:rPr>
          <w:rFonts w:ascii="Arial" w:eastAsia="Times New Roman" w:hAnsi="Arial" w:cs="Arial"/>
          <w:color w:val="000000"/>
          <w:sz w:val="20"/>
          <w:szCs w:val="20"/>
          <w:shd w:val="clear" w:color="auto" w:fill="FFFFFF"/>
        </w:rPr>
        <w:t>On January 22, 2019, Enbridge entered into supplemental indentures with its wholly-owned subsidiaries, Spectra Energy Partners, LP (SEP) and Enbridge Ene</w:t>
      </w:r>
      <w:r>
        <w:rPr>
          <w:rFonts w:ascii="Arial" w:eastAsia="Times New Roman" w:hAnsi="Arial" w:cs="Arial"/>
          <w:color w:val="000000"/>
          <w:sz w:val="20"/>
          <w:szCs w:val="20"/>
          <w:shd w:val="clear" w:color="auto" w:fill="FFFFFF"/>
        </w:rPr>
        <w:t>rgy Partners, L.P. (EEP) (the Partnerships), pursuant to which Enbridge fully and unconditionally guaranteed, on a senior unsecured basis, the payment obligations of the Partnerships with respect to the outstanding series of notes issued under the respecti</w:t>
      </w:r>
      <w:r>
        <w:rPr>
          <w:rFonts w:ascii="Arial" w:eastAsia="Times New Roman" w:hAnsi="Arial" w:cs="Arial"/>
          <w:color w:val="000000"/>
          <w:sz w:val="20"/>
          <w:szCs w:val="20"/>
          <w:shd w:val="clear" w:color="auto" w:fill="FFFFFF"/>
        </w:rPr>
        <w:t>ve indentures of the Partnerships. Concurrently, the Partnerships entered into a subsidiary guarantee agreement pursuant to which they fully and unconditionally guaranteed, on a senior unsecured basis, the outstanding series of senior notes of Enbridge. Th</w:t>
      </w:r>
      <w:r>
        <w:rPr>
          <w:rFonts w:ascii="Arial" w:eastAsia="Times New Roman" w:hAnsi="Arial" w:cs="Arial"/>
          <w:color w:val="000000"/>
          <w:sz w:val="20"/>
          <w:szCs w:val="20"/>
          <w:shd w:val="clear" w:color="auto" w:fill="FFFFFF"/>
        </w:rPr>
        <w:t>e Partnerships have also entered into supplemental indentures with Enbridge pursuant to which the Partnerships have issued full and unconditional guarantees, on a senior unsecured basis, of senior notes issued by Enbridge subsequent to January 22, 2019. As</w:t>
      </w:r>
      <w:r>
        <w:rPr>
          <w:rFonts w:ascii="Arial" w:eastAsia="Times New Roman" w:hAnsi="Arial" w:cs="Arial"/>
          <w:color w:val="000000"/>
          <w:sz w:val="20"/>
          <w:szCs w:val="20"/>
          <w:shd w:val="clear" w:color="auto" w:fill="FFFFFF"/>
        </w:rPr>
        <w:t xml:space="preserve"> a result of the guarantees, holders of any of the outstanding guaranteed notes of the Partnerships (the Guaranteed Partnership Notes) are in the same position with respect to the net assets, income and cash flows of Enbridge as holders of Enbridge's outst</w:t>
      </w:r>
      <w:r>
        <w:rPr>
          <w:rFonts w:ascii="Arial" w:eastAsia="Times New Roman" w:hAnsi="Arial" w:cs="Arial"/>
          <w:color w:val="000000"/>
          <w:sz w:val="20"/>
          <w:szCs w:val="20"/>
          <w:shd w:val="clear" w:color="auto" w:fill="FFFFFF"/>
        </w:rPr>
        <w:t>anding guaranteed notes (the Guaranteed Enbridge Notes), and vice versa. Other than the Partnerships, Enbridge subsidiaries (including the subsidiaries of the Partnerships, collectively, the Subsidiary Non-Guarantors), are not parties to the subsidiary gua</w:t>
      </w:r>
      <w:r>
        <w:rPr>
          <w:rFonts w:ascii="Arial" w:eastAsia="Times New Roman" w:hAnsi="Arial" w:cs="Arial"/>
          <w:color w:val="000000"/>
          <w:sz w:val="20"/>
          <w:szCs w:val="20"/>
          <w:shd w:val="clear" w:color="auto" w:fill="FFFFFF"/>
        </w:rPr>
        <w:t>rantee agreement and have not otherwise guaranteed any of Enbridge's outstanding series of senior notes.</w:t>
      </w:r>
    </w:p>
    <w:p w:rsidR="00000000" w:rsidRDefault="009E01B0">
      <w:pPr>
        <w:divId w:val="714348721"/>
        <w:rPr>
          <w:rFonts w:eastAsia="Times New Roman"/>
        </w:rPr>
      </w:pPr>
    </w:p>
    <w:p w:rsidR="00000000" w:rsidRDefault="009E01B0">
      <w:pPr>
        <w:divId w:val="1120031593"/>
        <w:rPr>
          <w:rFonts w:eastAsia="Times New Roman"/>
        </w:rPr>
      </w:pPr>
      <w:r>
        <w:rPr>
          <w:rFonts w:ascii="Arial" w:eastAsia="Times New Roman" w:hAnsi="Arial" w:cs="Arial"/>
          <w:b/>
          <w:bCs/>
          <w:color w:val="000000"/>
          <w:sz w:val="20"/>
          <w:szCs w:val="20"/>
          <w:shd w:val="clear" w:color="auto" w:fill="FFFFFF"/>
        </w:rPr>
        <w:t>Consenting SEP notes and EEP notes under Guarantee</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4047"/>
        <w:gridCol w:w="37"/>
        <w:gridCol w:w="69"/>
        <w:gridCol w:w="4048"/>
        <w:gridCol w:w="37"/>
      </w:tblGrid>
      <w:tr w:rsidR="00000000">
        <w:trPr>
          <w:divId w:val="1593659118"/>
          <w:jc w:val="center"/>
        </w:trPr>
        <w:tc>
          <w:tcPr>
            <w:tcW w:w="50" w:type="pct"/>
            <w:vAlign w:val="center"/>
            <w:hideMark/>
          </w:tcPr>
          <w:p w:rsidR="00000000" w:rsidRDefault="009E01B0">
            <w:pPr>
              <w:rPr>
                <w:rFonts w:eastAsia="Times New Roman"/>
              </w:rPr>
            </w:pPr>
          </w:p>
        </w:tc>
        <w:tc>
          <w:tcPr>
            <w:tcW w:w="244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244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593659118"/>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divId w:val="1905098001"/>
              <w:rPr>
                <w:rFonts w:eastAsia="Times New Roman"/>
              </w:rPr>
            </w:pPr>
            <w:r>
              <w:rPr>
                <w:rFonts w:ascii="Arial" w:eastAsia="Times New Roman" w:hAnsi="Arial" w:cs="Arial"/>
                <w:b/>
                <w:bCs/>
                <w:color w:val="000000"/>
                <w:sz w:val="20"/>
                <w:szCs w:val="20"/>
              </w:rPr>
              <w:t>SEP Note</w:t>
            </w:r>
            <w:r>
              <w:rPr>
                <w:rFonts w:ascii="Arial" w:eastAsia="Times New Roman" w:hAnsi="Arial" w:cs="Arial"/>
                <w:b/>
                <w:bCs/>
                <w:color w:val="000000"/>
                <w:sz w:val="20"/>
                <w:szCs w:val="20"/>
              </w:rPr>
              <w:t>s</w:t>
            </w:r>
            <w:r>
              <w:rPr>
                <w:rFonts w:ascii="Arial" w:eastAsia="Times New Roman" w:hAnsi="Arial" w:cs="Arial"/>
                <w:b/>
                <w:bCs/>
                <w:color w:val="000000"/>
                <w:sz w:val="10"/>
                <w:szCs w:val="10"/>
              </w:rPr>
              <w:t>1</w:t>
            </w:r>
          </w:p>
        </w:tc>
        <w:tc>
          <w:tcPr>
            <w:tcW w:w="0" w:type="auto"/>
            <w:gridSpan w:val="3"/>
            <w:shd w:val="clear" w:color="auto" w:fill="FFFFFF"/>
            <w:tcMar>
              <w:top w:w="30" w:type="dxa"/>
              <w:left w:w="20" w:type="dxa"/>
              <w:bottom w:w="30" w:type="dxa"/>
              <w:right w:w="20" w:type="dxa"/>
            </w:tcMar>
            <w:vAlign w:val="bottom"/>
            <w:hideMark/>
          </w:tcPr>
          <w:p w:rsidR="00000000" w:rsidRDefault="009E01B0">
            <w:pPr>
              <w:divId w:val="886451543"/>
              <w:rPr>
                <w:rFonts w:eastAsia="Times New Roman"/>
              </w:rPr>
            </w:pPr>
            <w:r>
              <w:rPr>
                <w:rFonts w:ascii="Arial" w:eastAsia="Times New Roman" w:hAnsi="Arial" w:cs="Arial"/>
                <w:b/>
                <w:bCs/>
                <w:color w:val="000000"/>
                <w:sz w:val="20"/>
                <w:szCs w:val="20"/>
              </w:rPr>
              <w:t>EEP Note</w:t>
            </w:r>
            <w:r>
              <w:rPr>
                <w:rFonts w:ascii="Arial" w:eastAsia="Times New Roman" w:hAnsi="Arial" w:cs="Arial"/>
                <w:b/>
                <w:bCs/>
                <w:color w:val="000000"/>
                <w:sz w:val="20"/>
                <w:szCs w:val="20"/>
              </w:rPr>
              <w:t>s</w:t>
            </w:r>
            <w:r>
              <w:rPr>
                <w:rFonts w:ascii="Arial" w:eastAsia="Times New Roman" w:hAnsi="Arial" w:cs="Arial"/>
                <w:b/>
                <w:bCs/>
                <w:color w:val="000000"/>
                <w:sz w:val="10"/>
                <w:szCs w:val="10"/>
              </w:rPr>
              <w:t>2</w:t>
            </w:r>
          </w:p>
        </w:tc>
      </w:tr>
      <w:tr w:rsidR="00000000">
        <w:trPr>
          <w:divId w:val="1593659118"/>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4.750% Senior Notes due 2024</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4.200% Notes due 2021</w:t>
            </w:r>
          </w:p>
        </w:tc>
      </w:tr>
      <w:tr w:rsidR="00000000">
        <w:trPr>
          <w:divId w:val="1593659118"/>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3.500% Senior Notes due 2025</w:t>
            </w: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5.875% Notes due 2025</w:t>
            </w:r>
          </w:p>
        </w:tc>
      </w:tr>
      <w:tr w:rsidR="00000000">
        <w:trPr>
          <w:divId w:val="1593659118"/>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3.375% Senior Notes due 2026</w:t>
            </w: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5.950% Notes due 2033</w:t>
            </w:r>
          </w:p>
        </w:tc>
      </w:tr>
      <w:tr w:rsidR="00000000">
        <w:trPr>
          <w:divId w:val="1593659118"/>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5.950% Senior Notes due 2043</w:t>
            </w: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6.300% Notes due 2034</w:t>
            </w:r>
          </w:p>
        </w:tc>
      </w:tr>
      <w:tr w:rsidR="00000000">
        <w:trPr>
          <w:divId w:val="1593659118"/>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4.500% Senior Notes due 2045</w:t>
            </w: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7.500% Notes due 2038</w:t>
            </w:r>
          </w:p>
        </w:tc>
      </w:tr>
      <w:tr w:rsidR="00000000">
        <w:trPr>
          <w:divId w:val="1593659118"/>
          <w:jc w:val="center"/>
        </w:trPr>
        <w:tc>
          <w:tcPr>
            <w:tcW w:w="0" w:type="auto"/>
            <w:gridSpan w:val="3"/>
            <w:shd w:val="clear" w:color="auto" w:fill="FFFFFF"/>
            <w:tcMar>
              <w:top w:w="0" w:type="dxa"/>
              <w:left w:w="20" w:type="dxa"/>
              <w:bottom w:w="0" w:type="dxa"/>
              <w:right w:w="20" w:type="dxa"/>
            </w:tcMar>
            <w:vAlign w:val="center"/>
            <w:hideMark/>
          </w:tcPr>
          <w:p w:rsidR="00000000" w:rsidRDefault="009E01B0">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5.500% Notes due 2040</w:t>
            </w:r>
          </w:p>
        </w:tc>
      </w:tr>
      <w:tr w:rsidR="00000000">
        <w:trPr>
          <w:divId w:val="1593659118"/>
          <w:jc w:val="center"/>
        </w:trPr>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7.375% Notes due 2045</w:t>
            </w:r>
          </w:p>
        </w:tc>
      </w:tr>
    </w:tbl>
    <w:p w:rsidR="00000000" w:rsidRDefault="009E01B0">
      <w:pPr>
        <w:ind w:hanging="180"/>
        <w:divId w:val="237517089"/>
        <w:rPr>
          <w:rFonts w:eastAsia="Times New Roman"/>
        </w:rPr>
      </w:pPr>
      <w:r>
        <w:rPr>
          <w:rFonts w:ascii="Arial" w:eastAsia="Times New Roman" w:hAnsi="Arial" w:cs="Arial"/>
          <w:i/>
          <w:iCs/>
          <w:color w:val="000000"/>
          <w:sz w:val="16"/>
          <w:szCs w:val="16"/>
          <w:shd w:val="clear" w:color="auto" w:fill="FFFFFF"/>
        </w:rPr>
        <w:t>1As at March </w:t>
      </w:r>
      <w:r>
        <w:rPr>
          <w:rFonts w:ascii="Arial" w:eastAsia="Times New Roman" w:hAnsi="Arial" w:cs="Arial"/>
          <w:i/>
          <w:iCs/>
          <w:color w:val="000000"/>
          <w:sz w:val="16"/>
          <w:szCs w:val="16"/>
          <w:shd w:val="clear" w:color="auto" w:fill="FFFFFF"/>
        </w:rPr>
        <w:t>31, 2021, the aggregate outstanding principal amount of SEP notes was approximately US$3.2 billion.</w:t>
      </w:r>
    </w:p>
    <w:p w:rsidR="00000000" w:rsidRDefault="009E01B0">
      <w:pPr>
        <w:ind w:hanging="180"/>
        <w:divId w:val="1099104787"/>
        <w:rPr>
          <w:rFonts w:eastAsia="Times New Roman"/>
        </w:rPr>
      </w:pPr>
      <w:r>
        <w:rPr>
          <w:rFonts w:ascii="Arial" w:eastAsia="Times New Roman" w:hAnsi="Arial" w:cs="Arial"/>
          <w:i/>
          <w:iCs/>
          <w:color w:val="000000"/>
          <w:sz w:val="16"/>
          <w:szCs w:val="16"/>
          <w:shd w:val="clear" w:color="auto" w:fill="FFFFFF"/>
        </w:rPr>
        <w:t>2As at March 31, 2021, the aggregate outstanding principal amount of EEP notes was approximately US$3.0 billion.</w:t>
      </w:r>
    </w:p>
    <w:p w:rsidR="00000000" w:rsidRDefault="009E01B0">
      <w:pPr>
        <w:divId w:val="242033552"/>
        <w:rPr>
          <w:rFonts w:eastAsia="Times New Roman"/>
        </w:rPr>
      </w:pPr>
    </w:p>
    <w:p w:rsidR="00000000" w:rsidRDefault="009E01B0">
      <w:pPr>
        <w:jc w:val="center"/>
        <w:divId w:val="1682047543"/>
        <w:rPr>
          <w:rFonts w:eastAsia="Times New Roman"/>
        </w:rPr>
      </w:pPr>
      <w:r>
        <w:rPr>
          <w:rFonts w:ascii="Arial" w:eastAsia="Times New Roman" w:hAnsi="Arial" w:cs="Arial"/>
          <w:color w:val="000000"/>
          <w:sz w:val="20"/>
          <w:szCs w:val="20"/>
        </w:rPr>
        <w:t>46</w:t>
      </w:r>
    </w:p>
    <w:p w:rsidR="00000000" w:rsidRDefault="009E01B0">
      <w:pPr>
        <w:rPr>
          <w:rFonts w:eastAsia="Times New Roman"/>
        </w:rPr>
      </w:pPr>
      <w:r>
        <w:rPr>
          <w:rFonts w:eastAsia="Times New Roman"/>
        </w:rPr>
        <w:pict>
          <v:rect id="_x0000_i1071" style="width:0;height:1.5pt" o:hralign="center" o:hrstd="t" o:hr="t" fillcolor="#a0a0a0" stroked="f"/>
        </w:pict>
      </w:r>
    </w:p>
    <w:p w:rsidR="00000000" w:rsidRDefault="009E01B0">
      <w:pPr>
        <w:divId w:val="2035232844"/>
        <w:rPr>
          <w:rFonts w:eastAsia="Times New Roman"/>
        </w:rPr>
      </w:pPr>
    </w:p>
    <w:p w:rsidR="00000000" w:rsidRDefault="009E01B0">
      <w:pPr>
        <w:divId w:val="660348443"/>
        <w:rPr>
          <w:rFonts w:eastAsia="Times New Roman"/>
        </w:rPr>
      </w:pPr>
      <w:r>
        <w:rPr>
          <w:rFonts w:ascii="Arial" w:eastAsia="Times New Roman" w:hAnsi="Arial" w:cs="Arial"/>
          <w:b/>
          <w:bCs/>
          <w:color w:val="000000"/>
          <w:sz w:val="20"/>
          <w:szCs w:val="20"/>
          <w:shd w:val="clear" w:color="auto" w:fill="FFFFFF"/>
        </w:rPr>
        <w:t>Enbridge Notes under Guarantees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801000110"/>
          <w:jc w:val="center"/>
        </w:trPr>
        <w:tc>
          <w:tcPr>
            <w:tcW w:w="50" w:type="pct"/>
            <w:vAlign w:val="center"/>
            <w:hideMark/>
          </w:tcPr>
          <w:p w:rsidR="00000000" w:rsidRDefault="009E01B0">
            <w:pPr>
              <w:rPr>
                <w:rFonts w:eastAsia="Times New Roman"/>
              </w:rPr>
            </w:pPr>
          </w:p>
        </w:tc>
        <w:tc>
          <w:tcPr>
            <w:tcW w:w="244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244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801000110"/>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divId w:val="2139905942"/>
              <w:rPr>
                <w:rFonts w:eastAsia="Times New Roman"/>
              </w:rPr>
            </w:pPr>
            <w:r>
              <w:rPr>
                <w:rFonts w:ascii="Arial" w:eastAsia="Times New Roman" w:hAnsi="Arial" w:cs="Arial"/>
                <w:b/>
                <w:bCs/>
                <w:color w:val="000000"/>
                <w:sz w:val="20"/>
                <w:szCs w:val="20"/>
              </w:rPr>
              <w:t>USD Denominate</w:t>
            </w:r>
            <w:r>
              <w:rPr>
                <w:rFonts w:ascii="Arial" w:eastAsia="Times New Roman" w:hAnsi="Arial" w:cs="Arial"/>
                <w:b/>
                <w:bCs/>
                <w:color w:val="000000"/>
                <w:sz w:val="20"/>
                <w:szCs w:val="20"/>
              </w:rPr>
              <w:t>d</w:t>
            </w:r>
            <w:r>
              <w:rPr>
                <w:rFonts w:ascii="Arial" w:eastAsia="Times New Roman" w:hAnsi="Arial" w:cs="Arial"/>
                <w:b/>
                <w:bCs/>
                <w:color w:val="000000"/>
                <w:sz w:val="10"/>
                <w:szCs w:val="10"/>
              </w:rPr>
              <w:t>1</w:t>
            </w:r>
          </w:p>
        </w:tc>
        <w:tc>
          <w:tcPr>
            <w:tcW w:w="0" w:type="auto"/>
            <w:gridSpan w:val="3"/>
            <w:shd w:val="clear" w:color="auto" w:fill="FFFFFF"/>
            <w:tcMar>
              <w:top w:w="30" w:type="dxa"/>
              <w:left w:w="20" w:type="dxa"/>
              <w:bottom w:w="30" w:type="dxa"/>
              <w:right w:w="20" w:type="dxa"/>
            </w:tcMar>
            <w:vAlign w:val="bottom"/>
            <w:hideMark/>
          </w:tcPr>
          <w:p w:rsidR="00000000" w:rsidRDefault="009E01B0">
            <w:pPr>
              <w:divId w:val="775249036"/>
              <w:rPr>
                <w:rFonts w:eastAsia="Times New Roman"/>
              </w:rPr>
            </w:pPr>
            <w:r>
              <w:rPr>
                <w:rFonts w:ascii="Arial" w:eastAsia="Times New Roman" w:hAnsi="Arial" w:cs="Arial"/>
                <w:b/>
                <w:bCs/>
                <w:color w:val="000000"/>
                <w:sz w:val="20"/>
                <w:szCs w:val="20"/>
              </w:rPr>
              <w:t>CAD Denominate</w:t>
            </w:r>
            <w:r>
              <w:rPr>
                <w:rFonts w:ascii="Arial" w:eastAsia="Times New Roman" w:hAnsi="Arial" w:cs="Arial"/>
                <w:b/>
                <w:bCs/>
                <w:color w:val="000000"/>
                <w:sz w:val="20"/>
                <w:szCs w:val="20"/>
              </w:rPr>
              <w:t>d</w:t>
            </w:r>
            <w:r>
              <w:rPr>
                <w:rFonts w:ascii="Arial" w:eastAsia="Times New Roman" w:hAnsi="Arial" w:cs="Arial"/>
                <w:b/>
                <w:bCs/>
                <w:color w:val="000000"/>
                <w:sz w:val="10"/>
                <w:szCs w:val="10"/>
              </w:rPr>
              <w:t>2</w:t>
            </w:r>
          </w:p>
        </w:tc>
      </w:tr>
      <w:tr w:rsidR="00000000">
        <w:trPr>
          <w:divId w:val="801000110"/>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Floating Rate Senior Notes due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4.850% Senior Notes due 2022</w:t>
            </w:r>
          </w:p>
        </w:tc>
      </w:tr>
      <w:tr w:rsidR="00000000">
        <w:trPr>
          <w:divId w:val="801000110"/>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Floating Rate Senior Notes due 2023</w:t>
            </w: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3.190% Senior Notes due 2022</w:t>
            </w:r>
          </w:p>
        </w:tc>
      </w:tr>
      <w:tr w:rsidR="00000000">
        <w:trPr>
          <w:divId w:val="801000110"/>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2.900% Senior Notes due 2022</w:t>
            </w: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3.940% Senior Notes due 2023</w:t>
            </w:r>
          </w:p>
        </w:tc>
      </w:tr>
      <w:tr w:rsidR="00000000">
        <w:trPr>
          <w:divId w:val="801000110"/>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4.000% Senior Notes due 2023</w:t>
            </w: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3.940% Senior Notes due 2023</w:t>
            </w:r>
          </w:p>
        </w:tc>
      </w:tr>
      <w:tr w:rsidR="00000000">
        <w:trPr>
          <w:divId w:val="801000110"/>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3.500% Senior Notes due 2024</w:t>
            </w: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3.950% Senior Notes due 2024</w:t>
            </w:r>
          </w:p>
        </w:tc>
      </w:tr>
      <w:tr w:rsidR="00000000">
        <w:trPr>
          <w:divId w:val="801000110"/>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2.500% Senior Notes due 2025</w:t>
            </w: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2.440% Senior Notes due 2025</w:t>
            </w:r>
          </w:p>
        </w:tc>
      </w:tr>
      <w:tr w:rsidR="00000000">
        <w:trPr>
          <w:divId w:val="801000110"/>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4.250% Senior Notes due 2026</w:t>
            </w: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3.200% Senior Notes due 2027</w:t>
            </w:r>
          </w:p>
        </w:tc>
      </w:tr>
      <w:tr w:rsidR="00000000">
        <w:trPr>
          <w:divId w:val="801000110"/>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3.700% Senior Notes due 2027</w:t>
            </w: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6.100% Senior Notes due 2028</w:t>
            </w:r>
          </w:p>
        </w:tc>
      </w:tr>
      <w:tr w:rsidR="00000000">
        <w:trPr>
          <w:divId w:val="801000110"/>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3.125% Senior Notes due 2029</w:t>
            </w: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2.990% Senior Notes due 2029</w:t>
            </w:r>
          </w:p>
        </w:tc>
      </w:tr>
      <w:tr w:rsidR="00000000">
        <w:trPr>
          <w:divId w:val="801000110"/>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4.500% Senior Notes due 2044</w:t>
            </w: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7.220% Senior Notes due 2030</w:t>
            </w:r>
          </w:p>
        </w:tc>
      </w:tr>
      <w:tr w:rsidR="00000000">
        <w:trPr>
          <w:divId w:val="801000110"/>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5.500% Senior Notes due 2046</w:t>
            </w: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7.200% Senior Notes due 2032</w:t>
            </w:r>
          </w:p>
        </w:tc>
      </w:tr>
      <w:tr w:rsidR="00000000">
        <w:trPr>
          <w:divId w:val="801000110"/>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4.000% Senior Notes due 2049</w:t>
            </w: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5.570% Senior Notes due 2035</w:t>
            </w:r>
          </w:p>
        </w:tc>
      </w:tr>
      <w:tr w:rsidR="00000000">
        <w:trPr>
          <w:divId w:val="801000110"/>
          <w:jc w:val="center"/>
        </w:trPr>
        <w:tc>
          <w:tcPr>
            <w:tcW w:w="0" w:type="auto"/>
            <w:gridSpan w:val="3"/>
            <w:shd w:val="clear" w:color="auto" w:fill="FFFFFF"/>
            <w:tcMar>
              <w:top w:w="0" w:type="dxa"/>
              <w:left w:w="20" w:type="dxa"/>
              <w:bottom w:w="0" w:type="dxa"/>
              <w:right w:w="20" w:type="dxa"/>
            </w:tcMar>
            <w:vAlign w:val="center"/>
            <w:hideMark/>
          </w:tcPr>
          <w:p w:rsidR="00000000" w:rsidRDefault="009E01B0">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5.750% Senior Notes due 2039</w:t>
            </w:r>
          </w:p>
        </w:tc>
      </w:tr>
      <w:tr w:rsidR="00000000">
        <w:trPr>
          <w:divId w:val="801000110"/>
          <w:jc w:val="center"/>
        </w:trPr>
        <w:tc>
          <w:tcPr>
            <w:tcW w:w="0" w:type="auto"/>
            <w:gridSpan w:val="3"/>
            <w:shd w:val="clear" w:color="auto" w:fill="FFFFFF"/>
            <w:tcMar>
              <w:top w:w="0" w:type="dxa"/>
              <w:left w:w="20" w:type="dxa"/>
              <w:bottom w:w="0" w:type="dxa"/>
              <w:right w:w="20" w:type="dxa"/>
            </w:tcMar>
            <w:vAlign w:val="center"/>
            <w:hideMark/>
          </w:tcPr>
          <w:p w:rsidR="00000000" w:rsidRDefault="009E01B0">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5.120% Senior Notes due 2040</w:t>
            </w:r>
          </w:p>
        </w:tc>
      </w:tr>
      <w:tr w:rsidR="00000000">
        <w:trPr>
          <w:divId w:val="801000110"/>
          <w:jc w:val="center"/>
        </w:trPr>
        <w:tc>
          <w:tcPr>
            <w:tcW w:w="0" w:type="auto"/>
            <w:gridSpan w:val="3"/>
            <w:shd w:val="clear" w:color="auto" w:fill="FFFFFF"/>
            <w:tcMar>
              <w:top w:w="0" w:type="dxa"/>
              <w:left w:w="20" w:type="dxa"/>
              <w:bottom w:w="0" w:type="dxa"/>
              <w:right w:w="20" w:type="dxa"/>
            </w:tcMar>
            <w:vAlign w:val="center"/>
            <w:hideMark/>
          </w:tcPr>
          <w:p w:rsidR="00000000" w:rsidRDefault="009E01B0">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4.240% Senior Notes due 2042</w:t>
            </w:r>
          </w:p>
        </w:tc>
      </w:tr>
      <w:tr w:rsidR="00000000">
        <w:trPr>
          <w:divId w:val="801000110"/>
          <w:jc w:val="center"/>
        </w:trPr>
        <w:tc>
          <w:tcPr>
            <w:tcW w:w="0" w:type="auto"/>
            <w:gridSpan w:val="3"/>
            <w:shd w:val="clear" w:color="auto" w:fill="FFFFFF"/>
            <w:tcMar>
              <w:top w:w="0" w:type="dxa"/>
              <w:left w:w="20" w:type="dxa"/>
              <w:bottom w:w="0" w:type="dxa"/>
              <w:right w:w="20" w:type="dxa"/>
            </w:tcMar>
            <w:vAlign w:val="center"/>
            <w:hideMark/>
          </w:tcPr>
          <w:p w:rsidR="00000000" w:rsidRDefault="009E01B0">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4.570% Senior Notes due 2044</w:t>
            </w:r>
          </w:p>
        </w:tc>
      </w:tr>
      <w:tr w:rsidR="00000000">
        <w:trPr>
          <w:divId w:val="801000110"/>
          <w:jc w:val="center"/>
        </w:trPr>
        <w:tc>
          <w:tcPr>
            <w:tcW w:w="0" w:type="auto"/>
            <w:gridSpan w:val="3"/>
            <w:shd w:val="clear" w:color="auto" w:fill="FFFFFF"/>
            <w:tcMar>
              <w:top w:w="0" w:type="dxa"/>
              <w:left w:w="20" w:type="dxa"/>
              <w:bottom w:w="0" w:type="dxa"/>
              <w:right w:w="20" w:type="dxa"/>
            </w:tcMar>
            <w:vAlign w:val="center"/>
            <w:hideMark/>
          </w:tcPr>
          <w:p w:rsidR="00000000" w:rsidRDefault="009E01B0">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4.870% Senior Notes due 2044</w:t>
            </w:r>
          </w:p>
        </w:tc>
      </w:tr>
      <w:tr w:rsidR="00000000">
        <w:trPr>
          <w:divId w:val="801000110"/>
          <w:jc w:val="center"/>
        </w:trPr>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4.560% Senior Notes due 2064</w:t>
            </w:r>
          </w:p>
        </w:tc>
      </w:tr>
      <w:tr w:rsidR="00000000">
        <w:trPr>
          <w:divId w:val="801000110"/>
          <w:jc w:val="center"/>
        </w:trPr>
        <w:tc>
          <w:tcPr>
            <w:tcW w:w="0" w:type="auto"/>
            <w:gridSpan w:val="3"/>
            <w:vAlign w:val="center"/>
            <w:hideMark/>
          </w:tcPr>
          <w:p w:rsidR="00000000" w:rsidRDefault="009E01B0">
            <w:pPr>
              <w:rPr>
                <w:rFonts w:eastAsia="Times New Roman"/>
              </w:rPr>
            </w:pPr>
          </w:p>
        </w:tc>
        <w:tc>
          <w:tcPr>
            <w:tcW w:w="0" w:type="auto"/>
            <w:gridSpan w:val="3"/>
            <w:vAlign w:val="center"/>
            <w:hideMark/>
          </w:tcPr>
          <w:p w:rsidR="00000000" w:rsidRDefault="009E01B0">
            <w:pPr>
              <w:rPr>
                <w:rFonts w:eastAsia="Times New Roman"/>
                <w:sz w:val="20"/>
                <w:szCs w:val="20"/>
              </w:rPr>
            </w:pPr>
          </w:p>
        </w:tc>
      </w:tr>
      <w:tr w:rsidR="00000000">
        <w:trPr>
          <w:divId w:val="801000110"/>
          <w:jc w:val="center"/>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r w:rsidR="00000000">
        <w:trPr>
          <w:divId w:val="801000110"/>
          <w:jc w:val="center"/>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r>
    </w:tbl>
    <w:p w:rsidR="00000000" w:rsidRDefault="009E01B0">
      <w:pPr>
        <w:ind w:hanging="180"/>
        <w:divId w:val="271909968"/>
        <w:rPr>
          <w:rFonts w:eastAsia="Times New Roman"/>
        </w:rPr>
      </w:pPr>
      <w:r>
        <w:rPr>
          <w:rFonts w:ascii="Arial" w:eastAsia="Times New Roman" w:hAnsi="Arial" w:cs="Arial"/>
          <w:i/>
          <w:iCs/>
          <w:color w:val="000000"/>
          <w:sz w:val="16"/>
          <w:szCs w:val="16"/>
          <w:shd w:val="clear" w:color="auto" w:fill="FFFFFF"/>
        </w:rPr>
        <w:t>1As at March </w:t>
      </w:r>
      <w:r>
        <w:rPr>
          <w:rFonts w:ascii="Arial" w:eastAsia="Times New Roman" w:hAnsi="Arial" w:cs="Arial"/>
          <w:i/>
          <w:iCs/>
          <w:color w:val="000000"/>
          <w:sz w:val="16"/>
          <w:szCs w:val="16"/>
          <w:shd w:val="clear" w:color="auto" w:fill="FFFFFF"/>
        </w:rPr>
        <w:t>31, 2021, the aggregate outstanding principal amount of the Enbridge US dollar denominated notes was approximately US$8 billion.</w:t>
      </w:r>
    </w:p>
    <w:p w:rsidR="00000000" w:rsidRDefault="009E01B0">
      <w:pPr>
        <w:ind w:hanging="180"/>
        <w:divId w:val="188300563"/>
        <w:rPr>
          <w:rFonts w:eastAsia="Times New Roman"/>
        </w:rPr>
      </w:pPr>
      <w:r>
        <w:rPr>
          <w:rFonts w:ascii="Arial" w:eastAsia="Times New Roman" w:hAnsi="Arial" w:cs="Arial"/>
          <w:i/>
          <w:iCs/>
          <w:color w:val="000000"/>
          <w:sz w:val="16"/>
          <w:szCs w:val="16"/>
          <w:shd w:val="clear" w:color="auto" w:fill="FFFFFF"/>
        </w:rPr>
        <w:t>2As at March 31, 2021, the aggregate outstanding principal amount of the Enbridge Canadian dollar denominated notes was approxi</w:t>
      </w:r>
      <w:r>
        <w:rPr>
          <w:rFonts w:ascii="Arial" w:eastAsia="Times New Roman" w:hAnsi="Arial" w:cs="Arial"/>
          <w:i/>
          <w:iCs/>
          <w:color w:val="000000"/>
          <w:sz w:val="16"/>
          <w:szCs w:val="16"/>
          <w:shd w:val="clear" w:color="auto" w:fill="FFFFFF"/>
        </w:rPr>
        <w:t>mately $7.7 billion.</w:t>
      </w:r>
    </w:p>
    <w:p w:rsidR="00000000" w:rsidRDefault="009E01B0">
      <w:pPr>
        <w:jc w:val="both"/>
        <w:rPr>
          <w:rFonts w:eastAsia="Times New Roman"/>
        </w:rPr>
      </w:pPr>
    </w:p>
    <w:p w:rsidR="00000000" w:rsidRDefault="009E01B0">
      <w:pPr>
        <w:jc w:val="both"/>
        <w:rPr>
          <w:rFonts w:eastAsia="Times New Roman"/>
        </w:rPr>
      </w:pPr>
      <w:r>
        <w:rPr>
          <w:rFonts w:ascii="Arial" w:eastAsia="Times New Roman" w:hAnsi="Arial" w:cs="Arial"/>
          <w:color w:val="000000"/>
          <w:sz w:val="20"/>
          <w:szCs w:val="20"/>
          <w:shd w:val="clear" w:color="auto" w:fill="FFFFFF"/>
        </w:rPr>
        <w:t xml:space="preserve">The following Summarized Combined Statement of Earnings and the Summarized Combined Statements of Financial Position combines the balances of EEP, SEP and Enbridge Inc. </w:t>
      </w:r>
    </w:p>
    <w:p w:rsidR="00000000" w:rsidRDefault="009E01B0">
      <w:pPr>
        <w:divId w:val="354312718"/>
        <w:rPr>
          <w:rFonts w:eastAsia="Times New Roman"/>
        </w:rPr>
      </w:pPr>
      <w:r>
        <w:rPr>
          <w:rFonts w:ascii="Arial" w:eastAsia="Times New Roman" w:hAnsi="Arial" w:cs="Arial"/>
          <w:b/>
          <w:bCs/>
          <w:color w:val="000000"/>
          <w:sz w:val="20"/>
          <w:szCs w:val="20"/>
          <w:shd w:val="clear" w:color="auto" w:fill="FFFFFF"/>
        </w:rPr>
        <w:t>Summarized Combined Statement of Earnings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258"/>
        <w:gridCol w:w="38"/>
        <w:gridCol w:w="69"/>
        <w:gridCol w:w="865"/>
        <w:gridCol w:w="37"/>
        <w:gridCol w:w="69"/>
        <w:gridCol w:w="866"/>
        <w:gridCol w:w="36"/>
      </w:tblGrid>
      <w:tr w:rsidR="00000000">
        <w:trPr>
          <w:jc w:val="center"/>
        </w:trPr>
        <w:tc>
          <w:tcPr>
            <w:tcW w:w="50" w:type="pct"/>
            <w:vAlign w:val="center"/>
            <w:hideMark/>
          </w:tcPr>
          <w:p w:rsidR="00000000" w:rsidRDefault="009E01B0">
            <w:pPr>
              <w:rPr>
                <w:rFonts w:eastAsia="Times New Roman"/>
              </w:rPr>
            </w:pPr>
          </w:p>
        </w:tc>
        <w:tc>
          <w:tcPr>
            <w:tcW w:w="377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29"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530"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b/>
                <w:bCs/>
                <w:color w:val="000000"/>
                <w:sz w:val="20"/>
                <w:szCs w:val="20"/>
              </w:rPr>
              <w:t xml:space="preserve">Three months ended </w:t>
            </w:r>
          </w:p>
        </w:tc>
      </w:tr>
      <w:tr w:rsidR="00000000">
        <w:trPr>
          <w:jc w:val="center"/>
        </w:trPr>
        <w:tc>
          <w:tcPr>
            <w:tcW w:w="0" w:type="auto"/>
            <w:gridSpan w:val="3"/>
            <w:tcMar>
              <w:top w:w="0" w:type="dxa"/>
              <w:left w:w="20" w:type="dxa"/>
              <w:bottom w:w="0" w:type="dxa"/>
              <w:right w:w="20" w:type="dxa"/>
            </w:tcMar>
            <w:vAlign w:val="center"/>
            <w:hideMark/>
          </w:tcPr>
          <w:p w:rsidR="00000000" w:rsidRDefault="009E01B0">
            <w:pPr>
              <w:rPr>
                <w:rFonts w:eastAsia="Times New Roman"/>
              </w:rPr>
            </w:pPr>
          </w:p>
        </w:tc>
        <w:tc>
          <w:tcPr>
            <w:tcW w:w="0" w:type="auto"/>
            <w:gridSpan w:val="6"/>
            <w:tcBorders>
              <w:bottom w:val="single" w:sz="8" w:space="0" w:color="000000"/>
            </w:tcBorders>
            <w:tcMar>
              <w:top w:w="30" w:type="dxa"/>
              <w:left w:w="20" w:type="dxa"/>
              <w:bottom w:w="30" w:type="dxa"/>
              <w:right w:w="20" w:type="dxa"/>
            </w:tcMar>
            <w:vAlign w:val="bottom"/>
            <w:hideMark/>
          </w:tcPr>
          <w:p w:rsidR="00000000" w:rsidRDefault="009E01B0">
            <w:pPr>
              <w:jc w:val="center"/>
              <w:rPr>
                <w:rFonts w:eastAsia="Times New Roman"/>
              </w:rPr>
            </w:pPr>
            <w:r>
              <w:rPr>
                <w:rFonts w:ascii="Arial" w:eastAsia="Times New Roman" w:hAnsi="Arial" w:cs="Arial"/>
                <w:b/>
                <w:bCs/>
                <w:color w:val="000000"/>
                <w:sz w:val="20"/>
                <w:szCs w:val="20"/>
              </w:rPr>
              <w:t>March 31, 2021</w:t>
            </w: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gridSpan w:val="6"/>
            <w:tcBorders>
              <w:top w:val="single" w:sz="8" w:space="0" w:color="000000"/>
            </w:tcBorders>
            <w:shd w:val="clear" w:color="auto" w:fill="DBDBDB"/>
            <w:tcMar>
              <w:top w:w="0" w:type="dxa"/>
              <w:left w:w="20" w:type="dxa"/>
              <w:bottom w:w="0" w:type="dxa"/>
              <w:right w:w="20" w:type="dxa"/>
            </w:tcMar>
            <w:vAlign w:val="center"/>
            <w:hideMark/>
          </w:tcPr>
          <w:p w:rsidR="00000000" w:rsidRDefault="009E01B0">
            <w:pPr>
              <w:rPr>
                <w:rFonts w:eastAsia="Times New Roman"/>
              </w:rPr>
            </w:pPr>
          </w:p>
        </w:tc>
      </w:tr>
      <w:tr w:rsidR="00000000">
        <w:trPr>
          <w:jc w:val="center"/>
        </w:trPr>
        <w:tc>
          <w:tcPr>
            <w:tcW w:w="0" w:type="auto"/>
            <w:gridSpan w:val="3"/>
            <w:vAlign w:val="center"/>
            <w:hideMark/>
          </w:tcPr>
          <w:p w:rsidR="00000000" w:rsidRDefault="009E01B0">
            <w:pPr>
              <w:rPr>
                <w:rFonts w:eastAsia="Times New Roman"/>
                <w:sz w:val="20"/>
                <w:szCs w:val="20"/>
              </w:rPr>
            </w:pPr>
          </w:p>
        </w:tc>
        <w:tc>
          <w:tcPr>
            <w:tcW w:w="0" w:type="auto"/>
            <w:gridSpan w:val="3"/>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Operating income</w:t>
            </w:r>
          </w:p>
        </w:tc>
        <w:tc>
          <w:tcPr>
            <w:tcW w:w="0" w:type="auto"/>
            <w:gridSpan w:val="5"/>
            <w:shd w:val="clear" w:color="auto" w:fill="DBDBDB"/>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Earnings</w:t>
            </w:r>
          </w:p>
        </w:tc>
        <w:tc>
          <w:tcPr>
            <w:tcW w:w="0" w:type="auto"/>
            <w:gridSpan w:val="5"/>
            <w:shd w:val="clear" w:color="auto" w:fill="DBDBDB"/>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916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tcBorders>
              <w:bottom w:val="single" w:sz="18" w:space="0" w:color="000000"/>
            </w:tcBorders>
            <w:shd w:val="clear" w:color="auto" w:fill="FFFFFF"/>
            <w:tcMar>
              <w:top w:w="30" w:type="dxa"/>
              <w:left w:w="200" w:type="dxa"/>
              <w:bottom w:w="30" w:type="dxa"/>
              <w:right w:w="20" w:type="dxa"/>
            </w:tcMar>
            <w:hideMark/>
          </w:tcPr>
          <w:p w:rsidR="00000000" w:rsidRDefault="009E01B0">
            <w:pPr>
              <w:ind w:hanging="180"/>
              <w:rPr>
                <w:rFonts w:eastAsia="Times New Roman"/>
              </w:rPr>
            </w:pPr>
            <w:r>
              <w:rPr>
                <w:rFonts w:ascii="Arial" w:eastAsia="Times New Roman" w:hAnsi="Arial" w:cs="Arial"/>
                <w:color w:val="000000"/>
                <w:sz w:val="20"/>
                <w:szCs w:val="20"/>
              </w:rPr>
              <w:t>Earnings attributable to common shareholders</w:t>
            </w:r>
          </w:p>
        </w:tc>
        <w:tc>
          <w:tcPr>
            <w:tcW w:w="0" w:type="auto"/>
            <w:gridSpan w:val="5"/>
            <w:tcBorders>
              <w:bottom w:val="single" w:sz="18" w:space="0" w:color="000000"/>
            </w:tcBorders>
            <w:shd w:val="clear" w:color="auto" w:fill="DBDBDB"/>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824</w:t>
            </w:r>
            <w:r>
              <w:rPr>
                <w:rFonts w:ascii="Arial" w:eastAsia="Times New Roman" w:hAnsi="Arial" w:cs="Arial"/>
                <w:color w:val="000000"/>
                <w:sz w:val="20"/>
                <w:szCs w:val="20"/>
              </w:rPr>
              <w:t> </w:t>
            </w:r>
          </w:p>
        </w:tc>
        <w:tc>
          <w:tcPr>
            <w:tcW w:w="0" w:type="auto"/>
            <w:tcBorders>
              <w:bottom w:val="single" w:sz="18" w:space="0" w:color="000000"/>
            </w:tcBorders>
            <w:shd w:val="clear" w:color="auto" w:fill="DBDBDB"/>
            <w:tcMar>
              <w:top w:w="30" w:type="dxa"/>
              <w:left w:w="0" w:type="dxa"/>
              <w:bottom w:w="30" w:type="dxa"/>
              <w:right w:w="20" w:type="dxa"/>
            </w:tcMar>
            <w:vAlign w:val="bottom"/>
            <w:hideMark/>
          </w:tcPr>
          <w:p w:rsidR="00000000" w:rsidRDefault="009E01B0">
            <w:pPr>
              <w:jc w:val="right"/>
              <w:rPr>
                <w:rFonts w:eastAsia="Times New Roman"/>
              </w:rPr>
            </w:pPr>
          </w:p>
        </w:tc>
      </w:tr>
    </w:tbl>
    <w:p w:rsidR="00000000" w:rsidRDefault="009E01B0">
      <w:pPr>
        <w:divId w:val="1233849611"/>
        <w:rPr>
          <w:rFonts w:eastAsia="Times New Roman"/>
        </w:rPr>
      </w:pPr>
    </w:p>
    <w:p w:rsidR="00000000" w:rsidRDefault="009E01B0">
      <w:pPr>
        <w:jc w:val="center"/>
        <w:divId w:val="1978340582"/>
        <w:rPr>
          <w:rFonts w:eastAsia="Times New Roman"/>
        </w:rPr>
      </w:pPr>
      <w:r>
        <w:rPr>
          <w:rFonts w:ascii="Arial" w:eastAsia="Times New Roman" w:hAnsi="Arial" w:cs="Arial"/>
          <w:color w:val="000000"/>
          <w:sz w:val="20"/>
          <w:szCs w:val="20"/>
        </w:rPr>
        <w:t>47</w:t>
      </w:r>
    </w:p>
    <w:p w:rsidR="00000000" w:rsidRDefault="009E01B0">
      <w:pPr>
        <w:rPr>
          <w:rFonts w:eastAsia="Times New Roman"/>
        </w:rPr>
      </w:pPr>
      <w:r>
        <w:rPr>
          <w:rFonts w:eastAsia="Times New Roman"/>
        </w:rPr>
        <w:pict>
          <v:rect id="_x0000_i1072" style="width:0;height:1.5pt" o:hralign="center" o:hrstd="t" o:hr="t" fillcolor="#a0a0a0" stroked="f"/>
        </w:pict>
      </w:r>
    </w:p>
    <w:p w:rsidR="00000000" w:rsidRDefault="009E01B0">
      <w:pPr>
        <w:divId w:val="1933513593"/>
        <w:rPr>
          <w:rFonts w:eastAsia="Times New Roman"/>
        </w:rPr>
      </w:pPr>
    </w:p>
    <w:p w:rsidR="00000000" w:rsidRDefault="009E01B0">
      <w:pPr>
        <w:divId w:val="105467896"/>
        <w:rPr>
          <w:rFonts w:eastAsia="Times New Roman"/>
        </w:rPr>
      </w:pPr>
      <w:r>
        <w:rPr>
          <w:rFonts w:ascii="Arial" w:eastAsia="Times New Roman" w:hAnsi="Arial" w:cs="Arial"/>
          <w:b/>
          <w:bCs/>
          <w:color w:val="000000"/>
          <w:sz w:val="20"/>
          <w:szCs w:val="20"/>
          <w:shd w:val="clear" w:color="auto" w:fill="FFFFFF"/>
        </w:rPr>
        <w:t>Summarized Combined Statements of Financial Position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5148"/>
        <w:gridCol w:w="37"/>
        <w:gridCol w:w="36"/>
        <w:gridCol w:w="68"/>
        <w:gridCol w:w="1386"/>
        <w:gridCol w:w="36"/>
        <w:gridCol w:w="36"/>
        <w:gridCol w:w="69"/>
        <w:gridCol w:w="1386"/>
        <w:gridCol w:w="36"/>
      </w:tblGrid>
      <w:tr w:rsidR="00000000">
        <w:trPr>
          <w:jc w:val="center"/>
        </w:trPr>
        <w:tc>
          <w:tcPr>
            <w:tcW w:w="50" w:type="pct"/>
            <w:vAlign w:val="center"/>
            <w:hideMark/>
          </w:tcPr>
          <w:p w:rsidR="00000000" w:rsidRDefault="009E01B0">
            <w:pPr>
              <w:rPr>
                <w:rFonts w:eastAsia="Times New Roman"/>
              </w:rPr>
            </w:pPr>
          </w:p>
        </w:tc>
        <w:tc>
          <w:tcPr>
            <w:tcW w:w="3134"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850"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850"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March 31,</w:t>
            </w:r>
            <w:r>
              <w:rPr>
                <w:rFonts w:ascii="Arial" w:eastAsia="Times New Roman" w:hAnsi="Arial" w:cs="Arial"/>
                <w:b/>
                <w:bCs/>
                <w:color w:val="000000"/>
                <w:sz w:val="20"/>
                <w:szCs w:val="20"/>
              </w:rPr>
              <w:br/>
              <w:t>2021</w:t>
            </w:r>
          </w:p>
        </w:tc>
        <w:tc>
          <w:tcPr>
            <w:tcW w:w="0" w:type="auto"/>
            <w:vAlign w:val="center"/>
            <w:hideMark/>
          </w:tcPr>
          <w:p w:rsidR="00000000" w:rsidRDefault="009E01B0">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2020</w:t>
            </w: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9E01B0">
            <w:pPr>
              <w:rPr>
                <w:rFonts w:eastAsia="Times New Roman"/>
              </w:rPr>
            </w:pPr>
          </w:p>
        </w:tc>
        <w:tc>
          <w:tcPr>
            <w:tcW w:w="0" w:type="auto"/>
            <w:gridSpan w:val="3"/>
            <w:tcBorders>
              <w:top w:val="single" w:sz="8" w:space="0" w:color="000000"/>
            </w:tcBorders>
            <w:shd w:val="clear" w:color="auto" w:fill="DBDBDB"/>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vAlign w:val="center"/>
            <w:hideMark/>
          </w:tcPr>
          <w:p w:rsidR="00000000" w:rsidRDefault="009E01B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E01B0">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Accounts receivable from affiliates</w:t>
            </w:r>
          </w:p>
        </w:tc>
        <w:tc>
          <w:tcPr>
            <w:tcW w:w="0" w:type="auto"/>
            <w:vAlign w:val="center"/>
            <w:hideMark/>
          </w:tcPr>
          <w:p w:rsidR="00000000" w:rsidRDefault="009E01B0">
            <w:pPr>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2,154</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2,108 </w:t>
            </w:r>
          </w:p>
        </w:tc>
        <w:tc>
          <w:tcPr>
            <w:tcW w:w="0" w:type="auto"/>
            <w:shd w:val="clear" w:color="auto" w:fill="FFFFFF"/>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Short-term loans receivable from affiliates</w:t>
            </w:r>
          </w:p>
        </w:tc>
        <w:tc>
          <w:tcPr>
            <w:tcW w:w="0" w:type="auto"/>
            <w:vAlign w:val="center"/>
            <w:hideMark/>
          </w:tcPr>
          <w:p w:rsidR="00000000" w:rsidRDefault="009E01B0">
            <w:pPr>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4,915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4,926 </w:t>
            </w:r>
          </w:p>
        </w:tc>
        <w:tc>
          <w:tcPr>
            <w:tcW w:w="0" w:type="auto"/>
            <w:shd w:val="clear" w:color="auto" w:fill="FFFFFF"/>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Other current assets</w:t>
            </w:r>
          </w:p>
        </w:tc>
        <w:tc>
          <w:tcPr>
            <w:tcW w:w="0" w:type="auto"/>
            <w:vAlign w:val="center"/>
            <w:hideMark/>
          </w:tcPr>
          <w:p w:rsidR="00000000" w:rsidRDefault="009E01B0">
            <w:pPr>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310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375 </w:t>
            </w:r>
          </w:p>
        </w:tc>
        <w:tc>
          <w:tcPr>
            <w:tcW w:w="0" w:type="auto"/>
            <w:shd w:val="clear" w:color="auto" w:fill="FFFFFF"/>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Long-term loans receivable from affiliates</w:t>
            </w:r>
          </w:p>
        </w:tc>
        <w:tc>
          <w:tcPr>
            <w:tcW w:w="0" w:type="auto"/>
            <w:vAlign w:val="center"/>
            <w:hideMark/>
          </w:tcPr>
          <w:p w:rsidR="00000000" w:rsidRDefault="009E01B0">
            <w:pPr>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44,180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43,217 </w:t>
            </w:r>
          </w:p>
        </w:tc>
        <w:tc>
          <w:tcPr>
            <w:tcW w:w="0" w:type="auto"/>
            <w:shd w:val="clear" w:color="auto" w:fill="FFFFFF"/>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Other long-term assets</w:t>
            </w:r>
          </w:p>
        </w:tc>
        <w:tc>
          <w:tcPr>
            <w:tcW w:w="0" w:type="auto"/>
            <w:vAlign w:val="center"/>
            <w:hideMark/>
          </w:tcPr>
          <w:p w:rsidR="00000000" w:rsidRDefault="009E01B0">
            <w:pPr>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4,177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4,237 </w:t>
            </w:r>
          </w:p>
        </w:tc>
        <w:tc>
          <w:tcPr>
            <w:tcW w:w="0" w:type="auto"/>
            <w:shd w:val="clear" w:color="auto" w:fill="FFFFFF"/>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Accounts payable to affiliates</w:t>
            </w:r>
          </w:p>
        </w:tc>
        <w:tc>
          <w:tcPr>
            <w:tcW w:w="0" w:type="auto"/>
            <w:vAlign w:val="center"/>
            <w:hideMark/>
          </w:tcPr>
          <w:p w:rsidR="00000000" w:rsidRDefault="009E01B0">
            <w:pPr>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1,587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1,267 </w:t>
            </w:r>
          </w:p>
        </w:tc>
        <w:tc>
          <w:tcPr>
            <w:tcW w:w="0" w:type="auto"/>
            <w:shd w:val="clear" w:color="auto" w:fill="FFFFFF"/>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Short-term loans payable to affiliates</w:t>
            </w:r>
          </w:p>
        </w:tc>
        <w:tc>
          <w:tcPr>
            <w:tcW w:w="0" w:type="auto"/>
            <w:vAlign w:val="center"/>
            <w:hideMark/>
          </w:tcPr>
          <w:p w:rsidR="00000000" w:rsidRDefault="009E01B0">
            <w:pPr>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4,360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4,117 </w:t>
            </w:r>
          </w:p>
        </w:tc>
        <w:tc>
          <w:tcPr>
            <w:tcW w:w="0" w:type="auto"/>
            <w:shd w:val="clear" w:color="auto" w:fill="FFFFFF"/>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Other current liabilities</w:t>
            </w:r>
          </w:p>
        </w:tc>
        <w:tc>
          <w:tcPr>
            <w:tcW w:w="0" w:type="auto"/>
            <w:vAlign w:val="center"/>
            <w:hideMark/>
          </w:tcPr>
          <w:p w:rsidR="00000000" w:rsidRDefault="009E01B0">
            <w:pPr>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4,587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5,628 </w:t>
            </w:r>
          </w:p>
        </w:tc>
        <w:tc>
          <w:tcPr>
            <w:tcW w:w="0" w:type="auto"/>
            <w:shd w:val="clear" w:color="auto" w:fill="FFFFFF"/>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Long-term loans payable to affiliates</w:t>
            </w:r>
          </w:p>
        </w:tc>
        <w:tc>
          <w:tcPr>
            <w:tcW w:w="0" w:type="auto"/>
            <w:vAlign w:val="center"/>
            <w:hideMark/>
          </w:tcPr>
          <w:p w:rsidR="00000000" w:rsidRDefault="009E01B0">
            <w:pPr>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35,320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32,035 </w:t>
            </w:r>
          </w:p>
        </w:tc>
        <w:tc>
          <w:tcPr>
            <w:tcW w:w="0" w:type="auto"/>
            <w:shd w:val="clear" w:color="auto" w:fill="FFFFFF"/>
            <w:tcMar>
              <w:top w:w="30" w:type="dxa"/>
              <w:left w:w="0" w:type="dxa"/>
              <w:bottom w:w="30" w:type="dxa"/>
              <w:right w:w="20" w:type="dxa"/>
            </w:tcMar>
            <w:vAlign w:val="bottom"/>
            <w:hideMark/>
          </w:tcPr>
          <w:p w:rsidR="00000000" w:rsidRDefault="009E01B0">
            <w:pPr>
              <w:jc w:val="right"/>
              <w:rPr>
                <w:rFonts w:eastAsia="Times New Roman"/>
              </w:rPr>
            </w:pPr>
          </w:p>
        </w:tc>
      </w:tr>
      <w:tr w:rsidR="00000000">
        <w:trPr>
          <w:jc w:val="center"/>
        </w:trPr>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Other long-term liabilities</w:t>
            </w:r>
          </w:p>
        </w:tc>
        <w:tc>
          <w:tcPr>
            <w:tcW w:w="0" w:type="auto"/>
            <w:vAlign w:val="center"/>
            <w:hideMark/>
          </w:tcPr>
          <w:p w:rsidR="00000000" w:rsidRDefault="009E01B0">
            <w:pPr>
              <w:rPr>
                <w:rFonts w:eastAsia="Times New Roman"/>
              </w:rPr>
            </w:pPr>
          </w:p>
        </w:tc>
        <w:tc>
          <w:tcPr>
            <w:tcW w:w="0" w:type="auto"/>
            <w:gridSpan w:val="2"/>
            <w:tcBorders>
              <w:bottom w:val="single" w:sz="18" w:space="0" w:color="000000"/>
            </w:tcBorders>
            <w:shd w:val="clear" w:color="auto" w:fill="DBDBDB"/>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38,052</w:t>
            </w:r>
            <w:r>
              <w:rPr>
                <w:rFonts w:ascii="Arial" w:eastAsia="Times New Roman" w:hAnsi="Arial" w:cs="Arial"/>
                <w:color w:val="000000"/>
                <w:sz w:val="20"/>
                <w:szCs w:val="20"/>
              </w:rPr>
              <w:t> </w:t>
            </w:r>
          </w:p>
        </w:tc>
        <w:tc>
          <w:tcPr>
            <w:tcW w:w="0" w:type="auto"/>
            <w:tcBorders>
              <w:bottom w:val="single" w:sz="18" w:space="0" w:color="000000"/>
            </w:tcBorders>
            <w:shd w:val="clear" w:color="auto" w:fill="DBDBDB"/>
            <w:tcMar>
              <w:top w:w="30" w:type="dxa"/>
              <w:left w:w="0" w:type="dxa"/>
              <w:bottom w:w="30" w:type="dxa"/>
              <w:right w:w="20" w:type="dxa"/>
            </w:tcMar>
            <w:vAlign w:val="bottom"/>
            <w:hideMark/>
          </w:tcPr>
          <w:p w:rsidR="00000000" w:rsidRDefault="009E01B0">
            <w:pPr>
              <w:jc w:val="right"/>
              <w:rPr>
                <w:rFonts w:eastAsia="Times New Roman"/>
              </w:rPr>
            </w:pPr>
          </w:p>
        </w:tc>
        <w:tc>
          <w:tcPr>
            <w:tcW w:w="0" w:type="auto"/>
            <w:vAlign w:val="center"/>
            <w:hideMark/>
          </w:tcPr>
          <w:p w:rsidR="00000000" w:rsidRDefault="009E01B0">
            <w:pPr>
              <w:jc w:val="right"/>
              <w:rPr>
                <w:rFonts w:eastAsia="Times New Roman"/>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41,353 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rsidR="00000000" w:rsidRDefault="009E01B0">
            <w:pPr>
              <w:jc w:val="right"/>
              <w:rPr>
                <w:rFonts w:eastAsia="Times New Roman"/>
              </w:rPr>
            </w:pPr>
          </w:p>
        </w:tc>
      </w:tr>
    </w:tbl>
    <w:p w:rsidR="00000000" w:rsidRDefault="009E01B0">
      <w:pPr>
        <w:divId w:val="1017929688"/>
        <w:rPr>
          <w:rFonts w:eastAsia="Times New Roman"/>
        </w:rPr>
      </w:pPr>
      <w:r>
        <w:rPr>
          <w:rFonts w:ascii="Arial" w:eastAsia="Times New Roman" w:hAnsi="Arial" w:cs="Arial"/>
          <w:color w:val="000000"/>
          <w:sz w:val="20"/>
          <w:szCs w:val="20"/>
          <w:shd w:val="clear" w:color="auto" w:fill="FFFFFF"/>
        </w:rPr>
        <w:t>The Guaranteed Enbridge Notes and the Guaranteed Partnership Notes are structurally subordinated to the indebtedness of the Subsidiary Non-Guarantors in respect of the assets of those Subsidiary Non-Guarantors.</w:t>
      </w:r>
    </w:p>
    <w:p w:rsidR="00000000" w:rsidRDefault="009E01B0">
      <w:pPr>
        <w:divId w:val="1977449292"/>
        <w:rPr>
          <w:rFonts w:eastAsia="Times New Roman"/>
        </w:rPr>
      </w:pPr>
    </w:p>
    <w:p w:rsidR="00000000" w:rsidRDefault="009E01B0">
      <w:pPr>
        <w:divId w:val="1271939637"/>
        <w:rPr>
          <w:rFonts w:eastAsia="Times New Roman"/>
        </w:rPr>
      </w:pPr>
      <w:r>
        <w:rPr>
          <w:rFonts w:ascii="Arial" w:eastAsia="Times New Roman" w:hAnsi="Arial" w:cs="Arial"/>
          <w:color w:val="000000"/>
          <w:sz w:val="20"/>
          <w:szCs w:val="20"/>
          <w:shd w:val="clear" w:color="auto" w:fill="FFFFFF"/>
        </w:rPr>
        <w:t>Under US bankruptcy law and comparable prov</w:t>
      </w:r>
      <w:r>
        <w:rPr>
          <w:rFonts w:ascii="Arial" w:eastAsia="Times New Roman" w:hAnsi="Arial" w:cs="Arial"/>
          <w:color w:val="000000"/>
          <w:sz w:val="20"/>
          <w:szCs w:val="20"/>
          <w:shd w:val="clear" w:color="auto" w:fill="FFFFFF"/>
        </w:rPr>
        <w:t xml:space="preserve">isions of state fraudulent transfer laws, a guarantee can be voided, or claims may be subordinated to all other debts of that guarantor if, among other things, the guarantor, at the time the indebtedness evidenced by its guarantee or, in some states, when </w:t>
      </w:r>
      <w:r>
        <w:rPr>
          <w:rFonts w:ascii="Arial" w:eastAsia="Times New Roman" w:hAnsi="Arial" w:cs="Arial"/>
          <w:color w:val="000000"/>
          <w:sz w:val="20"/>
          <w:szCs w:val="20"/>
          <w:shd w:val="clear" w:color="auto" w:fill="FFFFFF"/>
        </w:rPr>
        <w:t xml:space="preserve">payments become due under the guarantee: </w:t>
      </w:r>
    </w:p>
    <w:p w:rsidR="00000000" w:rsidRDefault="009E01B0">
      <w:pPr>
        <w:ind w:hanging="360"/>
        <w:divId w:val="381944113"/>
        <w:rPr>
          <w:rFonts w:eastAsia="Times New Roman"/>
        </w:rPr>
      </w:pPr>
      <w:r>
        <w:rPr>
          <w:rFonts w:ascii="Arial" w:eastAsia="Times New Roman" w:hAnsi="Arial" w:cs="Arial"/>
          <w:color w:val="000000"/>
          <w:sz w:val="20"/>
          <w:szCs w:val="20"/>
          <w:shd w:val="clear" w:color="auto" w:fill="FFFFFF"/>
        </w:rPr>
        <w:t>•received less than reasonably equivalent value or fair consideration for the incurrence of the guarantee and was insolvent or rendered insolvent by reason of such incurrence;</w:t>
      </w:r>
    </w:p>
    <w:p w:rsidR="00000000" w:rsidRDefault="009E01B0">
      <w:pPr>
        <w:ind w:hanging="360"/>
        <w:divId w:val="1012417444"/>
        <w:rPr>
          <w:rFonts w:eastAsia="Times New Roman"/>
        </w:rPr>
      </w:pPr>
      <w:r>
        <w:rPr>
          <w:rFonts w:ascii="Arial" w:eastAsia="Times New Roman" w:hAnsi="Arial" w:cs="Arial"/>
          <w:color w:val="000000"/>
          <w:sz w:val="20"/>
          <w:szCs w:val="20"/>
          <w:shd w:val="clear" w:color="auto" w:fill="FFFFFF"/>
        </w:rPr>
        <w:t>•was engaged in a business or transact</w:t>
      </w:r>
      <w:r>
        <w:rPr>
          <w:rFonts w:ascii="Arial" w:eastAsia="Times New Roman" w:hAnsi="Arial" w:cs="Arial"/>
          <w:color w:val="000000"/>
          <w:sz w:val="20"/>
          <w:szCs w:val="20"/>
          <w:shd w:val="clear" w:color="auto" w:fill="FFFFFF"/>
        </w:rPr>
        <w:t>ion for which the guarantor’s remaining assets constituted unreasonably small capital; or</w:t>
      </w:r>
    </w:p>
    <w:p w:rsidR="00000000" w:rsidRDefault="009E01B0">
      <w:pPr>
        <w:ind w:hanging="360"/>
        <w:divId w:val="1985044889"/>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shd w:val="clear" w:color="auto" w:fill="FFFFFF"/>
        </w:rPr>
        <w:t>intended to incur, or believed that it would incur, debts beyond its ability to pay those debts as they mature.</w:t>
      </w:r>
    </w:p>
    <w:p w:rsidR="00000000" w:rsidRDefault="009E01B0">
      <w:pPr>
        <w:divId w:val="1428651164"/>
        <w:rPr>
          <w:rFonts w:eastAsia="Times New Roman"/>
        </w:rPr>
      </w:pPr>
    </w:p>
    <w:p w:rsidR="00000000" w:rsidRDefault="009E01B0">
      <w:pPr>
        <w:divId w:val="719204277"/>
        <w:rPr>
          <w:rFonts w:eastAsia="Times New Roman"/>
        </w:rPr>
      </w:pPr>
      <w:r>
        <w:rPr>
          <w:rFonts w:ascii="Arial" w:eastAsia="Times New Roman" w:hAnsi="Arial" w:cs="Arial"/>
          <w:color w:val="000000"/>
          <w:sz w:val="20"/>
          <w:szCs w:val="20"/>
          <w:shd w:val="clear" w:color="auto" w:fill="FFFFFF"/>
        </w:rPr>
        <w:t xml:space="preserve">The guarantees of the Guaranteed Enbridge Notes contain provisions to limit the maximum amount of liability that the Partnerships could incur </w:t>
      </w:r>
      <w:r>
        <w:rPr>
          <w:rFonts w:ascii="Arial" w:eastAsia="Times New Roman" w:hAnsi="Arial" w:cs="Arial"/>
          <w:color w:val="000000"/>
          <w:sz w:val="20"/>
          <w:szCs w:val="20"/>
          <w:shd w:val="clear" w:color="auto" w:fill="FFFFFF"/>
        </w:rPr>
        <w:t>without causing the incurrence of obligations under the guarantee to be a fraudulent conveyance or fraudulent transfer under US federal or state law.</w:t>
      </w:r>
    </w:p>
    <w:p w:rsidR="00000000" w:rsidRDefault="009E01B0">
      <w:pPr>
        <w:divId w:val="953365440"/>
        <w:rPr>
          <w:rFonts w:eastAsia="Times New Roman"/>
        </w:rPr>
      </w:pPr>
    </w:p>
    <w:p w:rsidR="00000000" w:rsidRDefault="009E01B0">
      <w:pPr>
        <w:divId w:val="1597834317"/>
        <w:rPr>
          <w:rFonts w:eastAsia="Times New Roman"/>
        </w:rPr>
      </w:pPr>
      <w:r>
        <w:rPr>
          <w:rFonts w:ascii="Arial" w:eastAsia="Times New Roman" w:hAnsi="Arial" w:cs="Arial"/>
          <w:color w:val="000000"/>
          <w:sz w:val="20"/>
          <w:szCs w:val="20"/>
          <w:shd w:val="clear" w:color="auto" w:fill="FFFFFF"/>
        </w:rPr>
        <w:t>Each of the Partnerships is entitled to a right of contribution from the other Partnership for 50% of al</w:t>
      </w:r>
      <w:r>
        <w:rPr>
          <w:rFonts w:ascii="Arial" w:eastAsia="Times New Roman" w:hAnsi="Arial" w:cs="Arial"/>
          <w:color w:val="000000"/>
          <w:sz w:val="20"/>
          <w:szCs w:val="20"/>
          <w:shd w:val="clear" w:color="auto" w:fill="FFFFFF"/>
        </w:rPr>
        <w:t xml:space="preserve">l payments, damages and expenses incurred by that Partnership in discharging its obligations under the guarantees for the Guaranteed Enbridge Notes. </w:t>
      </w:r>
    </w:p>
    <w:p w:rsidR="00000000" w:rsidRDefault="009E01B0">
      <w:pPr>
        <w:divId w:val="2017802491"/>
        <w:rPr>
          <w:rFonts w:eastAsia="Times New Roman"/>
        </w:rPr>
      </w:pPr>
    </w:p>
    <w:p w:rsidR="00000000" w:rsidRDefault="009E01B0">
      <w:pPr>
        <w:divId w:val="175996037"/>
        <w:rPr>
          <w:rFonts w:eastAsia="Times New Roman"/>
        </w:rPr>
      </w:pPr>
      <w:r>
        <w:rPr>
          <w:rFonts w:ascii="Arial" w:eastAsia="Times New Roman" w:hAnsi="Arial" w:cs="Arial"/>
          <w:color w:val="000000"/>
          <w:sz w:val="20"/>
          <w:szCs w:val="20"/>
          <w:shd w:val="clear" w:color="auto" w:fill="FFFFFF"/>
        </w:rPr>
        <w:t>Under the terms of the guarantee agreement and applicable supplemental indentures, the guarantees of eit</w:t>
      </w:r>
      <w:r>
        <w:rPr>
          <w:rFonts w:ascii="Arial" w:eastAsia="Times New Roman" w:hAnsi="Arial" w:cs="Arial"/>
          <w:color w:val="000000"/>
          <w:sz w:val="20"/>
          <w:szCs w:val="20"/>
          <w:shd w:val="clear" w:color="auto" w:fill="FFFFFF"/>
        </w:rPr>
        <w:t>her of the Partnerships of any Guaranteed Enbridge Notes will be unconditionally released and discharged automatically upon the occurrence of any of the following events:</w:t>
      </w:r>
    </w:p>
    <w:p w:rsidR="00000000" w:rsidRDefault="009E01B0">
      <w:pPr>
        <w:ind w:hanging="360"/>
        <w:divId w:val="917906121"/>
        <w:rPr>
          <w:rFonts w:eastAsia="Times New Roman"/>
        </w:rPr>
      </w:pPr>
      <w:r>
        <w:rPr>
          <w:rFonts w:ascii="Arial" w:eastAsia="Times New Roman" w:hAnsi="Arial" w:cs="Arial"/>
          <w:color w:val="000000"/>
          <w:sz w:val="20"/>
          <w:szCs w:val="20"/>
          <w:shd w:val="clear" w:color="auto" w:fill="FFFFFF"/>
        </w:rPr>
        <w:t>•any direct or indirect sale, exchange or transfer, whether by way of merger, sale or</w:t>
      </w:r>
      <w:r>
        <w:rPr>
          <w:rFonts w:ascii="Arial" w:eastAsia="Times New Roman" w:hAnsi="Arial" w:cs="Arial"/>
          <w:color w:val="000000"/>
          <w:sz w:val="20"/>
          <w:szCs w:val="20"/>
          <w:shd w:val="clear" w:color="auto" w:fill="FFFFFF"/>
        </w:rPr>
        <w:t xml:space="preserve"> transfer of equity interests or otherwise, to any person that is not an affiliate of Enbridge, of any of Enbridge’s direct or indirect limited partnership of other equity interests in that Partnership as a result of which the Partnership ceases to be a co</w:t>
      </w:r>
      <w:r>
        <w:rPr>
          <w:rFonts w:ascii="Arial" w:eastAsia="Times New Roman" w:hAnsi="Arial" w:cs="Arial"/>
          <w:color w:val="000000"/>
          <w:sz w:val="20"/>
          <w:szCs w:val="20"/>
          <w:shd w:val="clear" w:color="auto" w:fill="FFFFFF"/>
        </w:rPr>
        <w:t>nsolidated subsidiary of Enbridge;</w:t>
      </w:r>
    </w:p>
    <w:p w:rsidR="00000000" w:rsidRDefault="009E01B0">
      <w:pPr>
        <w:ind w:hanging="360"/>
        <w:divId w:val="442725480"/>
        <w:rPr>
          <w:rFonts w:eastAsia="Times New Roman"/>
        </w:rPr>
      </w:pPr>
      <w:r>
        <w:rPr>
          <w:rFonts w:ascii="Arial" w:eastAsia="Times New Roman" w:hAnsi="Arial" w:cs="Arial"/>
          <w:color w:val="000000"/>
          <w:sz w:val="20"/>
          <w:szCs w:val="20"/>
          <w:shd w:val="clear" w:color="auto" w:fill="FFFFFF"/>
        </w:rPr>
        <w:t>•the merger of that Partnership into Enbridge or the other Partnership or the liquidation and dissolution of that Partnership;</w:t>
      </w:r>
    </w:p>
    <w:p w:rsidR="00000000" w:rsidRDefault="009E01B0">
      <w:pPr>
        <w:ind w:hanging="360"/>
        <w:divId w:val="1597596375"/>
        <w:rPr>
          <w:rFonts w:eastAsia="Times New Roman"/>
        </w:rPr>
      </w:pPr>
      <w:r>
        <w:rPr>
          <w:rFonts w:ascii="Arial" w:eastAsia="Times New Roman" w:hAnsi="Arial" w:cs="Arial"/>
          <w:color w:val="000000"/>
          <w:sz w:val="20"/>
          <w:szCs w:val="20"/>
          <w:shd w:val="clear" w:color="auto" w:fill="FFFFFF"/>
        </w:rPr>
        <w:t>•the repayment in full or discharge or defeasance of those Guaranteed Enbridge Notes, as conte</w:t>
      </w:r>
      <w:r>
        <w:rPr>
          <w:rFonts w:ascii="Arial" w:eastAsia="Times New Roman" w:hAnsi="Arial" w:cs="Arial"/>
          <w:color w:val="000000"/>
          <w:sz w:val="20"/>
          <w:szCs w:val="20"/>
          <w:shd w:val="clear" w:color="auto" w:fill="FFFFFF"/>
        </w:rPr>
        <w:t>mplated by the applicable indenture or guarantee agreement;</w:t>
      </w:r>
    </w:p>
    <w:p w:rsidR="00000000" w:rsidRDefault="009E01B0">
      <w:pPr>
        <w:ind w:hanging="360"/>
        <w:divId w:val="1816920255"/>
        <w:rPr>
          <w:rFonts w:eastAsia="Times New Roman"/>
        </w:rPr>
      </w:pPr>
      <w:r>
        <w:rPr>
          <w:rFonts w:ascii="Arial" w:eastAsia="Times New Roman" w:hAnsi="Arial" w:cs="Arial"/>
          <w:color w:val="000000"/>
          <w:sz w:val="20"/>
          <w:szCs w:val="20"/>
          <w:shd w:val="clear" w:color="auto" w:fill="FFFFFF"/>
        </w:rPr>
        <w:t xml:space="preserve">•with respect to EEP, the repayment in full or discharge or defeasance of each of the consenting EEP notes listed above; </w:t>
      </w:r>
    </w:p>
    <w:p w:rsidR="00000000" w:rsidRDefault="009E01B0">
      <w:pPr>
        <w:ind w:hanging="360"/>
        <w:divId w:val="854000965"/>
        <w:rPr>
          <w:rFonts w:eastAsia="Times New Roman"/>
        </w:rPr>
      </w:pPr>
      <w:r>
        <w:rPr>
          <w:rFonts w:ascii="Arial" w:eastAsia="Times New Roman" w:hAnsi="Arial" w:cs="Arial"/>
          <w:color w:val="000000"/>
          <w:sz w:val="20"/>
          <w:szCs w:val="20"/>
          <w:shd w:val="clear" w:color="auto" w:fill="FFFFFF"/>
        </w:rPr>
        <w:t xml:space="preserve">•with respect to SEP, the repayment in full or discharge or defeasance of </w:t>
      </w:r>
      <w:r>
        <w:rPr>
          <w:rFonts w:ascii="Arial" w:eastAsia="Times New Roman" w:hAnsi="Arial" w:cs="Arial"/>
          <w:color w:val="000000"/>
          <w:sz w:val="20"/>
          <w:szCs w:val="20"/>
          <w:shd w:val="clear" w:color="auto" w:fill="FFFFFF"/>
        </w:rPr>
        <w:t>each of the consenting SEP notes listed above; or</w:t>
      </w:r>
    </w:p>
    <w:p w:rsidR="00000000" w:rsidRDefault="009E01B0">
      <w:pPr>
        <w:jc w:val="center"/>
        <w:divId w:val="974528106"/>
        <w:rPr>
          <w:rFonts w:eastAsia="Times New Roman"/>
        </w:rPr>
      </w:pPr>
      <w:r>
        <w:rPr>
          <w:rFonts w:ascii="Arial" w:eastAsia="Times New Roman" w:hAnsi="Arial" w:cs="Arial"/>
          <w:color w:val="000000"/>
          <w:sz w:val="20"/>
          <w:szCs w:val="20"/>
        </w:rPr>
        <w:t>48</w:t>
      </w:r>
    </w:p>
    <w:p w:rsidR="00000000" w:rsidRDefault="009E01B0">
      <w:pPr>
        <w:rPr>
          <w:rFonts w:eastAsia="Times New Roman"/>
        </w:rPr>
      </w:pPr>
      <w:r>
        <w:rPr>
          <w:rFonts w:eastAsia="Times New Roman"/>
        </w:rPr>
        <w:pict>
          <v:rect id="_x0000_i1073" style="width:0;height:1.5pt" o:hralign="center" o:hrstd="t" o:hr="t" fillcolor="#a0a0a0" stroked="f"/>
        </w:pict>
      </w:r>
    </w:p>
    <w:p w:rsidR="00000000" w:rsidRDefault="009E01B0">
      <w:pPr>
        <w:divId w:val="1464498299"/>
        <w:rPr>
          <w:rFonts w:eastAsia="Times New Roman"/>
        </w:rPr>
      </w:pPr>
    </w:p>
    <w:p w:rsidR="00000000" w:rsidRDefault="009E01B0">
      <w:pPr>
        <w:ind w:hanging="360"/>
        <w:divId w:val="1302151277"/>
        <w:rPr>
          <w:rFonts w:eastAsia="Times New Roman"/>
        </w:rPr>
      </w:pPr>
      <w:r>
        <w:rPr>
          <w:rFonts w:ascii="Arial" w:eastAsia="Times New Roman" w:hAnsi="Arial" w:cs="Arial"/>
          <w:color w:val="000000"/>
          <w:sz w:val="20"/>
          <w:szCs w:val="20"/>
          <w:shd w:val="clear" w:color="auto" w:fill="FFFFFF"/>
        </w:rPr>
        <w:t>•with respect to any series of Guaranteed Enbridge Notes, with the consent of holders of at least a majority of the outstanding principal amount of that series of G</w:t>
      </w:r>
      <w:r>
        <w:rPr>
          <w:rFonts w:ascii="Arial" w:eastAsia="Times New Roman" w:hAnsi="Arial" w:cs="Arial"/>
          <w:color w:val="000000"/>
          <w:sz w:val="20"/>
          <w:szCs w:val="20"/>
          <w:shd w:val="clear" w:color="auto" w:fill="FFFFFF"/>
        </w:rPr>
        <w:t>uaranteed Enbridge Notes.</w:t>
      </w:r>
    </w:p>
    <w:p w:rsidR="00000000" w:rsidRDefault="009E01B0">
      <w:pPr>
        <w:ind w:hanging="360"/>
        <w:divId w:val="538857399"/>
        <w:rPr>
          <w:rFonts w:eastAsia="Times New Roman"/>
        </w:rPr>
      </w:pPr>
    </w:p>
    <w:p w:rsidR="00000000" w:rsidRDefault="009E01B0">
      <w:pPr>
        <w:divId w:val="770124864"/>
        <w:rPr>
          <w:rFonts w:eastAsia="Times New Roman"/>
        </w:rPr>
      </w:pPr>
      <w:r>
        <w:rPr>
          <w:rFonts w:ascii="Arial" w:eastAsia="Times New Roman" w:hAnsi="Arial" w:cs="Arial"/>
          <w:color w:val="000000"/>
          <w:sz w:val="20"/>
          <w:szCs w:val="20"/>
          <w:shd w:val="clear" w:color="auto" w:fill="FFFFFF"/>
        </w:rPr>
        <w:t>The guarantee obligations of Enbridge will terminate with respect to any series of Guaranteed Partnership Notes if that series is discharged or defeased.</w:t>
      </w:r>
    </w:p>
    <w:p w:rsidR="00000000" w:rsidRDefault="009E01B0">
      <w:pPr>
        <w:divId w:val="743527819"/>
        <w:rPr>
          <w:rFonts w:eastAsia="Times New Roman"/>
        </w:rPr>
      </w:pPr>
    </w:p>
    <w:p w:rsidR="00000000" w:rsidRDefault="009E01B0">
      <w:pPr>
        <w:jc w:val="both"/>
        <w:rPr>
          <w:rFonts w:eastAsia="Times New Roman"/>
        </w:rPr>
      </w:pPr>
      <w:r>
        <w:rPr>
          <w:rFonts w:ascii="Arial" w:eastAsia="Times New Roman" w:hAnsi="Arial" w:cs="Arial"/>
          <w:b/>
          <w:bCs/>
          <w:color w:val="000000"/>
          <w:sz w:val="26"/>
          <w:szCs w:val="26"/>
        </w:rPr>
        <w:t>LEGAL AND OTHER UPDATES</w:t>
      </w:r>
    </w:p>
    <w:p w:rsidR="00000000" w:rsidRDefault="009E01B0">
      <w:pPr>
        <w:divId w:val="1560937834"/>
        <w:rPr>
          <w:rFonts w:eastAsia="Times New Roman"/>
        </w:rPr>
      </w:pPr>
    </w:p>
    <w:p w:rsidR="00000000" w:rsidRDefault="009E01B0">
      <w:pPr>
        <w:divId w:val="827135702"/>
        <w:rPr>
          <w:rFonts w:eastAsia="Times New Roman"/>
        </w:rPr>
      </w:pPr>
      <w:r>
        <w:rPr>
          <w:rFonts w:ascii="Arial" w:eastAsia="Times New Roman" w:hAnsi="Arial" w:cs="Arial"/>
          <w:b/>
          <w:bCs/>
          <w:color w:val="000000"/>
          <w:sz w:val="20"/>
          <w:szCs w:val="20"/>
        </w:rPr>
        <w:t>LIQUIDS PIPELINES</w:t>
      </w:r>
    </w:p>
    <w:p w:rsidR="00000000" w:rsidRDefault="009E01B0">
      <w:pPr>
        <w:divId w:val="258802402"/>
        <w:rPr>
          <w:rFonts w:eastAsia="Times New Roman"/>
        </w:rPr>
      </w:pPr>
    </w:p>
    <w:p w:rsidR="00000000" w:rsidRDefault="009E01B0">
      <w:pPr>
        <w:divId w:val="797533313"/>
        <w:rPr>
          <w:rFonts w:eastAsia="Times New Roman"/>
        </w:rPr>
      </w:pPr>
      <w:r>
        <w:rPr>
          <w:rFonts w:ascii="Arial" w:eastAsia="Times New Roman" w:hAnsi="Arial" w:cs="Arial"/>
          <w:b/>
          <w:bCs/>
          <w:color w:val="000000"/>
          <w:sz w:val="20"/>
          <w:szCs w:val="20"/>
        </w:rPr>
        <w:t>Michigan Line 5 Dual Pipel</w:t>
      </w:r>
      <w:r>
        <w:rPr>
          <w:rFonts w:ascii="Arial" w:eastAsia="Times New Roman" w:hAnsi="Arial" w:cs="Arial"/>
          <w:b/>
          <w:bCs/>
          <w:color w:val="000000"/>
          <w:sz w:val="20"/>
          <w:szCs w:val="20"/>
        </w:rPr>
        <w:t>ines - Straits of Mackinac Easement</w:t>
      </w:r>
    </w:p>
    <w:p w:rsidR="00000000" w:rsidRDefault="009E01B0">
      <w:pPr>
        <w:divId w:val="1080980320"/>
        <w:rPr>
          <w:rFonts w:eastAsia="Times New Roman"/>
        </w:rPr>
      </w:pPr>
      <w:r>
        <w:rPr>
          <w:rFonts w:ascii="Arial" w:eastAsia="Times New Roman" w:hAnsi="Arial" w:cs="Arial"/>
          <w:color w:val="000000"/>
          <w:sz w:val="20"/>
          <w:szCs w:val="20"/>
        </w:rPr>
        <w:t>In 2019, the Michigan Attorney General filed a complaint in the Michigan Ingham County Circuit Court (the Court) that requests the Court to declare the easement granted in 1953 that we have for the operation of Line 5 in</w:t>
      </w:r>
      <w:r>
        <w:rPr>
          <w:rFonts w:ascii="Arial" w:eastAsia="Times New Roman" w:hAnsi="Arial" w:cs="Arial"/>
          <w:color w:val="000000"/>
          <w:sz w:val="20"/>
          <w:szCs w:val="20"/>
        </w:rPr>
        <w:t xml:space="preserve"> the Straits of Mackinac (the Straits) to be invalid and to prohibit continued operation of Line 5 in the Straits “as soon as possible after a reasonable notice period to allow orderly adjustments by affected parties”. Ruling on the motions is currently be</w:t>
      </w:r>
      <w:r>
        <w:rPr>
          <w:rFonts w:ascii="Arial" w:eastAsia="Times New Roman" w:hAnsi="Arial" w:cs="Arial"/>
          <w:color w:val="000000"/>
          <w:sz w:val="20"/>
          <w:szCs w:val="20"/>
        </w:rPr>
        <w:t>ing held in abeyance by the Court pending further developments in the Federal Court cases described below.</w:t>
      </w:r>
    </w:p>
    <w:p w:rsidR="00000000" w:rsidRDefault="009E01B0">
      <w:pPr>
        <w:divId w:val="1429547235"/>
        <w:rPr>
          <w:rFonts w:eastAsia="Times New Roman"/>
        </w:rPr>
      </w:pPr>
    </w:p>
    <w:p w:rsidR="00000000" w:rsidRDefault="009E01B0">
      <w:pPr>
        <w:divId w:val="813529688"/>
        <w:rPr>
          <w:rFonts w:eastAsia="Times New Roman"/>
        </w:rPr>
      </w:pPr>
      <w:r>
        <w:rPr>
          <w:rFonts w:ascii="Arial" w:eastAsia="Times New Roman" w:hAnsi="Arial" w:cs="Arial"/>
          <w:color w:val="000000"/>
          <w:sz w:val="20"/>
          <w:szCs w:val="20"/>
        </w:rPr>
        <w:t>On November 13, 2020, the Governor of Michigan and the Director of the Michigan Department of Natural Resources notified us that the State of Michi</w:t>
      </w:r>
      <w:r>
        <w:rPr>
          <w:rFonts w:ascii="Arial" w:eastAsia="Times New Roman" w:hAnsi="Arial" w:cs="Arial"/>
          <w:color w:val="000000"/>
          <w:sz w:val="20"/>
          <w:szCs w:val="20"/>
        </w:rPr>
        <w:t>gan (the State) was revoking and terminating the easement granted in 1953 that allows Line 5 to operate across the Straits. The notice demands that the portion of Line 5 that crosses the Straits must be shut down by May 2021. On November 24, 2020, we filed</w:t>
      </w:r>
      <w:r>
        <w:rPr>
          <w:rFonts w:ascii="Arial" w:eastAsia="Times New Roman" w:hAnsi="Arial" w:cs="Arial"/>
          <w:color w:val="000000"/>
          <w:sz w:val="20"/>
          <w:szCs w:val="20"/>
        </w:rPr>
        <w:t xml:space="preserve"> in the US District Court for the Western District of Michigan a Notice of Removal, which removed the State’s November Complaint to Federal Court and a Complaint for Declaratory and Injunctive Relief that requests the US District Court to enjoin the Govern</w:t>
      </w:r>
      <w:r>
        <w:rPr>
          <w:rFonts w:ascii="Arial" w:eastAsia="Times New Roman" w:hAnsi="Arial" w:cs="Arial"/>
          <w:color w:val="000000"/>
          <w:sz w:val="20"/>
          <w:szCs w:val="20"/>
        </w:rPr>
        <w:t>or from taking any action to prevent or impede the operation of Line 5. On February 18, 2021, the Judge ruled that the motion to remand back to State Court will be briefed and decided first. Parties were also ordered to collaborate and identify a facilitat</w:t>
      </w:r>
      <w:r>
        <w:rPr>
          <w:rFonts w:ascii="Arial" w:eastAsia="Times New Roman" w:hAnsi="Arial" w:cs="Arial"/>
          <w:color w:val="000000"/>
          <w:sz w:val="20"/>
          <w:szCs w:val="20"/>
        </w:rPr>
        <w:t>ive mediator. Accordingly, retired US District Court Judge Gerald Rosen was chosen to act as mediator and mediation is underway.</w:t>
      </w:r>
    </w:p>
    <w:p w:rsidR="00000000" w:rsidRDefault="009E01B0">
      <w:pPr>
        <w:divId w:val="514148655"/>
        <w:rPr>
          <w:rFonts w:eastAsia="Times New Roman"/>
        </w:rPr>
      </w:pPr>
    </w:p>
    <w:p w:rsidR="00000000" w:rsidRDefault="009E01B0">
      <w:pPr>
        <w:divId w:val="778796378"/>
        <w:rPr>
          <w:rFonts w:eastAsia="Times New Roman"/>
        </w:rPr>
      </w:pPr>
      <w:r>
        <w:rPr>
          <w:rFonts w:ascii="Arial" w:eastAsia="Times New Roman" w:hAnsi="Arial" w:cs="Arial"/>
          <w:color w:val="000000"/>
          <w:sz w:val="20"/>
          <w:szCs w:val="20"/>
        </w:rPr>
        <w:t>On January 12, 2021, we responded to the Governor’</w:t>
      </w:r>
      <w:r>
        <w:rPr>
          <w:rFonts w:ascii="Arial" w:eastAsia="Times New Roman" w:hAnsi="Arial" w:cs="Arial"/>
          <w:color w:val="000000"/>
          <w:sz w:val="20"/>
          <w:szCs w:val="20"/>
        </w:rPr>
        <w:t>s Notice of Revocation and Termination of Easement. On February 11, 2021, we sent a further letter to the Department of Natural Resources regarding our rights under the easement and renewing the request to meet and have technical discussions to better unde</w:t>
      </w:r>
      <w:r>
        <w:rPr>
          <w:rFonts w:ascii="Arial" w:eastAsia="Times New Roman" w:hAnsi="Arial" w:cs="Arial"/>
          <w:color w:val="000000"/>
          <w:sz w:val="20"/>
          <w:szCs w:val="20"/>
        </w:rPr>
        <w:t>rstand the State’s concerns. We will vigorously defend our ability to operate Line 5 under the 1953 easement in pending Court actions.</w:t>
      </w:r>
    </w:p>
    <w:p w:rsidR="00000000" w:rsidRDefault="009E01B0">
      <w:pPr>
        <w:divId w:val="417793048"/>
        <w:rPr>
          <w:rFonts w:eastAsia="Times New Roman"/>
        </w:rPr>
      </w:pPr>
    </w:p>
    <w:p w:rsidR="00000000" w:rsidRDefault="009E01B0">
      <w:pPr>
        <w:divId w:val="392043185"/>
        <w:rPr>
          <w:rFonts w:eastAsia="Times New Roman"/>
        </w:rPr>
      </w:pPr>
      <w:r>
        <w:rPr>
          <w:rFonts w:ascii="Arial" w:eastAsia="Times New Roman" w:hAnsi="Arial" w:cs="Arial"/>
          <w:color w:val="000000"/>
          <w:sz w:val="20"/>
          <w:szCs w:val="20"/>
        </w:rPr>
        <w:t xml:space="preserve">In March 2021, we completed the engineering and design phase of the Great Lakes Tunnel Project and we will now proceed </w:t>
      </w:r>
      <w:r>
        <w:rPr>
          <w:rFonts w:ascii="Arial" w:eastAsia="Times New Roman" w:hAnsi="Arial" w:cs="Arial"/>
          <w:color w:val="000000"/>
          <w:sz w:val="20"/>
          <w:szCs w:val="20"/>
        </w:rPr>
        <w:t>with the process of hiring a contractor to construct the tunnel. We are actively pursuing state and federal regulatory permits from the US Army Corps of Engineers’ (Army Corps), the Michigan Department of Environment, Great Lakes &amp; Energy (EGLE) and the Mi</w:t>
      </w:r>
      <w:r>
        <w:rPr>
          <w:rFonts w:ascii="Arial" w:eastAsia="Times New Roman" w:hAnsi="Arial" w:cs="Arial"/>
          <w:color w:val="000000"/>
          <w:sz w:val="20"/>
          <w:szCs w:val="20"/>
        </w:rPr>
        <w:t>chigan Public Service Commission. The EGLE permits were granted in the first quarter of 2021 and the other permitting review processes are anticipated to continue throughout 2021.</w:t>
      </w:r>
    </w:p>
    <w:p w:rsidR="00000000" w:rsidRDefault="009E01B0">
      <w:pPr>
        <w:divId w:val="28798139"/>
        <w:rPr>
          <w:rFonts w:eastAsia="Times New Roman"/>
        </w:rPr>
      </w:pPr>
    </w:p>
    <w:p w:rsidR="00000000" w:rsidRDefault="009E01B0">
      <w:pPr>
        <w:divId w:val="1552182408"/>
        <w:rPr>
          <w:rFonts w:eastAsia="Times New Roman"/>
        </w:rPr>
      </w:pPr>
      <w:r>
        <w:rPr>
          <w:rFonts w:ascii="Arial" w:eastAsia="Times New Roman" w:hAnsi="Arial" w:cs="Arial"/>
          <w:b/>
          <w:bCs/>
          <w:color w:val="000000"/>
          <w:sz w:val="20"/>
          <w:szCs w:val="20"/>
        </w:rPr>
        <w:t>Dakota Access Pipeline</w:t>
      </w:r>
    </w:p>
    <w:p w:rsidR="00000000" w:rsidRDefault="009E01B0">
      <w:pPr>
        <w:divId w:val="1023747281"/>
        <w:rPr>
          <w:rFonts w:eastAsia="Times New Roman"/>
        </w:rPr>
      </w:pPr>
      <w:r>
        <w:rPr>
          <w:rFonts w:ascii="Arial" w:eastAsia="Times New Roman" w:hAnsi="Arial" w:cs="Arial"/>
          <w:color w:val="000000"/>
          <w:sz w:val="20"/>
          <w:szCs w:val="20"/>
        </w:rPr>
        <w:t>We own an effective interest of 27.6% in the Bakken</w:t>
      </w:r>
      <w:r>
        <w:rPr>
          <w:rFonts w:ascii="Arial" w:eastAsia="Times New Roman" w:hAnsi="Arial" w:cs="Arial"/>
          <w:color w:val="000000"/>
          <w:sz w:val="20"/>
          <w:szCs w:val="20"/>
        </w:rPr>
        <w:t xml:space="preserve"> Pipeline System, which is inclusive of the Dakota Access Pipeline (DAPL). As previously reported, the Standing Rock Sioux Tribe and the Cheyenne River Sioux Tribe filed motions in 2017 with the US Court for the District of Columbia (the District Court) co</w:t>
      </w:r>
      <w:r>
        <w:rPr>
          <w:rFonts w:ascii="Arial" w:eastAsia="Times New Roman" w:hAnsi="Arial" w:cs="Arial"/>
          <w:color w:val="000000"/>
          <w:sz w:val="20"/>
          <w:szCs w:val="20"/>
        </w:rPr>
        <w:t>ntesting the lawfulness of the (Army Corps) easement for DAPL, including the adequacy of the Army Corps’ environmental review and tribal consultation process. The Oglala Sioux and Yankton Sioux Tribes also filed lawsuits alleging similar claims in 2018.</w:t>
      </w:r>
    </w:p>
    <w:p w:rsidR="00000000" w:rsidRDefault="009E01B0">
      <w:pPr>
        <w:divId w:val="43992649"/>
        <w:rPr>
          <w:rFonts w:eastAsia="Times New Roman"/>
        </w:rPr>
      </w:pPr>
    </w:p>
    <w:p w:rsidR="00000000" w:rsidRDefault="009E01B0">
      <w:pPr>
        <w:jc w:val="center"/>
        <w:divId w:val="64494266"/>
        <w:rPr>
          <w:rFonts w:eastAsia="Times New Roman"/>
        </w:rPr>
      </w:pPr>
      <w:r>
        <w:rPr>
          <w:rFonts w:ascii="Arial" w:eastAsia="Times New Roman" w:hAnsi="Arial" w:cs="Arial"/>
          <w:color w:val="000000"/>
          <w:sz w:val="20"/>
          <w:szCs w:val="20"/>
        </w:rPr>
        <w:t>49</w:t>
      </w:r>
    </w:p>
    <w:p w:rsidR="00000000" w:rsidRDefault="009E01B0">
      <w:pPr>
        <w:rPr>
          <w:rFonts w:eastAsia="Times New Roman"/>
        </w:rPr>
      </w:pPr>
      <w:r>
        <w:rPr>
          <w:rFonts w:eastAsia="Times New Roman"/>
        </w:rPr>
        <w:pict>
          <v:rect id="_x0000_i1074" style="width:0;height:1.5pt" o:hralign="center" o:hrstd="t" o:hr="t" fillcolor="#a0a0a0" stroked="f"/>
        </w:pict>
      </w:r>
    </w:p>
    <w:p w:rsidR="00000000" w:rsidRDefault="009E01B0">
      <w:pPr>
        <w:divId w:val="1762022113"/>
        <w:rPr>
          <w:rFonts w:eastAsia="Times New Roman"/>
        </w:rPr>
      </w:pPr>
    </w:p>
    <w:p w:rsidR="00000000" w:rsidRDefault="009E01B0">
      <w:pPr>
        <w:divId w:val="1854296627"/>
        <w:rPr>
          <w:rFonts w:eastAsia="Times New Roman"/>
        </w:rPr>
      </w:pPr>
      <w:r>
        <w:rPr>
          <w:rFonts w:ascii="Arial" w:eastAsia="Times New Roman" w:hAnsi="Arial" w:cs="Arial"/>
          <w:color w:val="000000"/>
          <w:sz w:val="20"/>
          <w:szCs w:val="20"/>
        </w:rPr>
        <w:t xml:space="preserve">On June 14, 2017, the District Court found the Army Corps’ </w:t>
      </w:r>
      <w:r>
        <w:rPr>
          <w:rFonts w:ascii="Arial" w:eastAsia="Times New Roman" w:hAnsi="Arial" w:cs="Arial"/>
          <w:color w:val="000000"/>
          <w:sz w:val="20"/>
          <w:szCs w:val="20"/>
        </w:rPr>
        <w:t xml:space="preserve">environmental review to be deficient and ordered the Army Corps to conduct further study concerning spill risks from DAPL. In August 2018, the Army Corps completed on remand the further environmental review ordered by the District Court and reaffirmed the </w:t>
      </w:r>
      <w:r>
        <w:rPr>
          <w:rFonts w:ascii="Arial" w:eastAsia="Times New Roman" w:hAnsi="Arial" w:cs="Arial"/>
          <w:color w:val="000000"/>
          <w:sz w:val="20"/>
          <w:szCs w:val="20"/>
        </w:rPr>
        <w:t>issuance of the easement for DAPL. All four plaintiff Tribes subsequently amended their complaints to include claims challenging the adequacy of the Army Corps’ August 2018 remand decision.</w:t>
      </w:r>
    </w:p>
    <w:p w:rsidR="00000000" w:rsidRDefault="009E01B0">
      <w:pPr>
        <w:divId w:val="525219304"/>
        <w:rPr>
          <w:rFonts w:eastAsia="Times New Roman"/>
        </w:rPr>
      </w:pPr>
    </w:p>
    <w:p w:rsidR="00000000" w:rsidRDefault="009E01B0">
      <w:pPr>
        <w:divId w:val="445197310"/>
        <w:rPr>
          <w:rFonts w:eastAsia="Times New Roman"/>
        </w:rPr>
      </w:pPr>
      <w:r>
        <w:rPr>
          <w:rFonts w:ascii="Arial" w:eastAsia="Times New Roman" w:hAnsi="Arial" w:cs="Arial"/>
          <w:color w:val="000000"/>
          <w:sz w:val="20"/>
          <w:szCs w:val="20"/>
        </w:rPr>
        <w:t>On March 25, 2020, in response to amended complaints from the Tr</w:t>
      </w:r>
      <w:r>
        <w:rPr>
          <w:rFonts w:ascii="Arial" w:eastAsia="Times New Roman" w:hAnsi="Arial" w:cs="Arial"/>
          <w:color w:val="000000"/>
          <w:sz w:val="20"/>
          <w:szCs w:val="20"/>
        </w:rPr>
        <w:t>ibes, the District Court found the Army Corps’ environmental review on remand was deficient and ordered the Army Corps to prepare an Environmental Impact Statement (EIS) to address unresolved controversy pertaining to potential spill impacts resulting from</w:t>
      </w:r>
      <w:r>
        <w:rPr>
          <w:rFonts w:ascii="Arial" w:eastAsia="Times New Roman" w:hAnsi="Arial" w:cs="Arial"/>
          <w:color w:val="000000"/>
          <w:sz w:val="20"/>
          <w:szCs w:val="20"/>
        </w:rPr>
        <w:t xml:space="preserve"> DAPL. On July 6, 2020, the District Court issued an order vacating the Army Corps’ easement for DAPL and ordering that the pipeline be shut down by August 5, 2020. Dakota Access, LLC and the Army Corps appealed the decision and filed a motion for a stay p</w:t>
      </w:r>
      <w:r>
        <w:rPr>
          <w:rFonts w:ascii="Arial" w:eastAsia="Times New Roman" w:hAnsi="Arial" w:cs="Arial"/>
          <w:color w:val="000000"/>
          <w:sz w:val="20"/>
          <w:szCs w:val="20"/>
        </w:rPr>
        <w:t>ending appeal with the US Court of Appeals for the D.C. Circuit. On August 5, 2020, the US Court of Appeals stayed the District Court’s July 6 order to shut down and empty the pipeline, but did not stay the District Court’s March 25 order requiring the Arm</w:t>
      </w:r>
      <w:r>
        <w:rPr>
          <w:rFonts w:ascii="Arial" w:eastAsia="Times New Roman" w:hAnsi="Arial" w:cs="Arial"/>
          <w:color w:val="000000"/>
          <w:sz w:val="20"/>
          <w:szCs w:val="20"/>
        </w:rPr>
        <w:t xml:space="preserve">y Corps to prepare an EIS or the District Court’s July 6 order vacating the DAPL easement. </w:t>
      </w:r>
    </w:p>
    <w:p w:rsidR="00000000" w:rsidRDefault="009E01B0">
      <w:pPr>
        <w:divId w:val="1052192840"/>
        <w:rPr>
          <w:rFonts w:eastAsia="Times New Roman"/>
        </w:rPr>
      </w:pPr>
    </w:p>
    <w:p w:rsidR="00000000" w:rsidRDefault="009E01B0">
      <w:pPr>
        <w:divId w:val="1563054799"/>
        <w:rPr>
          <w:rFonts w:eastAsia="Times New Roman"/>
        </w:rPr>
      </w:pPr>
      <w:r>
        <w:rPr>
          <w:rFonts w:ascii="Arial" w:eastAsia="Times New Roman" w:hAnsi="Arial" w:cs="Arial"/>
          <w:color w:val="000000"/>
          <w:sz w:val="20"/>
          <w:szCs w:val="20"/>
        </w:rPr>
        <w:t>On January 26, 2021, the US Court of Appeals affirmed the District Court’s decision, holding that the Army Corps is required to prepare an EIS and that the Army C</w:t>
      </w:r>
      <w:r>
        <w:rPr>
          <w:rFonts w:ascii="Arial" w:eastAsia="Times New Roman" w:hAnsi="Arial" w:cs="Arial"/>
          <w:color w:val="000000"/>
          <w:sz w:val="20"/>
          <w:szCs w:val="20"/>
        </w:rPr>
        <w:t>orps’ easement for DAPL is vacated. The US Court of Appeals also determined that, absent considering the closure of DAPL in the context of an injunction proceeding, the District Court could not order DAPL’s operations to cease. While not an issue before th</w:t>
      </w:r>
      <w:r>
        <w:rPr>
          <w:rFonts w:ascii="Arial" w:eastAsia="Times New Roman" w:hAnsi="Arial" w:cs="Arial"/>
          <w:color w:val="000000"/>
          <w:sz w:val="20"/>
          <w:szCs w:val="20"/>
        </w:rPr>
        <w:t>e US Court of Appeals, the US Court of Appeals also recognized that the Army Corps could consider whether to allow DAPL to continue to operate in the absence of an easement.</w:t>
      </w:r>
    </w:p>
    <w:p w:rsidR="00000000" w:rsidRDefault="009E01B0">
      <w:pPr>
        <w:divId w:val="2048413641"/>
        <w:rPr>
          <w:rFonts w:eastAsia="Times New Roman"/>
        </w:rPr>
      </w:pPr>
      <w:r>
        <w:rPr>
          <w:rFonts w:ascii="Arial" w:eastAsia="Times New Roman" w:hAnsi="Arial" w:cs="Arial"/>
          <w:color w:val="000000"/>
          <w:sz w:val="20"/>
          <w:szCs w:val="20"/>
        </w:rPr>
        <w:t>In the District Court, the plaintiff Tribes’ motions remain pending for an injunct</w:t>
      </w:r>
      <w:r>
        <w:rPr>
          <w:rFonts w:ascii="Arial" w:eastAsia="Times New Roman" w:hAnsi="Arial" w:cs="Arial"/>
          <w:color w:val="000000"/>
          <w:sz w:val="20"/>
          <w:szCs w:val="20"/>
        </w:rPr>
        <w:t>ion enjoining DAPL from operating until the Army Corps has completed its EIS and reissued the DAPL easement. Both Dakota Access, LLC and the Army Corps filed briefs in opposition to the Tribes’ request for an injunction. On April 9, 2021, at a hearing befo</w:t>
      </w:r>
      <w:r>
        <w:rPr>
          <w:rFonts w:ascii="Arial" w:eastAsia="Times New Roman" w:hAnsi="Arial" w:cs="Arial"/>
          <w:color w:val="000000"/>
          <w:sz w:val="20"/>
          <w:szCs w:val="20"/>
        </w:rPr>
        <w:t>re the District Court, the Army Corps indicated that it does not intend, at this time, to exercise its authority to bar DAPL’s continued operation, notwithstanding the absence of an easement. All briefing before the District Court on whether DAPL operation</w:t>
      </w:r>
      <w:r>
        <w:rPr>
          <w:rFonts w:ascii="Arial" w:eastAsia="Times New Roman" w:hAnsi="Arial" w:cs="Arial"/>
          <w:color w:val="000000"/>
          <w:sz w:val="20"/>
          <w:szCs w:val="20"/>
        </w:rPr>
        <w:t xml:space="preserve">s should be enjoined is now complete. On May 3, 2021, in response to the District Court’s request for a status update, the Army Corps advised the court, among other things, that it anticipates completing its EIS by March 2022. The District Court may issue </w:t>
      </w:r>
      <w:r>
        <w:rPr>
          <w:rFonts w:ascii="Arial" w:eastAsia="Times New Roman" w:hAnsi="Arial" w:cs="Arial"/>
          <w:color w:val="000000"/>
          <w:sz w:val="20"/>
          <w:szCs w:val="20"/>
        </w:rPr>
        <w:t xml:space="preserve">a decision on the injunction request at any time. </w:t>
      </w:r>
    </w:p>
    <w:p w:rsidR="00000000" w:rsidRDefault="009E01B0">
      <w:pPr>
        <w:divId w:val="1601916309"/>
        <w:rPr>
          <w:rFonts w:eastAsia="Times New Roman"/>
        </w:rPr>
      </w:pPr>
    </w:p>
    <w:p w:rsidR="00000000" w:rsidRDefault="009E01B0">
      <w:pPr>
        <w:divId w:val="1704674288"/>
        <w:rPr>
          <w:rFonts w:eastAsia="Times New Roman"/>
        </w:rPr>
      </w:pPr>
      <w:r>
        <w:rPr>
          <w:rFonts w:ascii="Arial" w:eastAsia="Times New Roman" w:hAnsi="Arial" w:cs="Arial"/>
          <w:b/>
          <w:bCs/>
          <w:color w:val="000000"/>
          <w:sz w:val="20"/>
          <w:szCs w:val="20"/>
        </w:rPr>
        <w:t>OTHER LITIGATION</w:t>
      </w:r>
    </w:p>
    <w:p w:rsidR="00000000" w:rsidRDefault="009E01B0">
      <w:pPr>
        <w:divId w:val="2102329576"/>
        <w:rPr>
          <w:rFonts w:eastAsia="Times New Roman"/>
        </w:rPr>
      </w:pPr>
      <w:r>
        <w:rPr>
          <w:rFonts w:ascii="Arial" w:eastAsia="Times New Roman" w:hAnsi="Arial" w:cs="Arial"/>
          <w:color w:val="000000"/>
          <w:sz w:val="20"/>
          <w:szCs w:val="20"/>
        </w:rPr>
        <w:t>We and our subsidiaries are involved in various other legal and regulatory actions and proceedings which arise in the normal course of business, including interventions in regulatory pro</w:t>
      </w:r>
      <w:r>
        <w:rPr>
          <w:rFonts w:ascii="Arial" w:eastAsia="Times New Roman" w:hAnsi="Arial" w:cs="Arial"/>
          <w:color w:val="000000"/>
          <w:sz w:val="20"/>
          <w:szCs w:val="20"/>
        </w:rPr>
        <w:t>ceedings and challenges to regulatory approvals and permits. While the final outcome of such actions and proceedings cannot be predicted with certainty, management believes that the resolution of such actions and proceedings will not have a material impact</w:t>
      </w:r>
      <w:r>
        <w:rPr>
          <w:rFonts w:ascii="Arial" w:eastAsia="Times New Roman" w:hAnsi="Arial" w:cs="Arial"/>
          <w:color w:val="000000"/>
          <w:sz w:val="20"/>
          <w:szCs w:val="20"/>
        </w:rPr>
        <w:t xml:space="preserve"> on our consolidated financial position or results of operations.</w:t>
      </w:r>
    </w:p>
    <w:p w:rsidR="00000000" w:rsidRDefault="009E01B0">
      <w:pPr>
        <w:divId w:val="1427073203"/>
        <w:rPr>
          <w:rFonts w:eastAsia="Times New Roman"/>
        </w:rPr>
      </w:pPr>
    </w:p>
    <w:p w:rsidR="00000000" w:rsidRDefault="009E01B0">
      <w:pPr>
        <w:divId w:val="1194853552"/>
        <w:rPr>
          <w:rFonts w:eastAsia="Times New Roman"/>
        </w:rPr>
      </w:pPr>
      <w:r>
        <w:rPr>
          <w:rFonts w:ascii="Arial" w:eastAsia="Times New Roman" w:hAnsi="Arial" w:cs="Arial"/>
          <w:b/>
          <w:bCs/>
          <w:color w:val="000000"/>
          <w:sz w:val="20"/>
          <w:szCs w:val="20"/>
        </w:rPr>
        <w:t>CAPITAL EXPENDITURE COMMITMENTS</w:t>
      </w:r>
    </w:p>
    <w:p w:rsidR="00000000" w:rsidRDefault="009E01B0">
      <w:pPr>
        <w:divId w:val="1506700571"/>
        <w:rPr>
          <w:rFonts w:eastAsia="Times New Roman"/>
        </w:rPr>
      </w:pPr>
      <w:r>
        <w:rPr>
          <w:rFonts w:ascii="Arial" w:eastAsia="Times New Roman" w:hAnsi="Arial" w:cs="Arial"/>
          <w:color w:val="000000"/>
          <w:sz w:val="20"/>
          <w:szCs w:val="20"/>
        </w:rPr>
        <w:t>We have signed contracts for the purchase of services, pipe and other materials totaling approximately $2.8 billion which are expected to be paid over the n</w:t>
      </w:r>
      <w:r>
        <w:rPr>
          <w:rFonts w:ascii="Arial" w:eastAsia="Times New Roman" w:hAnsi="Arial" w:cs="Arial"/>
          <w:color w:val="000000"/>
          <w:sz w:val="20"/>
          <w:szCs w:val="20"/>
        </w:rPr>
        <w:t>ext five years.</w:t>
      </w:r>
    </w:p>
    <w:p w:rsidR="00000000" w:rsidRDefault="009E01B0">
      <w:pPr>
        <w:divId w:val="1200627568"/>
        <w:rPr>
          <w:rFonts w:eastAsia="Times New Roman"/>
        </w:rPr>
      </w:pPr>
    </w:p>
    <w:p w:rsidR="00000000" w:rsidRDefault="009E01B0">
      <w:pPr>
        <w:divId w:val="590508248"/>
        <w:rPr>
          <w:rFonts w:eastAsia="Times New Roman"/>
        </w:rPr>
      </w:pPr>
      <w:r>
        <w:rPr>
          <w:rFonts w:ascii="Arial" w:eastAsia="Times New Roman" w:hAnsi="Arial" w:cs="Arial"/>
          <w:b/>
          <w:bCs/>
          <w:color w:val="000000"/>
          <w:sz w:val="20"/>
          <w:szCs w:val="20"/>
        </w:rPr>
        <w:t>TAX MATTERS</w:t>
      </w:r>
    </w:p>
    <w:p w:rsidR="00000000" w:rsidRDefault="009E01B0">
      <w:pPr>
        <w:divId w:val="1177621510"/>
        <w:rPr>
          <w:rFonts w:eastAsia="Times New Roman"/>
        </w:rPr>
      </w:pPr>
      <w:r>
        <w:rPr>
          <w:rFonts w:ascii="Arial" w:eastAsia="Times New Roman" w:hAnsi="Arial" w:cs="Arial"/>
          <w:color w:val="000000"/>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9E01B0">
      <w:pPr>
        <w:divId w:val="762459484"/>
        <w:rPr>
          <w:rFonts w:eastAsia="Times New Roman"/>
        </w:rPr>
      </w:pPr>
    </w:p>
    <w:p w:rsidR="00000000" w:rsidRDefault="009E01B0">
      <w:pPr>
        <w:divId w:val="531187977"/>
        <w:rPr>
          <w:rFonts w:eastAsia="Times New Roman"/>
        </w:rPr>
      </w:pPr>
      <w:r>
        <w:rPr>
          <w:rFonts w:ascii="Arial" w:eastAsia="Times New Roman" w:hAnsi="Arial" w:cs="Arial"/>
          <w:b/>
          <w:bCs/>
          <w:color w:val="000000"/>
          <w:sz w:val="26"/>
          <w:szCs w:val="26"/>
        </w:rPr>
        <w:t>CHANGES I</w:t>
      </w:r>
      <w:r>
        <w:rPr>
          <w:rFonts w:ascii="Arial" w:eastAsia="Times New Roman" w:hAnsi="Arial" w:cs="Arial"/>
          <w:b/>
          <w:bCs/>
          <w:color w:val="000000"/>
          <w:sz w:val="26"/>
          <w:szCs w:val="26"/>
        </w:rPr>
        <w:t>N ACCOUNTING POLICIES</w:t>
      </w:r>
    </w:p>
    <w:p w:rsidR="00000000" w:rsidRDefault="009E01B0">
      <w:pPr>
        <w:divId w:val="21517362"/>
        <w:rPr>
          <w:rFonts w:eastAsia="Times New Roman"/>
        </w:rPr>
      </w:pPr>
      <w:r>
        <w:rPr>
          <w:rFonts w:ascii="Arial" w:eastAsia="Times New Roman" w:hAnsi="Arial" w:cs="Arial"/>
          <w:color w:val="000000"/>
          <w:sz w:val="20"/>
          <w:szCs w:val="20"/>
        </w:rPr>
        <w:t> </w:t>
      </w:r>
    </w:p>
    <w:p w:rsidR="00000000" w:rsidRDefault="009E01B0">
      <w:pPr>
        <w:divId w:val="715397356"/>
        <w:rPr>
          <w:rFonts w:eastAsia="Times New Roman"/>
        </w:rPr>
      </w:pPr>
      <w:r>
        <w:rPr>
          <w:rFonts w:ascii="Arial" w:eastAsia="Times New Roman" w:hAnsi="Arial" w:cs="Arial"/>
          <w:color w:val="000000"/>
          <w:sz w:val="20"/>
          <w:szCs w:val="20"/>
        </w:rPr>
        <w:t xml:space="preserve">Refer to Part I. </w:t>
      </w:r>
      <w:r>
        <w:rPr>
          <w:rFonts w:ascii="Arial" w:eastAsia="Times New Roman" w:hAnsi="Arial" w:cs="Arial"/>
          <w:i/>
          <w:iCs/>
          <w:color w:val="000000"/>
          <w:sz w:val="20"/>
          <w:szCs w:val="20"/>
        </w:rPr>
        <w:t>Item 1. Financial Statements - Note 2. Changes in Accounting Policies.</w:t>
      </w:r>
    </w:p>
    <w:p w:rsidR="00000000" w:rsidRDefault="009E01B0">
      <w:pPr>
        <w:divId w:val="479927881"/>
        <w:rPr>
          <w:rFonts w:eastAsia="Times New Roman"/>
        </w:rPr>
      </w:pPr>
    </w:p>
    <w:p w:rsidR="00000000" w:rsidRDefault="009E01B0">
      <w:pPr>
        <w:jc w:val="center"/>
        <w:divId w:val="1778719119"/>
        <w:rPr>
          <w:rFonts w:eastAsia="Times New Roman"/>
        </w:rPr>
      </w:pPr>
      <w:r>
        <w:rPr>
          <w:rFonts w:ascii="Arial" w:eastAsia="Times New Roman" w:hAnsi="Arial" w:cs="Arial"/>
          <w:color w:val="000000"/>
          <w:sz w:val="20"/>
          <w:szCs w:val="20"/>
        </w:rPr>
        <w:t>50</w:t>
      </w:r>
    </w:p>
    <w:p w:rsidR="00000000" w:rsidRDefault="009E01B0">
      <w:pPr>
        <w:rPr>
          <w:rFonts w:eastAsia="Times New Roman"/>
        </w:rPr>
      </w:pPr>
      <w:r>
        <w:rPr>
          <w:rFonts w:eastAsia="Times New Roman"/>
        </w:rPr>
        <w:pict>
          <v:rect id="_x0000_i1075" style="width:0;height:1.5pt" o:hralign="center" o:hrstd="t" o:hr="t" fillcolor="#a0a0a0" stroked="f"/>
        </w:pict>
      </w:r>
    </w:p>
    <w:p w:rsidR="00000000" w:rsidRDefault="009E01B0">
      <w:pPr>
        <w:divId w:val="1839273088"/>
        <w:rPr>
          <w:rFonts w:eastAsia="Times New Roman"/>
        </w:rPr>
      </w:pPr>
    </w:p>
    <w:p w:rsidR="00000000" w:rsidRDefault="009E01B0">
      <w:pPr>
        <w:divId w:val="1433626136"/>
        <w:rPr>
          <w:rFonts w:eastAsia="Times New Roman"/>
        </w:rPr>
      </w:pPr>
      <w:r>
        <w:rPr>
          <w:rFonts w:ascii="Arial" w:eastAsia="Times New Roman" w:hAnsi="Arial" w:cs="Arial"/>
          <w:b/>
          <w:bCs/>
          <w:color w:val="000000"/>
          <w:sz w:val="28"/>
          <w:szCs w:val="28"/>
        </w:rPr>
        <w:t>ITEM 3. QUANTITATIVE AND QUALITATIVE DISCLOSURES ABOUT MARKET RISK</w:t>
      </w:r>
    </w:p>
    <w:p w:rsidR="00000000" w:rsidRDefault="009E01B0">
      <w:pPr>
        <w:jc w:val="both"/>
        <w:rPr>
          <w:rFonts w:eastAsia="Times New Roman"/>
        </w:rPr>
      </w:pPr>
    </w:p>
    <w:p w:rsidR="00000000" w:rsidRDefault="009E01B0">
      <w:pPr>
        <w:divId w:val="1470904454"/>
        <w:rPr>
          <w:rFonts w:eastAsia="Times New Roman"/>
        </w:rPr>
      </w:pPr>
      <w:r>
        <w:rPr>
          <w:rFonts w:ascii="Arial" w:eastAsia="Times New Roman" w:hAnsi="Arial" w:cs="Arial"/>
          <w:color w:val="000000"/>
          <w:sz w:val="20"/>
          <w:szCs w:val="20"/>
        </w:rPr>
        <w:t xml:space="preserve">Our exposure to market risk is described in Part II. </w:t>
      </w:r>
      <w:r>
        <w:rPr>
          <w:rFonts w:ascii="Arial" w:eastAsia="Times New Roman" w:hAnsi="Arial" w:cs="Arial"/>
          <w:i/>
          <w:iCs/>
          <w:color w:val="000000"/>
          <w:sz w:val="20"/>
          <w:szCs w:val="20"/>
        </w:rPr>
        <w:t>Item 7A.</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Quantitative and Qualitative Disclosures About Market Risk</w:t>
      </w:r>
      <w:r>
        <w:rPr>
          <w:rFonts w:ascii="Arial" w:eastAsia="Times New Roman" w:hAnsi="Arial" w:cs="Arial"/>
          <w:color w:val="000000"/>
          <w:sz w:val="20"/>
          <w:szCs w:val="20"/>
        </w:rPr>
        <w:t xml:space="preserve"> of our annual report on Form</w:t>
      </w:r>
      <w:r>
        <w:rPr>
          <w:rFonts w:ascii="Arial" w:eastAsia="Times New Roman" w:hAnsi="Arial" w:cs="Arial"/>
          <w:color w:val="000000"/>
          <w:sz w:val="20"/>
          <w:szCs w:val="20"/>
        </w:rPr>
        <w:t xml:space="preserve"> 10-K for the year ended December 31, 2020. We believe our exposure to market risk has not changed materially since then.</w:t>
      </w:r>
    </w:p>
    <w:p w:rsidR="00000000" w:rsidRDefault="009E01B0">
      <w:pPr>
        <w:divId w:val="134957613"/>
        <w:rPr>
          <w:rFonts w:eastAsia="Times New Roman"/>
        </w:rPr>
      </w:pPr>
    </w:p>
    <w:p w:rsidR="00000000" w:rsidRDefault="009E01B0">
      <w:pPr>
        <w:divId w:val="1345782116"/>
        <w:rPr>
          <w:rFonts w:eastAsia="Times New Roman"/>
        </w:rPr>
      </w:pPr>
      <w:r>
        <w:rPr>
          <w:rFonts w:ascii="Arial" w:eastAsia="Times New Roman" w:hAnsi="Arial" w:cs="Arial"/>
          <w:b/>
          <w:bCs/>
          <w:color w:val="000000"/>
          <w:sz w:val="28"/>
          <w:szCs w:val="28"/>
        </w:rPr>
        <w:t>ITEM 4. CONTROLS AND PROCEDURES</w:t>
      </w:r>
    </w:p>
    <w:p w:rsidR="00000000" w:rsidRDefault="009E01B0">
      <w:pPr>
        <w:divId w:val="1912498623"/>
        <w:rPr>
          <w:rFonts w:eastAsia="Times New Roman"/>
        </w:rPr>
      </w:pPr>
      <w:r>
        <w:rPr>
          <w:rFonts w:ascii="Arial" w:eastAsia="Times New Roman" w:hAnsi="Arial" w:cs="Arial"/>
          <w:b/>
          <w:bCs/>
          <w:color w:val="000000"/>
          <w:sz w:val="20"/>
          <w:szCs w:val="20"/>
        </w:rPr>
        <w:t>Evaluation of Disclosure Controls and Procedures</w:t>
      </w:r>
    </w:p>
    <w:p w:rsidR="00000000" w:rsidRDefault="009E01B0">
      <w:pPr>
        <w:divId w:val="1583444505"/>
        <w:rPr>
          <w:rFonts w:eastAsia="Times New Roman"/>
        </w:rPr>
      </w:pPr>
      <w:r>
        <w:rPr>
          <w:rFonts w:ascii="Arial" w:eastAsia="Times New Roman" w:hAnsi="Arial" w:cs="Arial"/>
          <w:color w:val="000000"/>
          <w:sz w:val="20"/>
          <w:szCs w:val="20"/>
        </w:rPr>
        <w:t>Disclosure controls and procedures are controls and</w:t>
      </w:r>
      <w:r>
        <w:rPr>
          <w:rFonts w:ascii="Arial" w:eastAsia="Times New Roman" w:hAnsi="Arial" w:cs="Arial"/>
          <w:color w:val="000000"/>
          <w:sz w:val="20"/>
          <w:szCs w:val="20"/>
        </w:rPr>
        <w:t xml:space="preserve"> other procedures that are designed to ensure that information required to be disclosed by us in the reports we file or submit under the Exchange Act is recorded, processed, summarized and reported within the time periods specified by the SEC's rules and f</w:t>
      </w:r>
      <w:r>
        <w:rPr>
          <w:rFonts w:ascii="Arial" w:eastAsia="Times New Roman" w:hAnsi="Arial" w:cs="Arial"/>
          <w:color w:val="000000"/>
          <w:sz w:val="20"/>
          <w:szCs w:val="20"/>
        </w:rPr>
        <w:t>orms. Disclosure controls and procedures include, without limitation, controls and procedures designed to provide reasonable assurance that information required to be disclosed by us in the reports we file or submit under the Exchange Act is accumulated an</w:t>
      </w:r>
      <w:r>
        <w:rPr>
          <w:rFonts w:ascii="Arial" w:eastAsia="Times New Roman" w:hAnsi="Arial" w:cs="Arial"/>
          <w:color w:val="000000"/>
          <w:sz w:val="20"/>
          <w:szCs w:val="20"/>
        </w:rPr>
        <w:t xml:space="preserve">d communicated to management, including the Chief Executive Officer and Chief Financial Officer, as appropriate, to allow timely decisions regarding required disclosure. </w:t>
      </w:r>
    </w:p>
    <w:p w:rsidR="00000000" w:rsidRDefault="009E01B0">
      <w:pPr>
        <w:divId w:val="1185900843"/>
        <w:rPr>
          <w:rFonts w:eastAsia="Times New Roman"/>
        </w:rPr>
      </w:pPr>
    </w:p>
    <w:p w:rsidR="00000000" w:rsidRDefault="009E01B0">
      <w:pPr>
        <w:divId w:val="868180724"/>
        <w:rPr>
          <w:rFonts w:eastAsia="Times New Roman"/>
        </w:rPr>
      </w:pPr>
      <w:r>
        <w:rPr>
          <w:rFonts w:ascii="Arial" w:eastAsia="Times New Roman" w:hAnsi="Arial" w:cs="Arial"/>
          <w:color w:val="000000"/>
          <w:sz w:val="20"/>
          <w:szCs w:val="20"/>
        </w:rPr>
        <w:t>Under the supervision and with the participation of management, including the Chief</w:t>
      </w:r>
      <w:r>
        <w:rPr>
          <w:rFonts w:ascii="Arial" w:eastAsia="Times New Roman" w:hAnsi="Arial" w:cs="Arial"/>
          <w:color w:val="000000"/>
          <w:sz w:val="20"/>
          <w:szCs w:val="20"/>
        </w:rPr>
        <w:t xml:space="preserve"> Executive Officer and Chief Financial Officer, we have evaluated the effectiveness of our disclosure controls and procedures (as such term is defined in Rules 13a-15(e) and 15d-15(e) under the Exchange Act) as at March 31, 2021, and based upon this evalua</w:t>
      </w:r>
      <w:r>
        <w:rPr>
          <w:rFonts w:ascii="Arial" w:eastAsia="Times New Roman" w:hAnsi="Arial" w:cs="Arial"/>
          <w:color w:val="000000"/>
          <w:sz w:val="20"/>
          <w:szCs w:val="20"/>
        </w:rPr>
        <w:t>tion, the Chief Executive Officer and Chief Financial Officer have concluded that these controls and procedures are effective in ensuring that information required to be disclosed by us in reports that we file with or submit to the SEC and the Canadian Sec</w:t>
      </w:r>
      <w:r>
        <w:rPr>
          <w:rFonts w:ascii="Arial" w:eastAsia="Times New Roman" w:hAnsi="Arial" w:cs="Arial"/>
          <w:color w:val="000000"/>
          <w:sz w:val="20"/>
          <w:szCs w:val="20"/>
        </w:rPr>
        <w:t>urities Administrators is recorded, processed, summarized and reported within the time periods required.</w:t>
      </w:r>
    </w:p>
    <w:p w:rsidR="00000000" w:rsidRDefault="009E01B0">
      <w:pPr>
        <w:divId w:val="1154029772"/>
        <w:rPr>
          <w:rFonts w:eastAsia="Times New Roman"/>
        </w:rPr>
      </w:pPr>
    </w:p>
    <w:p w:rsidR="00000000" w:rsidRDefault="009E01B0">
      <w:pPr>
        <w:divId w:val="1212231607"/>
        <w:rPr>
          <w:rFonts w:eastAsia="Times New Roman"/>
        </w:rPr>
      </w:pPr>
      <w:r>
        <w:rPr>
          <w:rFonts w:ascii="Arial" w:eastAsia="Times New Roman" w:hAnsi="Arial" w:cs="Arial"/>
          <w:b/>
          <w:bCs/>
          <w:color w:val="000000"/>
          <w:sz w:val="20"/>
          <w:szCs w:val="20"/>
        </w:rPr>
        <w:t>Changes in Internal Control over Financial Reporting</w:t>
      </w:r>
    </w:p>
    <w:p w:rsidR="00000000" w:rsidRDefault="009E01B0">
      <w:pPr>
        <w:divId w:val="275449178"/>
        <w:rPr>
          <w:rFonts w:eastAsia="Times New Roman"/>
        </w:rPr>
      </w:pPr>
      <w:r>
        <w:rPr>
          <w:rFonts w:ascii="Arial" w:eastAsia="Times New Roman" w:hAnsi="Arial" w:cs="Arial"/>
          <w:color w:val="000000"/>
          <w:sz w:val="20"/>
          <w:szCs w:val="20"/>
        </w:rPr>
        <w:t>Under the supervision and with the participation of management, including the Chief Executive Of</w:t>
      </w:r>
      <w:r>
        <w:rPr>
          <w:rFonts w:ascii="Arial" w:eastAsia="Times New Roman" w:hAnsi="Arial" w:cs="Arial"/>
          <w:color w:val="000000"/>
          <w:sz w:val="20"/>
          <w:szCs w:val="20"/>
        </w:rPr>
        <w:t>ficer and Chief Financial Officer, we have evaluated changes in internal control over financial reporting (as such term is defined in Rules 13a-15(f) and 15d-15(f) under the Exchange Act) that occurred during the fiscal quarter ended March 31, 2021 and fou</w:t>
      </w:r>
      <w:r>
        <w:rPr>
          <w:rFonts w:ascii="Arial" w:eastAsia="Times New Roman" w:hAnsi="Arial" w:cs="Arial"/>
          <w:color w:val="000000"/>
          <w:sz w:val="20"/>
          <w:szCs w:val="20"/>
        </w:rPr>
        <w:t>nd no change that has materially affected, or is reasonably likely to materially affect, internal control over financial reporting.</w:t>
      </w:r>
    </w:p>
    <w:p w:rsidR="00000000" w:rsidRDefault="009E01B0">
      <w:pPr>
        <w:divId w:val="1149588594"/>
        <w:rPr>
          <w:rFonts w:eastAsia="Times New Roman"/>
        </w:rPr>
      </w:pPr>
    </w:p>
    <w:p w:rsidR="00000000" w:rsidRDefault="009E01B0">
      <w:pPr>
        <w:jc w:val="center"/>
        <w:rPr>
          <w:rFonts w:eastAsia="Times New Roman"/>
        </w:rPr>
      </w:pPr>
    </w:p>
    <w:p w:rsidR="00000000" w:rsidRDefault="009E01B0">
      <w:pPr>
        <w:jc w:val="center"/>
        <w:divId w:val="770860796"/>
        <w:rPr>
          <w:rFonts w:eastAsia="Times New Roman"/>
        </w:rPr>
      </w:pPr>
      <w:r>
        <w:rPr>
          <w:rFonts w:ascii="Arial" w:eastAsia="Times New Roman" w:hAnsi="Arial" w:cs="Arial"/>
          <w:color w:val="000000"/>
          <w:sz w:val="20"/>
          <w:szCs w:val="20"/>
        </w:rPr>
        <w:t>51</w:t>
      </w:r>
    </w:p>
    <w:p w:rsidR="00000000" w:rsidRDefault="009E01B0">
      <w:pPr>
        <w:rPr>
          <w:rFonts w:eastAsia="Times New Roman"/>
        </w:rPr>
      </w:pPr>
      <w:r>
        <w:rPr>
          <w:rFonts w:eastAsia="Times New Roman"/>
        </w:rPr>
        <w:pict>
          <v:rect id="_x0000_i1076" style="width:0;height:1.5pt" o:hralign="center" o:hrstd="t" o:hr="t" fillcolor="#a0a0a0" stroked="f"/>
        </w:pict>
      </w:r>
    </w:p>
    <w:p w:rsidR="00000000" w:rsidRDefault="009E01B0">
      <w:pPr>
        <w:divId w:val="232743083"/>
        <w:rPr>
          <w:rFonts w:eastAsia="Times New Roman"/>
        </w:rPr>
      </w:pPr>
    </w:p>
    <w:p w:rsidR="00000000" w:rsidRDefault="009E01B0">
      <w:pPr>
        <w:jc w:val="center"/>
        <w:rPr>
          <w:rFonts w:eastAsia="Times New Roman"/>
        </w:rPr>
      </w:pPr>
      <w:r>
        <w:rPr>
          <w:rFonts w:ascii="Arial" w:eastAsia="Times New Roman" w:hAnsi="Arial" w:cs="Arial"/>
          <w:b/>
          <w:bCs/>
          <w:color w:val="000000"/>
          <w:sz w:val="30"/>
          <w:szCs w:val="30"/>
        </w:rPr>
        <w:t>PART II - OTHER INFORMATION</w:t>
      </w:r>
    </w:p>
    <w:p w:rsidR="00000000" w:rsidRDefault="009E01B0">
      <w:pPr>
        <w:jc w:val="center"/>
        <w:rPr>
          <w:rFonts w:eastAsia="Times New Roman"/>
        </w:rPr>
      </w:pPr>
    </w:p>
    <w:p w:rsidR="00000000" w:rsidRDefault="009E01B0">
      <w:pPr>
        <w:divId w:val="1131169824"/>
        <w:rPr>
          <w:rFonts w:eastAsia="Times New Roman"/>
        </w:rPr>
      </w:pPr>
      <w:r>
        <w:rPr>
          <w:rFonts w:ascii="Arial" w:eastAsia="Times New Roman" w:hAnsi="Arial" w:cs="Arial"/>
          <w:b/>
          <w:bCs/>
          <w:color w:val="000000"/>
          <w:sz w:val="28"/>
          <w:szCs w:val="28"/>
        </w:rPr>
        <w:t xml:space="preserve">ITEM 1. LEGAL PROCEEDINGS </w:t>
      </w:r>
    </w:p>
    <w:p w:rsidR="00000000" w:rsidRDefault="009E01B0">
      <w:pPr>
        <w:divId w:val="2118673538"/>
        <w:rPr>
          <w:rFonts w:eastAsia="Times New Roman"/>
        </w:rPr>
      </w:pPr>
    </w:p>
    <w:p w:rsidR="00000000" w:rsidRDefault="009E01B0">
      <w:pPr>
        <w:divId w:val="2048218837"/>
        <w:rPr>
          <w:rFonts w:eastAsia="Times New Roman"/>
        </w:rPr>
      </w:pPr>
      <w:r>
        <w:rPr>
          <w:rFonts w:ascii="Arial" w:eastAsia="Times New Roman" w:hAnsi="Arial" w:cs="Arial"/>
          <w:color w:val="000000"/>
          <w:sz w:val="20"/>
          <w:szCs w:val="20"/>
        </w:rPr>
        <w:t>We are involved in various legal and regulatory actions and proceedings which arise in the ordinary course of business. While the final outcome of such actions and proceedings cannot be predicted with certainty, management beli</w:t>
      </w:r>
      <w:r>
        <w:rPr>
          <w:rFonts w:ascii="Arial" w:eastAsia="Times New Roman" w:hAnsi="Arial" w:cs="Arial"/>
          <w:color w:val="000000"/>
          <w:sz w:val="20"/>
          <w:szCs w:val="20"/>
        </w:rPr>
        <w:t xml:space="preserve">eves that the resolution of such actions and proceedings will not have a material impact on our consolidated financial position or results of operations. Refer to Part I. </w:t>
      </w:r>
      <w:r>
        <w:rPr>
          <w:rFonts w:ascii="Arial" w:eastAsia="Times New Roman" w:hAnsi="Arial" w:cs="Arial"/>
          <w:i/>
          <w:iCs/>
          <w:color w:val="000000"/>
          <w:sz w:val="20"/>
          <w:szCs w:val="20"/>
        </w:rPr>
        <w:t>Item 2</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Management's Discussion and Analysis of Financial Condition and Results of Op</w:t>
      </w:r>
      <w:r>
        <w:rPr>
          <w:rFonts w:ascii="Arial" w:eastAsia="Times New Roman" w:hAnsi="Arial" w:cs="Arial"/>
          <w:i/>
          <w:iCs/>
          <w:color w:val="000000"/>
          <w:sz w:val="20"/>
          <w:szCs w:val="20"/>
        </w:rPr>
        <w:t>erations - Legal and Other Updates</w:t>
      </w:r>
      <w:r>
        <w:rPr>
          <w:rFonts w:ascii="Arial" w:eastAsia="Times New Roman" w:hAnsi="Arial" w:cs="Arial"/>
          <w:color w:val="000000"/>
          <w:sz w:val="20"/>
          <w:szCs w:val="20"/>
          <w:shd w:val="clear" w:color="auto" w:fill="FFFFFF"/>
        </w:rPr>
        <w:t xml:space="preserve"> for discussion of other legal proceedings.</w:t>
      </w:r>
    </w:p>
    <w:p w:rsidR="00000000" w:rsidRDefault="009E01B0">
      <w:pPr>
        <w:divId w:val="1257136452"/>
        <w:rPr>
          <w:rFonts w:eastAsia="Times New Roman"/>
        </w:rPr>
      </w:pPr>
    </w:p>
    <w:p w:rsidR="00000000" w:rsidRDefault="009E01B0">
      <w:pPr>
        <w:divId w:val="441732610"/>
        <w:rPr>
          <w:rFonts w:eastAsia="Times New Roman"/>
        </w:rPr>
      </w:pPr>
      <w:r>
        <w:rPr>
          <w:rFonts w:ascii="Arial" w:eastAsia="Times New Roman" w:hAnsi="Arial" w:cs="Arial"/>
          <w:b/>
          <w:bCs/>
          <w:color w:val="000000"/>
          <w:sz w:val="28"/>
          <w:szCs w:val="28"/>
        </w:rPr>
        <w:t xml:space="preserve">ITEM 1A. RISK FACTORS </w:t>
      </w:r>
    </w:p>
    <w:p w:rsidR="00000000" w:rsidRDefault="009E01B0">
      <w:pPr>
        <w:jc w:val="both"/>
        <w:rPr>
          <w:rFonts w:eastAsia="Times New Roman"/>
        </w:rPr>
      </w:pPr>
    </w:p>
    <w:p w:rsidR="00000000" w:rsidRDefault="009E01B0">
      <w:pPr>
        <w:divId w:val="843669107"/>
        <w:rPr>
          <w:rFonts w:eastAsia="Times New Roman"/>
        </w:rPr>
      </w:pPr>
      <w:r>
        <w:rPr>
          <w:rFonts w:ascii="Arial" w:eastAsia="Times New Roman" w:hAnsi="Arial" w:cs="Arial"/>
          <w:color w:val="000000"/>
          <w:sz w:val="20"/>
          <w:szCs w:val="20"/>
        </w:rPr>
        <w:t>In addition to the other information set forth in this report, careful consideration should be given to the factors discussed in Part I.</w:t>
      </w:r>
      <w:r>
        <w:rPr>
          <w:rFonts w:ascii="Arial" w:eastAsia="Times New Roman" w:hAnsi="Arial" w:cs="Arial"/>
          <w:i/>
          <w:iCs/>
          <w:color w:val="000000"/>
          <w:sz w:val="20"/>
          <w:szCs w:val="20"/>
        </w:rPr>
        <w:t xml:space="preserve"> Item 1A</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Risk Factors</w:t>
      </w:r>
      <w:r>
        <w:rPr>
          <w:rFonts w:ascii="Arial" w:eastAsia="Times New Roman" w:hAnsi="Arial" w:cs="Arial"/>
          <w:color w:val="000000"/>
          <w:sz w:val="20"/>
          <w:szCs w:val="20"/>
        </w:rPr>
        <w:t xml:space="preserve"> of our annual report on Form 10-K for the year ended December 31, 2020, which could materially af</w:t>
      </w:r>
      <w:r>
        <w:rPr>
          <w:rFonts w:ascii="Arial" w:eastAsia="Times New Roman" w:hAnsi="Arial" w:cs="Arial"/>
          <w:color w:val="000000"/>
          <w:sz w:val="20"/>
          <w:szCs w:val="20"/>
        </w:rPr>
        <w:t xml:space="preserve">fect our financial condition or future results. There have been no material modifications to those risk factors. </w:t>
      </w:r>
    </w:p>
    <w:p w:rsidR="00000000" w:rsidRDefault="009E01B0">
      <w:pPr>
        <w:divId w:val="366296414"/>
        <w:rPr>
          <w:rFonts w:eastAsia="Times New Roman"/>
        </w:rPr>
      </w:pPr>
    </w:p>
    <w:p w:rsidR="00000000" w:rsidRDefault="009E01B0">
      <w:pPr>
        <w:divId w:val="1693338615"/>
        <w:rPr>
          <w:rFonts w:eastAsia="Times New Roman"/>
        </w:rPr>
      </w:pPr>
      <w:r>
        <w:rPr>
          <w:rFonts w:ascii="Arial" w:eastAsia="Times New Roman" w:hAnsi="Arial" w:cs="Arial"/>
          <w:b/>
          <w:bCs/>
          <w:color w:val="000000"/>
          <w:sz w:val="28"/>
          <w:szCs w:val="28"/>
        </w:rPr>
        <w:t>ITEM 2. UNREGISTERED SALES OF EQUITY SECURITIES AND USE OF PROCEEDS</w:t>
      </w:r>
    </w:p>
    <w:p w:rsidR="00000000" w:rsidRDefault="009E01B0">
      <w:pPr>
        <w:divId w:val="1916822451"/>
        <w:rPr>
          <w:rFonts w:eastAsia="Times New Roman"/>
        </w:rPr>
      </w:pPr>
      <w:r>
        <w:rPr>
          <w:rFonts w:ascii="Arial" w:eastAsia="Times New Roman" w:hAnsi="Arial" w:cs="Arial"/>
          <w:color w:val="000000"/>
          <w:sz w:val="20"/>
          <w:szCs w:val="20"/>
        </w:rPr>
        <w:t>None.</w:t>
      </w:r>
    </w:p>
    <w:p w:rsidR="00000000" w:rsidRDefault="009E01B0">
      <w:pPr>
        <w:divId w:val="1975787881"/>
        <w:rPr>
          <w:rFonts w:eastAsia="Times New Roman"/>
        </w:rPr>
      </w:pPr>
    </w:p>
    <w:p w:rsidR="00000000" w:rsidRDefault="009E01B0">
      <w:pPr>
        <w:divId w:val="1054886997"/>
        <w:rPr>
          <w:rFonts w:eastAsia="Times New Roman"/>
        </w:rPr>
      </w:pPr>
      <w:r>
        <w:rPr>
          <w:rFonts w:ascii="Arial" w:eastAsia="Times New Roman" w:hAnsi="Arial" w:cs="Arial"/>
          <w:b/>
          <w:bCs/>
          <w:color w:val="000000"/>
          <w:sz w:val="28"/>
          <w:szCs w:val="28"/>
        </w:rPr>
        <w:t>ITEM 3. DEFAULTS UPON SENIOR SECURITIES</w:t>
      </w:r>
    </w:p>
    <w:p w:rsidR="00000000" w:rsidRDefault="009E01B0">
      <w:pPr>
        <w:divId w:val="74086668"/>
        <w:rPr>
          <w:rFonts w:eastAsia="Times New Roman"/>
        </w:rPr>
      </w:pPr>
      <w:r>
        <w:rPr>
          <w:rFonts w:ascii="Arial" w:eastAsia="Times New Roman" w:hAnsi="Arial" w:cs="Arial"/>
          <w:color w:val="000000"/>
          <w:sz w:val="20"/>
          <w:szCs w:val="20"/>
        </w:rPr>
        <w:t>None.</w:t>
      </w:r>
    </w:p>
    <w:p w:rsidR="00000000" w:rsidRDefault="009E01B0">
      <w:pPr>
        <w:divId w:val="2081708373"/>
        <w:rPr>
          <w:rFonts w:eastAsia="Times New Roman"/>
        </w:rPr>
      </w:pPr>
    </w:p>
    <w:p w:rsidR="00000000" w:rsidRDefault="009E01B0">
      <w:pPr>
        <w:divId w:val="1187409065"/>
        <w:rPr>
          <w:rFonts w:eastAsia="Times New Roman"/>
        </w:rPr>
      </w:pPr>
      <w:r>
        <w:rPr>
          <w:rFonts w:ascii="Arial" w:eastAsia="Times New Roman" w:hAnsi="Arial" w:cs="Arial"/>
          <w:b/>
          <w:bCs/>
          <w:color w:val="000000"/>
          <w:sz w:val="28"/>
          <w:szCs w:val="28"/>
        </w:rPr>
        <w:t>ITEM 4. MINE SAF</w:t>
      </w:r>
      <w:r>
        <w:rPr>
          <w:rFonts w:ascii="Arial" w:eastAsia="Times New Roman" w:hAnsi="Arial" w:cs="Arial"/>
          <w:b/>
          <w:bCs/>
          <w:color w:val="000000"/>
          <w:sz w:val="28"/>
          <w:szCs w:val="28"/>
        </w:rPr>
        <w:t>ETY DISCLOSURES</w:t>
      </w:r>
    </w:p>
    <w:p w:rsidR="00000000" w:rsidRDefault="009E01B0">
      <w:pPr>
        <w:divId w:val="662396005"/>
        <w:rPr>
          <w:rFonts w:eastAsia="Times New Roman"/>
        </w:rPr>
      </w:pPr>
      <w:r>
        <w:rPr>
          <w:rFonts w:ascii="Arial" w:eastAsia="Times New Roman" w:hAnsi="Arial" w:cs="Arial"/>
          <w:color w:val="000000"/>
          <w:sz w:val="20"/>
          <w:szCs w:val="20"/>
        </w:rPr>
        <w:t>Not applicable.</w:t>
      </w:r>
    </w:p>
    <w:p w:rsidR="00000000" w:rsidRDefault="009E01B0">
      <w:pPr>
        <w:divId w:val="1092356144"/>
        <w:rPr>
          <w:rFonts w:eastAsia="Times New Roman"/>
        </w:rPr>
      </w:pPr>
    </w:p>
    <w:p w:rsidR="00000000" w:rsidRDefault="009E01B0">
      <w:pPr>
        <w:divId w:val="388771215"/>
        <w:rPr>
          <w:rFonts w:eastAsia="Times New Roman"/>
        </w:rPr>
      </w:pPr>
      <w:r>
        <w:rPr>
          <w:rFonts w:ascii="Arial" w:eastAsia="Times New Roman" w:hAnsi="Arial" w:cs="Arial"/>
          <w:b/>
          <w:bCs/>
          <w:color w:val="000000"/>
          <w:sz w:val="28"/>
          <w:szCs w:val="28"/>
        </w:rPr>
        <w:t>ITEM 5. OTHER INFORMATION</w:t>
      </w:r>
    </w:p>
    <w:p w:rsidR="00000000" w:rsidRDefault="009E01B0">
      <w:pPr>
        <w:divId w:val="1267343069"/>
        <w:rPr>
          <w:rFonts w:eastAsia="Times New Roman"/>
        </w:rPr>
      </w:pPr>
    </w:p>
    <w:p w:rsidR="00000000" w:rsidRDefault="009E01B0">
      <w:pPr>
        <w:divId w:val="165680602"/>
        <w:rPr>
          <w:rFonts w:eastAsia="Times New Roman"/>
        </w:rPr>
      </w:pPr>
      <w:r>
        <w:rPr>
          <w:rFonts w:ascii="Arial" w:eastAsia="Times New Roman" w:hAnsi="Arial" w:cs="Arial"/>
          <w:color w:val="000000"/>
          <w:sz w:val="20"/>
          <w:szCs w:val="20"/>
        </w:rPr>
        <w:t>None.</w:t>
      </w:r>
    </w:p>
    <w:p w:rsidR="00000000" w:rsidRDefault="009E01B0">
      <w:pPr>
        <w:divId w:val="1550190469"/>
        <w:rPr>
          <w:rFonts w:eastAsia="Times New Roman"/>
        </w:rPr>
      </w:pPr>
    </w:p>
    <w:p w:rsidR="00000000" w:rsidRDefault="009E01B0">
      <w:pPr>
        <w:jc w:val="center"/>
        <w:divId w:val="1899510623"/>
        <w:rPr>
          <w:rFonts w:eastAsia="Times New Roman"/>
        </w:rPr>
      </w:pPr>
      <w:r>
        <w:rPr>
          <w:rFonts w:ascii="Arial" w:eastAsia="Times New Roman" w:hAnsi="Arial" w:cs="Arial"/>
          <w:color w:val="000000"/>
          <w:sz w:val="20"/>
          <w:szCs w:val="20"/>
        </w:rPr>
        <w:t>52</w:t>
      </w:r>
    </w:p>
    <w:p w:rsidR="00000000" w:rsidRDefault="009E01B0">
      <w:pPr>
        <w:rPr>
          <w:rFonts w:eastAsia="Times New Roman"/>
        </w:rPr>
      </w:pPr>
      <w:r>
        <w:rPr>
          <w:rFonts w:eastAsia="Times New Roman"/>
        </w:rPr>
        <w:pict>
          <v:rect id="_x0000_i1077" style="width:0;height:1.5pt" o:hralign="center" o:hrstd="t" o:hr="t" fillcolor="#a0a0a0" stroked="f"/>
        </w:pict>
      </w:r>
    </w:p>
    <w:p w:rsidR="00000000" w:rsidRDefault="009E01B0">
      <w:pPr>
        <w:divId w:val="136806179"/>
        <w:rPr>
          <w:rFonts w:eastAsia="Times New Roman"/>
        </w:rPr>
      </w:pPr>
    </w:p>
    <w:p w:rsidR="00000000" w:rsidRDefault="009E01B0">
      <w:pPr>
        <w:divId w:val="1214733388"/>
        <w:rPr>
          <w:rFonts w:eastAsia="Times New Roman"/>
        </w:rPr>
      </w:pPr>
      <w:r>
        <w:rPr>
          <w:rFonts w:ascii="Arial" w:eastAsia="Times New Roman" w:hAnsi="Arial" w:cs="Arial"/>
          <w:b/>
          <w:bCs/>
          <w:color w:val="000000"/>
          <w:sz w:val="28"/>
          <w:szCs w:val="28"/>
        </w:rPr>
        <w:t>ITEM 6. EXHIBITS</w:t>
      </w:r>
    </w:p>
    <w:p w:rsidR="00000000" w:rsidRDefault="009E01B0">
      <w:pPr>
        <w:divId w:val="1727992401"/>
        <w:rPr>
          <w:rFonts w:eastAsia="Times New Roman"/>
        </w:rPr>
      </w:pPr>
    </w:p>
    <w:p w:rsidR="00000000" w:rsidRDefault="009E01B0">
      <w:pPr>
        <w:divId w:val="857892953"/>
        <w:rPr>
          <w:rFonts w:eastAsia="Times New Roman"/>
        </w:rPr>
      </w:pPr>
      <w:r>
        <w:rPr>
          <w:rFonts w:ascii="Arial" w:eastAsia="Times New Roman" w:hAnsi="Arial" w:cs="Arial"/>
          <w:color w:val="000000"/>
          <w:sz w:val="20"/>
          <w:szCs w:val="20"/>
        </w:rPr>
        <w:t>Each exhibit identified below is included as a part of this quarterly report. Exhibits included in this filing are designated</w:t>
      </w:r>
      <w:r>
        <w:rPr>
          <w:rFonts w:ascii="Arial" w:eastAsia="Times New Roman" w:hAnsi="Arial" w:cs="Arial"/>
          <w:color w:val="000000"/>
          <w:sz w:val="20"/>
          <w:szCs w:val="20"/>
        </w:rPr>
        <w:t xml:space="preserve"> by an asterisk (“*”); all exhibits not so designated are incorporated by reference to a prior filing as indicated.</w:t>
      </w:r>
    </w:p>
    <w:tbl>
      <w:tblPr>
        <w:tblW w:w="5000" w:type="pct"/>
        <w:tblCellMar>
          <w:top w:w="15" w:type="dxa"/>
          <w:left w:w="15" w:type="dxa"/>
          <w:bottom w:w="15" w:type="dxa"/>
          <w:right w:w="15" w:type="dxa"/>
        </w:tblCellMar>
        <w:tblLook w:val="04A0" w:firstRow="1" w:lastRow="0" w:firstColumn="1" w:lastColumn="0" w:noHBand="0" w:noVBand="1"/>
      </w:tblPr>
      <w:tblGrid>
        <w:gridCol w:w="74"/>
        <w:gridCol w:w="923"/>
        <w:gridCol w:w="38"/>
        <w:gridCol w:w="36"/>
        <w:gridCol w:w="36"/>
        <w:gridCol w:w="36"/>
        <w:gridCol w:w="51"/>
        <w:gridCol w:w="7075"/>
        <w:gridCol w:w="37"/>
      </w:tblGrid>
      <w:tr w:rsidR="00000000">
        <w:trPr>
          <w:divId w:val="556623140"/>
        </w:trPr>
        <w:tc>
          <w:tcPr>
            <w:tcW w:w="50" w:type="pct"/>
            <w:vAlign w:val="center"/>
            <w:hideMark/>
          </w:tcPr>
          <w:p w:rsidR="00000000" w:rsidRDefault="009E01B0">
            <w:pPr>
              <w:rPr>
                <w:rFonts w:eastAsia="Times New Roman"/>
              </w:rPr>
            </w:pPr>
          </w:p>
        </w:tc>
        <w:tc>
          <w:tcPr>
            <w:tcW w:w="578"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30"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427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55662314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b/>
                <w:bCs/>
                <w:color w:val="000000"/>
                <w:sz w:val="20"/>
                <w:szCs w:val="20"/>
              </w:rPr>
              <w:t>Exhibit No.</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b/>
                <w:bCs/>
                <w:color w:val="000000"/>
                <w:sz w:val="20"/>
                <w:szCs w:val="20"/>
              </w:rPr>
              <w:t>Description</w:t>
            </w:r>
          </w:p>
        </w:tc>
      </w:tr>
      <w:tr w:rsidR="00000000">
        <w:trPr>
          <w:divId w:val="55662314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hyperlink r:id="rId5" w:history="1">
              <w:r>
                <w:rPr>
                  <w:rStyle w:val="a3"/>
                  <w:rFonts w:ascii="Arial" w:eastAsia="Times New Roman" w:hAnsi="Arial" w:cs="Arial"/>
                  <w:sz w:val="20"/>
                  <w:szCs w:val="20"/>
                </w:rPr>
                <w:t>10.1*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9E01B0">
            <w:pPr>
              <w:divId w:val="1129472649"/>
              <w:rPr>
                <w:rFonts w:eastAsia="Times New Roman"/>
              </w:rPr>
            </w:pPr>
            <w:hyperlink r:id="rId6" w:history="1">
              <w:r>
                <w:rPr>
                  <w:rStyle w:val="a3"/>
                  <w:rFonts w:ascii="Arial" w:eastAsia="Times New Roman" w:hAnsi="Arial" w:cs="Arial"/>
                  <w:sz w:val="20"/>
                  <w:szCs w:val="20"/>
                </w:rPr>
                <w:t>Form of Enbridge Inc. 2019 Long Term Incentive Plan Stock Option Grant Notice and Stock Option Award Agreement (2021)</w:t>
              </w:r>
            </w:hyperlink>
          </w:p>
        </w:tc>
      </w:tr>
      <w:tr w:rsidR="00000000">
        <w:trPr>
          <w:divId w:val="55662314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hyperlink r:id="rId7" w:history="1">
              <w:r>
                <w:rPr>
                  <w:rStyle w:val="a3"/>
                  <w:rFonts w:ascii="Arial" w:eastAsia="Times New Roman" w:hAnsi="Arial" w:cs="Arial"/>
                  <w:sz w:val="20"/>
                  <w:szCs w:val="20"/>
                </w:rPr>
                <w:t>10.2*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9E01B0">
            <w:pPr>
              <w:divId w:val="1383863329"/>
              <w:rPr>
                <w:rFonts w:eastAsia="Times New Roman"/>
              </w:rPr>
            </w:pPr>
            <w:hyperlink r:id="rId8" w:history="1">
              <w:r>
                <w:rPr>
                  <w:rStyle w:val="a3"/>
                  <w:rFonts w:ascii="Arial" w:eastAsia="Times New Roman" w:hAnsi="Arial" w:cs="Arial"/>
                  <w:sz w:val="20"/>
                  <w:szCs w:val="20"/>
                </w:rPr>
                <w:t>Form of Enbridge Inc. 2019 Long Term Incentive Plan Performance Stock Unit Grant Notice and Performance Stock Unit Award Agreement (2021)</w:t>
              </w:r>
            </w:hyperlink>
          </w:p>
        </w:tc>
      </w:tr>
      <w:tr w:rsidR="00000000">
        <w:trPr>
          <w:divId w:val="55662314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hyperlink r:id="rId9" w:history="1">
              <w:r>
                <w:rPr>
                  <w:rStyle w:val="a3"/>
                  <w:rFonts w:ascii="Arial" w:eastAsia="Times New Roman" w:hAnsi="Arial" w:cs="Arial"/>
                  <w:sz w:val="20"/>
                  <w:szCs w:val="20"/>
                </w:rPr>
                <w:t>10.3*</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9E01B0">
            <w:pPr>
              <w:divId w:val="1003511121"/>
              <w:rPr>
                <w:rFonts w:eastAsia="Times New Roman"/>
              </w:rPr>
            </w:pPr>
            <w:hyperlink r:id="rId10" w:history="1">
              <w:r>
                <w:rPr>
                  <w:rStyle w:val="a3"/>
                  <w:rFonts w:ascii="Arial" w:eastAsia="Times New Roman" w:hAnsi="Arial" w:cs="Arial"/>
                  <w:sz w:val="20"/>
                  <w:szCs w:val="20"/>
                </w:rPr>
                <w:t>Form of Enbridge Inc. 2019 Long Term Incentive Plan Restricted Stock Unit Grant Notice and Restricted Stock Unit Award Agreement (2021 Share-settled)</w:t>
              </w:r>
            </w:hyperlink>
          </w:p>
        </w:tc>
      </w:tr>
      <w:tr w:rsidR="00000000">
        <w:trPr>
          <w:divId w:val="55662314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hyperlink r:id="rId11" w:history="1">
              <w:r>
                <w:rPr>
                  <w:rStyle w:val="a3"/>
                  <w:rFonts w:ascii="Arial" w:eastAsia="Times New Roman" w:hAnsi="Arial" w:cs="Arial"/>
                  <w:sz w:val="20"/>
                  <w:szCs w:val="20"/>
                </w:rPr>
                <w:t>10.4*</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9E01B0">
            <w:pPr>
              <w:divId w:val="131949603"/>
              <w:rPr>
                <w:rFonts w:eastAsia="Times New Roman"/>
              </w:rPr>
            </w:pPr>
            <w:hyperlink r:id="rId12" w:history="1">
              <w:r>
                <w:rPr>
                  <w:rStyle w:val="a3"/>
                  <w:rFonts w:ascii="Arial" w:eastAsia="Times New Roman" w:hAnsi="Arial" w:cs="Arial"/>
                  <w:sz w:val="20"/>
                  <w:szCs w:val="20"/>
                </w:rPr>
                <w:t>Form of Enbridge Inc. 2019 Long Term Incentive Plan Restricted Stock Unit Grant Notice and Restricted Stock Unit Award Agreement (2021 Cash-settled)</w:t>
              </w:r>
            </w:hyperlink>
          </w:p>
        </w:tc>
      </w:tr>
      <w:tr w:rsidR="00000000">
        <w:trPr>
          <w:divId w:val="556623140"/>
        </w:trPr>
        <w:tc>
          <w:tcPr>
            <w:tcW w:w="0" w:type="auto"/>
            <w:gridSpan w:val="3"/>
            <w:tcBorders>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hyperlink r:id="rId13" w:history="1">
              <w:r>
                <w:rPr>
                  <w:rStyle w:val="a3"/>
                  <w:rFonts w:ascii="Arial" w:eastAsia="Times New Roman" w:hAnsi="Arial" w:cs="Arial"/>
                  <w:sz w:val="20"/>
                  <w:szCs w:val="20"/>
                </w:rPr>
                <w:t>10.5*</w:t>
              </w:r>
            </w:hyperlink>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left w:val="single" w:sz="8" w:space="0" w:color="000000"/>
              <w:right w:val="single" w:sz="8" w:space="0" w:color="000000"/>
            </w:tcBorders>
            <w:tcMar>
              <w:top w:w="30" w:type="dxa"/>
              <w:left w:w="20" w:type="dxa"/>
              <w:bottom w:w="30" w:type="dxa"/>
              <w:right w:w="20" w:type="dxa"/>
            </w:tcMar>
            <w:vAlign w:val="bottom"/>
            <w:hideMark/>
          </w:tcPr>
          <w:p w:rsidR="00000000" w:rsidRDefault="009E01B0">
            <w:pPr>
              <w:divId w:val="885916424"/>
              <w:rPr>
                <w:rFonts w:eastAsia="Times New Roman"/>
              </w:rPr>
            </w:pPr>
            <w:hyperlink r:id="rId14" w:history="1">
              <w:r>
                <w:rPr>
                  <w:rStyle w:val="a3"/>
                  <w:rFonts w:ascii="Arial" w:eastAsia="Times New Roman" w:hAnsi="Arial" w:cs="Arial"/>
                  <w:sz w:val="20"/>
                  <w:szCs w:val="20"/>
                </w:rPr>
                <w:t>Form of Enbridge Inc. 2019 Long Term Incentive Plan Restricted Stock Unit - Energy Marketers Grant Notice and Restricted Stock Unit Award Agreement (2021)</w:t>
              </w:r>
            </w:hyperlink>
          </w:p>
        </w:tc>
      </w:tr>
      <w:tr w:rsidR="00000000">
        <w:trPr>
          <w:divId w:val="55662314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hyperlink r:id="rId15" w:history="1">
              <w:r>
                <w:rPr>
                  <w:rStyle w:val="a3"/>
                  <w:rFonts w:ascii="Arial" w:eastAsia="Times New Roman" w:hAnsi="Arial" w:cs="Arial"/>
                  <w:sz w:val="20"/>
                  <w:szCs w:val="20"/>
                </w:rPr>
                <w:t>10</w:t>
              </w:r>
            </w:hyperlink>
            <w:hyperlink r:id="rId16" w:history="1">
              <w:r>
                <w:rPr>
                  <w:rStyle w:val="a3"/>
                  <w:rFonts w:ascii="Arial" w:eastAsia="Times New Roman" w:hAnsi="Arial" w:cs="Arial"/>
                  <w:sz w:val="20"/>
                  <w:szCs w:val="20"/>
                </w:rPr>
                <w:t>.</w:t>
              </w:r>
            </w:hyperlink>
            <w:hyperlink r:id="rId17" w:history="1">
              <w:r>
                <w:rPr>
                  <w:rStyle w:val="a3"/>
                  <w:rFonts w:ascii="Arial" w:eastAsia="Times New Roman" w:hAnsi="Arial" w:cs="Arial"/>
                  <w:sz w:val="20"/>
                  <w:szCs w:val="20"/>
                </w:rPr>
                <w:t>6</w:t>
              </w:r>
            </w:hyperlink>
            <w:hyperlink r:id="rId18" w:history="1">
              <w:r>
                <w:rPr>
                  <w:rStyle w:val="a3"/>
                  <w:rFonts w:ascii="Arial" w:eastAsia="Times New Roman" w:hAnsi="Arial" w:cs="Arial"/>
                  <w:sz w:val="20"/>
                  <w:szCs w:val="20"/>
                </w:rPr>
                <w:t>*</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9E01B0">
            <w:pPr>
              <w:divId w:val="1258173767"/>
              <w:rPr>
                <w:rFonts w:eastAsia="Times New Roman"/>
              </w:rPr>
            </w:pPr>
            <w:hyperlink r:id="rId19" w:history="1">
              <w:r>
                <w:rPr>
                  <w:rStyle w:val="a3"/>
                  <w:rFonts w:ascii="Arial" w:eastAsia="Times New Roman" w:hAnsi="Arial" w:cs="Arial"/>
                  <w:sz w:val="20"/>
                  <w:szCs w:val="20"/>
                </w:rPr>
                <w:t xml:space="preserve">Enbridge Inc. Directors’ </w:t>
              </w:r>
              <w:r>
                <w:rPr>
                  <w:rStyle w:val="a3"/>
                  <w:rFonts w:ascii="Arial" w:eastAsia="Times New Roman" w:hAnsi="Arial" w:cs="Arial"/>
                  <w:sz w:val="20"/>
                  <w:szCs w:val="20"/>
                </w:rPr>
                <w:t>Compensation Plan dated February 9, 2021, effective April 1, 2021</w:t>
              </w:r>
            </w:hyperlink>
          </w:p>
        </w:tc>
      </w:tr>
      <w:tr w:rsidR="00000000">
        <w:trPr>
          <w:divId w:val="55662314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hyperlink r:id="rId20" w:history="1">
              <w:r>
                <w:rPr>
                  <w:rStyle w:val="a3"/>
                  <w:rFonts w:ascii="Arial" w:eastAsia="Times New Roman" w:hAnsi="Arial" w:cs="Arial"/>
                  <w:sz w:val="20"/>
                  <w:szCs w:val="20"/>
                </w:rPr>
                <w:t>22.1*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9E01B0">
            <w:pPr>
              <w:divId w:val="2068340264"/>
              <w:rPr>
                <w:rFonts w:eastAsia="Times New Roman"/>
              </w:rPr>
            </w:pPr>
            <w:hyperlink r:id="rId21" w:history="1">
              <w:r>
                <w:rPr>
                  <w:rStyle w:val="a3"/>
                  <w:rFonts w:ascii="Arial" w:eastAsia="Times New Roman" w:hAnsi="Arial" w:cs="Arial"/>
                  <w:sz w:val="20"/>
                  <w:szCs w:val="20"/>
                </w:rPr>
                <w:t>Subsidiary Guarantors</w:t>
              </w:r>
            </w:hyperlink>
          </w:p>
        </w:tc>
      </w:tr>
      <w:tr w:rsidR="00000000">
        <w:trPr>
          <w:divId w:val="55662314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hyperlink r:id="rId22" w:history="1">
              <w:r>
                <w:rPr>
                  <w:rStyle w:val="a3"/>
                  <w:rFonts w:ascii="Arial" w:eastAsia="Times New Roman" w:hAnsi="Arial" w:cs="Arial"/>
                  <w:sz w:val="20"/>
                  <w:szCs w:val="20"/>
                </w:rPr>
                <w:t>31.1*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9E01B0">
            <w:pPr>
              <w:divId w:val="1065644804"/>
              <w:rPr>
                <w:rFonts w:eastAsia="Times New Roman"/>
              </w:rPr>
            </w:pPr>
            <w:hyperlink r:id="rId23" w:history="1">
              <w:r>
                <w:rPr>
                  <w:rStyle w:val="a3"/>
                  <w:rFonts w:ascii="Arial" w:eastAsia="Times New Roman" w:hAnsi="Arial" w:cs="Arial"/>
                  <w:sz w:val="20"/>
                  <w:szCs w:val="20"/>
                </w:rPr>
                <w:t>Certification Pursuant to Section 302 of the Sarbanes-Oxley Act of 2002.</w:t>
              </w:r>
            </w:hyperlink>
          </w:p>
        </w:tc>
      </w:tr>
      <w:tr w:rsidR="00000000">
        <w:trPr>
          <w:divId w:val="55662314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hyperlink r:id="rId24" w:history="1">
              <w:r>
                <w:rPr>
                  <w:rStyle w:val="a3"/>
                  <w:rFonts w:ascii="Arial" w:eastAsia="Times New Roman" w:hAnsi="Arial" w:cs="Arial"/>
                  <w:sz w:val="20"/>
                  <w:szCs w:val="20"/>
                </w:rPr>
                <w:t>31.2*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9E01B0">
            <w:pPr>
              <w:divId w:val="201091869"/>
              <w:rPr>
                <w:rFonts w:eastAsia="Times New Roman"/>
              </w:rPr>
            </w:pPr>
            <w:hyperlink r:id="rId25" w:history="1">
              <w:r>
                <w:rPr>
                  <w:rStyle w:val="a3"/>
                  <w:rFonts w:ascii="Arial" w:eastAsia="Times New Roman" w:hAnsi="Arial" w:cs="Arial"/>
                  <w:sz w:val="20"/>
                  <w:szCs w:val="20"/>
                </w:rPr>
                <w:t>Certification Pursuant to Section 302 of the Sarbanes-Oxley Act of 2002.</w:t>
              </w:r>
            </w:hyperlink>
          </w:p>
        </w:tc>
      </w:tr>
      <w:tr w:rsidR="00000000">
        <w:trPr>
          <w:divId w:val="55662314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hyperlink r:id="rId26" w:history="1">
              <w:r>
                <w:rPr>
                  <w:rStyle w:val="a3"/>
                  <w:rFonts w:ascii="Arial" w:eastAsia="Times New Roman" w:hAnsi="Arial" w:cs="Arial"/>
                  <w:sz w:val="20"/>
                  <w:szCs w:val="20"/>
                </w:rPr>
                <w:t>32.1*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9E01B0">
            <w:pPr>
              <w:divId w:val="1566255861"/>
              <w:rPr>
                <w:rFonts w:eastAsia="Times New Roman"/>
              </w:rPr>
            </w:pPr>
            <w:hyperlink r:id="rId27" w:history="1">
              <w:r>
                <w:rPr>
                  <w:rStyle w:val="a3"/>
                  <w:rFonts w:ascii="Arial" w:eastAsia="Times New Roman" w:hAnsi="Arial" w:cs="Arial"/>
                  <w:sz w:val="20"/>
                  <w:szCs w:val="20"/>
                </w:rPr>
                <w:t>Certification Pursuant to Section 906 of the Sarbanes-Oxley Act of 2002.</w:t>
              </w:r>
            </w:hyperlink>
          </w:p>
        </w:tc>
      </w:tr>
      <w:tr w:rsidR="00000000">
        <w:trPr>
          <w:divId w:val="55662314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hyperlink r:id="rId28" w:history="1">
              <w:r>
                <w:rPr>
                  <w:rStyle w:val="a3"/>
                  <w:rFonts w:ascii="Arial" w:eastAsia="Times New Roman" w:hAnsi="Arial" w:cs="Arial"/>
                  <w:sz w:val="20"/>
                  <w:szCs w:val="20"/>
                </w:rPr>
                <w:t>32.2*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9E01B0">
            <w:pPr>
              <w:divId w:val="211582374"/>
              <w:rPr>
                <w:rFonts w:eastAsia="Times New Roman"/>
              </w:rPr>
            </w:pPr>
            <w:hyperlink r:id="rId29" w:history="1">
              <w:r>
                <w:rPr>
                  <w:rStyle w:val="a3"/>
                  <w:rFonts w:ascii="Arial" w:eastAsia="Times New Roman" w:hAnsi="Arial" w:cs="Arial"/>
                  <w:sz w:val="20"/>
                  <w:szCs w:val="20"/>
                </w:rPr>
                <w:t>Certification Pursuant to Section 906 of the Sarbanes-Oxley Act of 2002.</w:t>
              </w:r>
            </w:hyperlink>
          </w:p>
        </w:tc>
      </w:tr>
      <w:tr w:rsidR="00000000">
        <w:trPr>
          <w:divId w:val="55662314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101.INS*</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XBRL Instance Document.</w:t>
            </w:r>
          </w:p>
        </w:tc>
      </w:tr>
      <w:tr w:rsidR="00000000">
        <w:trPr>
          <w:divId w:val="55662314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101.SCH*</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Inline XBRL Taxonomy Extension Schema Document.</w:t>
            </w:r>
          </w:p>
        </w:tc>
      </w:tr>
      <w:tr w:rsidR="00000000">
        <w:trPr>
          <w:divId w:val="55662314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101.CAL*</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Inline XBRL Taxonomy Extension Calculation Linkbase Document.</w:t>
            </w:r>
          </w:p>
        </w:tc>
      </w:tr>
      <w:tr w:rsidR="00000000">
        <w:trPr>
          <w:divId w:val="55662314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101.DEF*</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Inline XBRL Taxonomy Extension Definition Linkbase Document.</w:t>
            </w:r>
          </w:p>
        </w:tc>
      </w:tr>
      <w:tr w:rsidR="00000000">
        <w:trPr>
          <w:divId w:val="556623140"/>
        </w:trPr>
        <w:tc>
          <w:tcPr>
            <w:tcW w:w="0" w:type="auto"/>
            <w:gridSpan w:val="3"/>
            <w:tcBorders>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101.LAB*</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left w:val="single" w:sz="8" w:space="0" w:color="000000"/>
              <w:right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Inline XBRL Taxonomy Extension Label Linkbase Document.</w:t>
            </w:r>
          </w:p>
        </w:tc>
      </w:tr>
      <w:tr w:rsidR="00000000">
        <w:trPr>
          <w:divId w:val="556623140"/>
        </w:trPr>
        <w:tc>
          <w:tcPr>
            <w:tcW w:w="0" w:type="auto"/>
            <w:gridSpan w:val="3"/>
            <w:tcBorders>
              <w:left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101.PRE*</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left w:val="single" w:sz="8" w:space="0" w:color="000000"/>
              <w:right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Inline XBRL Taxonomy Extension Presentation Linkbase Document.</w:t>
            </w:r>
          </w:p>
        </w:tc>
      </w:tr>
      <w:tr w:rsidR="00000000">
        <w:trPr>
          <w:divId w:val="556623140"/>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104</w:t>
            </w:r>
          </w:p>
        </w:tc>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9E01B0">
            <w:pPr>
              <w:jc w:val="right"/>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9E01B0">
            <w:pPr>
              <w:rPr>
                <w:rFonts w:eastAsia="Times New Roman"/>
              </w:rPr>
            </w:pPr>
            <w:r>
              <w:rPr>
                <w:rFonts w:ascii="Arial" w:eastAsia="Times New Roman" w:hAnsi="Arial" w:cs="Arial"/>
                <w:color w:val="000000"/>
                <w:sz w:val="20"/>
                <w:szCs w:val="20"/>
              </w:rPr>
              <w:t>Cover Page Interactive Data File - the cover page XBRL tags are embedded within the Inline XBRL document (included in Exhibit 101)</w:t>
            </w:r>
          </w:p>
        </w:tc>
      </w:tr>
    </w:tbl>
    <w:p w:rsidR="00000000" w:rsidRDefault="009E01B0">
      <w:pPr>
        <w:divId w:val="870918091"/>
        <w:rPr>
          <w:rFonts w:eastAsia="Times New Roman"/>
        </w:rPr>
      </w:pPr>
    </w:p>
    <w:p w:rsidR="00000000" w:rsidRDefault="009E01B0">
      <w:pPr>
        <w:jc w:val="center"/>
        <w:divId w:val="664938587"/>
        <w:rPr>
          <w:rFonts w:eastAsia="Times New Roman"/>
        </w:rPr>
      </w:pPr>
      <w:r>
        <w:rPr>
          <w:rFonts w:ascii="Arial" w:eastAsia="Times New Roman" w:hAnsi="Arial" w:cs="Arial"/>
          <w:color w:val="000000"/>
          <w:sz w:val="20"/>
          <w:szCs w:val="20"/>
        </w:rPr>
        <w:t>53</w:t>
      </w:r>
    </w:p>
    <w:p w:rsidR="00000000" w:rsidRDefault="009E01B0">
      <w:pPr>
        <w:rPr>
          <w:rFonts w:eastAsia="Times New Roman"/>
        </w:rPr>
      </w:pPr>
      <w:r>
        <w:rPr>
          <w:rFonts w:eastAsia="Times New Roman"/>
        </w:rPr>
        <w:pict>
          <v:rect id="_x0000_i1078" style="width:0;height:1.5pt" o:hralign="center" o:hrstd="t" o:hr="t" fillcolor="#a0a0a0" stroked="f"/>
        </w:pict>
      </w:r>
    </w:p>
    <w:p w:rsidR="00000000" w:rsidRDefault="009E01B0">
      <w:pPr>
        <w:divId w:val="630136656"/>
        <w:rPr>
          <w:rFonts w:eastAsia="Times New Roman"/>
        </w:rPr>
      </w:pPr>
    </w:p>
    <w:p w:rsidR="00000000" w:rsidRDefault="009E01B0">
      <w:pPr>
        <w:jc w:val="center"/>
        <w:rPr>
          <w:rFonts w:eastAsia="Times New Roman"/>
        </w:rPr>
      </w:pPr>
      <w:r>
        <w:rPr>
          <w:rFonts w:ascii="Arial" w:eastAsia="Times New Roman" w:hAnsi="Arial" w:cs="Arial"/>
          <w:b/>
          <w:bCs/>
          <w:color w:val="000000"/>
          <w:sz w:val="26"/>
          <w:szCs w:val="26"/>
        </w:rPr>
        <w:t>SIGNATURES</w:t>
      </w:r>
    </w:p>
    <w:p w:rsidR="00000000" w:rsidRDefault="009E01B0">
      <w:pPr>
        <w:divId w:val="368262017"/>
        <w:rPr>
          <w:rFonts w:eastAsia="Times New Roman"/>
        </w:rPr>
      </w:pPr>
      <w:r>
        <w:rPr>
          <w:rFonts w:ascii="Arial" w:eastAsia="Times New Roman" w:hAnsi="Arial" w:cs="Arial"/>
          <w:color w:val="000000"/>
          <w:sz w:val="20"/>
          <w:szCs w:val="20"/>
        </w:rPr>
        <w:t> </w:t>
      </w:r>
    </w:p>
    <w:p w:rsidR="00000000" w:rsidRDefault="009E01B0">
      <w:pPr>
        <w:divId w:val="1257598507"/>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p w:rsidR="00000000" w:rsidRDefault="009E01B0">
      <w:pPr>
        <w:divId w:val="597179087"/>
        <w:rPr>
          <w:rFonts w:eastAsia="Times New Roman"/>
        </w:rPr>
      </w:pPr>
      <w:r>
        <w:rPr>
          <w:rFonts w:ascii="Arial" w:eastAsia="Times New Roman" w:hAnsi="Arial" w:cs="Arial"/>
          <w:color w:val="000000"/>
          <w:sz w:val="20"/>
          <w:szCs w:val="20"/>
        </w:rPr>
        <w:t> </w:t>
      </w:r>
    </w:p>
    <w:p w:rsidR="00000000" w:rsidRDefault="009E01B0">
      <w:pPr>
        <w:divId w:val="788747626"/>
        <w:rPr>
          <w:rFonts w:eastAsia="Times New Roman"/>
        </w:rPr>
      </w:pPr>
      <w:r>
        <w:rPr>
          <w:rFonts w:ascii="Arial" w:eastAsia="Times New Roman" w:hAnsi="Arial" w:cs="Arial"/>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586"/>
        <w:gridCol w:w="36"/>
        <w:gridCol w:w="69"/>
        <w:gridCol w:w="2916"/>
        <w:gridCol w:w="36"/>
        <w:gridCol w:w="69"/>
        <w:gridCol w:w="586"/>
        <w:gridCol w:w="36"/>
        <w:gridCol w:w="70"/>
        <w:gridCol w:w="3796"/>
        <w:gridCol w:w="37"/>
      </w:tblGrid>
      <w:tr w:rsidR="00000000">
        <w:trPr>
          <w:divId w:val="1040590901"/>
        </w:trPr>
        <w:tc>
          <w:tcPr>
            <w:tcW w:w="50" w:type="pct"/>
            <w:vAlign w:val="center"/>
            <w:hideMark/>
          </w:tcPr>
          <w:p w:rsidR="00000000" w:rsidRDefault="009E01B0">
            <w:pPr>
              <w:rPr>
                <w:rFonts w:eastAsia="Times New Roman"/>
              </w:rPr>
            </w:pPr>
          </w:p>
        </w:tc>
        <w:tc>
          <w:tcPr>
            <w:tcW w:w="36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1763"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361"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c>
          <w:tcPr>
            <w:tcW w:w="50" w:type="pct"/>
            <w:vAlign w:val="center"/>
            <w:hideMark/>
          </w:tcPr>
          <w:p w:rsidR="00000000" w:rsidRDefault="009E01B0">
            <w:pPr>
              <w:rPr>
                <w:rFonts w:eastAsia="Times New Roman"/>
                <w:sz w:val="20"/>
                <w:szCs w:val="20"/>
              </w:rPr>
            </w:pPr>
          </w:p>
        </w:tc>
        <w:tc>
          <w:tcPr>
            <w:tcW w:w="2292" w:type="pct"/>
            <w:vAlign w:val="center"/>
            <w:hideMark/>
          </w:tcPr>
          <w:p w:rsidR="00000000" w:rsidRDefault="009E01B0">
            <w:pPr>
              <w:rPr>
                <w:rFonts w:eastAsia="Times New Roman"/>
                <w:sz w:val="20"/>
                <w:szCs w:val="20"/>
              </w:rPr>
            </w:pPr>
          </w:p>
        </w:tc>
        <w:tc>
          <w:tcPr>
            <w:tcW w:w="5" w:type="pct"/>
            <w:vAlign w:val="center"/>
            <w:hideMark/>
          </w:tcPr>
          <w:p w:rsidR="00000000" w:rsidRDefault="009E01B0">
            <w:pPr>
              <w:rPr>
                <w:rFonts w:eastAsia="Times New Roman"/>
                <w:sz w:val="20"/>
                <w:szCs w:val="20"/>
              </w:rPr>
            </w:pPr>
          </w:p>
        </w:tc>
      </w:tr>
      <w:tr w:rsidR="00000000">
        <w:trPr>
          <w:divId w:val="1040590901"/>
        </w:trPr>
        <w:tc>
          <w:tcPr>
            <w:tcW w:w="0" w:type="auto"/>
            <w:gridSpan w:val="6"/>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b/>
                <w:bCs/>
                <w:color w:val="000000"/>
                <w:sz w:val="20"/>
                <w:szCs w:val="20"/>
              </w:rPr>
              <w:t>ENBRIDGE INC.</w:t>
            </w:r>
          </w:p>
        </w:tc>
      </w:tr>
      <w:tr w:rsidR="00000000">
        <w:trPr>
          <w:divId w:val="1040590901"/>
        </w:trPr>
        <w:tc>
          <w:tcPr>
            <w:tcW w:w="0" w:type="auto"/>
            <w:gridSpan w:val="6"/>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(Registrant)</w:t>
            </w:r>
          </w:p>
        </w:tc>
      </w:tr>
      <w:tr w:rsidR="00000000">
        <w:trPr>
          <w:divId w:val="1040590901"/>
        </w:trPr>
        <w:tc>
          <w:tcPr>
            <w:tcW w:w="0" w:type="auto"/>
            <w:gridSpan w:val="6"/>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 </w:t>
            </w:r>
          </w:p>
        </w:tc>
      </w:tr>
      <w:tr w:rsidR="00000000">
        <w:trPr>
          <w:divId w:val="1040590901"/>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Date:</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May 7, 2021</w:t>
            </w:r>
          </w:p>
        </w:tc>
        <w:tc>
          <w:tcPr>
            <w:tcW w:w="0" w:type="auto"/>
            <w:gridSpan w:val="3"/>
            <w:tcMar>
              <w:top w:w="30" w:type="dxa"/>
              <w:left w:w="20" w:type="dxa"/>
              <w:bottom w:w="30" w:type="dxa"/>
              <w:right w:w="20" w:type="dxa"/>
            </w:tcMar>
            <w:hideMark/>
          </w:tcPr>
          <w:p w:rsidR="00000000" w:rsidRDefault="009E01B0">
            <w:pPr>
              <w:jc w:val="right"/>
              <w:rPr>
                <w:rFonts w:eastAsia="Times New Roman"/>
              </w:rPr>
            </w:pPr>
            <w:r>
              <w:rPr>
                <w:rFonts w:ascii="Arial" w:eastAsia="Times New Roman" w:hAnsi="Arial" w:cs="Arial"/>
                <w:color w:val="000000"/>
                <w:sz w:val="20"/>
                <w:szCs w:val="20"/>
              </w:rPr>
              <w:t>By:   </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/s/ Al Monaco</w:t>
            </w:r>
          </w:p>
        </w:tc>
      </w:tr>
      <w:tr w:rsidR="00000000">
        <w:trPr>
          <w:divId w:val="1040590901"/>
        </w:trPr>
        <w:tc>
          <w:tcPr>
            <w:tcW w:w="0" w:type="auto"/>
            <w:gridSpan w:val="6"/>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E01B0">
            <w:pPr>
              <w:divId w:val="1416592587"/>
              <w:rPr>
                <w:rFonts w:eastAsia="Times New Roman"/>
              </w:rPr>
            </w:pPr>
            <w:r>
              <w:rPr>
                <w:rFonts w:ascii="Arial" w:eastAsia="Times New Roman" w:hAnsi="Arial" w:cs="Arial"/>
                <w:color w:val="000000"/>
                <w:sz w:val="20"/>
                <w:szCs w:val="20"/>
              </w:rPr>
              <w:t>Al Monaco</w:t>
            </w:r>
          </w:p>
          <w:p w:rsidR="00000000" w:rsidRDefault="009E01B0">
            <w:pPr>
              <w:divId w:val="376127989"/>
              <w:rPr>
                <w:rFonts w:eastAsia="Times New Roman"/>
              </w:rPr>
            </w:pPr>
            <w:r>
              <w:rPr>
                <w:rFonts w:ascii="Arial" w:eastAsia="Times New Roman" w:hAnsi="Arial" w:cs="Arial"/>
                <w:color w:val="000000"/>
                <w:sz w:val="20"/>
                <w:szCs w:val="20"/>
              </w:rPr>
              <w:t>President and Chief Executive Officer</w:t>
            </w:r>
          </w:p>
        </w:tc>
      </w:tr>
      <w:tr w:rsidR="00000000">
        <w:trPr>
          <w:divId w:val="1040590901"/>
        </w:trPr>
        <w:tc>
          <w:tcPr>
            <w:tcW w:w="0" w:type="auto"/>
            <w:gridSpan w:val="3"/>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(Principal Executive Officer)</w:t>
            </w:r>
          </w:p>
        </w:tc>
      </w:tr>
      <w:tr w:rsidR="00000000">
        <w:trPr>
          <w:divId w:val="1040590901"/>
        </w:trPr>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Date:</w:t>
            </w:r>
          </w:p>
        </w:tc>
        <w:tc>
          <w:tcPr>
            <w:tcW w:w="0" w:type="auto"/>
            <w:gridSpan w:val="3"/>
            <w:tcMar>
              <w:top w:w="30" w:type="dxa"/>
              <w:left w:w="20" w:type="dxa"/>
              <w:bottom w:w="30" w:type="dxa"/>
              <w:right w:w="20" w:type="dxa"/>
            </w:tcMar>
            <w:vAlign w:val="center"/>
            <w:hideMark/>
          </w:tcPr>
          <w:p w:rsidR="00000000" w:rsidRDefault="009E01B0">
            <w:pPr>
              <w:rPr>
                <w:rFonts w:eastAsia="Times New Roman"/>
              </w:rPr>
            </w:pPr>
            <w:r>
              <w:rPr>
                <w:rFonts w:ascii="Arial" w:eastAsia="Times New Roman" w:hAnsi="Arial" w:cs="Arial"/>
                <w:color w:val="000000"/>
                <w:sz w:val="20"/>
                <w:szCs w:val="20"/>
              </w:rPr>
              <w:t>May 7, 2021</w:t>
            </w:r>
          </w:p>
        </w:tc>
        <w:tc>
          <w:tcPr>
            <w:tcW w:w="0" w:type="auto"/>
            <w:gridSpan w:val="3"/>
            <w:tcMar>
              <w:top w:w="30" w:type="dxa"/>
              <w:left w:w="20" w:type="dxa"/>
              <w:bottom w:w="30" w:type="dxa"/>
              <w:right w:w="20" w:type="dxa"/>
            </w:tcMar>
            <w:vAlign w:val="bottom"/>
            <w:hideMark/>
          </w:tcPr>
          <w:p w:rsidR="00000000" w:rsidRDefault="009E01B0">
            <w:pPr>
              <w:jc w:val="right"/>
              <w:rPr>
                <w:rFonts w:eastAsia="Times New Roman"/>
              </w:rPr>
            </w:pPr>
            <w:r>
              <w:rPr>
                <w:rFonts w:ascii="Arial" w:eastAsia="Times New Roman" w:hAnsi="Arial" w:cs="Arial"/>
                <w:color w:val="000000"/>
                <w:sz w:val="20"/>
                <w:szCs w:val="20"/>
              </w:rPr>
              <w:t>By:   </w:t>
            </w: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/s/ Colin K. Gruending</w:t>
            </w:r>
          </w:p>
        </w:tc>
      </w:tr>
      <w:tr w:rsidR="00000000">
        <w:trPr>
          <w:divId w:val="1040590901"/>
        </w:trPr>
        <w:tc>
          <w:tcPr>
            <w:tcW w:w="0" w:type="auto"/>
            <w:gridSpan w:val="3"/>
            <w:tcMar>
              <w:top w:w="0" w:type="dxa"/>
              <w:left w:w="20" w:type="dxa"/>
              <w:bottom w:w="0" w:type="dxa"/>
              <w:right w:w="20" w:type="dxa"/>
            </w:tcMar>
            <w:vAlign w:val="center"/>
            <w:hideMark/>
          </w:tcPr>
          <w:p w:rsidR="00000000" w:rsidRDefault="009E01B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Colin K. Gruending</w:t>
            </w:r>
            <w:r>
              <w:rPr>
                <w:rFonts w:ascii="Arial" w:eastAsia="Times New Roman" w:hAnsi="Arial" w:cs="Arial"/>
                <w:color w:val="000000"/>
                <w:sz w:val="20"/>
                <w:szCs w:val="20"/>
              </w:rPr>
              <w:br/>
              <w:t>Executive Vice President and Chief Financial Officer</w:t>
            </w:r>
          </w:p>
        </w:tc>
      </w:tr>
      <w:tr w:rsidR="00000000">
        <w:trPr>
          <w:divId w:val="1040590901"/>
        </w:trPr>
        <w:tc>
          <w:tcPr>
            <w:tcW w:w="0" w:type="auto"/>
            <w:gridSpan w:val="3"/>
            <w:tcMar>
              <w:top w:w="0" w:type="dxa"/>
              <w:left w:w="20" w:type="dxa"/>
              <w:bottom w:w="0" w:type="dxa"/>
              <w:right w:w="20" w:type="dxa"/>
            </w:tcMar>
            <w:vAlign w:val="center"/>
            <w:hideMark/>
          </w:tcPr>
          <w:p w:rsidR="00000000" w:rsidRDefault="009E01B0">
            <w:pPr>
              <w:rPr>
                <w:rFonts w:eastAsia="Times New Roman"/>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E01B0">
            <w:pPr>
              <w:rPr>
                <w:rFonts w:eastAsia="Times New Roman"/>
                <w:sz w:val="20"/>
                <w:szCs w:val="20"/>
              </w:rPr>
            </w:pPr>
          </w:p>
        </w:tc>
        <w:tc>
          <w:tcPr>
            <w:tcW w:w="0" w:type="auto"/>
            <w:gridSpan w:val="3"/>
            <w:tcMar>
              <w:top w:w="30" w:type="dxa"/>
              <w:left w:w="20" w:type="dxa"/>
              <w:bottom w:w="30" w:type="dxa"/>
              <w:right w:w="20" w:type="dxa"/>
            </w:tcMar>
            <w:hideMark/>
          </w:tcPr>
          <w:p w:rsidR="00000000" w:rsidRDefault="009E01B0">
            <w:pPr>
              <w:rPr>
                <w:rFonts w:eastAsia="Times New Roman"/>
              </w:rPr>
            </w:pPr>
            <w:r>
              <w:rPr>
                <w:rFonts w:ascii="Arial" w:eastAsia="Times New Roman" w:hAnsi="Arial" w:cs="Arial"/>
                <w:color w:val="000000"/>
                <w:sz w:val="20"/>
                <w:szCs w:val="20"/>
              </w:rPr>
              <w:t>(Principal Financial Officer)</w:t>
            </w:r>
          </w:p>
        </w:tc>
      </w:tr>
    </w:tbl>
    <w:p w:rsidR="009E01B0" w:rsidRDefault="009E01B0">
      <w:pPr>
        <w:jc w:val="center"/>
        <w:divId w:val="358432840"/>
        <w:rPr>
          <w:rFonts w:eastAsia="Times New Roman"/>
        </w:rPr>
      </w:pPr>
      <w:r>
        <w:rPr>
          <w:rFonts w:ascii="Arial" w:eastAsia="Times New Roman" w:hAnsi="Arial" w:cs="Arial"/>
          <w:color w:val="000000"/>
          <w:sz w:val="20"/>
          <w:szCs w:val="20"/>
        </w:rPr>
        <w:t>54</w:t>
      </w:r>
    </w:p>
    <w:sectPr w:rsidR="009E01B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E01B0"/>
    <w:rsid w:val="009E01B0"/>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www.w3.org/1999/xlink"/>
  <w:attachedSchema w:val="http://www.xbrl.org/2003/iso4217"/>
  <w:attachedSchema w:val="http://www.enbridge.com/20210331"/>
  <w:attachedSchema w:val="http://www.xbrl.org/2003/linkbase"/>
  <w:attachedSchema w:val="http://www.xbrl.org/inlineXBRL/transformation/2015-02-26"/>
  <w:attachedSchema w:val="http://www.xbrl.org/2009/utr"/>
  <w:attachedSchema w:val="http://fasb.org/srt/2020-01-31"/>
  <w:attachedSchema w:val="http://www.sec.gov/inlineXBRL/transformation/2015-08-31"/>
  <w:attachedSchema w:val="http://xbrl.sec.gov/currency/2020-01-31"/>
  <w:attachedSchema w:val="http://fasb.org/us-gaap/2020-01-31"/>
  <w:attachedSchema w:val="http://xbrl.org/2006/xbrldi"/>
  <w:attachedSchema w:val="http://www.xbrl.org/2013/inlineXBRL"/>
  <w:attachedSchema w:val="http://xbrl.sec.gov/dei/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
      <w:marLeft w:val="0"/>
      <w:marRight w:val="0"/>
      <w:marTop w:val="0"/>
      <w:marBottom w:val="0"/>
      <w:divBdr>
        <w:top w:val="none" w:sz="0" w:space="0" w:color="auto"/>
        <w:left w:val="none" w:sz="0" w:space="0" w:color="auto"/>
        <w:bottom w:val="none" w:sz="0" w:space="0" w:color="auto"/>
        <w:right w:val="none" w:sz="0" w:space="0" w:color="auto"/>
      </w:divBdr>
    </w:div>
    <w:div w:id="3702687">
      <w:marLeft w:val="0"/>
      <w:marRight w:val="0"/>
      <w:marTop w:val="0"/>
      <w:marBottom w:val="0"/>
      <w:divBdr>
        <w:top w:val="none" w:sz="0" w:space="0" w:color="auto"/>
        <w:left w:val="none" w:sz="0" w:space="0" w:color="auto"/>
        <w:bottom w:val="none" w:sz="0" w:space="0" w:color="auto"/>
        <w:right w:val="none" w:sz="0" w:space="0" w:color="auto"/>
      </w:divBdr>
    </w:div>
    <w:div w:id="8141215">
      <w:marLeft w:val="0"/>
      <w:marRight w:val="0"/>
      <w:marTop w:val="0"/>
      <w:marBottom w:val="0"/>
      <w:divBdr>
        <w:top w:val="none" w:sz="0" w:space="0" w:color="auto"/>
        <w:left w:val="none" w:sz="0" w:space="0" w:color="auto"/>
        <w:bottom w:val="none" w:sz="0" w:space="0" w:color="auto"/>
        <w:right w:val="none" w:sz="0" w:space="0" w:color="auto"/>
      </w:divBdr>
    </w:div>
    <w:div w:id="10836555">
      <w:marLeft w:val="0"/>
      <w:marRight w:val="0"/>
      <w:marTop w:val="0"/>
      <w:marBottom w:val="0"/>
      <w:divBdr>
        <w:top w:val="none" w:sz="0" w:space="0" w:color="auto"/>
        <w:left w:val="none" w:sz="0" w:space="0" w:color="auto"/>
        <w:bottom w:val="none" w:sz="0" w:space="0" w:color="auto"/>
        <w:right w:val="none" w:sz="0" w:space="0" w:color="auto"/>
      </w:divBdr>
    </w:div>
    <w:div w:id="11147371">
      <w:marLeft w:val="0"/>
      <w:marRight w:val="0"/>
      <w:marTop w:val="0"/>
      <w:marBottom w:val="0"/>
      <w:divBdr>
        <w:top w:val="none" w:sz="0" w:space="0" w:color="auto"/>
        <w:left w:val="none" w:sz="0" w:space="0" w:color="auto"/>
        <w:bottom w:val="none" w:sz="0" w:space="0" w:color="auto"/>
        <w:right w:val="none" w:sz="0" w:space="0" w:color="auto"/>
      </w:divBdr>
    </w:div>
    <w:div w:id="11151615">
      <w:marLeft w:val="0"/>
      <w:marRight w:val="0"/>
      <w:marTop w:val="0"/>
      <w:marBottom w:val="0"/>
      <w:divBdr>
        <w:top w:val="none" w:sz="0" w:space="0" w:color="auto"/>
        <w:left w:val="none" w:sz="0" w:space="0" w:color="auto"/>
        <w:bottom w:val="none" w:sz="0" w:space="0" w:color="auto"/>
        <w:right w:val="none" w:sz="0" w:space="0" w:color="auto"/>
      </w:divBdr>
    </w:div>
    <w:div w:id="16584767">
      <w:marLeft w:val="0"/>
      <w:marRight w:val="0"/>
      <w:marTop w:val="0"/>
      <w:marBottom w:val="0"/>
      <w:divBdr>
        <w:top w:val="none" w:sz="0" w:space="0" w:color="auto"/>
        <w:left w:val="none" w:sz="0" w:space="0" w:color="auto"/>
        <w:bottom w:val="none" w:sz="0" w:space="0" w:color="auto"/>
        <w:right w:val="none" w:sz="0" w:space="0" w:color="auto"/>
      </w:divBdr>
    </w:div>
    <w:div w:id="19016936">
      <w:marLeft w:val="0"/>
      <w:marRight w:val="0"/>
      <w:marTop w:val="0"/>
      <w:marBottom w:val="0"/>
      <w:divBdr>
        <w:top w:val="none" w:sz="0" w:space="0" w:color="auto"/>
        <w:left w:val="none" w:sz="0" w:space="0" w:color="auto"/>
        <w:bottom w:val="none" w:sz="0" w:space="0" w:color="auto"/>
        <w:right w:val="none" w:sz="0" w:space="0" w:color="auto"/>
      </w:divBdr>
    </w:div>
    <w:div w:id="20326141">
      <w:marLeft w:val="0"/>
      <w:marRight w:val="0"/>
      <w:marTop w:val="0"/>
      <w:marBottom w:val="0"/>
      <w:divBdr>
        <w:top w:val="none" w:sz="0" w:space="0" w:color="auto"/>
        <w:left w:val="none" w:sz="0" w:space="0" w:color="auto"/>
        <w:bottom w:val="none" w:sz="0" w:space="0" w:color="auto"/>
        <w:right w:val="none" w:sz="0" w:space="0" w:color="auto"/>
      </w:divBdr>
    </w:div>
    <w:div w:id="21517362">
      <w:marLeft w:val="0"/>
      <w:marRight w:val="0"/>
      <w:marTop w:val="0"/>
      <w:marBottom w:val="0"/>
      <w:divBdr>
        <w:top w:val="none" w:sz="0" w:space="0" w:color="auto"/>
        <w:left w:val="none" w:sz="0" w:space="0" w:color="auto"/>
        <w:bottom w:val="none" w:sz="0" w:space="0" w:color="auto"/>
        <w:right w:val="none" w:sz="0" w:space="0" w:color="auto"/>
      </w:divBdr>
    </w:div>
    <w:div w:id="25569690">
      <w:marLeft w:val="0"/>
      <w:marRight w:val="0"/>
      <w:marTop w:val="0"/>
      <w:marBottom w:val="0"/>
      <w:divBdr>
        <w:top w:val="none" w:sz="0" w:space="0" w:color="auto"/>
        <w:left w:val="none" w:sz="0" w:space="0" w:color="auto"/>
        <w:bottom w:val="none" w:sz="0" w:space="0" w:color="auto"/>
        <w:right w:val="none" w:sz="0" w:space="0" w:color="auto"/>
      </w:divBdr>
      <w:divsChild>
        <w:div w:id="278802011">
          <w:marLeft w:val="0"/>
          <w:marRight w:val="0"/>
          <w:marTop w:val="0"/>
          <w:marBottom w:val="0"/>
          <w:divBdr>
            <w:top w:val="none" w:sz="0" w:space="0" w:color="auto"/>
            <w:left w:val="none" w:sz="0" w:space="0" w:color="auto"/>
            <w:bottom w:val="none" w:sz="0" w:space="0" w:color="auto"/>
            <w:right w:val="none" w:sz="0" w:space="0" w:color="auto"/>
          </w:divBdr>
        </w:div>
      </w:divsChild>
    </w:div>
    <w:div w:id="26681916">
      <w:marLeft w:val="0"/>
      <w:marRight w:val="0"/>
      <w:marTop w:val="0"/>
      <w:marBottom w:val="0"/>
      <w:divBdr>
        <w:top w:val="none" w:sz="0" w:space="0" w:color="auto"/>
        <w:left w:val="none" w:sz="0" w:space="0" w:color="auto"/>
        <w:bottom w:val="none" w:sz="0" w:space="0" w:color="auto"/>
        <w:right w:val="none" w:sz="0" w:space="0" w:color="auto"/>
      </w:divBdr>
    </w:div>
    <w:div w:id="28798139">
      <w:marLeft w:val="0"/>
      <w:marRight w:val="0"/>
      <w:marTop w:val="0"/>
      <w:marBottom w:val="0"/>
      <w:divBdr>
        <w:top w:val="none" w:sz="0" w:space="0" w:color="auto"/>
        <w:left w:val="none" w:sz="0" w:space="0" w:color="auto"/>
        <w:bottom w:val="none" w:sz="0" w:space="0" w:color="auto"/>
        <w:right w:val="none" w:sz="0" w:space="0" w:color="auto"/>
      </w:divBdr>
    </w:div>
    <w:div w:id="30616745">
      <w:marLeft w:val="0"/>
      <w:marRight w:val="0"/>
      <w:marTop w:val="0"/>
      <w:marBottom w:val="0"/>
      <w:divBdr>
        <w:top w:val="none" w:sz="0" w:space="0" w:color="auto"/>
        <w:left w:val="none" w:sz="0" w:space="0" w:color="auto"/>
        <w:bottom w:val="none" w:sz="0" w:space="0" w:color="auto"/>
        <w:right w:val="none" w:sz="0" w:space="0" w:color="auto"/>
      </w:divBdr>
      <w:divsChild>
        <w:div w:id="1034428768">
          <w:marLeft w:val="0"/>
          <w:marRight w:val="0"/>
          <w:marTop w:val="0"/>
          <w:marBottom w:val="0"/>
          <w:divBdr>
            <w:top w:val="none" w:sz="0" w:space="0" w:color="auto"/>
            <w:left w:val="none" w:sz="0" w:space="0" w:color="auto"/>
            <w:bottom w:val="none" w:sz="0" w:space="0" w:color="auto"/>
            <w:right w:val="none" w:sz="0" w:space="0" w:color="auto"/>
          </w:divBdr>
        </w:div>
      </w:divsChild>
    </w:div>
    <w:div w:id="40521693">
      <w:marLeft w:val="0"/>
      <w:marRight w:val="0"/>
      <w:marTop w:val="0"/>
      <w:marBottom w:val="0"/>
      <w:divBdr>
        <w:top w:val="none" w:sz="0" w:space="0" w:color="auto"/>
        <w:left w:val="none" w:sz="0" w:space="0" w:color="auto"/>
        <w:bottom w:val="none" w:sz="0" w:space="0" w:color="auto"/>
        <w:right w:val="none" w:sz="0" w:space="0" w:color="auto"/>
      </w:divBdr>
    </w:div>
    <w:div w:id="43992649">
      <w:marLeft w:val="0"/>
      <w:marRight w:val="0"/>
      <w:marTop w:val="0"/>
      <w:marBottom w:val="0"/>
      <w:divBdr>
        <w:top w:val="none" w:sz="0" w:space="0" w:color="auto"/>
        <w:left w:val="none" w:sz="0" w:space="0" w:color="auto"/>
        <w:bottom w:val="none" w:sz="0" w:space="0" w:color="auto"/>
        <w:right w:val="none" w:sz="0" w:space="0" w:color="auto"/>
      </w:divBdr>
    </w:div>
    <w:div w:id="46146923">
      <w:marLeft w:val="0"/>
      <w:marRight w:val="0"/>
      <w:marTop w:val="0"/>
      <w:marBottom w:val="0"/>
      <w:divBdr>
        <w:top w:val="none" w:sz="0" w:space="0" w:color="auto"/>
        <w:left w:val="none" w:sz="0" w:space="0" w:color="auto"/>
        <w:bottom w:val="none" w:sz="0" w:space="0" w:color="auto"/>
        <w:right w:val="none" w:sz="0" w:space="0" w:color="auto"/>
      </w:divBdr>
    </w:div>
    <w:div w:id="46223456">
      <w:marLeft w:val="0"/>
      <w:marRight w:val="0"/>
      <w:marTop w:val="0"/>
      <w:marBottom w:val="0"/>
      <w:divBdr>
        <w:top w:val="none" w:sz="0" w:space="0" w:color="auto"/>
        <w:left w:val="none" w:sz="0" w:space="0" w:color="auto"/>
        <w:bottom w:val="none" w:sz="0" w:space="0" w:color="auto"/>
        <w:right w:val="none" w:sz="0" w:space="0" w:color="auto"/>
      </w:divBdr>
    </w:div>
    <w:div w:id="46799979">
      <w:marLeft w:val="0"/>
      <w:marRight w:val="0"/>
      <w:marTop w:val="0"/>
      <w:marBottom w:val="0"/>
      <w:divBdr>
        <w:top w:val="none" w:sz="0" w:space="0" w:color="auto"/>
        <w:left w:val="none" w:sz="0" w:space="0" w:color="auto"/>
        <w:bottom w:val="none" w:sz="0" w:space="0" w:color="auto"/>
        <w:right w:val="none" w:sz="0" w:space="0" w:color="auto"/>
      </w:divBdr>
    </w:div>
    <w:div w:id="54280225">
      <w:marLeft w:val="0"/>
      <w:marRight w:val="0"/>
      <w:marTop w:val="100"/>
      <w:marBottom w:val="180"/>
      <w:divBdr>
        <w:top w:val="none" w:sz="0" w:space="0" w:color="auto"/>
        <w:left w:val="none" w:sz="0" w:space="0" w:color="auto"/>
        <w:bottom w:val="none" w:sz="0" w:space="0" w:color="auto"/>
        <w:right w:val="none" w:sz="0" w:space="0" w:color="auto"/>
      </w:divBdr>
    </w:div>
    <w:div w:id="56322521">
      <w:marLeft w:val="0"/>
      <w:marRight w:val="0"/>
      <w:marTop w:val="0"/>
      <w:marBottom w:val="0"/>
      <w:divBdr>
        <w:top w:val="none" w:sz="0" w:space="0" w:color="auto"/>
        <w:left w:val="none" w:sz="0" w:space="0" w:color="auto"/>
        <w:bottom w:val="none" w:sz="0" w:space="0" w:color="auto"/>
        <w:right w:val="none" w:sz="0" w:space="0" w:color="auto"/>
      </w:divBdr>
    </w:div>
    <w:div w:id="59407983">
      <w:marLeft w:val="0"/>
      <w:marRight w:val="0"/>
      <w:marTop w:val="0"/>
      <w:marBottom w:val="0"/>
      <w:divBdr>
        <w:top w:val="none" w:sz="0" w:space="0" w:color="auto"/>
        <w:left w:val="none" w:sz="0" w:space="0" w:color="auto"/>
        <w:bottom w:val="none" w:sz="0" w:space="0" w:color="auto"/>
        <w:right w:val="none" w:sz="0" w:space="0" w:color="auto"/>
      </w:divBdr>
    </w:div>
    <w:div w:id="61174186">
      <w:marLeft w:val="0"/>
      <w:marRight w:val="0"/>
      <w:marTop w:val="0"/>
      <w:marBottom w:val="0"/>
      <w:divBdr>
        <w:top w:val="none" w:sz="0" w:space="0" w:color="auto"/>
        <w:left w:val="none" w:sz="0" w:space="0" w:color="auto"/>
        <w:bottom w:val="none" w:sz="0" w:space="0" w:color="auto"/>
        <w:right w:val="none" w:sz="0" w:space="0" w:color="auto"/>
      </w:divBdr>
    </w:div>
    <w:div w:id="62918306">
      <w:marLeft w:val="0"/>
      <w:marRight w:val="0"/>
      <w:marTop w:val="0"/>
      <w:marBottom w:val="0"/>
      <w:divBdr>
        <w:top w:val="none" w:sz="0" w:space="0" w:color="auto"/>
        <w:left w:val="none" w:sz="0" w:space="0" w:color="auto"/>
        <w:bottom w:val="none" w:sz="0" w:space="0" w:color="auto"/>
        <w:right w:val="none" w:sz="0" w:space="0" w:color="auto"/>
      </w:divBdr>
      <w:divsChild>
        <w:div w:id="1298754087">
          <w:marLeft w:val="0"/>
          <w:marRight w:val="0"/>
          <w:marTop w:val="0"/>
          <w:marBottom w:val="0"/>
          <w:divBdr>
            <w:top w:val="none" w:sz="0" w:space="0" w:color="auto"/>
            <w:left w:val="none" w:sz="0" w:space="0" w:color="auto"/>
            <w:bottom w:val="none" w:sz="0" w:space="0" w:color="auto"/>
            <w:right w:val="none" w:sz="0" w:space="0" w:color="auto"/>
          </w:divBdr>
        </w:div>
      </w:divsChild>
    </w:div>
    <w:div w:id="66541711">
      <w:marLeft w:val="0"/>
      <w:marRight w:val="0"/>
      <w:marTop w:val="0"/>
      <w:marBottom w:val="0"/>
      <w:divBdr>
        <w:top w:val="none" w:sz="0" w:space="0" w:color="auto"/>
        <w:left w:val="none" w:sz="0" w:space="0" w:color="auto"/>
        <w:bottom w:val="none" w:sz="0" w:space="0" w:color="auto"/>
        <w:right w:val="none" w:sz="0" w:space="0" w:color="auto"/>
      </w:divBdr>
    </w:div>
    <w:div w:id="67657173">
      <w:marLeft w:val="0"/>
      <w:marRight w:val="0"/>
      <w:marTop w:val="0"/>
      <w:marBottom w:val="0"/>
      <w:divBdr>
        <w:top w:val="none" w:sz="0" w:space="0" w:color="auto"/>
        <w:left w:val="none" w:sz="0" w:space="0" w:color="auto"/>
        <w:bottom w:val="none" w:sz="0" w:space="0" w:color="auto"/>
        <w:right w:val="none" w:sz="0" w:space="0" w:color="auto"/>
      </w:divBdr>
    </w:div>
    <w:div w:id="68618800">
      <w:marLeft w:val="0"/>
      <w:marRight w:val="0"/>
      <w:marTop w:val="100"/>
      <w:marBottom w:val="100"/>
      <w:divBdr>
        <w:top w:val="none" w:sz="0" w:space="0" w:color="auto"/>
        <w:left w:val="none" w:sz="0" w:space="0" w:color="auto"/>
        <w:bottom w:val="none" w:sz="0" w:space="0" w:color="auto"/>
        <w:right w:val="none" w:sz="0" w:space="0" w:color="auto"/>
      </w:divBdr>
      <w:divsChild>
        <w:div w:id="1220897422">
          <w:marLeft w:val="0"/>
          <w:marRight w:val="0"/>
          <w:marTop w:val="0"/>
          <w:marBottom w:val="0"/>
          <w:divBdr>
            <w:top w:val="none" w:sz="0" w:space="0" w:color="auto"/>
            <w:left w:val="none" w:sz="0" w:space="0" w:color="auto"/>
            <w:bottom w:val="none" w:sz="0" w:space="0" w:color="auto"/>
            <w:right w:val="none" w:sz="0" w:space="0" w:color="auto"/>
          </w:divBdr>
        </w:div>
      </w:divsChild>
    </w:div>
    <w:div w:id="74086668">
      <w:marLeft w:val="0"/>
      <w:marRight w:val="0"/>
      <w:marTop w:val="0"/>
      <w:marBottom w:val="0"/>
      <w:divBdr>
        <w:top w:val="none" w:sz="0" w:space="0" w:color="auto"/>
        <w:left w:val="none" w:sz="0" w:space="0" w:color="auto"/>
        <w:bottom w:val="none" w:sz="0" w:space="0" w:color="auto"/>
        <w:right w:val="none" w:sz="0" w:space="0" w:color="auto"/>
      </w:divBdr>
    </w:div>
    <w:div w:id="76679157">
      <w:marLeft w:val="0"/>
      <w:marRight w:val="0"/>
      <w:marTop w:val="0"/>
      <w:marBottom w:val="0"/>
      <w:divBdr>
        <w:top w:val="none" w:sz="0" w:space="0" w:color="auto"/>
        <w:left w:val="none" w:sz="0" w:space="0" w:color="auto"/>
        <w:bottom w:val="none" w:sz="0" w:space="0" w:color="auto"/>
        <w:right w:val="none" w:sz="0" w:space="0" w:color="auto"/>
      </w:divBdr>
    </w:div>
    <w:div w:id="76751150">
      <w:marLeft w:val="0"/>
      <w:marRight w:val="0"/>
      <w:marTop w:val="0"/>
      <w:marBottom w:val="0"/>
      <w:divBdr>
        <w:top w:val="none" w:sz="0" w:space="0" w:color="auto"/>
        <w:left w:val="none" w:sz="0" w:space="0" w:color="auto"/>
        <w:bottom w:val="none" w:sz="0" w:space="0" w:color="auto"/>
        <w:right w:val="none" w:sz="0" w:space="0" w:color="auto"/>
      </w:divBdr>
    </w:div>
    <w:div w:id="80950414">
      <w:marLeft w:val="0"/>
      <w:marRight w:val="0"/>
      <w:marTop w:val="0"/>
      <w:marBottom w:val="0"/>
      <w:divBdr>
        <w:top w:val="none" w:sz="0" w:space="0" w:color="auto"/>
        <w:left w:val="none" w:sz="0" w:space="0" w:color="auto"/>
        <w:bottom w:val="none" w:sz="0" w:space="0" w:color="auto"/>
        <w:right w:val="none" w:sz="0" w:space="0" w:color="auto"/>
      </w:divBdr>
    </w:div>
    <w:div w:id="81417813">
      <w:marLeft w:val="0"/>
      <w:marRight w:val="0"/>
      <w:marTop w:val="0"/>
      <w:marBottom w:val="0"/>
      <w:divBdr>
        <w:top w:val="none" w:sz="0" w:space="0" w:color="auto"/>
        <w:left w:val="none" w:sz="0" w:space="0" w:color="auto"/>
        <w:bottom w:val="none" w:sz="0" w:space="0" w:color="auto"/>
        <w:right w:val="none" w:sz="0" w:space="0" w:color="auto"/>
      </w:divBdr>
    </w:div>
    <w:div w:id="82267049">
      <w:marLeft w:val="0"/>
      <w:marRight w:val="0"/>
      <w:marTop w:val="60"/>
      <w:marBottom w:val="0"/>
      <w:divBdr>
        <w:top w:val="none" w:sz="0" w:space="0" w:color="auto"/>
        <w:left w:val="none" w:sz="0" w:space="0" w:color="auto"/>
        <w:bottom w:val="none" w:sz="0" w:space="0" w:color="auto"/>
        <w:right w:val="none" w:sz="0" w:space="0" w:color="auto"/>
      </w:divBdr>
    </w:div>
    <w:div w:id="84303533">
      <w:marLeft w:val="0"/>
      <w:marRight w:val="0"/>
      <w:marTop w:val="0"/>
      <w:marBottom w:val="0"/>
      <w:divBdr>
        <w:top w:val="none" w:sz="0" w:space="0" w:color="auto"/>
        <w:left w:val="none" w:sz="0" w:space="0" w:color="auto"/>
        <w:bottom w:val="none" w:sz="0" w:space="0" w:color="auto"/>
        <w:right w:val="none" w:sz="0" w:space="0" w:color="auto"/>
      </w:divBdr>
      <w:divsChild>
        <w:div w:id="2062631781">
          <w:marLeft w:val="0"/>
          <w:marRight w:val="0"/>
          <w:marTop w:val="0"/>
          <w:marBottom w:val="0"/>
          <w:divBdr>
            <w:top w:val="none" w:sz="0" w:space="0" w:color="auto"/>
            <w:left w:val="none" w:sz="0" w:space="0" w:color="auto"/>
            <w:bottom w:val="none" w:sz="0" w:space="0" w:color="auto"/>
            <w:right w:val="none" w:sz="0" w:space="0" w:color="auto"/>
          </w:divBdr>
        </w:div>
      </w:divsChild>
    </w:div>
    <w:div w:id="84347882">
      <w:marLeft w:val="0"/>
      <w:marRight w:val="0"/>
      <w:marTop w:val="0"/>
      <w:marBottom w:val="0"/>
      <w:divBdr>
        <w:top w:val="none" w:sz="0" w:space="0" w:color="auto"/>
        <w:left w:val="none" w:sz="0" w:space="0" w:color="auto"/>
        <w:bottom w:val="none" w:sz="0" w:space="0" w:color="auto"/>
        <w:right w:val="none" w:sz="0" w:space="0" w:color="auto"/>
      </w:divBdr>
    </w:div>
    <w:div w:id="87774165">
      <w:marLeft w:val="0"/>
      <w:marRight w:val="0"/>
      <w:marTop w:val="0"/>
      <w:marBottom w:val="0"/>
      <w:divBdr>
        <w:top w:val="none" w:sz="0" w:space="0" w:color="auto"/>
        <w:left w:val="none" w:sz="0" w:space="0" w:color="auto"/>
        <w:bottom w:val="none" w:sz="0" w:space="0" w:color="auto"/>
        <w:right w:val="none" w:sz="0" w:space="0" w:color="auto"/>
      </w:divBdr>
    </w:div>
    <w:div w:id="92169997">
      <w:marLeft w:val="0"/>
      <w:marRight w:val="0"/>
      <w:marTop w:val="0"/>
      <w:marBottom w:val="0"/>
      <w:divBdr>
        <w:top w:val="none" w:sz="0" w:space="0" w:color="auto"/>
        <w:left w:val="none" w:sz="0" w:space="0" w:color="auto"/>
        <w:bottom w:val="none" w:sz="0" w:space="0" w:color="auto"/>
        <w:right w:val="none" w:sz="0" w:space="0" w:color="auto"/>
      </w:divBdr>
    </w:div>
    <w:div w:id="94520543">
      <w:marLeft w:val="0"/>
      <w:marRight w:val="0"/>
      <w:marTop w:val="0"/>
      <w:marBottom w:val="0"/>
      <w:divBdr>
        <w:top w:val="none" w:sz="0" w:space="0" w:color="auto"/>
        <w:left w:val="none" w:sz="0" w:space="0" w:color="auto"/>
        <w:bottom w:val="none" w:sz="0" w:space="0" w:color="auto"/>
        <w:right w:val="none" w:sz="0" w:space="0" w:color="auto"/>
      </w:divBdr>
      <w:divsChild>
        <w:div w:id="1276985295">
          <w:marLeft w:val="0"/>
          <w:marRight w:val="0"/>
          <w:marTop w:val="0"/>
          <w:marBottom w:val="0"/>
          <w:divBdr>
            <w:top w:val="none" w:sz="0" w:space="0" w:color="auto"/>
            <w:left w:val="none" w:sz="0" w:space="0" w:color="auto"/>
            <w:bottom w:val="none" w:sz="0" w:space="0" w:color="auto"/>
            <w:right w:val="none" w:sz="0" w:space="0" w:color="auto"/>
          </w:divBdr>
        </w:div>
      </w:divsChild>
    </w:div>
    <w:div w:id="94978621">
      <w:marLeft w:val="0"/>
      <w:marRight w:val="0"/>
      <w:marTop w:val="0"/>
      <w:marBottom w:val="0"/>
      <w:divBdr>
        <w:top w:val="none" w:sz="0" w:space="0" w:color="auto"/>
        <w:left w:val="none" w:sz="0" w:space="0" w:color="auto"/>
        <w:bottom w:val="none" w:sz="0" w:space="0" w:color="auto"/>
        <w:right w:val="none" w:sz="0" w:space="0" w:color="auto"/>
      </w:divBdr>
    </w:div>
    <w:div w:id="99766494">
      <w:marLeft w:val="0"/>
      <w:marRight w:val="0"/>
      <w:marTop w:val="0"/>
      <w:marBottom w:val="0"/>
      <w:divBdr>
        <w:top w:val="none" w:sz="0" w:space="0" w:color="auto"/>
        <w:left w:val="none" w:sz="0" w:space="0" w:color="auto"/>
        <w:bottom w:val="none" w:sz="0" w:space="0" w:color="auto"/>
        <w:right w:val="none" w:sz="0" w:space="0" w:color="auto"/>
      </w:divBdr>
    </w:div>
    <w:div w:id="101995004">
      <w:marLeft w:val="0"/>
      <w:marRight w:val="0"/>
      <w:marTop w:val="0"/>
      <w:marBottom w:val="0"/>
      <w:divBdr>
        <w:top w:val="none" w:sz="0" w:space="0" w:color="auto"/>
        <w:left w:val="none" w:sz="0" w:space="0" w:color="auto"/>
        <w:bottom w:val="none" w:sz="0" w:space="0" w:color="auto"/>
        <w:right w:val="none" w:sz="0" w:space="0" w:color="auto"/>
      </w:divBdr>
      <w:divsChild>
        <w:div w:id="1839273088">
          <w:marLeft w:val="0"/>
          <w:marRight w:val="0"/>
          <w:marTop w:val="0"/>
          <w:marBottom w:val="0"/>
          <w:divBdr>
            <w:top w:val="none" w:sz="0" w:space="0" w:color="auto"/>
            <w:left w:val="none" w:sz="0" w:space="0" w:color="auto"/>
            <w:bottom w:val="none" w:sz="0" w:space="0" w:color="auto"/>
            <w:right w:val="none" w:sz="0" w:space="0" w:color="auto"/>
          </w:divBdr>
        </w:div>
      </w:divsChild>
    </w:div>
    <w:div w:id="102457188">
      <w:marLeft w:val="0"/>
      <w:marRight w:val="0"/>
      <w:marTop w:val="0"/>
      <w:marBottom w:val="0"/>
      <w:divBdr>
        <w:top w:val="none" w:sz="0" w:space="0" w:color="auto"/>
        <w:left w:val="none" w:sz="0" w:space="0" w:color="auto"/>
        <w:bottom w:val="none" w:sz="0" w:space="0" w:color="auto"/>
        <w:right w:val="none" w:sz="0" w:space="0" w:color="auto"/>
      </w:divBdr>
    </w:div>
    <w:div w:id="105467896">
      <w:marLeft w:val="0"/>
      <w:marRight w:val="0"/>
      <w:marTop w:val="0"/>
      <w:marBottom w:val="0"/>
      <w:divBdr>
        <w:top w:val="none" w:sz="0" w:space="0" w:color="auto"/>
        <w:left w:val="none" w:sz="0" w:space="0" w:color="auto"/>
        <w:bottom w:val="none" w:sz="0" w:space="0" w:color="auto"/>
        <w:right w:val="none" w:sz="0" w:space="0" w:color="auto"/>
      </w:divBdr>
    </w:div>
    <w:div w:id="112750424">
      <w:marLeft w:val="0"/>
      <w:marRight w:val="0"/>
      <w:marTop w:val="0"/>
      <w:marBottom w:val="0"/>
      <w:divBdr>
        <w:top w:val="none" w:sz="0" w:space="0" w:color="auto"/>
        <w:left w:val="none" w:sz="0" w:space="0" w:color="auto"/>
        <w:bottom w:val="none" w:sz="0" w:space="0" w:color="auto"/>
        <w:right w:val="none" w:sz="0" w:space="0" w:color="auto"/>
      </w:divBdr>
    </w:div>
    <w:div w:id="113065548">
      <w:marLeft w:val="0"/>
      <w:marRight w:val="0"/>
      <w:marTop w:val="0"/>
      <w:marBottom w:val="0"/>
      <w:divBdr>
        <w:top w:val="none" w:sz="0" w:space="0" w:color="auto"/>
        <w:left w:val="none" w:sz="0" w:space="0" w:color="auto"/>
        <w:bottom w:val="none" w:sz="0" w:space="0" w:color="auto"/>
        <w:right w:val="none" w:sz="0" w:space="0" w:color="auto"/>
      </w:divBdr>
    </w:div>
    <w:div w:id="118573548">
      <w:marLeft w:val="0"/>
      <w:marRight w:val="0"/>
      <w:marTop w:val="0"/>
      <w:marBottom w:val="0"/>
      <w:divBdr>
        <w:top w:val="none" w:sz="0" w:space="0" w:color="auto"/>
        <w:left w:val="none" w:sz="0" w:space="0" w:color="auto"/>
        <w:bottom w:val="none" w:sz="0" w:space="0" w:color="auto"/>
        <w:right w:val="none" w:sz="0" w:space="0" w:color="auto"/>
      </w:divBdr>
    </w:div>
    <w:div w:id="119685816">
      <w:marLeft w:val="0"/>
      <w:marRight w:val="0"/>
      <w:marTop w:val="0"/>
      <w:marBottom w:val="0"/>
      <w:divBdr>
        <w:top w:val="none" w:sz="0" w:space="0" w:color="auto"/>
        <w:left w:val="none" w:sz="0" w:space="0" w:color="auto"/>
        <w:bottom w:val="none" w:sz="0" w:space="0" w:color="auto"/>
        <w:right w:val="none" w:sz="0" w:space="0" w:color="auto"/>
      </w:divBdr>
    </w:div>
    <w:div w:id="125590447">
      <w:marLeft w:val="0"/>
      <w:marRight w:val="0"/>
      <w:marTop w:val="0"/>
      <w:marBottom w:val="0"/>
      <w:divBdr>
        <w:top w:val="none" w:sz="0" w:space="0" w:color="auto"/>
        <w:left w:val="none" w:sz="0" w:space="0" w:color="auto"/>
        <w:bottom w:val="none" w:sz="0" w:space="0" w:color="auto"/>
        <w:right w:val="none" w:sz="0" w:space="0" w:color="auto"/>
      </w:divBdr>
    </w:div>
    <w:div w:id="129059180">
      <w:marLeft w:val="0"/>
      <w:marRight w:val="0"/>
      <w:marTop w:val="0"/>
      <w:marBottom w:val="0"/>
      <w:divBdr>
        <w:top w:val="none" w:sz="0" w:space="0" w:color="auto"/>
        <w:left w:val="none" w:sz="0" w:space="0" w:color="auto"/>
        <w:bottom w:val="none" w:sz="0" w:space="0" w:color="auto"/>
        <w:right w:val="none" w:sz="0" w:space="0" w:color="auto"/>
      </w:divBdr>
      <w:divsChild>
        <w:div w:id="377827121">
          <w:marLeft w:val="0"/>
          <w:marRight w:val="0"/>
          <w:marTop w:val="0"/>
          <w:marBottom w:val="0"/>
          <w:divBdr>
            <w:top w:val="none" w:sz="0" w:space="0" w:color="auto"/>
            <w:left w:val="none" w:sz="0" w:space="0" w:color="auto"/>
            <w:bottom w:val="none" w:sz="0" w:space="0" w:color="auto"/>
            <w:right w:val="none" w:sz="0" w:space="0" w:color="auto"/>
          </w:divBdr>
        </w:div>
      </w:divsChild>
    </w:div>
    <w:div w:id="130297148">
      <w:marLeft w:val="0"/>
      <w:marRight w:val="0"/>
      <w:marTop w:val="0"/>
      <w:marBottom w:val="0"/>
      <w:divBdr>
        <w:top w:val="none" w:sz="0" w:space="0" w:color="auto"/>
        <w:left w:val="none" w:sz="0" w:space="0" w:color="auto"/>
        <w:bottom w:val="none" w:sz="0" w:space="0" w:color="auto"/>
        <w:right w:val="none" w:sz="0" w:space="0" w:color="auto"/>
      </w:divBdr>
    </w:div>
    <w:div w:id="130681531">
      <w:marLeft w:val="0"/>
      <w:marRight w:val="0"/>
      <w:marTop w:val="100"/>
      <w:marBottom w:val="100"/>
      <w:divBdr>
        <w:top w:val="none" w:sz="0" w:space="0" w:color="auto"/>
        <w:left w:val="none" w:sz="0" w:space="0" w:color="auto"/>
        <w:bottom w:val="none" w:sz="0" w:space="0" w:color="auto"/>
        <w:right w:val="none" w:sz="0" w:space="0" w:color="auto"/>
      </w:divBdr>
    </w:div>
    <w:div w:id="132186347">
      <w:marLeft w:val="0"/>
      <w:marRight w:val="0"/>
      <w:marTop w:val="0"/>
      <w:marBottom w:val="0"/>
      <w:divBdr>
        <w:top w:val="none" w:sz="0" w:space="0" w:color="auto"/>
        <w:left w:val="none" w:sz="0" w:space="0" w:color="auto"/>
        <w:bottom w:val="none" w:sz="0" w:space="0" w:color="auto"/>
        <w:right w:val="none" w:sz="0" w:space="0" w:color="auto"/>
      </w:divBdr>
    </w:div>
    <w:div w:id="134957613">
      <w:marLeft w:val="0"/>
      <w:marRight w:val="0"/>
      <w:marTop w:val="0"/>
      <w:marBottom w:val="0"/>
      <w:divBdr>
        <w:top w:val="none" w:sz="0" w:space="0" w:color="auto"/>
        <w:left w:val="none" w:sz="0" w:space="0" w:color="auto"/>
        <w:bottom w:val="none" w:sz="0" w:space="0" w:color="auto"/>
        <w:right w:val="none" w:sz="0" w:space="0" w:color="auto"/>
      </w:divBdr>
    </w:div>
    <w:div w:id="137963568">
      <w:marLeft w:val="0"/>
      <w:marRight w:val="0"/>
      <w:marTop w:val="0"/>
      <w:marBottom w:val="0"/>
      <w:divBdr>
        <w:top w:val="none" w:sz="0" w:space="0" w:color="auto"/>
        <w:left w:val="none" w:sz="0" w:space="0" w:color="auto"/>
        <w:bottom w:val="none" w:sz="0" w:space="0" w:color="auto"/>
        <w:right w:val="none" w:sz="0" w:space="0" w:color="auto"/>
      </w:divBdr>
    </w:div>
    <w:div w:id="140003526">
      <w:marLeft w:val="0"/>
      <w:marRight w:val="0"/>
      <w:marTop w:val="0"/>
      <w:marBottom w:val="0"/>
      <w:divBdr>
        <w:top w:val="none" w:sz="0" w:space="0" w:color="auto"/>
        <w:left w:val="none" w:sz="0" w:space="0" w:color="auto"/>
        <w:bottom w:val="none" w:sz="0" w:space="0" w:color="auto"/>
        <w:right w:val="none" w:sz="0" w:space="0" w:color="auto"/>
      </w:divBdr>
    </w:div>
    <w:div w:id="146019734">
      <w:marLeft w:val="0"/>
      <w:marRight w:val="0"/>
      <w:marTop w:val="0"/>
      <w:marBottom w:val="0"/>
      <w:divBdr>
        <w:top w:val="none" w:sz="0" w:space="0" w:color="auto"/>
        <w:left w:val="none" w:sz="0" w:space="0" w:color="auto"/>
        <w:bottom w:val="none" w:sz="0" w:space="0" w:color="auto"/>
        <w:right w:val="none" w:sz="0" w:space="0" w:color="auto"/>
      </w:divBdr>
    </w:div>
    <w:div w:id="146095861">
      <w:marLeft w:val="0"/>
      <w:marRight w:val="0"/>
      <w:marTop w:val="0"/>
      <w:marBottom w:val="0"/>
      <w:divBdr>
        <w:top w:val="none" w:sz="0" w:space="0" w:color="auto"/>
        <w:left w:val="none" w:sz="0" w:space="0" w:color="auto"/>
        <w:bottom w:val="none" w:sz="0" w:space="0" w:color="auto"/>
        <w:right w:val="none" w:sz="0" w:space="0" w:color="auto"/>
      </w:divBdr>
    </w:div>
    <w:div w:id="147016464">
      <w:marLeft w:val="0"/>
      <w:marRight w:val="0"/>
      <w:marTop w:val="0"/>
      <w:marBottom w:val="0"/>
      <w:divBdr>
        <w:top w:val="none" w:sz="0" w:space="0" w:color="auto"/>
        <w:left w:val="none" w:sz="0" w:space="0" w:color="auto"/>
        <w:bottom w:val="none" w:sz="0" w:space="0" w:color="auto"/>
        <w:right w:val="none" w:sz="0" w:space="0" w:color="auto"/>
      </w:divBdr>
    </w:div>
    <w:div w:id="155386301">
      <w:marLeft w:val="0"/>
      <w:marRight w:val="0"/>
      <w:marTop w:val="100"/>
      <w:marBottom w:val="100"/>
      <w:divBdr>
        <w:top w:val="none" w:sz="0" w:space="0" w:color="auto"/>
        <w:left w:val="none" w:sz="0" w:space="0" w:color="auto"/>
        <w:bottom w:val="none" w:sz="0" w:space="0" w:color="auto"/>
        <w:right w:val="none" w:sz="0" w:space="0" w:color="auto"/>
      </w:divBdr>
    </w:div>
    <w:div w:id="156851464">
      <w:marLeft w:val="0"/>
      <w:marRight w:val="0"/>
      <w:marTop w:val="0"/>
      <w:marBottom w:val="0"/>
      <w:divBdr>
        <w:top w:val="none" w:sz="0" w:space="0" w:color="auto"/>
        <w:left w:val="none" w:sz="0" w:space="0" w:color="auto"/>
        <w:bottom w:val="none" w:sz="0" w:space="0" w:color="auto"/>
        <w:right w:val="none" w:sz="0" w:space="0" w:color="auto"/>
      </w:divBdr>
    </w:div>
    <w:div w:id="165680602">
      <w:marLeft w:val="0"/>
      <w:marRight w:val="0"/>
      <w:marTop w:val="0"/>
      <w:marBottom w:val="0"/>
      <w:divBdr>
        <w:top w:val="none" w:sz="0" w:space="0" w:color="auto"/>
        <w:left w:val="none" w:sz="0" w:space="0" w:color="auto"/>
        <w:bottom w:val="none" w:sz="0" w:space="0" w:color="auto"/>
        <w:right w:val="none" w:sz="0" w:space="0" w:color="auto"/>
      </w:divBdr>
    </w:div>
    <w:div w:id="167065679">
      <w:marLeft w:val="0"/>
      <w:marRight w:val="0"/>
      <w:marTop w:val="0"/>
      <w:marBottom w:val="0"/>
      <w:divBdr>
        <w:top w:val="none" w:sz="0" w:space="0" w:color="auto"/>
        <w:left w:val="none" w:sz="0" w:space="0" w:color="auto"/>
        <w:bottom w:val="none" w:sz="0" w:space="0" w:color="auto"/>
        <w:right w:val="none" w:sz="0" w:space="0" w:color="auto"/>
      </w:divBdr>
      <w:divsChild>
        <w:div w:id="65881597">
          <w:marLeft w:val="0"/>
          <w:marRight w:val="0"/>
          <w:marTop w:val="0"/>
          <w:marBottom w:val="0"/>
          <w:divBdr>
            <w:top w:val="none" w:sz="0" w:space="0" w:color="auto"/>
            <w:left w:val="none" w:sz="0" w:space="0" w:color="auto"/>
            <w:bottom w:val="none" w:sz="0" w:space="0" w:color="auto"/>
            <w:right w:val="none" w:sz="0" w:space="0" w:color="auto"/>
          </w:divBdr>
        </w:div>
      </w:divsChild>
    </w:div>
    <w:div w:id="168646711">
      <w:marLeft w:val="0"/>
      <w:marRight w:val="0"/>
      <w:marTop w:val="0"/>
      <w:marBottom w:val="120"/>
      <w:divBdr>
        <w:top w:val="none" w:sz="0" w:space="0" w:color="auto"/>
        <w:left w:val="none" w:sz="0" w:space="0" w:color="auto"/>
        <w:bottom w:val="none" w:sz="0" w:space="0" w:color="auto"/>
        <w:right w:val="none" w:sz="0" w:space="0" w:color="auto"/>
      </w:divBdr>
    </w:div>
    <w:div w:id="175996037">
      <w:marLeft w:val="0"/>
      <w:marRight w:val="0"/>
      <w:marTop w:val="0"/>
      <w:marBottom w:val="0"/>
      <w:divBdr>
        <w:top w:val="none" w:sz="0" w:space="0" w:color="auto"/>
        <w:left w:val="none" w:sz="0" w:space="0" w:color="auto"/>
        <w:bottom w:val="none" w:sz="0" w:space="0" w:color="auto"/>
        <w:right w:val="none" w:sz="0" w:space="0" w:color="auto"/>
      </w:divBdr>
    </w:div>
    <w:div w:id="176234072">
      <w:marLeft w:val="0"/>
      <w:marRight w:val="0"/>
      <w:marTop w:val="60"/>
      <w:marBottom w:val="0"/>
      <w:divBdr>
        <w:top w:val="none" w:sz="0" w:space="0" w:color="auto"/>
        <w:left w:val="none" w:sz="0" w:space="0" w:color="auto"/>
        <w:bottom w:val="none" w:sz="0" w:space="0" w:color="auto"/>
        <w:right w:val="none" w:sz="0" w:space="0" w:color="auto"/>
      </w:divBdr>
    </w:div>
    <w:div w:id="176971714">
      <w:marLeft w:val="0"/>
      <w:marRight w:val="0"/>
      <w:marTop w:val="0"/>
      <w:marBottom w:val="0"/>
      <w:divBdr>
        <w:top w:val="none" w:sz="0" w:space="0" w:color="auto"/>
        <w:left w:val="none" w:sz="0" w:space="0" w:color="auto"/>
        <w:bottom w:val="none" w:sz="0" w:space="0" w:color="auto"/>
        <w:right w:val="none" w:sz="0" w:space="0" w:color="auto"/>
      </w:divBdr>
    </w:div>
    <w:div w:id="184951351">
      <w:marLeft w:val="0"/>
      <w:marRight w:val="0"/>
      <w:marTop w:val="0"/>
      <w:marBottom w:val="0"/>
      <w:divBdr>
        <w:top w:val="none" w:sz="0" w:space="0" w:color="auto"/>
        <w:left w:val="none" w:sz="0" w:space="0" w:color="auto"/>
        <w:bottom w:val="none" w:sz="0" w:space="0" w:color="auto"/>
        <w:right w:val="none" w:sz="0" w:space="0" w:color="auto"/>
      </w:divBdr>
    </w:div>
    <w:div w:id="185413405">
      <w:marLeft w:val="0"/>
      <w:marRight w:val="0"/>
      <w:marTop w:val="0"/>
      <w:marBottom w:val="0"/>
      <w:divBdr>
        <w:top w:val="none" w:sz="0" w:space="0" w:color="auto"/>
        <w:left w:val="none" w:sz="0" w:space="0" w:color="auto"/>
        <w:bottom w:val="none" w:sz="0" w:space="0" w:color="auto"/>
        <w:right w:val="none" w:sz="0" w:space="0" w:color="auto"/>
      </w:divBdr>
    </w:div>
    <w:div w:id="186480369">
      <w:marLeft w:val="0"/>
      <w:marRight w:val="0"/>
      <w:marTop w:val="0"/>
      <w:marBottom w:val="0"/>
      <w:divBdr>
        <w:top w:val="none" w:sz="0" w:space="0" w:color="auto"/>
        <w:left w:val="none" w:sz="0" w:space="0" w:color="auto"/>
        <w:bottom w:val="none" w:sz="0" w:space="0" w:color="auto"/>
        <w:right w:val="none" w:sz="0" w:space="0" w:color="auto"/>
      </w:divBdr>
    </w:div>
    <w:div w:id="188300563">
      <w:marLeft w:val="0"/>
      <w:marRight w:val="0"/>
      <w:marTop w:val="0"/>
      <w:marBottom w:val="0"/>
      <w:divBdr>
        <w:top w:val="none" w:sz="0" w:space="0" w:color="auto"/>
        <w:left w:val="none" w:sz="0" w:space="0" w:color="auto"/>
        <w:bottom w:val="none" w:sz="0" w:space="0" w:color="auto"/>
        <w:right w:val="none" w:sz="0" w:space="0" w:color="auto"/>
      </w:divBdr>
    </w:div>
    <w:div w:id="191192897">
      <w:marLeft w:val="0"/>
      <w:marRight w:val="0"/>
      <w:marTop w:val="0"/>
      <w:marBottom w:val="0"/>
      <w:divBdr>
        <w:top w:val="none" w:sz="0" w:space="0" w:color="auto"/>
        <w:left w:val="none" w:sz="0" w:space="0" w:color="auto"/>
        <w:bottom w:val="none" w:sz="0" w:space="0" w:color="auto"/>
        <w:right w:val="none" w:sz="0" w:space="0" w:color="auto"/>
      </w:divBdr>
    </w:div>
    <w:div w:id="193691303">
      <w:marLeft w:val="0"/>
      <w:marRight w:val="0"/>
      <w:marTop w:val="0"/>
      <w:marBottom w:val="0"/>
      <w:divBdr>
        <w:top w:val="none" w:sz="0" w:space="0" w:color="auto"/>
        <w:left w:val="none" w:sz="0" w:space="0" w:color="auto"/>
        <w:bottom w:val="none" w:sz="0" w:space="0" w:color="auto"/>
        <w:right w:val="none" w:sz="0" w:space="0" w:color="auto"/>
      </w:divBdr>
      <w:divsChild>
        <w:div w:id="1933513593">
          <w:marLeft w:val="0"/>
          <w:marRight w:val="0"/>
          <w:marTop w:val="0"/>
          <w:marBottom w:val="0"/>
          <w:divBdr>
            <w:top w:val="none" w:sz="0" w:space="0" w:color="auto"/>
            <w:left w:val="none" w:sz="0" w:space="0" w:color="auto"/>
            <w:bottom w:val="none" w:sz="0" w:space="0" w:color="auto"/>
            <w:right w:val="none" w:sz="0" w:space="0" w:color="auto"/>
          </w:divBdr>
        </w:div>
      </w:divsChild>
    </w:div>
    <w:div w:id="197788056">
      <w:marLeft w:val="0"/>
      <w:marRight w:val="0"/>
      <w:marTop w:val="0"/>
      <w:marBottom w:val="0"/>
      <w:divBdr>
        <w:top w:val="none" w:sz="0" w:space="0" w:color="auto"/>
        <w:left w:val="none" w:sz="0" w:space="0" w:color="auto"/>
        <w:bottom w:val="none" w:sz="0" w:space="0" w:color="auto"/>
        <w:right w:val="none" w:sz="0" w:space="0" w:color="auto"/>
      </w:divBdr>
    </w:div>
    <w:div w:id="204946610">
      <w:marLeft w:val="0"/>
      <w:marRight w:val="0"/>
      <w:marTop w:val="0"/>
      <w:marBottom w:val="0"/>
      <w:divBdr>
        <w:top w:val="none" w:sz="0" w:space="0" w:color="auto"/>
        <w:left w:val="none" w:sz="0" w:space="0" w:color="auto"/>
        <w:bottom w:val="none" w:sz="0" w:space="0" w:color="auto"/>
        <w:right w:val="none" w:sz="0" w:space="0" w:color="auto"/>
      </w:divBdr>
    </w:div>
    <w:div w:id="213779360">
      <w:marLeft w:val="0"/>
      <w:marRight w:val="0"/>
      <w:marTop w:val="0"/>
      <w:marBottom w:val="0"/>
      <w:divBdr>
        <w:top w:val="none" w:sz="0" w:space="0" w:color="auto"/>
        <w:left w:val="none" w:sz="0" w:space="0" w:color="auto"/>
        <w:bottom w:val="none" w:sz="0" w:space="0" w:color="auto"/>
        <w:right w:val="none" w:sz="0" w:space="0" w:color="auto"/>
      </w:divBdr>
    </w:div>
    <w:div w:id="213932293">
      <w:marLeft w:val="0"/>
      <w:marRight w:val="0"/>
      <w:marTop w:val="0"/>
      <w:marBottom w:val="0"/>
      <w:divBdr>
        <w:top w:val="none" w:sz="0" w:space="0" w:color="auto"/>
        <w:left w:val="none" w:sz="0" w:space="0" w:color="auto"/>
        <w:bottom w:val="none" w:sz="0" w:space="0" w:color="auto"/>
        <w:right w:val="none" w:sz="0" w:space="0" w:color="auto"/>
      </w:divBdr>
    </w:div>
    <w:div w:id="217908177">
      <w:marLeft w:val="0"/>
      <w:marRight w:val="0"/>
      <w:marTop w:val="0"/>
      <w:marBottom w:val="0"/>
      <w:divBdr>
        <w:top w:val="none" w:sz="0" w:space="0" w:color="auto"/>
        <w:left w:val="none" w:sz="0" w:space="0" w:color="auto"/>
        <w:bottom w:val="none" w:sz="0" w:space="0" w:color="auto"/>
        <w:right w:val="none" w:sz="0" w:space="0" w:color="auto"/>
      </w:divBdr>
    </w:div>
    <w:div w:id="218053702">
      <w:marLeft w:val="0"/>
      <w:marRight w:val="0"/>
      <w:marTop w:val="0"/>
      <w:marBottom w:val="0"/>
      <w:divBdr>
        <w:top w:val="none" w:sz="0" w:space="0" w:color="auto"/>
        <w:left w:val="none" w:sz="0" w:space="0" w:color="auto"/>
        <w:bottom w:val="none" w:sz="0" w:space="0" w:color="auto"/>
        <w:right w:val="none" w:sz="0" w:space="0" w:color="auto"/>
      </w:divBdr>
    </w:div>
    <w:div w:id="220141630">
      <w:marLeft w:val="0"/>
      <w:marRight w:val="0"/>
      <w:marTop w:val="0"/>
      <w:marBottom w:val="0"/>
      <w:divBdr>
        <w:top w:val="none" w:sz="0" w:space="0" w:color="auto"/>
        <w:left w:val="none" w:sz="0" w:space="0" w:color="auto"/>
        <w:bottom w:val="none" w:sz="0" w:space="0" w:color="auto"/>
        <w:right w:val="none" w:sz="0" w:space="0" w:color="auto"/>
      </w:divBdr>
    </w:div>
    <w:div w:id="224681289">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229467245">
      <w:marLeft w:val="0"/>
      <w:marRight w:val="0"/>
      <w:marTop w:val="100"/>
      <w:marBottom w:val="100"/>
      <w:divBdr>
        <w:top w:val="none" w:sz="0" w:space="0" w:color="auto"/>
        <w:left w:val="none" w:sz="0" w:space="0" w:color="auto"/>
        <w:bottom w:val="none" w:sz="0" w:space="0" w:color="auto"/>
        <w:right w:val="none" w:sz="0" w:space="0" w:color="auto"/>
      </w:divBdr>
      <w:divsChild>
        <w:div w:id="494882910">
          <w:marLeft w:val="0"/>
          <w:marRight w:val="0"/>
          <w:marTop w:val="0"/>
          <w:marBottom w:val="0"/>
          <w:divBdr>
            <w:top w:val="none" w:sz="0" w:space="0" w:color="auto"/>
            <w:left w:val="none" w:sz="0" w:space="0" w:color="auto"/>
            <w:bottom w:val="none" w:sz="0" w:space="0" w:color="auto"/>
            <w:right w:val="none" w:sz="0" w:space="0" w:color="auto"/>
          </w:divBdr>
        </w:div>
        <w:div w:id="920529449">
          <w:marLeft w:val="0"/>
          <w:marRight w:val="0"/>
          <w:marTop w:val="0"/>
          <w:marBottom w:val="0"/>
          <w:divBdr>
            <w:top w:val="none" w:sz="0" w:space="0" w:color="auto"/>
            <w:left w:val="none" w:sz="0" w:space="0" w:color="auto"/>
            <w:bottom w:val="none" w:sz="0" w:space="0" w:color="auto"/>
            <w:right w:val="none" w:sz="0" w:space="0" w:color="auto"/>
          </w:divBdr>
        </w:div>
      </w:divsChild>
    </w:div>
    <w:div w:id="230771739">
      <w:marLeft w:val="0"/>
      <w:marRight w:val="0"/>
      <w:marTop w:val="100"/>
      <w:marBottom w:val="100"/>
      <w:divBdr>
        <w:top w:val="none" w:sz="0" w:space="0" w:color="auto"/>
        <w:left w:val="none" w:sz="0" w:space="0" w:color="auto"/>
        <w:bottom w:val="none" w:sz="0" w:space="0" w:color="auto"/>
        <w:right w:val="none" w:sz="0" w:space="0" w:color="auto"/>
      </w:divBdr>
      <w:divsChild>
        <w:div w:id="531311562">
          <w:marLeft w:val="0"/>
          <w:marRight w:val="0"/>
          <w:marTop w:val="0"/>
          <w:marBottom w:val="0"/>
          <w:divBdr>
            <w:top w:val="none" w:sz="0" w:space="0" w:color="auto"/>
            <w:left w:val="none" w:sz="0" w:space="0" w:color="auto"/>
            <w:bottom w:val="none" w:sz="0" w:space="0" w:color="auto"/>
            <w:right w:val="none" w:sz="0" w:space="0" w:color="auto"/>
          </w:divBdr>
        </w:div>
        <w:div w:id="1881699534">
          <w:marLeft w:val="0"/>
          <w:marRight w:val="0"/>
          <w:marTop w:val="0"/>
          <w:marBottom w:val="0"/>
          <w:divBdr>
            <w:top w:val="none" w:sz="0" w:space="0" w:color="auto"/>
            <w:left w:val="none" w:sz="0" w:space="0" w:color="auto"/>
            <w:bottom w:val="none" w:sz="0" w:space="0" w:color="auto"/>
            <w:right w:val="none" w:sz="0" w:space="0" w:color="auto"/>
          </w:divBdr>
        </w:div>
        <w:div w:id="926694771">
          <w:marLeft w:val="0"/>
          <w:marRight w:val="0"/>
          <w:marTop w:val="0"/>
          <w:marBottom w:val="0"/>
          <w:divBdr>
            <w:top w:val="none" w:sz="0" w:space="0" w:color="auto"/>
            <w:left w:val="none" w:sz="0" w:space="0" w:color="auto"/>
            <w:bottom w:val="none" w:sz="0" w:space="0" w:color="auto"/>
            <w:right w:val="none" w:sz="0" w:space="0" w:color="auto"/>
          </w:divBdr>
        </w:div>
        <w:div w:id="2170928">
          <w:marLeft w:val="0"/>
          <w:marRight w:val="0"/>
          <w:marTop w:val="0"/>
          <w:marBottom w:val="0"/>
          <w:divBdr>
            <w:top w:val="none" w:sz="0" w:space="0" w:color="auto"/>
            <w:left w:val="none" w:sz="0" w:space="0" w:color="auto"/>
            <w:bottom w:val="none" w:sz="0" w:space="0" w:color="auto"/>
            <w:right w:val="none" w:sz="0" w:space="0" w:color="auto"/>
          </w:divBdr>
        </w:div>
      </w:divsChild>
    </w:div>
    <w:div w:id="235819676">
      <w:marLeft w:val="0"/>
      <w:marRight w:val="0"/>
      <w:marTop w:val="0"/>
      <w:marBottom w:val="0"/>
      <w:divBdr>
        <w:top w:val="none" w:sz="0" w:space="0" w:color="auto"/>
        <w:left w:val="none" w:sz="0" w:space="0" w:color="auto"/>
        <w:bottom w:val="none" w:sz="0" w:space="0" w:color="auto"/>
        <w:right w:val="none" w:sz="0" w:space="0" w:color="auto"/>
      </w:divBdr>
    </w:div>
    <w:div w:id="237517089">
      <w:marLeft w:val="0"/>
      <w:marRight w:val="0"/>
      <w:marTop w:val="0"/>
      <w:marBottom w:val="0"/>
      <w:divBdr>
        <w:top w:val="none" w:sz="0" w:space="0" w:color="auto"/>
        <w:left w:val="none" w:sz="0" w:space="0" w:color="auto"/>
        <w:bottom w:val="none" w:sz="0" w:space="0" w:color="auto"/>
        <w:right w:val="none" w:sz="0" w:space="0" w:color="auto"/>
      </w:divBdr>
    </w:div>
    <w:div w:id="239024584">
      <w:marLeft w:val="0"/>
      <w:marRight w:val="0"/>
      <w:marTop w:val="0"/>
      <w:marBottom w:val="120"/>
      <w:divBdr>
        <w:top w:val="none" w:sz="0" w:space="0" w:color="auto"/>
        <w:left w:val="none" w:sz="0" w:space="0" w:color="auto"/>
        <w:bottom w:val="none" w:sz="0" w:space="0" w:color="auto"/>
        <w:right w:val="none" w:sz="0" w:space="0" w:color="auto"/>
      </w:divBdr>
    </w:div>
    <w:div w:id="241911514">
      <w:marLeft w:val="0"/>
      <w:marRight w:val="0"/>
      <w:marTop w:val="0"/>
      <w:marBottom w:val="0"/>
      <w:divBdr>
        <w:top w:val="none" w:sz="0" w:space="0" w:color="auto"/>
        <w:left w:val="none" w:sz="0" w:space="0" w:color="auto"/>
        <w:bottom w:val="none" w:sz="0" w:space="0" w:color="auto"/>
        <w:right w:val="none" w:sz="0" w:space="0" w:color="auto"/>
      </w:divBdr>
    </w:div>
    <w:div w:id="242033552">
      <w:marLeft w:val="0"/>
      <w:marRight w:val="0"/>
      <w:marTop w:val="0"/>
      <w:marBottom w:val="0"/>
      <w:divBdr>
        <w:top w:val="none" w:sz="0" w:space="0" w:color="auto"/>
        <w:left w:val="none" w:sz="0" w:space="0" w:color="auto"/>
        <w:bottom w:val="none" w:sz="0" w:space="0" w:color="auto"/>
        <w:right w:val="none" w:sz="0" w:space="0" w:color="auto"/>
      </w:divBdr>
    </w:div>
    <w:div w:id="242683768">
      <w:marLeft w:val="0"/>
      <w:marRight w:val="0"/>
      <w:marTop w:val="60"/>
      <w:marBottom w:val="0"/>
      <w:divBdr>
        <w:top w:val="none" w:sz="0" w:space="0" w:color="auto"/>
        <w:left w:val="none" w:sz="0" w:space="0" w:color="auto"/>
        <w:bottom w:val="none" w:sz="0" w:space="0" w:color="auto"/>
        <w:right w:val="none" w:sz="0" w:space="0" w:color="auto"/>
      </w:divBdr>
    </w:div>
    <w:div w:id="242837403">
      <w:marLeft w:val="0"/>
      <w:marRight w:val="0"/>
      <w:marTop w:val="0"/>
      <w:marBottom w:val="0"/>
      <w:divBdr>
        <w:top w:val="none" w:sz="0" w:space="0" w:color="auto"/>
        <w:left w:val="none" w:sz="0" w:space="0" w:color="auto"/>
        <w:bottom w:val="none" w:sz="0" w:space="0" w:color="auto"/>
        <w:right w:val="none" w:sz="0" w:space="0" w:color="auto"/>
      </w:divBdr>
    </w:div>
    <w:div w:id="243685282">
      <w:marLeft w:val="0"/>
      <w:marRight w:val="0"/>
      <w:marTop w:val="0"/>
      <w:marBottom w:val="0"/>
      <w:divBdr>
        <w:top w:val="none" w:sz="0" w:space="0" w:color="auto"/>
        <w:left w:val="none" w:sz="0" w:space="0" w:color="auto"/>
        <w:bottom w:val="none" w:sz="0" w:space="0" w:color="auto"/>
        <w:right w:val="none" w:sz="0" w:space="0" w:color="auto"/>
      </w:divBdr>
    </w:div>
    <w:div w:id="246422612">
      <w:marLeft w:val="0"/>
      <w:marRight w:val="0"/>
      <w:marTop w:val="0"/>
      <w:marBottom w:val="0"/>
      <w:divBdr>
        <w:top w:val="none" w:sz="0" w:space="0" w:color="auto"/>
        <w:left w:val="none" w:sz="0" w:space="0" w:color="auto"/>
        <w:bottom w:val="none" w:sz="0" w:space="0" w:color="auto"/>
        <w:right w:val="none" w:sz="0" w:space="0" w:color="auto"/>
      </w:divBdr>
      <w:divsChild>
        <w:div w:id="1026521233">
          <w:marLeft w:val="0"/>
          <w:marRight w:val="0"/>
          <w:marTop w:val="0"/>
          <w:marBottom w:val="0"/>
          <w:divBdr>
            <w:top w:val="none" w:sz="0" w:space="0" w:color="auto"/>
            <w:left w:val="none" w:sz="0" w:space="0" w:color="auto"/>
            <w:bottom w:val="none" w:sz="0" w:space="0" w:color="auto"/>
            <w:right w:val="none" w:sz="0" w:space="0" w:color="auto"/>
          </w:divBdr>
        </w:div>
      </w:divsChild>
    </w:div>
    <w:div w:id="247346299">
      <w:marLeft w:val="0"/>
      <w:marRight w:val="0"/>
      <w:marTop w:val="0"/>
      <w:marBottom w:val="0"/>
      <w:divBdr>
        <w:top w:val="none" w:sz="0" w:space="0" w:color="auto"/>
        <w:left w:val="none" w:sz="0" w:space="0" w:color="auto"/>
        <w:bottom w:val="none" w:sz="0" w:space="0" w:color="auto"/>
        <w:right w:val="none" w:sz="0" w:space="0" w:color="auto"/>
      </w:divBdr>
    </w:div>
    <w:div w:id="249003675">
      <w:marLeft w:val="0"/>
      <w:marRight w:val="0"/>
      <w:marTop w:val="0"/>
      <w:marBottom w:val="0"/>
      <w:divBdr>
        <w:top w:val="none" w:sz="0" w:space="0" w:color="auto"/>
        <w:left w:val="none" w:sz="0" w:space="0" w:color="auto"/>
        <w:bottom w:val="none" w:sz="0" w:space="0" w:color="auto"/>
        <w:right w:val="none" w:sz="0" w:space="0" w:color="auto"/>
      </w:divBdr>
    </w:div>
    <w:div w:id="251549740">
      <w:marLeft w:val="0"/>
      <w:marRight w:val="0"/>
      <w:marTop w:val="0"/>
      <w:marBottom w:val="120"/>
      <w:divBdr>
        <w:top w:val="none" w:sz="0" w:space="0" w:color="auto"/>
        <w:left w:val="none" w:sz="0" w:space="0" w:color="auto"/>
        <w:bottom w:val="none" w:sz="0" w:space="0" w:color="auto"/>
        <w:right w:val="none" w:sz="0" w:space="0" w:color="auto"/>
      </w:divBdr>
    </w:div>
    <w:div w:id="256911371">
      <w:marLeft w:val="0"/>
      <w:marRight w:val="0"/>
      <w:marTop w:val="0"/>
      <w:marBottom w:val="0"/>
      <w:divBdr>
        <w:top w:val="none" w:sz="0" w:space="0" w:color="auto"/>
        <w:left w:val="none" w:sz="0" w:space="0" w:color="auto"/>
        <w:bottom w:val="none" w:sz="0" w:space="0" w:color="auto"/>
        <w:right w:val="none" w:sz="0" w:space="0" w:color="auto"/>
      </w:divBdr>
      <w:divsChild>
        <w:div w:id="564294688">
          <w:marLeft w:val="0"/>
          <w:marRight w:val="0"/>
          <w:marTop w:val="0"/>
          <w:marBottom w:val="0"/>
          <w:divBdr>
            <w:top w:val="none" w:sz="0" w:space="0" w:color="auto"/>
            <w:left w:val="none" w:sz="0" w:space="0" w:color="auto"/>
            <w:bottom w:val="none" w:sz="0" w:space="0" w:color="auto"/>
            <w:right w:val="none" w:sz="0" w:space="0" w:color="auto"/>
          </w:divBdr>
        </w:div>
      </w:divsChild>
    </w:div>
    <w:div w:id="257561437">
      <w:marLeft w:val="0"/>
      <w:marRight w:val="0"/>
      <w:marTop w:val="0"/>
      <w:marBottom w:val="0"/>
      <w:divBdr>
        <w:top w:val="none" w:sz="0" w:space="0" w:color="auto"/>
        <w:left w:val="none" w:sz="0" w:space="0" w:color="auto"/>
        <w:bottom w:val="none" w:sz="0" w:space="0" w:color="auto"/>
        <w:right w:val="none" w:sz="0" w:space="0" w:color="auto"/>
      </w:divBdr>
    </w:div>
    <w:div w:id="258802402">
      <w:marLeft w:val="0"/>
      <w:marRight w:val="0"/>
      <w:marTop w:val="0"/>
      <w:marBottom w:val="0"/>
      <w:divBdr>
        <w:top w:val="none" w:sz="0" w:space="0" w:color="auto"/>
        <w:left w:val="none" w:sz="0" w:space="0" w:color="auto"/>
        <w:bottom w:val="none" w:sz="0" w:space="0" w:color="auto"/>
        <w:right w:val="none" w:sz="0" w:space="0" w:color="auto"/>
      </w:divBdr>
    </w:div>
    <w:div w:id="258948146">
      <w:marLeft w:val="0"/>
      <w:marRight w:val="0"/>
      <w:marTop w:val="0"/>
      <w:marBottom w:val="120"/>
      <w:divBdr>
        <w:top w:val="none" w:sz="0" w:space="0" w:color="auto"/>
        <w:left w:val="none" w:sz="0" w:space="0" w:color="auto"/>
        <w:bottom w:val="none" w:sz="0" w:space="0" w:color="auto"/>
        <w:right w:val="none" w:sz="0" w:space="0" w:color="auto"/>
      </w:divBdr>
    </w:div>
    <w:div w:id="262348649">
      <w:marLeft w:val="0"/>
      <w:marRight w:val="0"/>
      <w:marTop w:val="100"/>
      <w:marBottom w:val="100"/>
      <w:divBdr>
        <w:top w:val="none" w:sz="0" w:space="0" w:color="auto"/>
        <w:left w:val="none" w:sz="0" w:space="0" w:color="auto"/>
        <w:bottom w:val="none" w:sz="0" w:space="0" w:color="auto"/>
        <w:right w:val="none" w:sz="0" w:space="0" w:color="auto"/>
      </w:divBdr>
    </w:div>
    <w:div w:id="263853573">
      <w:marLeft w:val="0"/>
      <w:marRight w:val="0"/>
      <w:marTop w:val="0"/>
      <w:marBottom w:val="0"/>
      <w:divBdr>
        <w:top w:val="none" w:sz="0" w:space="0" w:color="auto"/>
        <w:left w:val="none" w:sz="0" w:space="0" w:color="auto"/>
        <w:bottom w:val="none" w:sz="0" w:space="0" w:color="auto"/>
        <w:right w:val="none" w:sz="0" w:space="0" w:color="auto"/>
      </w:divBdr>
      <w:divsChild>
        <w:div w:id="1746419156">
          <w:marLeft w:val="0"/>
          <w:marRight w:val="0"/>
          <w:marTop w:val="0"/>
          <w:marBottom w:val="0"/>
          <w:divBdr>
            <w:top w:val="none" w:sz="0" w:space="0" w:color="auto"/>
            <w:left w:val="none" w:sz="0" w:space="0" w:color="auto"/>
            <w:bottom w:val="none" w:sz="0" w:space="0" w:color="auto"/>
            <w:right w:val="none" w:sz="0" w:space="0" w:color="auto"/>
          </w:divBdr>
        </w:div>
        <w:div w:id="2144149668">
          <w:marLeft w:val="0"/>
          <w:marRight w:val="0"/>
          <w:marTop w:val="0"/>
          <w:marBottom w:val="0"/>
          <w:divBdr>
            <w:top w:val="none" w:sz="0" w:space="0" w:color="auto"/>
            <w:left w:val="none" w:sz="0" w:space="0" w:color="auto"/>
            <w:bottom w:val="none" w:sz="0" w:space="0" w:color="auto"/>
            <w:right w:val="none" w:sz="0" w:space="0" w:color="auto"/>
          </w:divBdr>
        </w:div>
        <w:div w:id="855079604">
          <w:marLeft w:val="0"/>
          <w:marRight w:val="0"/>
          <w:marTop w:val="0"/>
          <w:marBottom w:val="0"/>
          <w:divBdr>
            <w:top w:val="none" w:sz="0" w:space="0" w:color="auto"/>
            <w:left w:val="none" w:sz="0" w:space="0" w:color="auto"/>
            <w:bottom w:val="none" w:sz="0" w:space="0" w:color="auto"/>
            <w:right w:val="none" w:sz="0" w:space="0" w:color="auto"/>
          </w:divBdr>
        </w:div>
        <w:div w:id="128283670">
          <w:marLeft w:val="0"/>
          <w:marRight w:val="0"/>
          <w:marTop w:val="0"/>
          <w:marBottom w:val="0"/>
          <w:divBdr>
            <w:top w:val="none" w:sz="0" w:space="0" w:color="auto"/>
            <w:left w:val="none" w:sz="0" w:space="0" w:color="auto"/>
            <w:bottom w:val="none" w:sz="0" w:space="0" w:color="auto"/>
            <w:right w:val="none" w:sz="0" w:space="0" w:color="auto"/>
          </w:divBdr>
        </w:div>
      </w:divsChild>
    </w:div>
    <w:div w:id="265238263">
      <w:marLeft w:val="0"/>
      <w:marRight w:val="0"/>
      <w:marTop w:val="0"/>
      <w:marBottom w:val="0"/>
      <w:divBdr>
        <w:top w:val="none" w:sz="0" w:space="0" w:color="auto"/>
        <w:left w:val="none" w:sz="0" w:space="0" w:color="auto"/>
        <w:bottom w:val="none" w:sz="0" w:space="0" w:color="auto"/>
        <w:right w:val="none" w:sz="0" w:space="0" w:color="auto"/>
      </w:divBdr>
    </w:div>
    <w:div w:id="266936089">
      <w:marLeft w:val="0"/>
      <w:marRight w:val="0"/>
      <w:marTop w:val="0"/>
      <w:marBottom w:val="0"/>
      <w:divBdr>
        <w:top w:val="none" w:sz="0" w:space="0" w:color="auto"/>
        <w:left w:val="none" w:sz="0" w:space="0" w:color="auto"/>
        <w:bottom w:val="none" w:sz="0" w:space="0" w:color="auto"/>
        <w:right w:val="none" w:sz="0" w:space="0" w:color="auto"/>
      </w:divBdr>
      <w:divsChild>
        <w:div w:id="1261915459">
          <w:marLeft w:val="0"/>
          <w:marRight w:val="0"/>
          <w:marTop w:val="0"/>
          <w:marBottom w:val="0"/>
          <w:divBdr>
            <w:top w:val="none" w:sz="0" w:space="0" w:color="auto"/>
            <w:left w:val="none" w:sz="0" w:space="0" w:color="auto"/>
            <w:bottom w:val="none" w:sz="0" w:space="0" w:color="auto"/>
            <w:right w:val="none" w:sz="0" w:space="0" w:color="auto"/>
          </w:divBdr>
        </w:div>
      </w:divsChild>
    </w:div>
    <w:div w:id="271909968">
      <w:marLeft w:val="0"/>
      <w:marRight w:val="0"/>
      <w:marTop w:val="0"/>
      <w:marBottom w:val="0"/>
      <w:divBdr>
        <w:top w:val="none" w:sz="0" w:space="0" w:color="auto"/>
        <w:left w:val="none" w:sz="0" w:space="0" w:color="auto"/>
        <w:bottom w:val="none" w:sz="0" w:space="0" w:color="auto"/>
        <w:right w:val="none" w:sz="0" w:space="0" w:color="auto"/>
      </w:divBdr>
    </w:div>
    <w:div w:id="274946676">
      <w:marLeft w:val="0"/>
      <w:marRight w:val="0"/>
      <w:marTop w:val="0"/>
      <w:marBottom w:val="0"/>
      <w:divBdr>
        <w:top w:val="none" w:sz="0" w:space="0" w:color="auto"/>
        <w:left w:val="none" w:sz="0" w:space="0" w:color="auto"/>
        <w:bottom w:val="none" w:sz="0" w:space="0" w:color="auto"/>
        <w:right w:val="none" w:sz="0" w:space="0" w:color="auto"/>
      </w:divBdr>
    </w:div>
    <w:div w:id="275255555">
      <w:marLeft w:val="0"/>
      <w:marRight w:val="0"/>
      <w:marTop w:val="0"/>
      <w:marBottom w:val="0"/>
      <w:divBdr>
        <w:top w:val="none" w:sz="0" w:space="0" w:color="auto"/>
        <w:left w:val="none" w:sz="0" w:space="0" w:color="auto"/>
        <w:bottom w:val="none" w:sz="0" w:space="0" w:color="auto"/>
        <w:right w:val="none" w:sz="0" w:space="0" w:color="auto"/>
      </w:divBdr>
    </w:div>
    <w:div w:id="275449178">
      <w:marLeft w:val="0"/>
      <w:marRight w:val="0"/>
      <w:marTop w:val="0"/>
      <w:marBottom w:val="0"/>
      <w:divBdr>
        <w:top w:val="none" w:sz="0" w:space="0" w:color="auto"/>
        <w:left w:val="none" w:sz="0" w:space="0" w:color="auto"/>
        <w:bottom w:val="none" w:sz="0" w:space="0" w:color="auto"/>
        <w:right w:val="none" w:sz="0" w:space="0" w:color="auto"/>
      </w:divBdr>
    </w:div>
    <w:div w:id="281963651">
      <w:marLeft w:val="0"/>
      <w:marRight w:val="0"/>
      <w:marTop w:val="0"/>
      <w:marBottom w:val="0"/>
      <w:divBdr>
        <w:top w:val="none" w:sz="0" w:space="0" w:color="auto"/>
        <w:left w:val="none" w:sz="0" w:space="0" w:color="auto"/>
        <w:bottom w:val="none" w:sz="0" w:space="0" w:color="auto"/>
        <w:right w:val="none" w:sz="0" w:space="0" w:color="auto"/>
      </w:divBdr>
    </w:div>
    <w:div w:id="284967377">
      <w:marLeft w:val="0"/>
      <w:marRight w:val="0"/>
      <w:marTop w:val="0"/>
      <w:marBottom w:val="0"/>
      <w:divBdr>
        <w:top w:val="none" w:sz="0" w:space="0" w:color="auto"/>
        <w:left w:val="none" w:sz="0" w:space="0" w:color="auto"/>
        <w:bottom w:val="none" w:sz="0" w:space="0" w:color="auto"/>
        <w:right w:val="none" w:sz="0" w:space="0" w:color="auto"/>
      </w:divBdr>
    </w:div>
    <w:div w:id="288360154">
      <w:marLeft w:val="0"/>
      <w:marRight w:val="0"/>
      <w:marTop w:val="0"/>
      <w:marBottom w:val="0"/>
      <w:divBdr>
        <w:top w:val="none" w:sz="0" w:space="0" w:color="auto"/>
        <w:left w:val="none" w:sz="0" w:space="0" w:color="auto"/>
        <w:bottom w:val="none" w:sz="0" w:space="0" w:color="auto"/>
        <w:right w:val="none" w:sz="0" w:space="0" w:color="auto"/>
      </w:divBdr>
    </w:div>
    <w:div w:id="295992806">
      <w:marLeft w:val="0"/>
      <w:marRight w:val="0"/>
      <w:marTop w:val="0"/>
      <w:marBottom w:val="0"/>
      <w:divBdr>
        <w:top w:val="none" w:sz="0" w:space="0" w:color="auto"/>
        <w:left w:val="none" w:sz="0" w:space="0" w:color="auto"/>
        <w:bottom w:val="none" w:sz="0" w:space="0" w:color="auto"/>
        <w:right w:val="none" w:sz="0" w:space="0" w:color="auto"/>
      </w:divBdr>
    </w:div>
    <w:div w:id="296224529">
      <w:marLeft w:val="0"/>
      <w:marRight w:val="0"/>
      <w:marTop w:val="0"/>
      <w:marBottom w:val="0"/>
      <w:divBdr>
        <w:top w:val="none" w:sz="0" w:space="0" w:color="auto"/>
        <w:left w:val="none" w:sz="0" w:space="0" w:color="auto"/>
        <w:bottom w:val="none" w:sz="0" w:space="0" w:color="auto"/>
        <w:right w:val="none" w:sz="0" w:space="0" w:color="auto"/>
      </w:divBdr>
    </w:div>
    <w:div w:id="296952445">
      <w:marLeft w:val="0"/>
      <w:marRight w:val="0"/>
      <w:marTop w:val="0"/>
      <w:marBottom w:val="0"/>
      <w:divBdr>
        <w:top w:val="none" w:sz="0" w:space="0" w:color="auto"/>
        <w:left w:val="none" w:sz="0" w:space="0" w:color="auto"/>
        <w:bottom w:val="none" w:sz="0" w:space="0" w:color="auto"/>
        <w:right w:val="none" w:sz="0" w:space="0" w:color="auto"/>
      </w:divBdr>
    </w:div>
    <w:div w:id="301929427">
      <w:marLeft w:val="0"/>
      <w:marRight w:val="0"/>
      <w:marTop w:val="0"/>
      <w:marBottom w:val="0"/>
      <w:divBdr>
        <w:top w:val="none" w:sz="0" w:space="0" w:color="auto"/>
        <w:left w:val="none" w:sz="0" w:space="0" w:color="auto"/>
        <w:bottom w:val="none" w:sz="0" w:space="0" w:color="auto"/>
        <w:right w:val="none" w:sz="0" w:space="0" w:color="auto"/>
      </w:divBdr>
      <w:divsChild>
        <w:div w:id="1493526679">
          <w:marLeft w:val="0"/>
          <w:marRight w:val="0"/>
          <w:marTop w:val="0"/>
          <w:marBottom w:val="0"/>
          <w:divBdr>
            <w:top w:val="none" w:sz="0" w:space="0" w:color="auto"/>
            <w:left w:val="none" w:sz="0" w:space="0" w:color="auto"/>
            <w:bottom w:val="none" w:sz="0" w:space="0" w:color="auto"/>
            <w:right w:val="none" w:sz="0" w:space="0" w:color="auto"/>
          </w:divBdr>
        </w:div>
      </w:divsChild>
    </w:div>
    <w:div w:id="302539749">
      <w:marLeft w:val="0"/>
      <w:marRight w:val="0"/>
      <w:marTop w:val="0"/>
      <w:marBottom w:val="0"/>
      <w:divBdr>
        <w:top w:val="none" w:sz="0" w:space="0" w:color="auto"/>
        <w:left w:val="none" w:sz="0" w:space="0" w:color="auto"/>
        <w:bottom w:val="none" w:sz="0" w:space="0" w:color="auto"/>
        <w:right w:val="none" w:sz="0" w:space="0" w:color="auto"/>
      </w:divBdr>
    </w:div>
    <w:div w:id="304626398">
      <w:marLeft w:val="0"/>
      <w:marRight w:val="0"/>
      <w:marTop w:val="0"/>
      <w:marBottom w:val="0"/>
      <w:divBdr>
        <w:top w:val="none" w:sz="0" w:space="0" w:color="auto"/>
        <w:left w:val="none" w:sz="0" w:space="0" w:color="auto"/>
        <w:bottom w:val="none" w:sz="0" w:space="0" w:color="auto"/>
        <w:right w:val="none" w:sz="0" w:space="0" w:color="auto"/>
      </w:divBdr>
    </w:div>
    <w:div w:id="309755068">
      <w:marLeft w:val="0"/>
      <w:marRight w:val="0"/>
      <w:marTop w:val="0"/>
      <w:marBottom w:val="0"/>
      <w:divBdr>
        <w:top w:val="none" w:sz="0" w:space="0" w:color="auto"/>
        <w:left w:val="none" w:sz="0" w:space="0" w:color="auto"/>
        <w:bottom w:val="none" w:sz="0" w:space="0" w:color="auto"/>
        <w:right w:val="none" w:sz="0" w:space="0" w:color="auto"/>
      </w:divBdr>
    </w:div>
    <w:div w:id="313993220">
      <w:marLeft w:val="0"/>
      <w:marRight w:val="0"/>
      <w:marTop w:val="0"/>
      <w:marBottom w:val="0"/>
      <w:divBdr>
        <w:top w:val="none" w:sz="0" w:space="0" w:color="auto"/>
        <w:left w:val="none" w:sz="0" w:space="0" w:color="auto"/>
        <w:bottom w:val="none" w:sz="0" w:space="0" w:color="auto"/>
        <w:right w:val="none" w:sz="0" w:space="0" w:color="auto"/>
      </w:divBdr>
    </w:div>
    <w:div w:id="323245696">
      <w:marLeft w:val="0"/>
      <w:marRight w:val="0"/>
      <w:marTop w:val="0"/>
      <w:marBottom w:val="0"/>
      <w:divBdr>
        <w:top w:val="none" w:sz="0" w:space="0" w:color="auto"/>
        <w:left w:val="none" w:sz="0" w:space="0" w:color="auto"/>
        <w:bottom w:val="none" w:sz="0" w:space="0" w:color="auto"/>
        <w:right w:val="none" w:sz="0" w:space="0" w:color="auto"/>
      </w:divBdr>
    </w:div>
    <w:div w:id="323819217">
      <w:marLeft w:val="0"/>
      <w:marRight w:val="0"/>
      <w:marTop w:val="0"/>
      <w:marBottom w:val="0"/>
      <w:divBdr>
        <w:top w:val="none" w:sz="0" w:space="0" w:color="auto"/>
        <w:left w:val="none" w:sz="0" w:space="0" w:color="auto"/>
        <w:bottom w:val="none" w:sz="0" w:space="0" w:color="auto"/>
        <w:right w:val="none" w:sz="0" w:space="0" w:color="auto"/>
      </w:divBdr>
    </w:div>
    <w:div w:id="323970436">
      <w:marLeft w:val="0"/>
      <w:marRight w:val="0"/>
      <w:marTop w:val="0"/>
      <w:marBottom w:val="0"/>
      <w:divBdr>
        <w:top w:val="none" w:sz="0" w:space="0" w:color="auto"/>
        <w:left w:val="none" w:sz="0" w:space="0" w:color="auto"/>
        <w:bottom w:val="none" w:sz="0" w:space="0" w:color="auto"/>
        <w:right w:val="none" w:sz="0" w:space="0" w:color="auto"/>
      </w:divBdr>
    </w:div>
    <w:div w:id="324866411">
      <w:marLeft w:val="0"/>
      <w:marRight w:val="0"/>
      <w:marTop w:val="100"/>
      <w:marBottom w:val="100"/>
      <w:divBdr>
        <w:top w:val="none" w:sz="0" w:space="0" w:color="auto"/>
        <w:left w:val="none" w:sz="0" w:space="0" w:color="auto"/>
        <w:bottom w:val="none" w:sz="0" w:space="0" w:color="auto"/>
        <w:right w:val="none" w:sz="0" w:space="0" w:color="auto"/>
      </w:divBdr>
      <w:divsChild>
        <w:div w:id="910776794">
          <w:marLeft w:val="0"/>
          <w:marRight w:val="0"/>
          <w:marTop w:val="0"/>
          <w:marBottom w:val="0"/>
          <w:divBdr>
            <w:top w:val="none" w:sz="0" w:space="0" w:color="auto"/>
            <w:left w:val="none" w:sz="0" w:space="0" w:color="auto"/>
            <w:bottom w:val="none" w:sz="0" w:space="0" w:color="auto"/>
            <w:right w:val="none" w:sz="0" w:space="0" w:color="auto"/>
          </w:divBdr>
        </w:div>
        <w:div w:id="442844857">
          <w:marLeft w:val="0"/>
          <w:marRight w:val="0"/>
          <w:marTop w:val="0"/>
          <w:marBottom w:val="0"/>
          <w:divBdr>
            <w:top w:val="none" w:sz="0" w:space="0" w:color="auto"/>
            <w:left w:val="none" w:sz="0" w:space="0" w:color="auto"/>
            <w:bottom w:val="none" w:sz="0" w:space="0" w:color="auto"/>
            <w:right w:val="none" w:sz="0" w:space="0" w:color="auto"/>
          </w:divBdr>
        </w:div>
        <w:div w:id="932012055">
          <w:marLeft w:val="0"/>
          <w:marRight w:val="0"/>
          <w:marTop w:val="0"/>
          <w:marBottom w:val="0"/>
          <w:divBdr>
            <w:top w:val="none" w:sz="0" w:space="0" w:color="auto"/>
            <w:left w:val="none" w:sz="0" w:space="0" w:color="auto"/>
            <w:bottom w:val="none" w:sz="0" w:space="0" w:color="auto"/>
            <w:right w:val="none" w:sz="0" w:space="0" w:color="auto"/>
          </w:divBdr>
        </w:div>
        <w:div w:id="2063677045">
          <w:marLeft w:val="0"/>
          <w:marRight w:val="0"/>
          <w:marTop w:val="0"/>
          <w:marBottom w:val="0"/>
          <w:divBdr>
            <w:top w:val="none" w:sz="0" w:space="0" w:color="auto"/>
            <w:left w:val="none" w:sz="0" w:space="0" w:color="auto"/>
            <w:bottom w:val="none" w:sz="0" w:space="0" w:color="auto"/>
            <w:right w:val="none" w:sz="0" w:space="0" w:color="auto"/>
          </w:divBdr>
        </w:div>
        <w:div w:id="872574546">
          <w:marLeft w:val="0"/>
          <w:marRight w:val="0"/>
          <w:marTop w:val="0"/>
          <w:marBottom w:val="0"/>
          <w:divBdr>
            <w:top w:val="none" w:sz="0" w:space="0" w:color="auto"/>
            <w:left w:val="none" w:sz="0" w:space="0" w:color="auto"/>
            <w:bottom w:val="none" w:sz="0" w:space="0" w:color="auto"/>
            <w:right w:val="none" w:sz="0" w:space="0" w:color="auto"/>
          </w:divBdr>
        </w:div>
      </w:divsChild>
    </w:div>
    <w:div w:id="325939855">
      <w:marLeft w:val="0"/>
      <w:marRight w:val="0"/>
      <w:marTop w:val="0"/>
      <w:marBottom w:val="0"/>
      <w:divBdr>
        <w:top w:val="none" w:sz="0" w:space="0" w:color="auto"/>
        <w:left w:val="none" w:sz="0" w:space="0" w:color="auto"/>
        <w:bottom w:val="none" w:sz="0" w:space="0" w:color="auto"/>
        <w:right w:val="none" w:sz="0" w:space="0" w:color="auto"/>
      </w:divBdr>
    </w:div>
    <w:div w:id="325983516">
      <w:marLeft w:val="0"/>
      <w:marRight w:val="0"/>
      <w:marTop w:val="100"/>
      <w:marBottom w:val="100"/>
      <w:divBdr>
        <w:top w:val="none" w:sz="0" w:space="0" w:color="auto"/>
        <w:left w:val="none" w:sz="0" w:space="0" w:color="auto"/>
        <w:bottom w:val="none" w:sz="0" w:space="0" w:color="auto"/>
        <w:right w:val="none" w:sz="0" w:space="0" w:color="auto"/>
      </w:divBdr>
      <w:divsChild>
        <w:div w:id="1648128051">
          <w:marLeft w:val="0"/>
          <w:marRight w:val="0"/>
          <w:marTop w:val="0"/>
          <w:marBottom w:val="0"/>
          <w:divBdr>
            <w:top w:val="none" w:sz="0" w:space="0" w:color="auto"/>
            <w:left w:val="none" w:sz="0" w:space="0" w:color="auto"/>
            <w:bottom w:val="none" w:sz="0" w:space="0" w:color="auto"/>
            <w:right w:val="none" w:sz="0" w:space="0" w:color="auto"/>
          </w:divBdr>
        </w:div>
        <w:div w:id="270673544">
          <w:marLeft w:val="0"/>
          <w:marRight w:val="0"/>
          <w:marTop w:val="0"/>
          <w:marBottom w:val="0"/>
          <w:divBdr>
            <w:top w:val="none" w:sz="0" w:space="0" w:color="auto"/>
            <w:left w:val="none" w:sz="0" w:space="0" w:color="auto"/>
            <w:bottom w:val="none" w:sz="0" w:space="0" w:color="auto"/>
            <w:right w:val="none" w:sz="0" w:space="0" w:color="auto"/>
          </w:divBdr>
        </w:div>
        <w:div w:id="903219019">
          <w:marLeft w:val="0"/>
          <w:marRight w:val="0"/>
          <w:marTop w:val="0"/>
          <w:marBottom w:val="0"/>
          <w:divBdr>
            <w:top w:val="none" w:sz="0" w:space="0" w:color="auto"/>
            <w:left w:val="none" w:sz="0" w:space="0" w:color="auto"/>
            <w:bottom w:val="none" w:sz="0" w:space="0" w:color="auto"/>
            <w:right w:val="none" w:sz="0" w:space="0" w:color="auto"/>
          </w:divBdr>
        </w:div>
        <w:div w:id="1421289269">
          <w:marLeft w:val="0"/>
          <w:marRight w:val="0"/>
          <w:marTop w:val="0"/>
          <w:marBottom w:val="0"/>
          <w:divBdr>
            <w:top w:val="none" w:sz="0" w:space="0" w:color="auto"/>
            <w:left w:val="none" w:sz="0" w:space="0" w:color="auto"/>
            <w:bottom w:val="none" w:sz="0" w:space="0" w:color="auto"/>
            <w:right w:val="none" w:sz="0" w:space="0" w:color="auto"/>
          </w:divBdr>
        </w:div>
        <w:div w:id="852720681">
          <w:marLeft w:val="0"/>
          <w:marRight w:val="0"/>
          <w:marTop w:val="0"/>
          <w:marBottom w:val="0"/>
          <w:divBdr>
            <w:top w:val="none" w:sz="0" w:space="0" w:color="auto"/>
            <w:left w:val="none" w:sz="0" w:space="0" w:color="auto"/>
            <w:bottom w:val="none" w:sz="0" w:space="0" w:color="auto"/>
            <w:right w:val="none" w:sz="0" w:space="0" w:color="auto"/>
          </w:divBdr>
        </w:div>
        <w:div w:id="1502038424">
          <w:marLeft w:val="0"/>
          <w:marRight w:val="0"/>
          <w:marTop w:val="0"/>
          <w:marBottom w:val="0"/>
          <w:divBdr>
            <w:top w:val="none" w:sz="0" w:space="0" w:color="auto"/>
            <w:left w:val="none" w:sz="0" w:space="0" w:color="auto"/>
            <w:bottom w:val="none" w:sz="0" w:space="0" w:color="auto"/>
            <w:right w:val="none" w:sz="0" w:space="0" w:color="auto"/>
          </w:divBdr>
        </w:div>
        <w:div w:id="1623074633">
          <w:marLeft w:val="0"/>
          <w:marRight w:val="0"/>
          <w:marTop w:val="0"/>
          <w:marBottom w:val="0"/>
          <w:divBdr>
            <w:top w:val="none" w:sz="0" w:space="0" w:color="auto"/>
            <w:left w:val="none" w:sz="0" w:space="0" w:color="auto"/>
            <w:bottom w:val="none" w:sz="0" w:space="0" w:color="auto"/>
            <w:right w:val="none" w:sz="0" w:space="0" w:color="auto"/>
          </w:divBdr>
        </w:div>
        <w:div w:id="961813967">
          <w:marLeft w:val="0"/>
          <w:marRight w:val="0"/>
          <w:marTop w:val="0"/>
          <w:marBottom w:val="0"/>
          <w:divBdr>
            <w:top w:val="none" w:sz="0" w:space="0" w:color="auto"/>
            <w:left w:val="none" w:sz="0" w:space="0" w:color="auto"/>
            <w:bottom w:val="none" w:sz="0" w:space="0" w:color="auto"/>
            <w:right w:val="none" w:sz="0" w:space="0" w:color="auto"/>
          </w:divBdr>
        </w:div>
        <w:div w:id="659700958">
          <w:marLeft w:val="0"/>
          <w:marRight w:val="0"/>
          <w:marTop w:val="0"/>
          <w:marBottom w:val="0"/>
          <w:divBdr>
            <w:top w:val="none" w:sz="0" w:space="0" w:color="auto"/>
            <w:left w:val="none" w:sz="0" w:space="0" w:color="auto"/>
            <w:bottom w:val="none" w:sz="0" w:space="0" w:color="auto"/>
            <w:right w:val="none" w:sz="0" w:space="0" w:color="auto"/>
          </w:divBdr>
        </w:div>
        <w:div w:id="960764871">
          <w:marLeft w:val="0"/>
          <w:marRight w:val="0"/>
          <w:marTop w:val="0"/>
          <w:marBottom w:val="0"/>
          <w:divBdr>
            <w:top w:val="none" w:sz="0" w:space="0" w:color="auto"/>
            <w:left w:val="none" w:sz="0" w:space="0" w:color="auto"/>
            <w:bottom w:val="none" w:sz="0" w:space="0" w:color="auto"/>
            <w:right w:val="none" w:sz="0" w:space="0" w:color="auto"/>
          </w:divBdr>
        </w:div>
        <w:div w:id="941768660">
          <w:marLeft w:val="0"/>
          <w:marRight w:val="0"/>
          <w:marTop w:val="0"/>
          <w:marBottom w:val="0"/>
          <w:divBdr>
            <w:top w:val="none" w:sz="0" w:space="0" w:color="auto"/>
            <w:left w:val="none" w:sz="0" w:space="0" w:color="auto"/>
            <w:bottom w:val="none" w:sz="0" w:space="0" w:color="auto"/>
            <w:right w:val="none" w:sz="0" w:space="0" w:color="auto"/>
          </w:divBdr>
        </w:div>
        <w:div w:id="804810919">
          <w:marLeft w:val="0"/>
          <w:marRight w:val="0"/>
          <w:marTop w:val="0"/>
          <w:marBottom w:val="0"/>
          <w:divBdr>
            <w:top w:val="none" w:sz="0" w:space="0" w:color="auto"/>
            <w:left w:val="none" w:sz="0" w:space="0" w:color="auto"/>
            <w:bottom w:val="none" w:sz="0" w:space="0" w:color="auto"/>
            <w:right w:val="none" w:sz="0" w:space="0" w:color="auto"/>
          </w:divBdr>
        </w:div>
        <w:div w:id="1548830443">
          <w:marLeft w:val="0"/>
          <w:marRight w:val="0"/>
          <w:marTop w:val="0"/>
          <w:marBottom w:val="0"/>
          <w:divBdr>
            <w:top w:val="none" w:sz="0" w:space="0" w:color="auto"/>
            <w:left w:val="none" w:sz="0" w:space="0" w:color="auto"/>
            <w:bottom w:val="none" w:sz="0" w:space="0" w:color="auto"/>
            <w:right w:val="none" w:sz="0" w:space="0" w:color="auto"/>
          </w:divBdr>
        </w:div>
        <w:div w:id="973679086">
          <w:marLeft w:val="0"/>
          <w:marRight w:val="0"/>
          <w:marTop w:val="0"/>
          <w:marBottom w:val="0"/>
          <w:divBdr>
            <w:top w:val="none" w:sz="0" w:space="0" w:color="auto"/>
            <w:left w:val="none" w:sz="0" w:space="0" w:color="auto"/>
            <w:bottom w:val="none" w:sz="0" w:space="0" w:color="auto"/>
            <w:right w:val="none" w:sz="0" w:space="0" w:color="auto"/>
          </w:divBdr>
        </w:div>
        <w:div w:id="480315077">
          <w:marLeft w:val="0"/>
          <w:marRight w:val="0"/>
          <w:marTop w:val="0"/>
          <w:marBottom w:val="0"/>
          <w:divBdr>
            <w:top w:val="none" w:sz="0" w:space="0" w:color="auto"/>
            <w:left w:val="none" w:sz="0" w:space="0" w:color="auto"/>
            <w:bottom w:val="none" w:sz="0" w:space="0" w:color="auto"/>
            <w:right w:val="none" w:sz="0" w:space="0" w:color="auto"/>
          </w:divBdr>
        </w:div>
      </w:divsChild>
    </w:div>
    <w:div w:id="327245790">
      <w:marLeft w:val="0"/>
      <w:marRight w:val="0"/>
      <w:marTop w:val="0"/>
      <w:marBottom w:val="0"/>
      <w:divBdr>
        <w:top w:val="none" w:sz="0" w:space="0" w:color="auto"/>
        <w:left w:val="none" w:sz="0" w:space="0" w:color="auto"/>
        <w:bottom w:val="none" w:sz="0" w:space="0" w:color="auto"/>
        <w:right w:val="none" w:sz="0" w:space="0" w:color="auto"/>
      </w:divBdr>
    </w:div>
    <w:div w:id="332143536">
      <w:marLeft w:val="0"/>
      <w:marRight w:val="0"/>
      <w:marTop w:val="0"/>
      <w:marBottom w:val="0"/>
      <w:divBdr>
        <w:top w:val="none" w:sz="0" w:space="0" w:color="auto"/>
        <w:left w:val="none" w:sz="0" w:space="0" w:color="auto"/>
        <w:bottom w:val="none" w:sz="0" w:space="0" w:color="auto"/>
        <w:right w:val="none" w:sz="0" w:space="0" w:color="auto"/>
      </w:divBdr>
    </w:div>
    <w:div w:id="335311203">
      <w:marLeft w:val="0"/>
      <w:marRight w:val="0"/>
      <w:marTop w:val="0"/>
      <w:marBottom w:val="0"/>
      <w:divBdr>
        <w:top w:val="none" w:sz="0" w:space="0" w:color="auto"/>
        <w:left w:val="none" w:sz="0" w:space="0" w:color="auto"/>
        <w:bottom w:val="none" w:sz="0" w:space="0" w:color="auto"/>
        <w:right w:val="none" w:sz="0" w:space="0" w:color="auto"/>
      </w:divBdr>
    </w:div>
    <w:div w:id="344283497">
      <w:marLeft w:val="0"/>
      <w:marRight w:val="0"/>
      <w:marTop w:val="0"/>
      <w:marBottom w:val="0"/>
      <w:divBdr>
        <w:top w:val="none" w:sz="0" w:space="0" w:color="auto"/>
        <w:left w:val="none" w:sz="0" w:space="0" w:color="auto"/>
        <w:bottom w:val="none" w:sz="0" w:space="0" w:color="auto"/>
        <w:right w:val="none" w:sz="0" w:space="0" w:color="auto"/>
      </w:divBdr>
    </w:div>
    <w:div w:id="349452371">
      <w:marLeft w:val="0"/>
      <w:marRight w:val="0"/>
      <w:marTop w:val="0"/>
      <w:marBottom w:val="0"/>
      <w:divBdr>
        <w:top w:val="none" w:sz="0" w:space="0" w:color="auto"/>
        <w:left w:val="none" w:sz="0" w:space="0" w:color="auto"/>
        <w:bottom w:val="none" w:sz="0" w:space="0" w:color="auto"/>
        <w:right w:val="none" w:sz="0" w:space="0" w:color="auto"/>
      </w:divBdr>
    </w:div>
    <w:div w:id="350647043">
      <w:marLeft w:val="0"/>
      <w:marRight w:val="0"/>
      <w:marTop w:val="0"/>
      <w:marBottom w:val="0"/>
      <w:divBdr>
        <w:top w:val="none" w:sz="0" w:space="0" w:color="auto"/>
        <w:left w:val="none" w:sz="0" w:space="0" w:color="auto"/>
        <w:bottom w:val="none" w:sz="0" w:space="0" w:color="auto"/>
        <w:right w:val="none" w:sz="0" w:space="0" w:color="auto"/>
      </w:divBdr>
    </w:div>
    <w:div w:id="354040414">
      <w:marLeft w:val="0"/>
      <w:marRight w:val="0"/>
      <w:marTop w:val="0"/>
      <w:marBottom w:val="0"/>
      <w:divBdr>
        <w:top w:val="none" w:sz="0" w:space="0" w:color="auto"/>
        <w:left w:val="none" w:sz="0" w:space="0" w:color="auto"/>
        <w:bottom w:val="none" w:sz="0" w:space="0" w:color="auto"/>
        <w:right w:val="none" w:sz="0" w:space="0" w:color="auto"/>
      </w:divBdr>
    </w:div>
    <w:div w:id="354312718">
      <w:marLeft w:val="0"/>
      <w:marRight w:val="0"/>
      <w:marTop w:val="0"/>
      <w:marBottom w:val="0"/>
      <w:divBdr>
        <w:top w:val="none" w:sz="0" w:space="0" w:color="auto"/>
        <w:left w:val="none" w:sz="0" w:space="0" w:color="auto"/>
        <w:bottom w:val="none" w:sz="0" w:space="0" w:color="auto"/>
        <w:right w:val="none" w:sz="0" w:space="0" w:color="auto"/>
      </w:divBdr>
    </w:div>
    <w:div w:id="366296414">
      <w:marLeft w:val="0"/>
      <w:marRight w:val="0"/>
      <w:marTop w:val="0"/>
      <w:marBottom w:val="0"/>
      <w:divBdr>
        <w:top w:val="none" w:sz="0" w:space="0" w:color="auto"/>
        <w:left w:val="none" w:sz="0" w:space="0" w:color="auto"/>
        <w:bottom w:val="none" w:sz="0" w:space="0" w:color="auto"/>
        <w:right w:val="none" w:sz="0" w:space="0" w:color="auto"/>
      </w:divBdr>
    </w:div>
    <w:div w:id="368262017">
      <w:marLeft w:val="0"/>
      <w:marRight w:val="0"/>
      <w:marTop w:val="0"/>
      <w:marBottom w:val="0"/>
      <w:divBdr>
        <w:top w:val="none" w:sz="0" w:space="0" w:color="auto"/>
        <w:left w:val="none" w:sz="0" w:space="0" w:color="auto"/>
        <w:bottom w:val="none" w:sz="0" w:space="0" w:color="auto"/>
        <w:right w:val="none" w:sz="0" w:space="0" w:color="auto"/>
      </w:divBdr>
    </w:div>
    <w:div w:id="369770689">
      <w:marLeft w:val="0"/>
      <w:marRight w:val="0"/>
      <w:marTop w:val="0"/>
      <w:marBottom w:val="0"/>
      <w:divBdr>
        <w:top w:val="none" w:sz="0" w:space="0" w:color="auto"/>
        <w:left w:val="none" w:sz="0" w:space="0" w:color="auto"/>
        <w:bottom w:val="none" w:sz="0" w:space="0" w:color="auto"/>
        <w:right w:val="none" w:sz="0" w:space="0" w:color="auto"/>
      </w:divBdr>
    </w:div>
    <w:div w:id="371421705">
      <w:marLeft w:val="0"/>
      <w:marRight w:val="0"/>
      <w:marTop w:val="0"/>
      <w:marBottom w:val="0"/>
      <w:divBdr>
        <w:top w:val="none" w:sz="0" w:space="0" w:color="auto"/>
        <w:left w:val="none" w:sz="0" w:space="0" w:color="auto"/>
        <w:bottom w:val="none" w:sz="0" w:space="0" w:color="auto"/>
        <w:right w:val="none" w:sz="0" w:space="0" w:color="auto"/>
      </w:divBdr>
    </w:div>
    <w:div w:id="373431838">
      <w:marLeft w:val="0"/>
      <w:marRight w:val="0"/>
      <w:marTop w:val="0"/>
      <w:marBottom w:val="0"/>
      <w:divBdr>
        <w:top w:val="none" w:sz="0" w:space="0" w:color="auto"/>
        <w:left w:val="none" w:sz="0" w:space="0" w:color="auto"/>
        <w:bottom w:val="none" w:sz="0" w:space="0" w:color="auto"/>
        <w:right w:val="none" w:sz="0" w:space="0" w:color="auto"/>
      </w:divBdr>
    </w:div>
    <w:div w:id="373844515">
      <w:marLeft w:val="0"/>
      <w:marRight w:val="0"/>
      <w:marTop w:val="0"/>
      <w:marBottom w:val="0"/>
      <w:divBdr>
        <w:top w:val="none" w:sz="0" w:space="0" w:color="auto"/>
        <w:left w:val="none" w:sz="0" w:space="0" w:color="auto"/>
        <w:bottom w:val="none" w:sz="0" w:space="0" w:color="auto"/>
        <w:right w:val="none" w:sz="0" w:space="0" w:color="auto"/>
      </w:divBdr>
      <w:divsChild>
        <w:div w:id="2139835568">
          <w:marLeft w:val="0"/>
          <w:marRight w:val="0"/>
          <w:marTop w:val="0"/>
          <w:marBottom w:val="0"/>
          <w:divBdr>
            <w:top w:val="none" w:sz="0" w:space="0" w:color="auto"/>
            <w:left w:val="none" w:sz="0" w:space="0" w:color="auto"/>
            <w:bottom w:val="none" w:sz="0" w:space="0" w:color="auto"/>
            <w:right w:val="none" w:sz="0" w:space="0" w:color="auto"/>
          </w:divBdr>
        </w:div>
      </w:divsChild>
    </w:div>
    <w:div w:id="374231582">
      <w:marLeft w:val="0"/>
      <w:marRight w:val="0"/>
      <w:marTop w:val="100"/>
      <w:marBottom w:val="120"/>
      <w:divBdr>
        <w:top w:val="none" w:sz="0" w:space="0" w:color="auto"/>
        <w:left w:val="none" w:sz="0" w:space="0" w:color="auto"/>
        <w:bottom w:val="none" w:sz="0" w:space="0" w:color="auto"/>
        <w:right w:val="none" w:sz="0" w:space="0" w:color="auto"/>
      </w:divBdr>
    </w:div>
    <w:div w:id="375549034">
      <w:marLeft w:val="0"/>
      <w:marRight w:val="0"/>
      <w:marTop w:val="0"/>
      <w:marBottom w:val="0"/>
      <w:divBdr>
        <w:top w:val="none" w:sz="0" w:space="0" w:color="auto"/>
        <w:left w:val="none" w:sz="0" w:space="0" w:color="auto"/>
        <w:bottom w:val="none" w:sz="0" w:space="0" w:color="auto"/>
        <w:right w:val="none" w:sz="0" w:space="0" w:color="auto"/>
      </w:divBdr>
    </w:div>
    <w:div w:id="378405286">
      <w:marLeft w:val="0"/>
      <w:marRight w:val="0"/>
      <w:marTop w:val="0"/>
      <w:marBottom w:val="0"/>
      <w:divBdr>
        <w:top w:val="none" w:sz="0" w:space="0" w:color="auto"/>
        <w:left w:val="none" w:sz="0" w:space="0" w:color="auto"/>
        <w:bottom w:val="none" w:sz="0" w:space="0" w:color="auto"/>
        <w:right w:val="none" w:sz="0" w:space="0" w:color="auto"/>
      </w:divBdr>
      <w:divsChild>
        <w:div w:id="1528063864">
          <w:marLeft w:val="0"/>
          <w:marRight w:val="0"/>
          <w:marTop w:val="0"/>
          <w:marBottom w:val="0"/>
          <w:divBdr>
            <w:top w:val="none" w:sz="0" w:space="0" w:color="auto"/>
            <w:left w:val="none" w:sz="0" w:space="0" w:color="auto"/>
            <w:bottom w:val="none" w:sz="0" w:space="0" w:color="auto"/>
            <w:right w:val="none" w:sz="0" w:space="0" w:color="auto"/>
          </w:divBdr>
        </w:div>
      </w:divsChild>
    </w:div>
    <w:div w:id="380250063">
      <w:marLeft w:val="0"/>
      <w:marRight w:val="0"/>
      <w:marTop w:val="0"/>
      <w:marBottom w:val="0"/>
      <w:divBdr>
        <w:top w:val="none" w:sz="0" w:space="0" w:color="auto"/>
        <w:left w:val="none" w:sz="0" w:space="0" w:color="auto"/>
        <w:bottom w:val="none" w:sz="0" w:space="0" w:color="auto"/>
        <w:right w:val="none" w:sz="0" w:space="0" w:color="auto"/>
      </w:divBdr>
    </w:div>
    <w:div w:id="381368387">
      <w:marLeft w:val="0"/>
      <w:marRight w:val="0"/>
      <w:marTop w:val="0"/>
      <w:marBottom w:val="0"/>
      <w:divBdr>
        <w:top w:val="none" w:sz="0" w:space="0" w:color="auto"/>
        <w:left w:val="none" w:sz="0" w:space="0" w:color="auto"/>
        <w:bottom w:val="none" w:sz="0" w:space="0" w:color="auto"/>
        <w:right w:val="none" w:sz="0" w:space="0" w:color="auto"/>
      </w:divBdr>
    </w:div>
    <w:div w:id="381944113">
      <w:marLeft w:val="0"/>
      <w:marRight w:val="0"/>
      <w:marTop w:val="0"/>
      <w:marBottom w:val="0"/>
      <w:divBdr>
        <w:top w:val="none" w:sz="0" w:space="0" w:color="auto"/>
        <w:left w:val="none" w:sz="0" w:space="0" w:color="auto"/>
        <w:bottom w:val="none" w:sz="0" w:space="0" w:color="auto"/>
        <w:right w:val="none" w:sz="0" w:space="0" w:color="auto"/>
      </w:divBdr>
    </w:div>
    <w:div w:id="384763575">
      <w:marLeft w:val="0"/>
      <w:marRight w:val="0"/>
      <w:marTop w:val="100"/>
      <w:marBottom w:val="100"/>
      <w:divBdr>
        <w:top w:val="none" w:sz="0" w:space="0" w:color="auto"/>
        <w:left w:val="none" w:sz="0" w:space="0" w:color="auto"/>
        <w:bottom w:val="none" w:sz="0" w:space="0" w:color="auto"/>
        <w:right w:val="none" w:sz="0" w:space="0" w:color="auto"/>
      </w:divBdr>
    </w:div>
    <w:div w:id="387388631">
      <w:marLeft w:val="0"/>
      <w:marRight w:val="0"/>
      <w:marTop w:val="0"/>
      <w:marBottom w:val="0"/>
      <w:divBdr>
        <w:top w:val="none" w:sz="0" w:space="0" w:color="auto"/>
        <w:left w:val="none" w:sz="0" w:space="0" w:color="auto"/>
        <w:bottom w:val="none" w:sz="0" w:space="0" w:color="auto"/>
        <w:right w:val="none" w:sz="0" w:space="0" w:color="auto"/>
      </w:divBdr>
    </w:div>
    <w:div w:id="388771215">
      <w:marLeft w:val="0"/>
      <w:marRight w:val="0"/>
      <w:marTop w:val="0"/>
      <w:marBottom w:val="0"/>
      <w:divBdr>
        <w:top w:val="none" w:sz="0" w:space="0" w:color="auto"/>
        <w:left w:val="none" w:sz="0" w:space="0" w:color="auto"/>
        <w:bottom w:val="none" w:sz="0" w:space="0" w:color="auto"/>
        <w:right w:val="none" w:sz="0" w:space="0" w:color="auto"/>
      </w:divBdr>
    </w:div>
    <w:div w:id="392043185">
      <w:marLeft w:val="0"/>
      <w:marRight w:val="0"/>
      <w:marTop w:val="0"/>
      <w:marBottom w:val="0"/>
      <w:divBdr>
        <w:top w:val="none" w:sz="0" w:space="0" w:color="auto"/>
        <w:left w:val="none" w:sz="0" w:space="0" w:color="auto"/>
        <w:bottom w:val="none" w:sz="0" w:space="0" w:color="auto"/>
        <w:right w:val="none" w:sz="0" w:space="0" w:color="auto"/>
      </w:divBdr>
    </w:div>
    <w:div w:id="393820846">
      <w:marLeft w:val="0"/>
      <w:marRight w:val="0"/>
      <w:marTop w:val="0"/>
      <w:marBottom w:val="0"/>
      <w:divBdr>
        <w:top w:val="none" w:sz="0" w:space="0" w:color="auto"/>
        <w:left w:val="none" w:sz="0" w:space="0" w:color="auto"/>
        <w:bottom w:val="none" w:sz="0" w:space="0" w:color="auto"/>
        <w:right w:val="none" w:sz="0" w:space="0" w:color="auto"/>
      </w:divBdr>
    </w:div>
    <w:div w:id="397361555">
      <w:marLeft w:val="0"/>
      <w:marRight w:val="0"/>
      <w:marTop w:val="0"/>
      <w:marBottom w:val="0"/>
      <w:divBdr>
        <w:top w:val="none" w:sz="0" w:space="0" w:color="auto"/>
        <w:left w:val="none" w:sz="0" w:space="0" w:color="auto"/>
        <w:bottom w:val="none" w:sz="0" w:space="0" w:color="auto"/>
        <w:right w:val="none" w:sz="0" w:space="0" w:color="auto"/>
      </w:divBdr>
    </w:div>
    <w:div w:id="399062684">
      <w:marLeft w:val="0"/>
      <w:marRight w:val="0"/>
      <w:marTop w:val="0"/>
      <w:marBottom w:val="0"/>
      <w:divBdr>
        <w:top w:val="none" w:sz="0" w:space="0" w:color="auto"/>
        <w:left w:val="none" w:sz="0" w:space="0" w:color="auto"/>
        <w:bottom w:val="none" w:sz="0" w:space="0" w:color="auto"/>
        <w:right w:val="none" w:sz="0" w:space="0" w:color="auto"/>
      </w:divBdr>
    </w:div>
    <w:div w:id="400105152">
      <w:marLeft w:val="0"/>
      <w:marRight w:val="0"/>
      <w:marTop w:val="0"/>
      <w:marBottom w:val="0"/>
      <w:divBdr>
        <w:top w:val="none" w:sz="0" w:space="0" w:color="auto"/>
        <w:left w:val="none" w:sz="0" w:space="0" w:color="auto"/>
        <w:bottom w:val="none" w:sz="0" w:space="0" w:color="auto"/>
        <w:right w:val="none" w:sz="0" w:space="0" w:color="auto"/>
      </w:divBdr>
    </w:div>
    <w:div w:id="407575637">
      <w:marLeft w:val="0"/>
      <w:marRight w:val="0"/>
      <w:marTop w:val="0"/>
      <w:marBottom w:val="0"/>
      <w:divBdr>
        <w:top w:val="none" w:sz="0" w:space="0" w:color="auto"/>
        <w:left w:val="none" w:sz="0" w:space="0" w:color="auto"/>
        <w:bottom w:val="none" w:sz="0" w:space="0" w:color="auto"/>
        <w:right w:val="none" w:sz="0" w:space="0" w:color="auto"/>
      </w:divBdr>
      <w:divsChild>
        <w:div w:id="1762022113">
          <w:marLeft w:val="0"/>
          <w:marRight w:val="0"/>
          <w:marTop w:val="0"/>
          <w:marBottom w:val="0"/>
          <w:divBdr>
            <w:top w:val="none" w:sz="0" w:space="0" w:color="auto"/>
            <w:left w:val="none" w:sz="0" w:space="0" w:color="auto"/>
            <w:bottom w:val="none" w:sz="0" w:space="0" w:color="auto"/>
            <w:right w:val="none" w:sz="0" w:space="0" w:color="auto"/>
          </w:divBdr>
        </w:div>
      </w:divsChild>
    </w:div>
    <w:div w:id="409351271">
      <w:marLeft w:val="0"/>
      <w:marRight w:val="0"/>
      <w:marTop w:val="0"/>
      <w:marBottom w:val="0"/>
      <w:divBdr>
        <w:top w:val="none" w:sz="0" w:space="0" w:color="auto"/>
        <w:left w:val="none" w:sz="0" w:space="0" w:color="auto"/>
        <w:bottom w:val="none" w:sz="0" w:space="0" w:color="auto"/>
        <w:right w:val="none" w:sz="0" w:space="0" w:color="auto"/>
      </w:divBdr>
    </w:div>
    <w:div w:id="416634588">
      <w:marLeft w:val="0"/>
      <w:marRight w:val="0"/>
      <w:marTop w:val="0"/>
      <w:marBottom w:val="0"/>
      <w:divBdr>
        <w:top w:val="none" w:sz="0" w:space="0" w:color="auto"/>
        <w:left w:val="none" w:sz="0" w:space="0" w:color="auto"/>
        <w:bottom w:val="none" w:sz="0" w:space="0" w:color="auto"/>
        <w:right w:val="none" w:sz="0" w:space="0" w:color="auto"/>
      </w:divBdr>
    </w:div>
    <w:div w:id="416944858">
      <w:marLeft w:val="0"/>
      <w:marRight w:val="0"/>
      <w:marTop w:val="0"/>
      <w:marBottom w:val="0"/>
      <w:divBdr>
        <w:top w:val="none" w:sz="0" w:space="0" w:color="auto"/>
        <w:left w:val="none" w:sz="0" w:space="0" w:color="auto"/>
        <w:bottom w:val="none" w:sz="0" w:space="0" w:color="auto"/>
        <w:right w:val="none" w:sz="0" w:space="0" w:color="auto"/>
      </w:divBdr>
      <w:divsChild>
        <w:div w:id="136806179">
          <w:marLeft w:val="0"/>
          <w:marRight w:val="0"/>
          <w:marTop w:val="0"/>
          <w:marBottom w:val="0"/>
          <w:divBdr>
            <w:top w:val="none" w:sz="0" w:space="0" w:color="auto"/>
            <w:left w:val="none" w:sz="0" w:space="0" w:color="auto"/>
            <w:bottom w:val="none" w:sz="0" w:space="0" w:color="auto"/>
            <w:right w:val="none" w:sz="0" w:space="0" w:color="auto"/>
          </w:divBdr>
        </w:div>
      </w:divsChild>
    </w:div>
    <w:div w:id="417793048">
      <w:marLeft w:val="0"/>
      <w:marRight w:val="0"/>
      <w:marTop w:val="0"/>
      <w:marBottom w:val="0"/>
      <w:divBdr>
        <w:top w:val="none" w:sz="0" w:space="0" w:color="auto"/>
        <w:left w:val="none" w:sz="0" w:space="0" w:color="auto"/>
        <w:bottom w:val="none" w:sz="0" w:space="0" w:color="auto"/>
        <w:right w:val="none" w:sz="0" w:space="0" w:color="auto"/>
      </w:divBdr>
    </w:div>
    <w:div w:id="423961016">
      <w:marLeft w:val="0"/>
      <w:marRight w:val="0"/>
      <w:marTop w:val="0"/>
      <w:marBottom w:val="0"/>
      <w:divBdr>
        <w:top w:val="none" w:sz="0" w:space="0" w:color="auto"/>
        <w:left w:val="none" w:sz="0" w:space="0" w:color="auto"/>
        <w:bottom w:val="none" w:sz="0" w:space="0" w:color="auto"/>
        <w:right w:val="none" w:sz="0" w:space="0" w:color="auto"/>
      </w:divBdr>
      <w:divsChild>
        <w:div w:id="685331943">
          <w:marLeft w:val="0"/>
          <w:marRight w:val="0"/>
          <w:marTop w:val="0"/>
          <w:marBottom w:val="0"/>
          <w:divBdr>
            <w:top w:val="none" w:sz="0" w:space="0" w:color="auto"/>
            <w:left w:val="none" w:sz="0" w:space="0" w:color="auto"/>
            <w:bottom w:val="none" w:sz="0" w:space="0" w:color="auto"/>
            <w:right w:val="none" w:sz="0" w:space="0" w:color="auto"/>
          </w:divBdr>
        </w:div>
      </w:divsChild>
    </w:div>
    <w:div w:id="426847535">
      <w:marLeft w:val="0"/>
      <w:marRight w:val="0"/>
      <w:marTop w:val="0"/>
      <w:marBottom w:val="0"/>
      <w:divBdr>
        <w:top w:val="none" w:sz="0" w:space="0" w:color="auto"/>
        <w:left w:val="none" w:sz="0" w:space="0" w:color="auto"/>
        <w:bottom w:val="none" w:sz="0" w:space="0" w:color="auto"/>
        <w:right w:val="none" w:sz="0" w:space="0" w:color="auto"/>
      </w:divBdr>
    </w:div>
    <w:div w:id="436217660">
      <w:marLeft w:val="0"/>
      <w:marRight w:val="0"/>
      <w:marTop w:val="100"/>
      <w:marBottom w:val="0"/>
      <w:divBdr>
        <w:top w:val="none" w:sz="0" w:space="0" w:color="auto"/>
        <w:left w:val="none" w:sz="0" w:space="0" w:color="auto"/>
        <w:bottom w:val="none" w:sz="0" w:space="0" w:color="auto"/>
        <w:right w:val="none" w:sz="0" w:space="0" w:color="auto"/>
      </w:divBdr>
    </w:div>
    <w:div w:id="439300358">
      <w:marLeft w:val="0"/>
      <w:marRight w:val="0"/>
      <w:marTop w:val="0"/>
      <w:marBottom w:val="0"/>
      <w:divBdr>
        <w:top w:val="none" w:sz="0" w:space="0" w:color="auto"/>
        <w:left w:val="none" w:sz="0" w:space="0" w:color="auto"/>
        <w:bottom w:val="none" w:sz="0" w:space="0" w:color="auto"/>
        <w:right w:val="none" w:sz="0" w:space="0" w:color="auto"/>
      </w:divBdr>
    </w:div>
    <w:div w:id="439908961">
      <w:marLeft w:val="0"/>
      <w:marRight w:val="0"/>
      <w:marTop w:val="0"/>
      <w:marBottom w:val="0"/>
      <w:divBdr>
        <w:top w:val="none" w:sz="0" w:space="0" w:color="auto"/>
        <w:left w:val="none" w:sz="0" w:space="0" w:color="auto"/>
        <w:bottom w:val="none" w:sz="0" w:space="0" w:color="auto"/>
        <w:right w:val="none" w:sz="0" w:space="0" w:color="auto"/>
      </w:divBdr>
    </w:div>
    <w:div w:id="441732610">
      <w:marLeft w:val="0"/>
      <w:marRight w:val="0"/>
      <w:marTop w:val="0"/>
      <w:marBottom w:val="0"/>
      <w:divBdr>
        <w:top w:val="none" w:sz="0" w:space="0" w:color="auto"/>
        <w:left w:val="none" w:sz="0" w:space="0" w:color="auto"/>
        <w:bottom w:val="none" w:sz="0" w:space="0" w:color="auto"/>
        <w:right w:val="none" w:sz="0" w:space="0" w:color="auto"/>
      </w:divBdr>
    </w:div>
    <w:div w:id="442725480">
      <w:marLeft w:val="0"/>
      <w:marRight w:val="0"/>
      <w:marTop w:val="0"/>
      <w:marBottom w:val="0"/>
      <w:divBdr>
        <w:top w:val="none" w:sz="0" w:space="0" w:color="auto"/>
        <w:left w:val="none" w:sz="0" w:space="0" w:color="auto"/>
        <w:bottom w:val="none" w:sz="0" w:space="0" w:color="auto"/>
        <w:right w:val="none" w:sz="0" w:space="0" w:color="auto"/>
      </w:divBdr>
    </w:div>
    <w:div w:id="444346777">
      <w:marLeft w:val="0"/>
      <w:marRight w:val="0"/>
      <w:marTop w:val="0"/>
      <w:marBottom w:val="0"/>
      <w:divBdr>
        <w:top w:val="none" w:sz="0" w:space="0" w:color="auto"/>
        <w:left w:val="none" w:sz="0" w:space="0" w:color="auto"/>
        <w:bottom w:val="none" w:sz="0" w:space="0" w:color="auto"/>
        <w:right w:val="none" w:sz="0" w:space="0" w:color="auto"/>
      </w:divBdr>
    </w:div>
    <w:div w:id="445197310">
      <w:marLeft w:val="0"/>
      <w:marRight w:val="0"/>
      <w:marTop w:val="0"/>
      <w:marBottom w:val="0"/>
      <w:divBdr>
        <w:top w:val="none" w:sz="0" w:space="0" w:color="auto"/>
        <w:left w:val="none" w:sz="0" w:space="0" w:color="auto"/>
        <w:bottom w:val="none" w:sz="0" w:space="0" w:color="auto"/>
        <w:right w:val="none" w:sz="0" w:space="0" w:color="auto"/>
      </w:divBdr>
    </w:div>
    <w:div w:id="450786453">
      <w:marLeft w:val="0"/>
      <w:marRight w:val="0"/>
      <w:marTop w:val="0"/>
      <w:marBottom w:val="0"/>
      <w:divBdr>
        <w:top w:val="none" w:sz="0" w:space="0" w:color="auto"/>
        <w:left w:val="none" w:sz="0" w:space="0" w:color="auto"/>
        <w:bottom w:val="none" w:sz="0" w:space="0" w:color="auto"/>
        <w:right w:val="none" w:sz="0" w:space="0" w:color="auto"/>
      </w:divBdr>
    </w:div>
    <w:div w:id="451637635">
      <w:marLeft w:val="0"/>
      <w:marRight w:val="0"/>
      <w:marTop w:val="0"/>
      <w:marBottom w:val="0"/>
      <w:divBdr>
        <w:top w:val="none" w:sz="0" w:space="0" w:color="auto"/>
        <w:left w:val="none" w:sz="0" w:space="0" w:color="auto"/>
        <w:bottom w:val="none" w:sz="0" w:space="0" w:color="auto"/>
        <w:right w:val="none" w:sz="0" w:space="0" w:color="auto"/>
      </w:divBdr>
    </w:div>
    <w:div w:id="452746941">
      <w:marLeft w:val="0"/>
      <w:marRight w:val="0"/>
      <w:marTop w:val="0"/>
      <w:marBottom w:val="0"/>
      <w:divBdr>
        <w:top w:val="none" w:sz="0" w:space="0" w:color="auto"/>
        <w:left w:val="none" w:sz="0" w:space="0" w:color="auto"/>
        <w:bottom w:val="none" w:sz="0" w:space="0" w:color="auto"/>
        <w:right w:val="none" w:sz="0" w:space="0" w:color="auto"/>
      </w:divBdr>
    </w:div>
    <w:div w:id="455562923">
      <w:marLeft w:val="0"/>
      <w:marRight w:val="0"/>
      <w:marTop w:val="0"/>
      <w:marBottom w:val="0"/>
      <w:divBdr>
        <w:top w:val="none" w:sz="0" w:space="0" w:color="auto"/>
        <w:left w:val="none" w:sz="0" w:space="0" w:color="auto"/>
        <w:bottom w:val="none" w:sz="0" w:space="0" w:color="auto"/>
        <w:right w:val="none" w:sz="0" w:space="0" w:color="auto"/>
      </w:divBdr>
    </w:div>
    <w:div w:id="457341469">
      <w:marLeft w:val="0"/>
      <w:marRight w:val="0"/>
      <w:marTop w:val="0"/>
      <w:marBottom w:val="0"/>
      <w:divBdr>
        <w:top w:val="none" w:sz="0" w:space="0" w:color="auto"/>
        <w:left w:val="none" w:sz="0" w:space="0" w:color="auto"/>
        <w:bottom w:val="none" w:sz="0" w:space="0" w:color="auto"/>
        <w:right w:val="none" w:sz="0" w:space="0" w:color="auto"/>
      </w:divBdr>
    </w:div>
    <w:div w:id="463040262">
      <w:marLeft w:val="0"/>
      <w:marRight w:val="0"/>
      <w:marTop w:val="0"/>
      <w:marBottom w:val="0"/>
      <w:divBdr>
        <w:top w:val="none" w:sz="0" w:space="0" w:color="auto"/>
        <w:left w:val="none" w:sz="0" w:space="0" w:color="auto"/>
        <w:bottom w:val="none" w:sz="0" w:space="0" w:color="auto"/>
        <w:right w:val="none" w:sz="0" w:space="0" w:color="auto"/>
      </w:divBdr>
    </w:div>
    <w:div w:id="465975838">
      <w:marLeft w:val="0"/>
      <w:marRight w:val="0"/>
      <w:marTop w:val="0"/>
      <w:marBottom w:val="0"/>
      <w:divBdr>
        <w:top w:val="none" w:sz="0" w:space="0" w:color="auto"/>
        <w:left w:val="none" w:sz="0" w:space="0" w:color="auto"/>
        <w:bottom w:val="none" w:sz="0" w:space="0" w:color="auto"/>
        <w:right w:val="none" w:sz="0" w:space="0" w:color="auto"/>
      </w:divBdr>
    </w:div>
    <w:div w:id="466434509">
      <w:marLeft w:val="0"/>
      <w:marRight w:val="0"/>
      <w:marTop w:val="0"/>
      <w:marBottom w:val="0"/>
      <w:divBdr>
        <w:top w:val="none" w:sz="0" w:space="0" w:color="auto"/>
        <w:left w:val="none" w:sz="0" w:space="0" w:color="auto"/>
        <w:bottom w:val="none" w:sz="0" w:space="0" w:color="auto"/>
        <w:right w:val="none" w:sz="0" w:space="0" w:color="auto"/>
      </w:divBdr>
    </w:div>
    <w:div w:id="470514972">
      <w:marLeft w:val="0"/>
      <w:marRight w:val="0"/>
      <w:marTop w:val="0"/>
      <w:marBottom w:val="0"/>
      <w:divBdr>
        <w:top w:val="none" w:sz="0" w:space="0" w:color="auto"/>
        <w:left w:val="none" w:sz="0" w:space="0" w:color="auto"/>
        <w:bottom w:val="none" w:sz="0" w:space="0" w:color="auto"/>
        <w:right w:val="none" w:sz="0" w:space="0" w:color="auto"/>
      </w:divBdr>
    </w:div>
    <w:div w:id="470942822">
      <w:marLeft w:val="0"/>
      <w:marRight w:val="0"/>
      <w:marTop w:val="0"/>
      <w:marBottom w:val="0"/>
      <w:divBdr>
        <w:top w:val="none" w:sz="0" w:space="0" w:color="auto"/>
        <w:left w:val="none" w:sz="0" w:space="0" w:color="auto"/>
        <w:bottom w:val="none" w:sz="0" w:space="0" w:color="auto"/>
        <w:right w:val="none" w:sz="0" w:space="0" w:color="auto"/>
      </w:divBdr>
    </w:div>
    <w:div w:id="479079949">
      <w:marLeft w:val="0"/>
      <w:marRight w:val="0"/>
      <w:marTop w:val="100"/>
      <w:marBottom w:val="100"/>
      <w:divBdr>
        <w:top w:val="none" w:sz="0" w:space="0" w:color="auto"/>
        <w:left w:val="none" w:sz="0" w:space="0" w:color="auto"/>
        <w:bottom w:val="none" w:sz="0" w:space="0" w:color="auto"/>
        <w:right w:val="none" w:sz="0" w:space="0" w:color="auto"/>
      </w:divBdr>
    </w:div>
    <w:div w:id="479927881">
      <w:marLeft w:val="0"/>
      <w:marRight w:val="0"/>
      <w:marTop w:val="0"/>
      <w:marBottom w:val="0"/>
      <w:divBdr>
        <w:top w:val="none" w:sz="0" w:space="0" w:color="auto"/>
        <w:left w:val="none" w:sz="0" w:space="0" w:color="auto"/>
        <w:bottom w:val="none" w:sz="0" w:space="0" w:color="auto"/>
        <w:right w:val="none" w:sz="0" w:space="0" w:color="auto"/>
      </w:divBdr>
    </w:div>
    <w:div w:id="481239225">
      <w:marLeft w:val="0"/>
      <w:marRight w:val="0"/>
      <w:marTop w:val="0"/>
      <w:marBottom w:val="0"/>
      <w:divBdr>
        <w:top w:val="none" w:sz="0" w:space="0" w:color="auto"/>
        <w:left w:val="none" w:sz="0" w:space="0" w:color="auto"/>
        <w:bottom w:val="none" w:sz="0" w:space="0" w:color="auto"/>
        <w:right w:val="none" w:sz="0" w:space="0" w:color="auto"/>
      </w:divBdr>
    </w:div>
    <w:div w:id="481241610">
      <w:marLeft w:val="0"/>
      <w:marRight w:val="0"/>
      <w:marTop w:val="0"/>
      <w:marBottom w:val="0"/>
      <w:divBdr>
        <w:top w:val="none" w:sz="0" w:space="0" w:color="auto"/>
        <w:left w:val="none" w:sz="0" w:space="0" w:color="auto"/>
        <w:bottom w:val="none" w:sz="0" w:space="0" w:color="auto"/>
        <w:right w:val="none" w:sz="0" w:space="0" w:color="auto"/>
      </w:divBdr>
    </w:div>
    <w:div w:id="490370394">
      <w:marLeft w:val="0"/>
      <w:marRight w:val="0"/>
      <w:marTop w:val="0"/>
      <w:marBottom w:val="0"/>
      <w:divBdr>
        <w:top w:val="none" w:sz="0" w:space="0" w:color="auto"/>
        <w:left w:val="none" w:sz="0" w:space="0" w:color="auto"/>
        <w:bottom w:val="none" w:sz="0" w:space="0" w:color="auto"/>
        <w:right w:val="none" w:sz="0" w:space="0" w:color="auto"/>
      </w:divBdr>
      <w:divsChild>
        <w:div w:id="547188634">
          <w:marLeft w:val="0"/>
          <w:marRight w:val="0"/>
          <w:marTop w:val="0"/>
          <w:marBottom w:val="0"/>
          <w:divBdr>
            <w:top w:val="none" w:sz="0" w:space="0" w:color="auto"/>
            <w:left w:val="none" w:sz="0" w:space="0" w:color="auto"/>
            <w:bottom w:val="none" w:sz="0" w:space="0" w:color="auto"/>
            <w:right w:val="none" w:sz="0" w:space="0" w:color="auto"/>
          </w:divBdr>
        </w:div>
      </w:divsChild>
    </w:div>
    <w:div w:id="491261427">
      <w:marLeft w:val="0"/>
      <w:marRight w:val="0"/>
      <w:marTop w:val="0"/>
      <w:marBottom w:val="0"/>
      <w:divBdr>
        <w:top w:val="none" w:sz="0" w:space="0" w:color="auto"/>
        <w:left w:val="none" w:sz="0" w:space="0" w:color="auto"/>
        <w:bottom w:val="none" w:sz="0" w:space="0" w:color="auto"/>
        <w:right w:val="none" w:sz="0" w:space="0" w:color="auto"/>
      </w:divBdr>
    </w:div>
    <w:div w:id="491288337">
      <w:marLeft w:val="0"/>
      <w:marRight w:val="0"/>
      <w:marTop w:val="0"/>
      <w:marBottom w:val="0"/>
      <w:divBdr>
        <w:top w:val="none" w:sz="0" w:space="0" w:color="auto"/>
        <w:left w:val="none" w:sz="0" w:space="0" w:color="auto"/>
        <w:bottom w:val="none" w:sz="0" w:space="0" w:color="auto"/>
        <w:right w:val="none" w:sz="0" w:space="0" w:color="auto"/>
      </w:divBdr>
      <w:divsChild>
        <w:div w:id="1778719119">
          <w:marLeft w:val="0"/>
          <w:marRight w:val="0"/>
          <w:marTop w:val="0"/>
          <w:marBottom w:val="0"/>
          <w:divBdr>
            <w:top w:val="none" w:sz="0" w:space="0" w:color="auto"/>
            <w:left w:val="none" w:sz="0" w:space="0" w:color="auto"/>
            <w:bottom w:val="none" w:sz="0" w:space="0" w:color="auto"/>
            <w:right w:val="none" w:sz="0" w:space="0" w:color="auto"/>
          </w:divBdr>
        </w:div>
      </w:divsChild>
    </w:div>
    <w:div w:id="495607225">
      <w:marLeft w:val="0"/>
      <w:marRight w:val="0"/>
      <w:marTop w:val="0"/>
      <w:marBottom w:val="0"/>
      <w:divBdr>
        <w:top w:val="none" w:sz="0" w:space="0" w:color="auto"/>
        <w:left w:val="none" w:sz="0" w:space="0" w:color="auto"/>
        <w:bottom w:val="none" w:sz="0" w:space="0" w:color="auto"/>
        <w:right w:val="none" w:sz="0" w:space="0" w:color="auto"/>
      </w:divBdr>
    </w:div>
    <w:div w:id="504707378">
      <w:marLeft w:val="0"/>
      <w:marRight w:val="0"/>
      <w:marTop w:val="0"/>
      <w:marBottom w:val="0"/>
      <w:divBdr>
        <w:top w:val="none" w:sz="0" w:space="0" w:color="auto"/>
        <w:left w:val="none" w:sz="0" w:space="0" w:color="auto"/>
        <w:bottom w:val="none" w:sz="0" w:space="0" w:color="auto"/>
        <w:right w:val="none" w:sz="0" w:space="0" w:color="auto"/>
      </w:divBdr>
    </w:div>
    <w:div w:id="507328821">
      <w:marLeft w:val="0"/>
      <w:marRight w:val="0"/>
      <w:marTop w:val="0"/>
      <w:marBottom w:val="0"/>
      <w:divBdr>
        <w:top w:val="none" w:sz="0" w:space="0" w:color="auto"/>
        <w:left w:val="none" w:sz="0" w:space="0" w:color="auto"/>
        <w:bottom w:val="none" w:sz="0" w:space="0" w:color="auto"/>
        <w:right w:val="none" w:sz="0" w:space="0" w:color="auto"/>
      </w:divBdr>
    </w:div>
    <w:div w:id="507912117">
      <w:marLeft w:val="0"/>
      <w:marRight w:val="0"/>
      <w:marTop w:val="0"/>
      <w:marBottom w:val="0"/>
      <w:divBdr>
        <w:top w:val="none" w:sz="0" w:space="0" w:color="auto"/>
        <w:left w:val="none" w:sz="0" w:space="0" w:color="auto"/>
        <w:bottom w:val="none" w:sz="0" w:space="0" w:color="auto"/>
        <w:right w:val="none" w:sz="0" w:space="0" w:color="auto"/>
      </w:divBdr>
    </w:div>
    <w:div w:id="509951252">
      <w:marLeft w:val="0"/>
      <w:marRight w:val="0"/>
      <w:marTop w:val="0"/>
      <w:marBottom w:val="0"/>
      <w:divBdr>
        <w:top w:val="none" w:sz="0" w:space="0" w:color="auto"/>
        <w:left w:val="none" w:sz="0" w:space="0" w:color="auto"/>
        <w:bottom w:val="none" w:sz="0" w:space="0" w:color="auto"/>
        <w:right w:val="none" w:sz="0" w:space="0" w:color="auto"/>
      </w:divBdr>
    </w:div>
    <w:div w:id="511457796">
      <w:marLeft w:val="0"/>
      <w:marRight w:val="0"/>
      <w:marTop w:val="0"/>
      <w:marBottom w:val="0"/>
      <w:divBdr>
        <w:top w:val="none" w:sz="0" w:space="0" w:color="auto"/>
        <w:left w:val="none" w:sz="0" w:space="0" w:color="auto"/>
        <w:bottom w:val="none" w:sz="0" w:space="0" w:color="auto"/>
        <w:right w:val="none" w:sz="0" w:space="0" w:color="auto"/>
      </w:divBdr>
    </w:div>
    <w:div w:id="513689401">
      <w:marLeft w:val="0"/>
      <w:marRight w:val="0"/>
      <w:marTop w:val="0"/>
      <w:marBottom w:val="0"/>
      <w:divBdr>
        <w:top w:val="none" w:sz="0" w:space="0" w:color="auto"/>
        <w:left w:val="none" w:sz="0" w:space="0" w:color="auto"/>
        <w:bottom w:val="none" w:sz="0" w:space="0" w:color="auto"/>
        <w:right w:val="none" w:sz="0" w:space="0" w:color="auto"/>
      </w:divBdr>
    </w:div>
    <w:div w:id="514148655">
      <w:marLeft w:val="0"/>
      <w:marRight w:val="0"/>
      <w:marTop w:val="0"/>
      <w:marBottom w:val="0"/>
      <w:divBdr>
        <w:top w:val="none" w:sz="0" w:space="0" w:color="auto"/>
        <w:left w:val="none" w:sz="0" w:space="0" w:color="auto"/>
        <w:bottom w:val="none" w:sz="0" w:space="0" w:color="auto"/>
        <w:right w:val="none" w:sz="0" w:space="0" w:color="auto"/>
      </w:divBdr>
    </w:div>
    <w:div w:id="523858829">
      <w:marLeft w:val="0"/>
      <w:marRight w:val="0"/>
      <w:marTop w:val="0"/>
      <w:marBottom w:val="0"/>
      <w:divBdr>
        <w:top w:val="none" w:sz="0" w:space="0" w:color="auto"/>
        <w:left w:val="none" w:sz="0" w:space="0" w:color="auto"/>
        <w:bottom w:val="none" w:sz="0" w:space="0" w:color="auto"/>
        <w:right w:val="none" w:sz="0" w:space="0" w:color="auto"/>
      </w:divBdr>
    </w:div>
    <w:div w:id="525219304">
      <w:marLeft w:val="0"/>
      <w:marRight w:val="0"/>
      <w:marTop w:val="0"/>
      <w:marBottom w:val="0"/>
      <w:divBdr>
        <w:top w:val="none" w:sz="0" w:space="0" w:color="auto"/>
        <w:left w:val="none" w:sz="0" w:space="0" w:color="auto"/>
        <w:bottom w:val="none" w:sz="0" w:space="0" w:color="auto"/>
        <w:right w:val="none" w:sz="0" w:space="0" w:color="auto"/>
      </w:divBdr>
    </w:div>
    <w:div w:id="525292077">
      <w:marLeft w:val="0"/>
      <w:marRight w:val="0"/>
      <w:marTop w:val="0"/>
      <w:marBottom w:val="0"/>
      <w:divBdr>
        <w:top w:val="none" w:sz="0" w:space="0" w:color="auto"/>
        <w:left w:val="none" w:sz="0" w:space="0" w:color="auto"/>
        <w:bottom w:val="none" w:sz="0" w:space="0" w:color="auto"/>
        <w:right w:val="none" w:sz="0" w:space="0" w:color="auto"/>
      </w:divBdr>
    </w:div>
    <w:div w:id="531187977">
      <w:marLeft w:val="0"/>
      <w:marRight w:val="0"/>
      <w:marTop w:val="0"/>
      <w:marBottom w:val="0"/>
      <w:divBdr>
        <w:top w:val="none" w:sz="0" w:space="0" w:color="auto"/>
        <w:left w:val="none" w:sz="0" w:space="0" w:color="auto"/>
        <w:bottom w:val="none" w:sz="0" w:space="0" w:color="auto"/>
        <w:right w:val="none" w:sz="0" w:space="0" w:color="auto"/>
      </w:divBdr>
    </w:div>
    <w:div w:id="531265900">
      <w:marLeft w:val="0"/>
      <w:marRight w:val="0"/>
      <w:marTop w:val="0"/>
      <w:marBottom w:val="120"/>
      <w:divBdr>
        <w:top w:val="none" w:sz="0" w:space="0" w:color="auto"/>
        <w:left w:val="none" w:sz="0" w:space="0" w:color="auto"/>
        <w:bottom w:val="none" w:sz="0" w:space="0" w:color="auto"/>
        <w:right w:val="none" w:sz="0" w:space="0" w:color="auto"/>
      </w:divBdr>
    </w:div>
    <w:div w:id="531385666">
      <w:marLeft w:val="0"/>
      <w:marRight w:val="0"/>
      <w:marTop w:val="100"/>
      <w:marBottom w:val="180"/>
      <w:divBdr>
        <w:top w:val="none" w:sz="0" w:space="0" w:color="auto"/>
        <w:left w:val="none" w:sz="0" w:space="0" w:color="auto"/>
        <w:bottom w:val="none" w:sz="0" w:space="0" w:color="auto"/>
        <w:right w:val="none" w:sz="0" w:space="0" w:color="auto"/>
      </w:divBdr>
    </w:div>
    <w:div w:id="532888142">
      <w:marLeft w:val="0"/>
      <w:marRight w:val="0"/>
      <w:marTop w:val="0"/>
      <w:marBottom w:val="0"/>
      <w:divBdr>
        <w:top w:val="none" w:sz="0" w:space="0" w:color="auto"/>
        <w:left w:val="none" w:sz="0" w:space="0" w:color="auto"/>
        <w:bottom w:val="none" w:sz="0" w:space="0" w:color="auto"/>
        <w:right w:val="none" w:sz="0" w:space="0" w:color="auto"/>
      </w:divBdr>
    </w:div>
    <w:div w:id="533152554">
      <w:marLeft w:val="0"/>
      <w:marRight w:val="0"/>
      <w:marTop w:val="0"/>
      <w:marBottom w:val="0"/>
      <w:divBdr>
        <w:top w:val="none" w:sz="0" w:space="0" w:color="auto"/>
        <w:left w:val="none" w:sz="0" w:space="0" w:color="auto"/>
        <w:bottom w:val="none" w:sz="0" w:space="0" w:color="auto"/>
        <w:right w:val="none" w:sz="0" w:space="0" w:color="auto"/>
      </w:divBdr>
    </w:div>
    <w:div w:id="533612515">
      <w:marLeft w:val="0"/>
      <w:marRight w:val="0"/>
      <w:marTop w:val="0"/>
      <w:marBottom w:val="120"/>
      <w:divBdr>
        <w:top w:val="none" w:sz="0" w:space="0" w:color="auto"/>
        <w:left w:val="none" w:sz="0" w:space="0" w:color="auto"/>
        <w:bottom w:val="none" w:sz="0" w:space="0" w:color="auto"/>
        <w:right w:val="none" w:sz="0" w:space="0" w:color="auto"/>
      </w:divBdr>
      <w:divsChild>
        <w:div w:id="855851510">
          <w:marLeft w:val="0"/>
          <w:marRight w:val="0"/>
          <w:marTop w:val="0"/>
          <w:marBottom w:val="0"/>
          <w:divBdr>
            <w:top w:val="none" w:sz="0" w:space="0" w:color="auto"/>
            <w:left w:val="none" w:sz="0" w:space="0" w:color="auto"/>
            <w:bottom w:val="none" w:sz="0" w:space="0" w:color="auto"/>
            <w:right w:val="none" w:sz="0" w:space="0" w:color="auto"/>
          </w:divBdr>
        </w:div>
      </w:divsChild>
    </w:div>
    <w:div w:id="534197749">
      <w:marLeft w:val="0"/>
      <w:marRight w:val="0"/>
      <w:marTop w:val="0"/>
      <w:marBottom w:val="0"/>
      <w:divBdr>
        <w:top w:val="none" w:sz="0" w:space="0" w:color="auto"/>
        <w:left w:val="none" w:sz="0" w:space="0" w:color="auto"/>
        <w:bottom w:val="none" w:sz="0" w:space="0" w:color="auto"/>
        <w:right w:val="none" w:sz="0" w:space="0" w:color="auto"/>
      </w:divBdr>
    </w:div>
    <w:div w:id="538857399">
      <w:marLeft w:val="0"/>
      <w:marRight w:val="0"/>
      <w:marTop w:val="0"/>
      <w:marBottom w:val="0"/>
      <w:divBdr>
        <w:top w:val="none" w:sz="0" w:space="0" w:color="auto"/>
        <w:left w:val="none" w:sz="0" w:space="0" w:color="auto"/>
        <w:bottom w:val="none" w:sz="0" w:space="0" w:color="auto"/>
        <w:right w:val="none" w:sz="0" w:space="0" w:color="auto"/>
      </w:divBdr>
    </w:div>
    <w:div w:id="540478957">
      <w:marLeft w:val="0"/>
      <w:marRight w:val="0"/>
      <w:marTop w:val="0"/>
      <w:marBottom w:val="0"/>
      <w:divBdr>
        <w:top w:val="none" w:sz="0" w:space="0" w:color="auto"/>
        <w:left w:val="none" w:sz="0" w:space="0" w:color="auto"/>
        <w:bottom w:val="none" w:sz="0" w:space="0" w:color="auto"/>
        <w:right w:val="none" w:sz="0" w:space="0" w:color="auto"/>
      </w:divBdr>
    </w:div>
    <w:div w:id="546526292">
      <w:marLeft w:val="0"/>
      <w:marRight w:val="0"/>
      <w:marTop w:val="0"/>
      <w:marBottom w:val="0"/>
      <w:divBdr>
        <w:top w:val="none" w:sz="0" w:space="0" w:color="auto"/>
        <w:left w:val="none" w:sz="0" w:space="0" w:color="auto"/>
        <w:bottom w:val="none" w:sz="0" w:space="0" w:color="auto"/>
        <w:right w:val="none" w:sz="0" w:space="0" w:color="auto"/>
      </w:divBdr>
    </w:div>
    <w:div w:id="549269224">
      <w:marLeft w:val="0"/>
      <w:marRight w:val="0"/>
      <w:marTop w:val="0"/>
      <w:marBottom w:val="0"/>
      <w:divBdr>
        <w:top w:val="none" w:sz="0" w:space="0" w:color="auto"/>
        <w:left w:val="none" w:sz="0" w:space="0" w:color="auto"/>
        <w:bottom w:val="none" w:sz="0" w:space="0" w:color="auto"/>
        <w:right w:val="none" w:sz="0" w:space="0" w:color="auto"/>
      </w:divBdr>
    </w:div>
    <w:div w:id="551695540">
      <w:marLeft w:val="0"/>
      <w:marRight w:val="0"/>
      <w:marTop w:val="0"/>
      <w:marBottom w:val="0"/>
      <w:divBdr>
        <w:top w:val="none" w:sz="0" w:space="0" w:color="auto"/>
        <w:left w:val="none" w:sz="0" w:space="0" w:color="auto"/>
        <w:bottom w:val="none" w:sz="0" w:space="0" w:color="auto"/>
        <w:right w:val="none" w:sz="0" w:space="0" w:color="auto"/>
      </w:divBdr>
    </w:div>
    <w:div w:id="552428490">
      <w:marLeft w:val="0"/>
      <w:marRight w:val="0"/>
      <w:marTop w:val="100"/>
      <w:marBottom w:val="100"/>
      <w:divBdr>
        <w:top w:val="none" w:sz="0" w:space="0" w:color="auto"/>
        <w:left w:val="none" w:sz="0" w:space="0" w:color="auto"/>
        <w:bottom w:val="none" w:sz="0" w:space="0" w:color="auto"/>
        <w:right w:val="none" w:sz="0" w:space="0" w:color="auto"/>
      </w:divBdr>
      <w:divsChild>
        <w:div w:id="1480344787">
          <w:marLeft w:val="0"/>
          <w:marRight w:val="0"/>
          <w:marTop w:val="0"/>
          <w:marBottom w:val="0"/>
          <w:divBdr>
            <w:top w:val="none" w:sz="0" w:space="0" w:color="auto"/>
            <w:left w:val="none" w:sz="0" w:space="0" w:color="auto"/>
            <w:bottom w:val="none" w:sz="0" w:space="0" w:color="auto"/>
            <w:right w:val="none" w:sz="0" w:space="0" w:color="auto"/>
          </w:divBdr>
        </w:div>
        <w:div w:id="1635913579">
          <w:marLeft w:val="0"/>
          <w:marRight w:val="0"/>
          <w:marTop w:val="0"/>
          <w:marBottom w:val="0"/>
          <w:divBdr>
            <w:top w:val="none" w:sz="0" w:space="0" w:color="auto"/>
            <w:left w:val="none" w:sz="0" w:space="0" w:color="auto"/>
            <w:bottom w:val="none" w:sz="0" w:space="0" w:color="auto"/>
            <w:right w:val="none" w:sz="0" w:space="0" w:color="auto"/>
          </w:divBdr>
        </w:div>
        <w:div w:id="120416781">
          <w:marLeft w:val="0"/>
          <w:marRight w:val="0"/>
          <w:marTop w:val="0"/>
          <w:marBottom w:val="0"/>
          <w:divBdr>
            <w:top w:val="none" w:sz="0" w:space="0" w:color="auto"/>
            <w:left w:val="none" w:sz="0" w:space="0" w:color="auto"/>
            <w:bottom w:val="none" w:sz="0" w:space="0" w:color="auto"/>
            <w:right w:val="none" w:sz="0" w:space="0" w:color="auto"/>
          </w:divBdr>
        </w:div>
        <w:div w:id="728382802">
          <w:marLeft w:val="0"/>
          <w:marRight w:val="0"/>
          <w:marTop w:val="0"/>
          <w:marBottom w:val="0"/>
          <w:divBdr>
            <w:top w:val="none" w:sz="0" w:space="0" w:color="auto"/>
            <w:left w:val="none" w:sz="0" w:space="0" w:color="auto"/>
            <w:bottom w:val="none" w:sz="0" w:space="0" w:color="auto"/>
            <w:right w:val="none" w:sz="0" w:space="0" w:color="auto"/>
          </w:divBdr>
        </w:div>
        <w:div w:id="2135781887">
          <w:marLeft w:val="0"/>
          <w:marRight w:val="0"/>
          <w:marTop w:val="0"/>
          <w:marBottom w:val="0"/>
          <w:divBdr>
            <w:top w:val="none" w:sz="0" w:space="0" w:color="auto"/>
            <w:left w:val="none" w:sz="0" w:space="0" w:color="auto"/>
            <w:bottom w:val="none" w:sz="0" w:space="0" w:color="auto"/>
            <w:right w:val="none" w:sz="0" w:space="0" w:color="auto"/>
          </w:divBdr>
        </w:div>
        <w:div w:id="1752072144">
          <w:marLeft w:val="0"/>
          <w:marRight w:val="0"/>
          <w:marTop w:val="0"/>
          <w:marBottom w:val="0"/>
          <w:divBdr>
            <w:top w:val="none" w:sz="0" w:space="0" w:color="auto"/>
            <w:left w:val="none" w:sz="0" w:space="0" w:color="auto"/>
            <w:bottom w:val="none" w:sz="0" w:space="0" w:color="auto"/>
            <w:right w:val="none" w:sz="0" w:space="0" w:color="auto"/>
          </w:divBdr>
        </w:div>
        <w:div w:id="2096894773">
          <w:marLeft w:val="0"/>
          <w:marRight w:val="0"/>
          <w:marTop w:val="0"/>
          <w:marBottom w:val="0"/>
          <w:divBdr>
            <w:top w:val="none" w:sz="0" w:space="0" w:color="auto"/>
            <w:left w:val="none" w:sz="0" w:space="0" w:color="auto"/>
            <w:bottom w:val="none" w:sz="0" w:space="0" w:color="auto"/>
            <w:right w:val="none" w:sz="0" w:space="0" w:color="auto"/>
          </w:divBdr>
        </w:div>
        <w:div w:id="1741756550">
          <w:marLeft w:val="0"/>
          <w:marRight w:val="0"/>
          <w:marTop w:val="0"/>
          <w:marBottom w:val="0"/>
          <w:divBdr>
            <w:top w:val="none" w:sz="0" w:space="0" w:color="auto"/>
            <w:left w:val="none" w:sz="0" w:space="0" w:color="auto"/>
            <w:bottom w:val="none" w:sz="0" w:space="0" w:color="auto"/>
            <w:right w:val="none" w:sz="0" w:space="0" w:color="auto"/>
          </w:divBdr>
        </w:div>
        <w:div w:id="1329097652">
          <w:marLeft w:val="0"/>
          <w:marRight w:val="0"/>
          <w:marTop w:val="0"/>
          <w:marBottom w:val="0"/>
          <w:divBdr>
            <w:top w:val="none" w:sz="0" w:space="0" w:color="auto"/>
            <w:left w:val="none" w:sz="0" w:space="0" w:color="auto"/>
            <w:bottom w:val="none" w:sz="0" w:space="0" w:color="auto"/>
            <w:right w:val="none" w:sz="0" w:space="0" w:color="auto"/>
          </w:divBdr>
        </w:div>
        <w:div w:id="1875655822">
          <w:marLeft w:val="0"/>
          <w:marRight w:val="0"/>
          <w:marTop w:val="0"/>
          <w:marBottom w:val="0"/>
          <w:divBdr>
            <w:top w:val="none" w:sz="0" w:space="0" w:color="auto"/>
            <w:left w:val="none" w:sz="0" w:space="0" w:color="auto"/>
            <w:bottom w:val="none" w:sz="0" w:space="0" w:color="auto"/>
            <w:right w:val="none" w:sz="0" w:space="0" w:color="auto"/>
          </w:divBdr>
        </w:div>
        <w:div w:id="943000911">
          <w:marLeft w:val="0"/>
          <w:marRight w:val="0"/>
          <w:marTop w:val="0"/>
          <w:marBottom w:val="0"/>
          <w:divBdr>
            <w:top w:val="none" w:sz="0" w:space="0" w:color="auto"/>
            <w:left w:val="none" w:sz="0" w:space="0" w:color="auto"/>
            <w:bottom w:val="none" w:sz="0" w:space="0" w:color="auto"/>
            <w:right w:val="none" w:sz="0" w:space="0" w:color="auto"/>
          </w:divBdr>
        </w:div>
        <w:div w:id="768358681">
          <w:marLeft w:val="0"/>
          <w:marRight w:val="0"/>
          <w:marTop w:val="0"/>
          <w:marBottom w:val="0"/>
          <w:divBdr>
            <w:top w:val="none" w:sz="0" w:space="0" w:color="auto"/>
            <w:left w:val="none" w:sz="0" w:space="0" w:color="auto"/>
            <w:bottom w:val="none" w:sz="0" w:space="0" w:color="auto"/>
            <w:right w:val="none" w:sz="0" w:space="0" w:color="auto"/>
          </w:divBdr>
        </w:div>
        <w:div w:id="121847377">
          <w:marLeft w:val="0"/>
          <w:marRight w:val="0"/>
          <w:marTop w:val="0"/>
          <w:marBottom w:val="0"/>
          <w:divBdr>
            <w:top w:val="none" w:sz="0" w:space="0" w:color="auto"/>
            <w:left w:val="none" w:sz="0" w:space="0" w:color="auto"/>
            <w:bottom w:val="none" w:sz="0" w:space="0" w:color="auto"/>
            <w:right w:val="none" w:sz="0" w:space="0" w:color="auto"/>
          </w:divBdr>
        </w:div>
        <w:div w:id="1384907685">
          <w:marLeft w:val="0"/>
          <w:marRight w:val="0"/>
          <w:marTop w:val="0"/>
          <w:marBottom w:val="0"/>
          <w:divBdr>
            <w:top w:val="none" w:sz="0" w:space="0" w:color="auto"/>
            <w:left w:val="none" w:sz="0" w:space="0" w:color="auto"/>
            <w:bottom w:val="none" w:sz="0" w:space="0" w:color="auto"/>
            <w:right w:val="none" w:sz="0" w:space="0" w:color="auto"/>
          </w:divBdr>
        </w:div>
        <w:div w:id="1309825638">
          <w:marLeft w:val="0"/>
          <w:marRight w:val="0"/>
          <w:marTop w:val="0"/>
          <w:marBottom w:val="0"/>
          <w:divBdr>
            <w:top w:val="none" w:sz="0" w:space="0" w:color="auto"/>
            <w:left w:val="none" w:sz="0" w:space="0" w:color="auto"/>
            <w:bottom w:val="none" w:sz="0" w:space="0" w:color="auto"/>
            <w:right w:val="none" w:sz="0" w:space="0" w:color="auto"/>
          </w:divBdr>
        </w:div>
      </w:divsChild>
    </w:div>
    <w:div w:id="553393353">
      <w:marLeft w:val="0"/>
      <w:marRight w:val="0"/>
      <w:marTop w:val="0"/>
      <w:marBottom w:val="0"/>
      <w:divBdr>
        <w:top w:val="none" w:sz="0" w:space="0" w:color="auto"/>
        <w:left w:val="none" w:sz="0" w:space="0" w:color="auto"/>
        <w:bottom w:val="none" w:sz="0" w:space="0" w:color="auto"/>
        <w:right w:val="none" w:sz="0" w:space="0" w:color="auto"/>
      </w:divBdr>
    </w:div>
    <w:div w:id="556017401">
      <w:marLeft w:val="0"/>
      <w:marRight w:val="0"/>
      <w:marTop w:val="0"/>
      <w:marBottom w:val="0"/>
      <w:divBdr>
        <w:top w:val="none" w:sz="0" w:space="0" w:color="auto"/>
        <w:left w:val="none" w:sz="0" w:space="0" w:color="auto"/>
        <w:bottom w:val="none" w:sz="0" w:space="0" w:color="auto"/>
        <w:right w:val="none" w:sz="0" w:space="0" w:color="auto"/>
      </w:divBdr>
    </w:div>
    <w:div w:id="556623140">
      <w:marLeft w:val="0"/>
      <w:marRight w:val="0"/>
      <w:marTop w:val="100"/>
      <w:marBottom w:val="340"/>
      <w:divBdr>
        <w:top w:val="none" w:sz="0" w:space="0" w:color="auto"/>
        <w:left w:val="none" w:sz="0" w:space="0" w:color="auto"/>
        <w:bottom w:val="none" w:sz="0" w:space="0" w:color="auto"/>
        <w:right w:val="none" w:sz="0" w:space="0" w:color="auto"/>
      </w:divBdr>
      <w:divsChild>
        <w:div w:id="1129472649">
          <w:marLeft w:val="0"/>
          <w:marRight w:val="0"/>
          <w:marTop w:val="0"/>
          <w:marBottom w:val="0"/>
          <w:divBdr>
            <w:top w:val="none" w:sz="0" w:space="0" w:color="auto"/>
            <w:left w:val="none" w:sz="0" w:space="0" w:color="auto"/>
            <w:bottom w:val="none" w:sz="0" w:space="0" w:color="auto"/>
            <w:right w:val="none" w:sz="0" w:space="0" w:color="auto"/>
          </w:divBdr>
        </w:div>
        <w:div w:id="1383863329">
          <w:marLeft w:val="0"/>
          <w:marRight w:val="0"/>
          <w:marTop w:val="0"/>
          <w:marBottom w:val="0"/>
          <w:divBdr>
            <w:top w:val="none" w:sz="0" w:space="0" w:color="auto"/>
            <w:left w:val="none" w:sz="0" w:space="0" w:color="auto"/>
            <w:bottom w:val="none" w:sz="0" w:space="0" w:color="auto"/>
            <w:right w:val="none" w:sz="0" w:space="0" w:color="auto"/>
          </w:divBdr>
        </w:div>
        <w:div w:id="1003511121">
          <w:marLeft w:val="0"/>
          <w:marRight w:val="0"/>
          <w:marTop w:val="0"/>
          <w:marBottom w:val="0"/>
          <w:divBdr>
            <w:top w:val="none" w:sz="0" w:space="0" w:color="auto"/>
            <w:left w:val="none" w:sz="0" w:space="0" w:color="auto"/>
            <w:bottom w:val="none" w:sz="0" w:space="0" w:color="auto"/>
            <w:right w:val="none" w:sz="0" w:space="0" w:color="auto"/>
          </w:divBdr>
        </w:div>
        <w:div w:id="131949603">
          <w:marLeft w:val="0"/>
          <w:marRight w:val="0"/>
          <w:marTop w:val="0"/>
          <w:marBottom w:val="0"/>
          <w:divBdr>
            <w:top w:val="none" w:sz="0" w:space="0" w:color="auto"/>
            <w:left w:val="none" w:sz="0" w:space="0" w:color="auto"/>
            <w:bottom w:val="none" w:sz="0" w:space="0" w:color="auto"/>
            <w:right w:val="none" w:sz="0" w:space="0" w:color="auto"/>
          </w:divBdr>
        </w:div>
        <w:div w:id="885916424">
          <w:marLeft w:val="0"/>
          <w:marRight w:val="0"/>
          <w:marTop w:val="0"/>
          <w:marBottom w:val="0"/>
          <w:divBdr>
            <w:top w:val="none" w:sz="0" w:space="0" w:color="auto"/>
            <w:left w:val="none" w:sz="0" w:space="0" w:color="auto"/>
            <w:bottom w:val="none" w:sz="0" w:space="0" w:color="auto"/>
            <w:right w:val="none" w:sz="0" w:space="0" w:color="auto"/>
          </w:divBdr>
        </w:div>
        <w:div w:id="1258173767">
          <w:marLeft w:val="0"/>
          <w:marRight w:val="0"/>
          <w:marTop w:val="0"/>
          <w:marBottom w:val="0"/>
          <w:divBdr>
            <w:top w:val="none" w:sz="0" w:space="0" w:color="auto"/>
            <w:left w:val="none" w:sz="0" w:space="0" w:color="auto"/>
            <w:bottom w:val="none" w:sz="0" w:space="0" w:color="auto"/>
            <w:right w:val="none" w:sz="0" w:space="0" w:color="auto"/>
          </w:divBdr>
        </w:div>
        <w:div w:id="2068340264">
          <w:marLeft w:val="0"/>
          <w:marRight w:val="0"/>
          <w:marTop w:val="0"/>
          <w:marBottom w:val="0"/>
          <w:divBdr>
            <w:top w:val="none" w:sz="0" w:space="0" w:color="auto"/>
            <w:left w:val="none" w:sz="0" w:space="0" w:color="auto"/>
            <w:bottom w:val="none" w:sz="0" w:space="0" w:color="auto"/>
            <w:right w:val="none" w:sz="0" w:space="0" w:color="auto"/>
          </w:divBdr>
        </w:div>
        <w:div w:id="1065644804">
          <w:marLeft w:val="0"/>
          <w:marRight w:val="0"/>
          <w:marTop w:val="0"/>
          <w:marBottom w:val="0"/>
          <w:divBdr>
            <w:top w:val="none" w:sz="0" w:space="0" w:color="auto"/>
            <w:left w:val="none" w:sz="0" w:space="0" w:color="auto"/>
            <w:bottom w:val="none" w:sz="0" w:space="0" w:color="auto"/>
            <w:right w:val="none" w:sz="0" w:space="0" w:color="auto"/>
          </w:divBdr>
        </w:div>
        <w:div w:id="201091869">
          <w:marLeft w:val="0"/>
          <w:marRight w:val="0"/>
          <w:marTop w:val="0"/>
          <w:marBottom w:val="0"/>
          <w:divBdr>
            <w:top w:val="none" w:sz="0" w:space="0" w:color="auto"/>
            <w:left w:val="none" w:sz="0" w:space="0" w:color="auto"/>
            <w:bottom w:val="none" w:sz="0" w:space="0" w:color="auto"/>
            <w:right w:val="none" w:sz="0" w:space="0" w:color="auto"/>
          </w:divBdr>
        </w:div>
        <w:div w:id="1566255861">
          <w:marLeft w:val="0"/>
          <w:marRight w:val="0"/>
          <w:marTop w:val="0"/>
          <w:marBottom w:val="0"/>
          <w:divBdr>
            <w:top w:val="none" w:sz="0" w:space="0" w:color="auto"/>
            <w:left w:val="none" w:sz="0" w:space="0" w:color="auto"/>
            <w:bottom w:val="none" w:sz="0" w:space="0" w:color="auto"/>
            <w:right w:val="none" w:sz="0" w:space="0" w:color="auto"/>
          </w:divBdr>
        </w:div>
        <w:div w:id="211582374">
          <w:marLeft w:val="0"/>
          <w:marRight w:val="0"/>
          <w:marTop w:val="0"/>
          <w:marBottom w:val="0"/>
          <w:divBdr>
            <w:top w:val="none" w:sz="0" w:space="0" w:color="auto"/>
            <w:left w:val="none" w:sz="0" w:space="0" w:color="auto"/>
            <w:bottom w:val="none" w:sz="0" w:space="0" w:color="auto"/>
            <w:right w:val="none" w:sz="0" w:space="0" w:color="auto"/>
          </w:divBdr>
        </w:div>
      </w:divsChild>
    </w:div>
    <w:div w:id="558445136">
      <w:marLeft w:val="0"/>
      <w:marRight w:val="0"/>
      <w:marTop w:val="100"/>
      <w:marBottom w:val="100"/>
      <w:divBdr>
        <w:top w:val="none" w:sz="0" w:space="0" w:color="auto"/>
        <w:left w:val="none" w:sz="0" w:space="0" w:color="auto"/>
        <w:bottom w:val="none" w:sz="0" w:space="0" w:color="auto"/>
        <w:right w:val="none" w:sz="0" w:space="0" w:color="auto"/>
      </w:divBdr>
      <w:divsChild>
        <w:div w:id="768815729">
          <w:marLeft w:val="0"/>
          <w:marRight w:val="0"/>
          <w:marTop w:val="0"/>
          <w:marBottom w:val="0"/>
          <w:divBdr>
            <w:top w:val="none" w:sz="0" w:space="0" w:color="auto"/>
            <w:left w:val="none" w:sz="0" w:space="0" w:color="auto"/>
            <w:bottom w:val="none" w:sz="0" w:space="0" w:color="auto"/>
            <w:right w:val="none" w:sz="0" w:space="0" w:color="auto"/>
          </w:divBdr>
        </w:div>
      </w:divsChild>
    </w:div>
    <w:div w:id="560556041">
      <w:marLeft w:val="0"/>
      <w:marRight w:val="0"/>
      <w:marTop w:val="0"/>
      <w:marBottom w:val="0"/>
      <w:divBdr>
        <w:top w:val="none" w:sz="0" w:space="0" w:color="auto"/>
        <w:left w:val="none" w:sz="0" w:space="0" w:color="auto"/>
        <w:bottom w:val="none" w:sz="0" w:space="0" w:color="auto"/>
        <w:right w:val="none" w:sz="0" w:space="0" w:color="auto"/>
      </w:divBdr>
      <w:divsChild>
        <w:div w:id="1400594556">
          <w:marLeft w:val="0"/>
          <w:marRight w:val="0"/>
          <w:marTop w:val="0"/>
          <w:marBottom w:val="0"/>
          <w:divBdr>
            <w:top w:val="none" w:sz="0" w:space="0" w:color="auto"/>
            <w:left w:val="none" w:sz="0" w:space="0" w:color="auto"/>
            <w:bottom w:val="none" w:sz="0" w:space="0" w:color="auto"/>
            <w:right w:val="none" w:sz="0" w:space="0" w:color="auto"/>
          </w:divBdr>
        </w:div>
      </w:divsChild>
    </w:div>
    <w:div w:id="566646238">
      <w:marLeft w:val="0"/>
      <w:marRight w:val="0"/>
      <w:marTop w:val="0"/>
      <w:marBottom w:val="0"/>
      <w:divBdr>
        <w:top w:val="none" w:sz="0" w:space="0" w:color="auto"/>
        <w:left w:val="none" w:sz="0" w:space="0" w:color="auto"/>
        <w:bottom w:val="none" w:sz="0" w:space="0" w:color="auto"/>
        <w:right w:val="none" w:sz="0" w:space="0" w:color="auto"/>
      </w:divBdr>
    </w:div>
    <w:div w:id="566888258">
      <w:marLeft w:val="0"/>
      <w:marRight w:val="0"/>
      <w:marTop w:val="100"/>
      <w:marBottom w:val="100"/>
      <w:divBdr>
        <w:top w:val="none" w:sz="0" w:space="0" w:color="auto"/>
        <w:left w:val="none" w:sz="0" w:space="0" w:color="auto"/>
        <w:bottom w:val="none" w:sz="0" w:space="0" w:color="auto"/>
        <w:right w:val="none" w:sz="0" w:space="0" w:color="auto"/>
      </w:divBdr>
      <w:divsChild>
        <w:div w:id="366489774">
          <w:marLeft w:val="0"/>
          <w:marRight w:val="0"/>
          <w:marTop w:val="0"/>
          <w:marBottom w:val="0"/>
          <w:divBdr>
            <w:top w:val="none" w:sz="0" w:space="0" w:color="auto"/>
            <w:left w:val="none" w:sz="0" w:space="0" w:color="auto"/>
            <w:bottom w:val="none" w:sz="0" w:space="0" w:color="auto"/>
            <w:right w:val="none" w:sz="0" w:space="0" w:color="auto"/>
          </w:divBdr>
        </w:div>
        <w:div w:id="204147069">
          <w:marLeft w:val="0"/>
          <w:marRight w:val="0"/>
          <w:marTop w:val="0"/>
          <w:marBottom w:val="0"/>
          <w:divBdr>
            <w:top w:val="none" w:sz="0" w:space="0" w:color="auto"/>
            <w:left w:val="none" w:sz="0" w:space="0" w:color="auto"/>
            <w:bottom w:val="none" w:sz="0" w:space="0" w:color="auto"/>
            <w:right w:val="none" w:sz="0" w:space="0" w:color="auto"/>
          </w:divBdr>
        </w:div>
        <w:div w:id="185103335">
          <w:marLeft w:val="0"/>
          <w:marRight w:val="0"/>
          <w:marTop w:val="0"/>
          <w:marBottom w:val="0"/>
          <w:divBdr>
            <w:top w:val="none" w:sz="0" w:space="0" w:color="auto"/>
            <w:left w:val="none" w:sz="0" w:space="0" w:color="auto"/>
            <w:bottom w:val="none" w:sz="0" w:space="0" w:color="auto"/>
            <w:right w:val="none" w:sz="0" w:space="0" w:color="auto"/>
          </w:divBdr>
        </w:div>
        <w:div w:id="496265501">
          <w:marLeft w:val="0"/>
          <w:marRight w:val="0"/>
          <w:marTop w:val="0"/>
          <w:marBottom w:val="0"/>
          <w:divBdr>
            <w:top w:val="none" w:sz="0" w:space="0" w:color="auto"/>
            <w:left w:val="none" w:sz="0" w:space="0" w:color="auto"/>
            <w:bottom w:val="none" w:sz="0" w:space="0" w:color="auto"/>
            <w:right w:val="none" w:sz="0" w:space="0" w:color="auto"/>
          </w:divBdr>
        </w:div>
        <w:div w:id="828056709">
          <w:marLeft w:val="0"/>
          <w:marRight w:val="0"/>
          <w:marTop w:val="0"/>
          <w:marBottom w:val="0"/>
          <w:divBdr>
            <w:top w:val="none" w:sz="0" w:space="0" w:color="auto"/>
            <w:left w:val="none" w:sz="0" w:space="0" w:color="auto"/>
            <w:bottom w:val="none" w:sz="0" w:space="0" w:color="auto"/>
            <w:right w:val="none" w:sz="0" w:space="0" w:color="auto"/>
          </w:divBdr>
        </w:div>
        <w:div w:id="208494798">
          <w:marLeft w:val="0"/>
          <w:marRight w:val="0"/>
          <w:marTop w:val="0"/>
          <w:marBottom w:val="0"/>
          <w:divBdr>
            <w:top w:val="none" w:sz="0" w:space="0" w:color="auto"/>
            <w:left w:val="none" w:sz="0" w:space="0" w:color="auto"/>
            <w:bottom w:val="none" w:sz="0" w:space="0" w:color="auto"/>
            <w:right w:val="none" w:sz="0" w:space="0" w:color="auto"/>
          </w:divBdr>
        </w:div>
        <w:div w:id="1973056091">
          <w:marLeft w:val="0"/>
          <w:marRight w:val="0"/>
          <w:marTop w:val="0"/>
          <w:marBottom w:val="0"/>
          <w:divBdr>
            <w:top w:val="none" w:sz="0" w:space="0" w:color="auto"/>
            <w:left w:val="none" w:sz="0" w:space="0" w:color="auto"/>
            <w:bottom w:val="none" w:sz="0" w:space="0" w:color="auto"/>
            <w:right w:val="none" w:sz="0" w:space="0" w:color="auto"/>
          </w:divBdr>
        </w:div>
        <w:div w:id="1197698014">
          <w:marLeft w:val="0"/>
          <w:marRight w:val="0"/>
          <w:marTop w:val="0"/>
          <w:marBottom w:val="0"/>
          <w:divBdr>
            <w:top w:val="none" w:sz="0" w:space="0" w:color="auto"/>
            <w:left w:val="none" w:sz="0" w:space="0" w:color="auto"/>
            <w:bottom w:val="none" w:sz="0" w:space="0" w:color="auto"/>
            <w:right w:val="none" w:sz="0" w:space="0" w:color="auto"/>
          </w:divBdr>
        </w:div>
        <w:div w:id="1158574245">
          <w:marLeft w:val="0"/>
          <w:marRight w:val="0"/>
          <w:marTop w:val="0"/>
          <w:marBottom w:val="0"/>
          <w:divBdr>
            <w:top w:val="none" w:sz="0" w:space="0" w:color="auto"/>
            <w:left w:val="none" w:sz="0" w:space="0" w:color="auto"/>
            <w:bottom w:val="none" w:sz="0" w:space="0" w:color="auto"/>
            <w:right w:val="none" w:sz="0" w:space="0" w:color="auto"/>
          </w:divBdr>
        </w:div>
        <w:div w:id="299967029">
          <w:marLeft w:val="0"/>
          <w:marRight w:val="0"/>
          <w:marTop w:val="0"/>
          <w:marBottom w:val="0"/>
          <w:divBdr>
            <w:top w:val="none" w:sz="0" w:space="0" w:color="auto"/>
            <w:left w:val="none" w:sz="0" w:space="0" w:color="auto"/>
            <w:bottom w:val="none" w:sz="0" w:space="0" w:color="auto"/>
            <w:right w:val="none" w:sz="0" w:space="0" w:color="auto"/>
          </w:divBdr>
        </w:div>
        <w:div w:id="1479148758">
          <w:marLeft w:val="0"/>
          <w:marRight w:val="0"/>
          <w:marTop w:val="0"/>
          <w:marBottom w:val="0"/>
          <w:divBdr>
            <w:top w:val="none" w:sz="0" w:space="0" w:color="auto"/>
            <w:left w:val="none" w:sz="0" w:space="0" w:color="auto"/>
            <w:bottom w:val="none" w:sz="0" w:space="0" w:color="auto"/>
            <w:right w:val="none" w:sz="0" w:space="0" w:color="auto"/>
          </w:divBdr>
        </w:div>
      </w:divsChild>
    </w:div>
    <w:div w:id="567113748">
      <w:marLeft w:val="0"/>
      <w:marRight w:val="0"/>
      <w:marTop w:val="0"/>
      <w:marBottom w:val="0"/>
      <w:divBdr>
        <w:top w:val="none" w:sz="0" w:space="0" w:color="auto"/>
        <w:left w:val="none" w:sz="0" w:space="0" w:color="auto"/>
        <w:bottom w:val="none" w:sz="0" w:space="0" w:color="auto"/>
        <w:right w:val="none" w:sz="0" w:space="0" w:color="auto"/>
      </w:divBdr>
    </w:div>
    <w:div w:id="569002537">
      <w:marLeft w:val="0"/>
      <w:marRight w:val="0"/>
      <w:marTop w:val="0"/>
      <w:marBottom w:val="0"/>
      <w:divBdr>
        <w:top w:val="none" w:sz="0" w:space="0" w:color="auto"/>
        <w:left w:val="none" w:sz="0" w:space="0" w:color="auto"/>
        <w:bottom w:val="none" w:sz="0" w:space="0" w:color="auto"/>
        <w:right w:val="none" w:sz="0" w:space="0" w:color="auto"/>
      </w:divBdr>
    </w:div>
    <w:div w:id="571545901">
      <w:marLeft w:val="0"/>
      <w:marRight w:val="0"/>
      <w:marTop w:val="0"/>
      <w:marBottom w:val="0"/>
      <w:divBdr>
        <w:top w:val="none" w:sz="0" w:space="0" w:color="auto"/>
        <w:left w:val="none" w:sz="0" w:space="0" w:color="auto"/>
        <w:bottom w:val="none" w:sz="0" w:space="0" w:color="auto"/>
        <w:right w:val="none" w:sz="0" w:space="0" w:color="auto"/>
      </w:divBdr>
    </w:div>
    <w:div w:id="579367688">
      <w:marLeft w:val="0"/>
      <w:marRight w:val="0"/>
      <w:marTop w:val="0"/>
      <w:marBottom w:val="0"/>
      <w:divBdr>
        <w:top w:val="none" w:sz="0" w:space="0" w:color="auto"/>
        <w:left w:val="none" w:sz="0" w:space="0" w:color="auto"/>
        <w:bottom w:val="none" w:sz="0" w:space="0" w:color="auto"/>
        <w:right w:val="none" w:sz="0" w:space="0" w:color="auto"/>
      </w:divBdr>
    </w:div>
    <w:div w:id="582186810">
      <w:marLeft w:val="0"/>
      <w:marRight w:val="0"/>
      <w:marTop w:val="0"/>
      <w:marBottom w:val="0"/>
      <w:divBdr>
        <w:top w:val="none" w:sz="0" w:space="0" w:color="auto"/>
        <w:left w:val="none" w:sz="0" w:space="0" w:color="auto"/>
        <w:bottom w:val="none" w:sz="0" w:space="0" w:color="auto"/>
        <w:right w:val="none" w:sz="0" w:space="0" w:color="auto"/>
      </w:divBdr>
      <w:divsChild>
        <w:div w:id="1742364923">
          <w:marLeft w:val="0"/>
          <w:marRight w:val="0"/>
          <w:marTop w:val="0"/>
          <w:marBottom w:val="0"/>
          <w:divBdr>
            <w:top w:val="none" w:sz="0" w:space="0" w:color="auto"/>
            <w:left w:val="none" w:sz="0" w:space="0" w:color="auto"/>
            <w:bottom w:val="none" w:sz="0" w:space="0" w:color="auto"/>
            <w:right w:val="none" w:sz="0" w:space="0" w:color="auto"/>
          </w:divBdr>
        </w:div>
      </w:divsChild>
    </w:div>
    <w:div w:id="582762184">
      <w:marLeft w:val="0"/>
      <w:marRight w:val="0"/>
      <w:marTop w:val="0"/>
      <w:marBottom w:val="0"/>
      <w:divBdr>
        <w:top w:val="none" w:sz="0" w:space="0" w:color="auto"/>
        <w:left w:val="none" w:sz="0" w:space="0" w:color="auto"/>
        <w:bottom w:val="none" w:sz="0" w:space="0" w:color="auto"/>
        <w:right w:val="none" w:sz="0" w:space="0" w:color="auto"/>
      </w:divBdr>
    </w:div>
    <w:div w:id="583145754">
      <w:marLeft w:val="0"/>
      <w:marRight w:val="0"/>
      <w:marTop w:val="0"/>
      <w:marBottom w:val="0"/>
      <w:divBdr>
        <w:top w:val="none" w:sz="0" w:space="0" w:color="auto"/>
        <w:left w:val="none" w:sz="0" w:space="0" w:color="auto"/>
        <w:bottom w:val="none" w:sz="0" w:space="0" w:color="auto"/>
        <w:right w:val="none" w:sz="0" w:space="0" w:color="auto"/>
      </w:divBdr>
    </w:div>
    <w:div w:id="585114119">
      <w:marLeft w:val="0"/>
      <w:marRight w:val="0"/>
      <w:marTop w:val="0"/>
      <w:marBottom w:val="0"/>
      <w:divBdr>
        <w:top w:val="none" w:sz="0" w:space="0" w:color="auto"/>
        <w:left w:val="none" w:sz="0" w:space="0" w:color="auto"/>
        <w:bottom w:val="none" w:sz="0" w:space="0" w:color="auto"/>
        <w:right w:val="none" w:sz="0" w:space="0" w:color="auto"/>
      </w:divBdr>
    </w:div>
    <w:div w:id="586811477">
      <w:marLeft w:val="0"/>
      <w:marRight w:val="0"/>
      <w:marTop w:val="0"/>
      <w:marBottom w:val="0"/>
      <w:divBdr>
        <w:top w:val="none" w:sz="0" w:space="0" w:color="auto"/>
        <w:left w:val="none" w:sz="0" w:space="0" w:color="auto"/>
        <w:bottom w:val="none" w:sz="0" w:space="0" w:color="auto"/>
        <w:right w:val="none" w:sz="0" w:space="0" w:color="auto"/>
      </w:divBdr>
    </w:div>
    <w:div w:id="590238655">
      <w:marLeft w:val="0"/>
      <w:marRight w:val="0"/>
      <w:marTop w:val="0"/>
      <w:marBottom w:val="0"/>
      <w:divBdr>
        <w:top w:val="none" w:sz="0" w:space="0" w:color="auto"/>
        <w:left w:val="none" w:sz="0" w:space="0" w:color="auto"/>
        <w:bottom w:val="none" w:sz="0" w:space="0" w:color="auto"/>
        <w:right w:val="none" w:sz="0" w:space="0" w:color="auto"/>
      </w:divBdr>
    </w:div>
    <w:div w:id="590508248">
      <w:marLeft w:val="0"/>
      <w:marRight w:val="0"/>
      <w:marTop w:val="0"/>
      <w:marBottom w:val="0"/>
      <w:divBdr>
        <w:top w:val="none" w:sz="0" w:space="0" w:color="auto"/>
        <w:left w:val="none" w:sz="0" w:space="0" w:color="auto"/>
        <w:bottom w:val="none" w:sz="0" w:space="0" w:color="auto"/>
        <w:right w:val="none" w:sz="0" w:space="0" w:color="auto"/>
      </w:divBdr>
    </w:div>
    <w:div w:id="592008858">
      <w:marLeft w:val="0"/>
      <w:marRight w:val="0"/>
      <w:marTop w:val="0"/>
      <w:marBottom w:val="0"/>
      <w:divBdr>
        <w:top w:val="none" w:sz="0" w:space="0" w:color="auto"/>
        <w:left w:val="none" w:sz="0" w:space="0" w:color="auto"/>
        <w:bottom w:val="none" w:sz="0" w:space="0" w:color="auto"/>
        <w:right w:val="none" w:sz="0" w:space="0" w:color="auto"/>
      </w:divBdr>
    </w:div>
    <w:div w:id="593243165">
      <w:marLeft w:val="0"/>
      <w:marRight w:val="0"/>
      <w:marTop w:val="0"/>
      <w:marBottom w:val="0"/>
      <w:divBdr>
        <w:top w:val="none" w:sz="0" w:space="0" w:color="auto"/>
        <w:left w:val="none" w:sz="0" w:space="0" w:color="auto"/>
        <w:bottom w:val="none" w:sz="0" w:space="0" w:color="auto"/>
        <w:right w:val="none" w:sz="0" w:space="0" w:color="auto"/>
      </w:divBdr>
    </w:div>
    <w:div w:id="593822012">
      <w:marLeft w:val="0"/>
      <w:marRight w:val="0"/>
      <w:marTop w:val="0"/>
      <w:marBottom w:val="0"/>
      <w:divBdr>
        <w:top w:val="none" w:sz="0" w:space="0" w:color="auto"/>
        <w:left w:val="none" w:sz="0" w:space="0" w:color="auto"/>
        <w:bottom w:val="none" w:sz="0" w:space="0" w:color="auto"/>
        <w:right w:val="none" w:sz="0" w:space="0" w:color="auto"/>
      </w:divBdr>
    </w:div>
    <w:div w:id="594360038">
      <w:marLeft w:val="0"/>
      <w:marRight w:val="0"/>
      <w:marTop w:val="0"/>
      <w:marBottom w:val="0"/>
      <w:divBdr>
        <w:top w:val="none" w:sz="0" w:space="0" w:color="auto"/>
        <w:left w:val="none" w:sz="0" w:space="0" w:color="auto"/>
        <w:bottom w:val="none" w:sz="0" w:space="0" w:color="auto"/>
        <w:right w:val="none" w:sz="0" w:space="0" w:color="auto"/>
      </w:divBdr>
    </w:div>
    <w:div w:id="597179087">
      <w:marLeft w:val="0"/>
      <w:marRight w:val="0"/>
      <w:marTop w:val="0"/>
      <w:marBottom w:val="0"/>
      <w:divBdr>
        <w:top w:val="none" w:sz="0" w:space="0" w:color="auto"/>
        <w:left w:val="none" w:sz="0" w:space="0" w:color="auto"/>
        <w:bottom w:val="none" w:sz="0" w:space="0" w:color="auto"/>
        <w:right w:val="none" w:sz="0" w:space="0" w:color="auto"/>
      </w:divBdr>
    </w:div>
    <w:div w:id="599412047">
      <w:marLeft w:val="0"/>
      <w:marRight w:val="0"/>
      <w:marTop w:val="0"/>
      <w:marBottom w:val="0"/>
      <w:divBdr>
        <w:top w:val="none" w:sz="0" w:space="0" w:color="auto"/>
        <w:left w:val="none" w:sz="0" w:space="0" w:color="auto"/>
        <w:bottom w:val="none" w:sz="0" w:space="0" w:color="auto"/>
        <w:right w:val="none" w:sz="0" w:space="0" w:color="auto"/>
      </w:divBdr>
    </w:div>
    <w:div w:id="600459081">
      <w:marLeft w:val="0"/>
      <w:marRight w:val="0"/>
      <w:marTop w:val="0"/>
      <w:marBottom w:val="0"/>
      <w:divBdr>
        <w:top w:val="none" w:sz="0" w:space="0" w:color="auto"/>
        <w:left w:val="none" w:sz="0" w:space="0" w:color="auto"/>
        <w:bottom w:val="none" w:sz="0" w:space="0" w:color="auto"/>
        <w:right w:val="none" w:sz="0" w:space="0" w:color="auto"/>
      </w:divBdr>
    </w:div>
    <w:div w:id="600990646">
      <w:marLeft w:val="0"/>
      <w:marRight w:val="0"/>
      <w:marTop w:val="0"/>
      <w:marBottom w:val="0"/>
      <w:divBdr>
        <w:top w:val="none" w:sz="0" w:space="0" w:color="auto"/>
        <w:left w:val="none" w:sz="0" w:space="0" w:color="auto"/>
        <w:bottom w:val="none" w:sz="0" w:space="0" w:color="auto"/>
        <w:right w:val="none" w:sz="0" w:space="0" w:color="auto"/>
      </w:divBdr>
    </w:div>
    <w:div w:id="606813936">
      <w:marLeft w:val="0"/>
      <w:marRight w:val="0"/>
      <w:marTop w:val="0"/>
      <w:marBottom w:val="0"/>
      <w:divBdr>
        <w:top w:val="none" w:sz="0" w:space="0" w:color="auto"/>
        <w:left w:val="none" w:sz="0" w:space="0" w:color="auto"/>
        <w:bottom w:val="none" w:sz="0" w:space="0" w:color="auto"/>
        <w:right w:val="none" w:sz="0" w:space="0" w:color="auto"/>
      </w:divBdr>
    </w:div>
    <w:div w:id="609895244">
      <w:marLeft w:val="0"/>
      <w:marRight w:val="0"/>
      <w:marTop w:val="0"/>
      <w:marBottom w:val="0"/>
      <w:divBdr>
        <w:top w:val="none" w:sz="0" w:space="0" w:color="auto"/>
        <w:left w:val="none" w:sz="0" w:space="0" w:color="auto"/>
        <w:bottom w:val="none" w:sz="0" w:space="0" w:color="auto"/>
        <w:right w:val="none" w:sz="0" w:space="0" w:color="auto"/>
      </w:divBdr>
    </w:div>
    <w:div w:id="612327966">
      <w:marLeft w:val="0"/>
      <w:marRight w:val="0"/>
      <w:marTop w:val="0"/>
      <w:marBottom w:val="0"/>
      <w:divBdr>
        <w:top w:val="none" w:sz="0" w:space="0" w:color="auto"/>
        <w:left w:val="none" w:sz="0" w:space="0" w:color="auto"/>
        <w:bottom w:val="none" w:sz="0" w:space="0" w:color="auto"/>
        <w:right w:val="none" w:sz="0" w:space="0" w:color="auto"/>
      </w:divBdr>
    </w:div>
    <w:div w:id="621152740">
      <w:marLeft w:val="0"/>
      <w:marRight w:val="0"/>
      <w:marTop w:val="0"/>
      <w:marBottom w:val="0"/>
      <w:divBdr>
        <w:top w:val="none" w:sz="0" w:space="0" w:color="auto"/>
        <w:left w:val="none" w:sz="0" w:space="0" w:color="auto"/>
        <w:bottom w:val="none" w:sz="0" w:space="0" w:color="auto"/>
        <w:right w:val="none" w:sz="0" w:space="0" w:color="auto"/>
      </w:divBdr>
    </w:div>
    <w:div w:id="623314050">
      <w:marLeft w:val="0"/>
      <w:marRight w:val="0"/>
      <w:marTop w:val="0"/>
      <w:marBottom w:val="0"/>
      <w:divBdr>
        <w:top w:val="none" w:sz="0" w:space="0" w:color="auto"/>
        <w:left w:val="none" w:sz="0" w:space="0" w:color="auto"/>
        <w:bottom w:val="none" w:sz="0" w:space="0" w:color="auto"/>
        <w:right w:val="none" w:sz="0" w:space="0" w:color="auto"/>
      </w:divBdr>
    </w:div>
    <w:div w:id="629895204">
      <w:marLeft w:val="0"/>
      <w:marRight w:val="0"/>
      <w:marTop w:val="0"/>
      <w:marBottom w:val="0"/>
      <w:divBdr>
        <w:top w:val="none" w:sz="0" w:space="0" w:color="auto"/>
        <w:left w:val="none" w:sz="0" w:space="0" w:color="auto"/>
        <w:bottom w:val="none" w:sz="0" w:space="0" w:color="auto"/>
        <w:right w:val="none" w:sz="0" w:space="0" w:color="auto"/>
      </w:divBdr>
    </w:div>
    <w:div w:id="630020287">
      <w:marLeft w:val="0"/>
      <w:marRight w:val="0"/>
      <w:marTop w:val="0"/>
      <w:marBottom w:val="0"/>
      <w:divBdr>
        <w:top w:val="none" w:sz="0" w:space="0" w:color="auto"/>
        <w:left w:val="none" w:sz="0" w:space="0" w:color="auto"/>
        <w:bottom w:val="none" w:sz="0" w:space="0" w:color="auto"/>
        <w:right w:val="none" w:sz="0" w:space="0" w:color="auto"/>
      </w:divBdr>
    </w:div>
    <w:div w:id="638338378">
      <w:marLeft w:val="0"/>
      <w:marRight w:val="0"/>
      <w:marTop w:val="0"/>
      <w:marBottom w:val="0"/>
      <w:divBdr>
        <w:top w:val="none" w:sz="0" w:space="0" w:color="auto"/>
        <w:left w:val="none" w:sz="0" w:space="0" w:color="auto"/>
        <w:bottom w:val="none" w:sz="0" w:space="0" w:color="auto"/>
        <w:right w:val="none" w:sz="0" w:space="0" w:color="auto"/>
      </w:divBdr>
    </w:div>
    <w:div w:id="643316911">
      <w:marLeft w:val="0"/>
      <w:marRight w:val="0"/>
      <w:marTop w:val="0"/>
      <w:marBottom w:val="0"/>
      <w:divBdr>
        <w:top w:val="none" w:sz="0" w:space="0" w:color="auto"/>
        <w:left w:val="none" w:sz="0" w:space="0" w:color="auto"/>
        <w:bottom w:val="none" w:sz="0" w:space="0" w:color="auto"/>
        <w:right w:val="none" w:sz="0" w:space="0" w:color="auto"/>
      </w:divBdr>
    </w:div>
    <w:div w:id="652832022">
      <w:marLeft w:val="0"/>
      <w:marRight w:val="0"/>
      <w:marTop w:val="0"/>
      <w:marBottom w:val="0"/>
      <w:divBdr>
        <w:top w:val="none" w:sz="0" w:space="0" w:color="auto"/>
        <w:left w:val="none" w:sz="0" w:space="0" w:color="auto"/>
        <w:bottom w:val="none" w:sz="0" w:space="0" w:color="auto"/>
        <w:right w:val="none" w:sz="0" w:space="0" w:color="auto"/>
      </w:divBdr>
    </w:div>
    <w:div w:id="653029713">
      <w:marLeft w:val="0"/>
      <w:marRight w:val="0"/>
      <w:marTop w:val="0"/>
      <w:marBottom w:val="0"/>
      <w:divBdr>
        <w:top w:val="none" w:sz="0" w:space="0" w:color="auto"/>
        <w:left w:val="none" w:sz="0" w:space="0" w:color="auto"/>
        <w:bottom w:val="none" w:sz="0" w:space="0" w:color="auto"/>
        <w:right w:val="none" w:sz="0" w:space="0" w:color="auto"/>
      </w:divBdr>
    </w:div>
    <w:div w:id="654645705">
      <w:marLeft w:val="0"/>
      <w:marRight w:val="0"/>
      <w:marTop w:val="0"/>
      <w:marBottom w:val="0"/>
      <w:divBdr>
        <w:top w:val="none" w:sz="0" w:space="0" w:color="auto"/>
        <w:left w:val="none" w:sz="0" w:space="0" w:color="auto"/>
        <w:bottom w:val="none" w:sz="0" w:space="0" w:color="auto"/>
        <w:right w:val="none" w:sz="0" w:space="0" w:color="auto"/>
      </w:divBdr>
    </w:div>
    <w:div w:id="654919734">
      <w:marLeft w:val="0"/>
      <w:marRight w:val="0"/>
      <w:marTop w:val="0"/>
      <w:marBottom w:val="0"/>
      <w:divBdr>
        <w:top w:val="none" w:sz="0" w:space="0" w:color="auto"/>
        <w:left w:val="none" w:sz="0" w:space="0" w:color="auto"/>
        <w:bottom w:val="none" w:sz="0" w:space="0" w:color="auto"/>
        <w:right w:val="none" w:sz="0" w:space="0" w:color="auto"/>
      </w:divBdr>
    </w:div>
    <w:div w:id="659038767">
      <w:marLeft w:val="0"/>
      <w:marRight w:val="0"/>
      <w:marTop w:val="0"/>
      <w:marBottom w:val="0"/>
      <w:divBdr>
        <w:top w:val="none" w:sz="0" w:space="0" w:color="auto"/>
        <w:left w:val="none" w:sz="0" w:space="0" w:color="auto"/>
        <w:bottom w:val="none" w:sz="0" w:space="0" w:color="auto"/>
        <w:right w:val="none" w:sz="0" w:space="0" w:color="auto"/>
      </w:divBdr>
    </w:div>
    <w:div w:id="660348443">
      <w:marLeft w:val="0"/>
      <w:marRight w:val="0"/>
      <w:marTop w:val="0"/>
      <w:marBottom w:val="280"/>
      <w:divBdr>
        <w:top w:val="none" w:sz="0" w:space="0" w:color="auto"/>
        <w:left w:val="none" w:sz="0" w:space="0" w:color="auto"/>
        <w:bottom w:val="none" w:sz="0" w:space="0" w:color="auto"/>
        <w:right w:val="none" w:sz="0" w:space="0" w:color="auto"/>
      </w:divBdr>
    </w:div>
    <w:div w:id="660813157">
      <w:marLeft w:val="0"/>
      <w:marRight w:val="0"/>
      <w:marTop w:val="0"/>
      <w:marBottom w:val="0"/>
      <w:divBdr>
        <w:top w:val="none" w:sz="0" w:space="0" w:color="auto"/>
        <w:left w:val="none" w:sz="0" w:space="0" w:color="auto"/>
        <w:bottom w:val="none" w:sz="0" w:space="0" w:color="auto"/>
        <w:right w:val="none" w:sz="0" w:space="0" w:color="auto"/>
      </w:divBdr>
      <w:divsChild>
        <w:div w:id="517163935">
          <w:marLeft w:val="0"/>
          <w:marRight w:val="0"/>
          <w:marTop w:val="0"/>
          <w:marBottom w:val="0"/>
          <w:divBdr>
            <w:top w:val="none" w:sz="0" w:space="0" w:color="auto"/>
            <w:left w:val="none" w:sz="0" w:space="0" w:color="auto"/>
            <w:bottom w:val="none" w:sz="0" w:space="0" w:color="auto"/>
            <w:right w:val="none" w:sz="0" w:space="0" w:color="auto"/>
          </w:divBdr>
        </w:div>
      </w:divsChild>
    </w:div>
    <w:div w:id="661540779">
      <w:marLeft w:val="0"/>
      <w:marRight w:val="0"/>
      <w:marTop w:val="0"/>
      <w:marBottom w:val="0"/>
      <w:divBdr>
        <w:top w:val="none" w:sz="0" w:space="0" w:color="auto"/>
        <w:left w:val="none" w:sz="0" w:space="0" w:color="auto"/>
        <w:bottom w:val="none" w:sz="0" w:space="0" w:color="auto"/>
        <w:right w:val="none" w:sz="0" w:space="0" w:color="auto"/>
      </w:divBdr>
    </w:div>
    <w:div w:id="662396005">
      <w:marLeft w:val="0"/>
      <w:marRight w:val="0"/>
      <w:marTop w:val="0"/>
      <w:marBottom w:val="0"/>
      <w:divBdr>
        <w:top w:val="none" w:sz="0" w:space="0" w:color="auto"/>
        <w:left w:val="none" w:sz="0" w:space="0" w:color="auto"/>
        <w:bottom w:val="none" w:sz="0" w:space="0" w:color="auto"/>
        <w:right w:val="none" w:sz="0" w:space="0" w:color="auto"/>
      </w:divBdr>
    </w:div>
    <w:div w:id="666253941">
      <w:marLeft w:val="0"/>
      <w:marRight w:val="0"/>
      <w:marTop w:val="0"/>
      <w:marBottom w:val="0"/>
      <w:divBdr>
        <w:top w:val="none" w:sz="0" w:space="0" w:color="auto"/>
        <w:left w:val="none" w:sz="0" w:space="0" w:color="auto"/>
        <w:bottom w:val="none" w:sz="0" w:space="0" w:color="auto"/>
        <w:right w:val="none" w:sz="0" w:space="0" w:color="auto"/>
      </w:divBdr>
    </w:div>
    <w:div w:id="668950544">
      <w:marLeft w:val="0"/>
      <w:marRight w:val="0"/>
      <w:marTop w:val="0"/>
      <w:marBottom w:val="0"/>
      <w:divBdr>
        <w:top w:val="none" w:sz="0" w:space="0" w:color="auto"/>
        <w:left w:val="none" w:sz="0" w:space="0" w:color="auto"/>
        <w:bottom w:val="none" w:sz="0" w:space="0" w:color="auto"/>
        <w:right w:val="none" w:sz="0" w:space="0" w:color="auto"/>
      </w:divBdr>
    </w:div>
    <w:div w:id="670530366">
      <w:marLeft w:val="0"/>
      <w:marRight w:val="0"/>
      <w:marTop w:val="0"/>
      <w:marBottom w:val="0"/>
      <w:divBdr>
        <w:top w:val="none" w:sz="0" w:space="0" w:color="auto"/>
        <w:left w:val="none" w:sz="0" w:space="0" w:color="auto"/>
        <w:bottom w:val="none" w:sz="0" w:space="0" w:color="auto"/>
        <w:right w:val="none" w:sz="0" w:space="0" w:color="auto"/>
      </w:divBdr>
    </w:div>
    <w:div w:id="670790071">
      <w:marLeft w:val="0"/>
      <w:marRight w:val="0"/>
      <w:marTop w:val="0"/>
      <w:marBottom w:val="0"/>
      <w:divBdr>
        <w:top w:val="none" w:sz="0" w:space="0" w:color="auto"/>
        <w:left w:val="none" w:sz="0" w:space="0" w:color="auto"/>
        <w:bottom w:val="none" w:sz="0" w:space="0" w:color="auto"/>
        <w:right w:val="none" w:sz="0" w:space="0" w:color="auto"/>
      </w:divBdr>
    </w:div>
    <w:div w:id="672416602">
      <w:marLeft w:val="0"/>
      <w:marRight w:val="0"/>
      <w:marTop w:val="0"/>
      <w:marBottom w:val="0"/>
      <w:divBdr>
        <w:top w:val="none" w:sz="0" w:space="0" w:color="auto"/>
        <w:left w:val="none" w:sz="0" w:space="0" w:color="auto"/>
        <w:bottom w:val="none" w:sz="0" w:space="0" w:color="auto"/>
        <w:right w:val="none" w:sz="0" w:space="0" w:color="auto"/>
      </w:divBdr>
    </w:div>
    <w:div w:id="673805807">
      <w:marLeft w:val="0"/>
      <w:marRight w:val="0"/>
      <w:marTop w:val="0"/>
      <w:marBottom w:val="0"/>
      <w:divBdr>
        <w:top w:val="none" w:sz="0" w:space="0" w:color="auto"/>
        <w:left w:val="none" w:sz="0" w:space="0" w:color="auto"/>
        <w:bottom w:val="none" w:sz="0" w:space="0" w:color="auto"/>
        <w:right w:val="none" w:sz="0" w:space="0" w:color="auto"/>
      </w:divBdr>
    </w:div>
    <w:div w:id="678585765">
      <w:marLeft w:val="0"/>
      <w:marRight w:val="0"/>
      <w:marTop w:val="0"/>
      <w:marBottom w:val="0"/>
      <w:divBdr>
        <w:top w:val="none" w:sz="0" w:space="0" w:color="auto"/>
        <w:left w:val="none" w:sz="0" w:space="0" w:color="auto"/>
        <w:bottom w:val="none" w:sz="0" w:space="0" w:color="auto"/>
        <w:right w:val="none" w:sz="0" w:space="0" w:color="auto"/>
      </w:divBdr>
    </w:div>
    <w:div w:id="688719406">
      <w:marLeft w:val="0"/>
      <w:marRight w:val="0"/>
      <w:marTop w:val="0"/>
      <w:marBottom w:val="0"/>
      <w:divBdr>
        <w:top w:val="none" w:sz="0" w:space="0" w:color="auto"/>
        <w:left w:val="none" w:sz="0" w:space="0" w:color="auto"/>
        <w:bottom w:val="none" w:sz="0" w:space="0" w:color="auto"/>
        <w:right w:val="none" w:sz="0" w:space="0" w:color="auto"/>
      </w:divBdr>
    </w:div>
    <w:div w:id="690499260">
      <w:marLeft w:val="0"/>
      <w:marRight w:val="0"/>
      <w:marTop w:val="0"/>
      <w:marBottom w:val="0"/>
      <w:divBdr>
        <w:top w:val="none" w:sz="0" w:space="0" w:color="auto"/>
        <w:left w:val="none" w:sz="0" w:space="0" w:color="auto"/>
        <w:bottom w:val="none" w:sz="0" w:space="0" w:color="auto"/>
        <w:right w:val="none" w:sz="0" w:space="0" w:color="auto"/>
      </w:divBdr>
    </w:div>
    <w:div w:id="692655059">
      <w:marLeft w:val="0"/>
      <w:marRight w:val="0"/>
      <w:marTop w:val="0"/>
      <w:marBottom w:val="0"/>
      <w:divBdr>
        <w:top w:val="none" w:sz="0" w:space="0" w:color="auto"/>
        <w:left w:val="none" w:sz="0" w:space="0" w:color="auto"/>
        <w:bottom w:val="none" w:sz="0" w:space="0" w:color="auto"/>
        <w:right w:val="none" w:sz="0" w:space="0" w:color="auto"/>
      </w:divBdr>
    </w:div>
    <w:div w:id="699210799">
      <w:marLeft w:val="0"/>
      <w:marRight w:val="0"/>
      <w:marTop w:val="0"/>
      <w:marBottom w:val="0"/>
      <w:divBdr>
        <w:top w:val="none" w:sz="0" w:space="0" w:color="auto"/>
        <w:left w:val="none" w:sz="0" w:space="0" w:color="auto"/>
        <w:bottom w:val="none" w:sz="0" w:space="0" w:color="auto"/>
        <w:right w:val="none" w:sz="0" w:space="0" w:color="auto"/>
      </w:divBdr>
    </w:div>
    <w:div w:id="701514996">
      <w:marLeft w:val="0"/>
      <w:marRight w:val="0"/>
      <w:marTop w:val="100"/>
      <w:marBottom w:val="100"/>
      <w:divBdr>
        <w:top w:val="none" w:sz="0" w:space="0" w:color="auto"/>
        <w:left w:val="none" w:sz="0" w:space="0" w:color="auto"/>
        <w:bottom w:val="none" w:sz="0" w:space="0" w:color="auto"/>
        <w:right w:val="none" w:sz="0" w:space="0" w:color="auto"/>
      </w:divBdr>
      <w:divsChild>
        <w:div w:id="632714112">
          <w:marLeft w:val="0"/>
          <w:marRight w:val="0"/>
          <w:marTop w:val="0"/>
          <w:marBottom w:val="0"/>
          <w:divBdr>
            <w:top w:val="none" w:sz="0" w:space="0" w:color="auto"/>
            <w:left w:val="none" w:sz="0" w:space="0" w:color="auto"/>
            <w:bottom w:val="none" w:sz="0" w:space="0" w:color="auto"/>
            <w:right w:val="none" w:sz="0" w:space="0" w:color="auto"/>
          </w:divBdr>
        </w:div>
        <w:div w:id="558707443">
          <w:marLeft w:val="0"/>
          <w:marRight w:val="0"/>
          <w:marTop w:val="0"/>
          <w:marBottom w:val="0"/>
          <w:divBdr>
            <w:top w:val="none" w:sz="0" w:space="0" w:color="auto"/>
            <w:left w:val="none" w:sz="0" w:space="0" w:color="auto"/>
            <w:bottom w:val="none" w:sz="0" w:space="0" w:color="auto"/>
            <w:right w:val="none" w:sz="0" w:space="0" w:color="auto"/>
          </w:divBdr>
        </w:div>
        <w:div w:id="735474531">
          <w:marLeft w:val="0"/>
          <w:marRight w:val="0"/>
          <w:marTop w:val="0"/>
          <w:marBottom w:val="0"/>
          <w:divBdr>
            <w:top w:val="none" w:sz="0" w:space="0" w:color="auto"/>
            <w:left w:val="none" w:sz="0" w:space="0" w:color="auto"/>
            <w:bottom w:val="none" w:sz="0" w:space="0" w:color="auto"/>
            <w:right w:val="none" w:sz="0" w:space="0" w:color="auto"/>
          </w:divBdr>
        </w:div>
      </w:divsChild>
    </w:div>
    <w:div w:id="702903758">
      <w:marLeft w:val="0"/>
      <w:marRight w:val="0"/>
      <w:marTop w:val="0"/>
      <w:marBottom w:val="0"/>
      <w:divBdr>
        <w:top w:val="none" w:sz="0" w:space="0" w:color="auto"/>
        <w:left w:val="none" w:sz="0" w:space="0" w:color="auto"/>
        <w:bottom w:val="none" w:sz="0" w:space="0" w:color="auto"/>
        <w:right w:val="none" w:sz="0" w:space="0" w:color="auto"/>
      </w:divBdr>
    </w:div>
    <w:div w:id="702947030">
      <w:marLeft w:val="0"/>
      <w:marRight w:val="0"/>
      <w:marTop w:val="0"/>
      <w:marBottom w:val="0"/>
      <w:divBdr>
        <w:top w:val="none" w:sz="0" w:space="0" w:color="auto"/>
        <w:left w:val="none" w:sz="0" w:space="0" w:color="auto"/>
        <w:bottom w:val="none" w:sz="0" w:space="0" w:color="auto"/>
        <w:right w:val="none" w:sz="0" w:space="0" w:color="auto"/>
      </w:divBdr>
    </w:div>
    <w:div w:id="706444990">
      <w:marLeft w:val="0"/>
      <w:marRight w:val="0"/>
      <w:marTop w:val="0"/>
      <w:marBottom w:val="0"/>
      <w:divBdr>
        <w:top w:val="none" w:sz="0" w:space="0" w:color="auto"/>
        <w:left w:val="none" w:sz="0" w:space="0" w:color="auto"/>
        <w:bottom w:val="none" w:sz="0" w:space="0" w:color="auto"/>
        <w:right w:val="none" w:sz="0" w:space="0" w:color="auto"/>
      </w:divBdr>
      <w:divsChild>
        <w:div w:id="2128771085">
          <w:marLeft w:val="0"/>
          <w:marRight w:val="0"/>
          <w:marTop w:val="0"/>
          <w:marBottom w:val="0"/>
          <w:divBdr>
            <w:top w:val="none" w:sz="0" w:space="0" w:color="auto"/>
            <w:left w:val="none" w:sz="0" w:space="0" w:color="auto"/>
            <w:bottom w:val="none" w:sz="0" w:space="0" w:color="auto"/>
            <w:right w:val="none" w:sz="0" w:space="0" w:color="auto"/>
          </w:divBdr>
        </w:div>
      </w:divsChild>
    </w:div>
    <w:div w:id="706876610">
      <w:marLeft w:val="0"/>
      <w:marRight w:val="0"/>
      <w:marTop w:val="0"/>
      <w:marBottom w:val="0"/>
      <w:divBdr>
        <w:top w:val="none" w:sz="0" w:space="0" w:color="auto"/>
        <w:left w:val="none" w:sz="0" w:space="0" w:color="auto"/>
        <w:bottom w:val="none" w:sz="0" w:space="0" w:color="auto"/>
        <w:right w:val="none" w:sz="0" w:space="0" w:color="auto"/>
      </w:divBdr>
    </w:div>
    <w:div w:id="714348721">
      <w:marLeft w:val="0"/>
      <w:marRight w:val="0"/>
      <w:marTop w:val="0"/>
      <w:marBottom w:val="0"/>
      <w:divBdr>
        <w:top w:val="none" w:sz="0" w:space="0" w:color="auto"/>
        <w:left w:val="none" w:sz="0" w:space="0" w:color="auto"/>
        <w:bottom w:val="none" w:sz="0" w:space="0" w:color="auto"/>
        <w:right w:val="none" w:sz="0" w:space="0" w:color="auto"/>
      </w:divBdr>
    </w:div>
    <w:div w:id="714551120">
      <w:marLeft w:val="0"/>
      <w:marRight w:val="0"/>
      <w:marTop w:val="0"/>
      <w:marBottom w:val="0"/>
      <w:divBdr>
        <w:top w:val="none" w:sz="0" w:space="0" w:color="auto"/>
        <w:left w:val="none" w:sz="0" w:space="0" w:color="auto"/>
        <w:bottom w:val="none" w:sz="0" w:space="0" w:color="auto"/>
        <w:right w:val="none" w:sz="0" w:space="0" w:color="auto"/>
      </w:divBdr>
    </w:div>
    <w:div w:id="715397356">
      <w:marLeft w:val="0"/>
      <w:marRight w:val="0"/>
      <w:marTop w:val="0"/>
      <w:marBottom w:val="0"/>
      <w:divBdr>
        <w:top w:val="none" w:sz="0" w:space="0" w:color="auto"/>
        <w:left w:val="none" w:sz="0" w:space="0" w:color="auto"/>
        <w:bottom w:val="none" w:sz="0" w:space="0" w:color="auto"/>
        <w:right w:val="none" w:sz="0" w:space="0" w:color="auto"/>
      </w:divBdr>
    </w:div>
    <w:div w:id="717782234">
      <w:marLeft w:val="0"/>
      <w:marRight w:val="0"/>
      <w:marTop w:val="0"/>
      <w:marBottom w:val="0"/>
      <w:divBdr>
        <w:top w:val="none" w:sz="0" w:space="0" w:color="auto"/>
        <w:left w:val="none" w:sz="0" w:space="0" w:color="auto"/>
        <w:bottom w:val="none" w:sz="0" w:space="0" w:color="auto"/>
        <w:right w:val="none" w:sz="0" w:space="0" w:color="auto"/>
      </w:divBdr>
      <w:divsChild>
        <w:div w:id="19019180">
          <w:marLeft w:val="0"/>
          <w:marRight w:val="0"/>
          <w:marTop w:val="0"/>
          <w:marBottom w:val="0"/>
          <w:divBdr>
            <w:top w:val="none" w:sz="0" w:space="0" w:color="auto"/>
            <w:left w:val="none" w:sz="0" w:space="0" w:color="auto"/>
            <w:bottom w:val="none" w:sz="0" w:space="0" w:color="auto"/>
            <w:right w:val="none" w:sz="0" w:space="0" w:color="auto"/>
          </w:divBdr>
        </w:div>
      </w:divsChild>
    </w:div>
    <w:div w:id="719204277">
      <w:marLeft w:val="0"/>
      <w:marRight w:val="0"/>
      <w:marTop w:val="0"/>
      <w:marBottom w:val="0"/>
      <w:divBdr>
        <w:top w:val="none" w:sz="0" w:space="0" w:color="auto"/>
        <w:left w:val="none" w:sz="0" w:space="0" w:color="auto"/>
        <w:bottom w:val="none" w:sz="0" w:space="0" w:color="auto"/>
        <w:right w:val="none" w:sz="0" w:space="0" w:color="auto"/>
      </w:divBdr>
    </w:div>
    <w:div w:id="719864437">
      <w:marLeft w:val="0"/>
      <w:marRight w:val="0"/>
      <w:marTop w:val="0"/>
      <w:marBottom w:val="0"/>
      <w:divBdr>
        <w:top w:val="none" w:sz="0" w:space="0" w:color="auto"/>
        <w:left w:val="none" w:sz="0" w:space="0" w:color="auto"/>
        <w:bottom w:val="none" w:sz="0" w:space="0" w:color="auto"/>
        <w:right w:val="none" w:sz="0" w:space="0" w:color="auto"/>
      </w:divBdr>
    </w:div>
    <w:div w:id="724334917">
      <w:marLeft w:val="0"/>
      <w:marRight w:val="0"/>
      <w:marTop w:val="0"/>
      <w:marBottom w:val="0"/>
      <w:divBdr>
        <w:top w:val="none" w:sz="0" w:space="0" w:color="auto"/>
        <w:left w:val="none" w:sz="0" w:space="0" w:color="auto"/>
        <w:bottom w:val="none" w:sz="0" w:space="0" w:color="auto"/>
        <w:right w:val="none" w:sz="0" w:space="0" w:color="auto"/>
      </w:divBdr>
      <w:divsChild>
        <w:div w:id="1706442237">
          <w:marLeft w:val="0"/>
          <w:marRight w:val="0"/>
          <w:marTop w:val="0"/>
          <w:marBottom w:val="0"/>
          <w:divBdr>
            <w:top w:val="none" w:sz="0" w:space="0" w:color="auto"/>
            <w:left w:val="none" w:sz="0" w:space="0" w:color="auto"/>
            <w:bottom w:val="none" w:sz="0" w:space="0" w:color="auto"/>
            <w:right w:val="none" w:sz="0" w:space="0" w:color="auto"/>
          </w:divBdr>
        </w:div>
      </w:divsChild>
    </w:div>
    <w:div w:id="725765721">
      <w:marLeft w:val="0"/>
      <w:marRight w:val="0"/>
      <w:marTop w:val="0"/>
      <w:marBottom w:val="0"/>
      <w:divBdr>
        <w:top w:val="none" w:sz="0" w:space="0" w:color="auto"/>
        <w:left w:val="none" w:sz="0" w:space="0" w:color="auto"/>
        <w:bottom w:val="none" w:sz="0" w:space="0" w:color="auto"/>
        <w:right w:val="none" w:sz="0" w:space="0" w:color="auto"/>
      </w:divBdr>
    </w:div>
    <w:div w:id="730617502">
      <w:marLeft w:val="0"/>
      <w:marRight w:val="0"/>
      <w:marTop w:val="0"/>
      <w:marBottom w:val="0"/>
      <w:divBdr>
        <w:top w:val="none" w:sz="0" w:space="0" w:color="auto"/>
        <w:left w:val="none" w:sz="0" w:space="0" w:color="auto"/>
        <w:bottom w:val="none" w:sz="0" w:space="0" w:color="auto"/>
        <w:right w:val="none" w:sz="0" w:space="0" w:color="auto"/>
      </w:divBdr>
    </w:div>
    <w:div w:id="731195130">
      <w:marLeft w:val="0"/>
      <w:marRight w:val="0"/>
      <w:marTop w:val="0"/>
      <w:marBottom w:val="0"/>
      <w:divBdr>
        <w:top w:val="none" w:sz="0" w:space="0" w:color="auto"/>
        <w:left w:val="none" w:sz="0" w:space="0" w:color="auto"/>
        <w:bottom w:val="none" w:sz="0" w:space="0" w:color="auto"/>
        <w:right w:val="none" w:sz="0" w:space="0" w:color="auto"/>
      </w:divBdr>
    </w:div>
    <w:div w:id="732653996">
      <w:marLeft w:val="0"/>
      <w:marRight w:val="0"/>
      <w:marTop w:val="0"/>
      <w:marBottom w:val="0"/>
      <w:divBdr>
        <w:top w:val="none" w:sz="0" w:space="0" w:color="auto"/>
        <w:left w:val="none" w:sz="0" w:space="0" w:color="auto"/>
        <w:bottom w:val="none" w:sz="0" w:space="0" w:color="auto"/>
        <w:right w:val="none" w:sz="0" w:space="0" w:color="auto"/>
      </w:divBdr>
    </w:div>
    <w:div w:id="733747380">
      <w:marLeft w:val="0"/>
      <w:marRight w:val="0"/>
      <w:marTop w:val="0"/>
      <w:marBottom w:val="0"/>
      <w:divBdr>
        <w:top w:val="none" w:sz="0" w:space="0" w:color="auto"/>
        <w:left w:val="none" w:sz="0" w:space="0" w:color="auto"/>
        <w:bottom w:val="none" w:sz="0" w:space="0" w:color="auto"/>
        <w:right w:val="none" w:sz="0" w:space="0" w:color="auto"/>
      </w:divBdr>
    </w:div>
    <w:div w:id="736628298">
      <w:marLeft w:val="0"/>
      <w:marRight w:val="0"/>
      <w:marTop w:val="0"/>
      <w:marBottom w:val="0"/>
      <w:divBdr>
        <w:top w:val="none" w:sz="0" w:space="0" w:color="auto"/>
        <w:left w:val="none" w:sz="0" w:space="0" w:color="auto"/>
        <w:bottom w:val="none" w:sz="0" w:space="0" w:color="auto"/>
        <w:right w:val="none" w:sz="0" w:space="0" w:color="auto"/>
      </w:divBdr>
    </w:div>
    <w:div w:id="739063444">
      <w:marLeft w:val="0"/>
      <w:marRight w:val="0"/>
      <w:marTop w:val="0"/>
      <w:marBottom w:val="0"/>
      <w:divBdr>
        <w:top w:val="none" w:sz="0" w:space="0" w:color="auto"/>
        <w:left w:val="none" w:sz="0" w:space="0" w:color="auto"/>
        <w:bottom w:val="none" w:sz="0" w:space="0" w:color="auto"/>
        <w:right w:val="none" w:sz="0" w:space="0" w:color="auto"/>
      </w:divBdr>
    </w:div>
    <w:div w:id="742994005">
      <w:marLeft w:val="0"/>
      <w:marRight w:val="0"/>
      <w:marTop w:val="100"/>
      <w:marBottom w:val="100"/>
      <w:divBdr>
        <w:top w:val="none" w:sz="0" w:space="0" w:color="auto"/>
        <w:left w:val="none" w:sz="0" w:space="0" w:color="auto"/>
        <w:bottom w:val="none" w:sz="0" w:space="0" w:color="auto"/>
        <w:right w:val="none" w:sz="0" w:space="0" w:color="auto"/>
      </w:divBdr>
      <w:divsChild>
        <w:div w:id="248932541">
          <w:marLeft w:val="0"/>
          <w:marRight w:val="0"/>
          <w:marTop w:val="0"/>
          <w:marBottom w:val="0"/>
          <w:divBdr>
            <w:top w:val="none" w:sz="0" w:space="0" w:color="auto"/>
            <w:left w:val="none" w:sz="0" w:space="0" w:color="auto"/>
            <w:bottom w:val="none" w:sz="0" w:space="0" w:color="auto"/>
            <w:right w:val="none" w:sz="0" w:space="0" w:color="auto"/>
          </w:divBdr>
        </w:div>
        <w:div w:id="812715645">
          <w:marLeft w:val="0"/>
          <w:marRight w:val="0"/>
          <w:marTop w:val="0"/>
          <w:marBottom w:val="0"/>
          <w:divBdr>
            <w:top w:val="none" w:sz="0" w:space="0" w:color="auto"/>
            <w:left w:val="none" w:sz="0" w:space="0" w:color="auto"/>
            <w:bottom w:val="none" w:sz="0" w:space="0" w:color="auto"/>
            <w:right w:val="none" w:sz="0" w:space="0" w:color="auto"/>
          </w:divBdr>
        </w:div>
        <w:div w:id="1619096482">
          <w:marLeft w:val="0"/>
          <w:marRight w:val="0"/>
          <w:marTop w:val="0"/>
          <w:marBottom w:val="0"/>
          <w:divBdr>
            <w:top w:val="none" w:sz="0" w:space="0" w:color="auto"/>
            <w:left w:val="none" w:sz="0" w:space="0" w:color="auto"/>
            <w:bottom w:val="none" w:sz="0" w:space="0" w:color="auto"/>
            <w:right w:val="none" w:sz="0" w:space="0" w:color="auto"/>
          </w:divBdr>
        </w:div>
        <w:div w:id="1106081060">
          <w:marLeft w:val="0"/>
          <w:marRight w:val="0"/>
          <w:marTop w:val="0"/>
          <w:marBottom w:val="0"/>
          <w:divBdr>
            <w:top w:val="none" w:sz="0" w:space="0" w:color="auto"/>
            <w:left w:val="none" w:sz="0" w:space="0" w:color="auto"/>
            <w:bottom w:val="none" w:sz="0" w:space="0" w:color="auto"/>
            <w:right w:val="none" w:sz="0" w:space="0" w:color="auto"/>
          </w:divBdr>
        </w:div>
      </w:divsChild>
    </w:div>
    <w:div w:id="743527819">
      <w:marLeft w:val="0"/>
      <w:marRight w:val="0"/>
      <w:marTop w:val="0"/>
      <w:marBottom w:val="0"/>
      <w:divBdr>
        <w:top w:val="none" w:sz="0" w:space="0" w:color="auto"/>
        <w:left w:val="none" w:sz="0" w:space="0" w:color="auto"/>
        <w:bottom w:val="none" w:sz="0" w:space="0" w:color="auto"/>
        <w:right w:val="none" w:sz="0" w:space="0" w:color="auto"/>
      </w:divBdr>
    </w:div>
    <w:div w:id="746614737">
      <w:marLeft w:val="0"/>
      <w:marRight w:val="0"/>
      <w:marTop w:val="0"/>
      <w:marBottom w:val="0"/>
      <w:divBdr>
        <w:top w:val="none" w:sz="0" w:space="0" w:color="auto"/>
        <w:left w:val="none" w:sz="0" w:space="0" w:color="auto"/>
        <w:bottom w:val="none" w:sz="0" w:space="0" w:color="auto"/>
        <w:right w:val="none" w:sz="0" w:space="0" w:color="auto"/>
      </w:divBdr>
    </w:div>
    <w:div w:id="751584815">
      <w:marLeft w:val="0"/>
      <w:marRight w:val="0"/>
      <w:marTop w:val="0"/>
      <w:marBottom w:val="0"/>
      <w:divBdr>
        <w:top w:val="none" w:sz="0" w:space="0" w:color="auto"/>
        <w:left w:val="none" w:sz="0" w:space="0" w:color="auto"/>
        <w:bottom w:val="none" w:sz="0" w:space="0" w:color="auto"/>
        <w:right w:val="none" w:sz="0" w:space="0" w:color="auto"/>
      </w:divBdr>
    </w:div>
    <w:div w:id="762459484">
      <w:marLeft w:val="0"/>
      <w:marRight w:val="0"/>
      <w:marTop w:val="0"/>
      <w:marBottom w:val="0"/>
      <w:divBdr>
        <w:top w:val="none" w:sz="0" w:space="0" w:color="auto"/>
        <w:left w:val="none" w:sz="0" w:space="0" w:color="auto"/>
        <w:bottom w:val="none" w:sz="0" w:space="0" w:color="auto"/>
        <w:right w:val="none" w:sz="0" w:space="0" w:color="auto"/>
      </w:divBdr>
    </w:div>
    <w:div w:id="767651458">
      <w:marLeft w:val="0"/>
      <w:marRight w:val="0"/>
      <w:marTop w:val="0"/>
      <w:marBottom w:val="0"/>
      <w:divBdr>
        <w:top w:val="none" w:sz="0" w:space="0" w:color="auto"/>
        <w:left w:val="none" w:sz="0" w:space="0" w:color="auto"/>
        <w:bottom w:val="none" w:sz="0" w:space="0" w:color="auto"/>
        <w:right w:val="none" w:sz="0" w:space="0" w:color="auto"/>
      </w:divBdr>
    </w:div>
    <w:div w:id="770124864">
      <w:marLeft w:val="0"/>
      <w:marRight w:val="0"/>
      <w:marTop w:val="0"/>
      <w:marBottom w:val="0"/>
      <w:divBdr>
        <w:top w:val="none" w:sz="0" w:space="0" w:color="auto"/>
        <w:left w:val="none" w:sz="0" w:space="0" w:color="auto"/>
        <w:bottom w:val="none" w:sz="0" w:space="0" w:color="auto"/>
        <w:right w:val="none" w:sz="0" w:space="0" w:color="auto"/>
      </w:divBdr>
    </w:div>
    <w:div w:id="770396032">
      <w:marLeft w:val="0"/>
      <w:marRight w:val="0"/>
      <w:marTop w:val="0"/>
      <w:marBottom w:val="0"/>
      <w:divBdr>
        <w:top w:val="none" w:sz="0" w:space="0" w:color="auto"/>
        <w:left w:val="none" w:sz="0" w:space="0" w:color="auto"/>
        <w:bottom w:val="none" w:sz="0" w:space="0" w:color="auto"/>
        <w:right w:val="none" w:sz="0" w:space="0" w:color="auto"/>
      </w:divBdr>
      <w:divsChild>
        <w:div w:id="1689600856">
          <w:marLeft w:val="0"/>
          <w:marRight w:val="0"/>
          <w:marTop w:val="0"/>
          <w:marBottom w:val="0"/>
          <w:divBdr>
            <w:top w:val="none" w:sz="0" w:space="0" w:color="auto"/>
            <w:left w:val="none" w:sz="0" w:space="0" w:color="auto"/>
            <w:bottom w:val="none" w:sz="0" w:space="0" w:color="auto"/>
            <w:right w:val="none" w:sz="0" w:space="0" w:color="auto"/>
          </w:divBdr>
        </w:div>
      </w:divsChild>
    </w:div>
    <w:div w:id="771432830">
      <w:marLeft w:val="0"/>
      <w:marRight w:val="0"/>
      <w:marTop w:val="0"/>
      <w:marBottom w:val="0"/>
      <w:divBdr>
        <w:top w:val="none" w:sz="0" w:space="0" w:color="auto"/>
        <w:left w:val="none" w:sz="0" w:space="0" w:color="auto"/>
        <w:bottom w:val="none" w:sz="0" w:space="0" w:color="auto"/>
        <w:right w:val="none" w:sz="0" w:space="0" w:color="auto"/>
      </w:divBdr>
    </w:div>
    <w:div w:id="773331191">
      <w:marLeft w:val="0"/>
      <w:marRight w:val="0"/>
      <w:marTop w:val="0"/>
      <w:marBottom w:val="0"/>
      <w:divBdr>
        <w:top w:val="none" w:sz="0" w:space="0" w:color="auto"/>
        <w:left w:val="none" w:sz="0" w:space="0" w:color="auto"/>
        <w:bottom w:val="none" w:sz="0" w:space="0" w:color="auto"/>
        <w:right w:val="none" w:sz="0" w:space="0" w:color="auto"/>
      </w:divBdr>
    </w:div>
    <w:div w:id="776798772">
      <w:marLeft w:val="0"/>
      <w:marRight w:val="0"/>
      <w:marTop w:val="0"/>
      <w:marBottom w:val="0"/>
      <w:divBdr>
        <w:top w:val="none" w:sz="0" w:space="0" w:color="auto"/>
        <w:left w:val="none" w:sz="0" w:space="0" w:color="auto"/>
        <w:bottom w:val="none" w:sz="0" w:space="0" w:color="auto"/>
        <w:right w:val="none" w:sz="0" w:space="0" w:color="auto"/>
      </w:divBdr>
    </w:div>
    <w:div w:id="777411491">
      <w:marLeft w:val="0"/>
      <w:marRight w:val="0"/>
      <w:marTop w:val="0"/>
      <w:marBottom w:val="0"/>
      <w:divBdr>
        <w:top w:val="none" w:sz="0" w:space="0" w:color="auto"/>
        <w:left w:val="none" w:sz="0" w:space="0" w:color="auto"/>
        <w:bottom w:val="none" w:sz="0" w:space="0" w:color="auto"/>
        <w:right w:val="none" w:sz="0" w:space="0" w:color="auto"/>
      </w:divBdr>
    </w:div>
    <w:div w:id="778063254">
      <w:marLeft w:val="0"/>
      <w:marRight w:val="0"/>
      <w:marTop w:val="0"/>
      <w:marBottom w:val="0"/>
      <w:divBdr>
        <w:top w:val="none" w:sz="0" w:space="0" w:color="auto"/>
        <w:left w:val="none" w:sz="0" w:space="0" w:color="auto"/>
        <w:bottom w:val="none" w:sz="0" w:space="0" w:color="auto"/>
        <w:right w:val="none" w:sz="0" w:space="0" w:color="auto"/>
      </w:divBdr>
    </w:div>
    <w:div w:id="778796378">
      <w:marLeft w:val="0"/>
      <w:marRight w:val="0"/>
      <w:marTop w:val="0"/>
      <w:marBottom w:val="0"/>
      <w:divBdr>
        <w:top w:val="none" w:sz="0" w:space="0" w:color="auto"/>
        <w:left w:val="none" w:sz="0" w:space="0" w:color="auto"/>
        <w:bottom w:val="none" w:sz="0" w:space="0" w:color="auto"/>
        <w:right w:val="none" w:sz="0" w:space="0" w:color="auto"/>
      </w:divBdr>
    </w:div>
    <w:div w:id="780298236">
      <w:marLeft w:val="0"/>
      <w:marRight w:val="0"/>
      <w:marTop w:val="0"/>
      <w:marBottom w:val="0"/>
      <w:divBdr>
        <w:top w:val="none" w:sz="0" w:space="0" w:color="auto"/>
        <w:left w:val="none" w:sz="0" w:space="0" w:color="auto"/>
        <w:bottom w:val="none" w:sz="0" w:space="0" w:color="auto"/>
        <w:right w:val="none" w:sz="0" w:space="0" w:color="auto"/>
      </w:divBdr>
    </w:div>
    <w:div w:id="781190856">
      <w:marLeft w:val="0"/>
      <w:marRight w:val="0"/>
      <w:marTop w:val="0"/>
      <w:marBottom w:val="0"/>
      <w:divBdr>
        <w:top w:val="none" w:sz="0" w:space="0" w:color="auto"/>
        <w:left w:val="none" w:sz="0" w:space="0" w:color="auto"/>
        <w:bottom w:val="none" w:sz="0" w:space="0" w:color="auto"/>
        <w:right w:val="none" w:sz="0" w:space="0" w:color="auto"/>
      </w:divBdr>
    </w:div>
    <w:div w:id="781606381">
      <w:marLeft w:val="0"/>
      <w:marRight w:val="0"/>
      <w:marTop w:val="0"/>
      <w:marBottom w:val="0"/>
      <w:divBdr>
        <w:top w:val="none" w:sz="0" w:space="0" w:color="auto"/>
        <w:left w:val="none" w:sz="0" w:space="0" w:color="auto"/>
        <w:bottom w:val="none" w:sz="0" w:space="0" w:color="auto"/>
        <w:right w:val="none" w:sz="0" w:space="0" w:color="auto"/>
      </w:divBdr>
    </w:div>
    <w:div w:id="781652876">
      <w:marLeft w:val="0"/>
      <w:marRight w:val="0"/>
      <w:marTop w:val="0"/>
      <w:marBottom w:val="120"/>
      <w:divBdr>
        <w:top w:val="none" w:sz="0" w:space="0" w:color="auto"/>
        <w:left w:val="none" w:sz="0" w:space="0" w:color="auto"/>
        <w:bottom w:val="none" w:sz="0" w:space="0" w:color="auto"/>
        <w:right w:val="none" w:sz="0" w:space="0" w:color="auto"/>
      </w:divBdr>
    </w:div>
    <w:div w:id="783768506">
      <w:marLeft w:val="0"/>
      <w:marRight w:val="0"/>
      <w:marTop w:val="0"/>
      <w:marBottom w:val="0"/>
      <w:divBdr>
        <w:top w:val="none" w:sz="0" w:space="0" w:color="auto"/>
        <w:left w:val="none" w:sz="0" w:space="0" w:color="auto"/>
        <w:bottom w:val="none" w:sz="0" w:space="0" w:color="auto"/>
        <w:right w:val="none" w:sz="0" w:space="0" w:color="auto"/>
      </w:divBdr>
    </w:div>
    <w:div w:id="786433479">
      <w:marLeft w:val="0"/>
      <w:marRight w:val="0"/>
      <w:marTop w:val="0"/>
      <w:marBottom w:val="0"/>
      <w:divBdr>
        <w:top w:val="none" w:sz="0" w:space="0" w:color="auto"/>
        <w:left w:val="none" w:sz="0" w:space="0" w:color="auto"/>
        <w:bottom w:val="none" w:sz="0" w:space="0" w:color="auto"/>
        <w:right w:val="none" w:sz="0" w:space="0" w:color="auto"/>
      </w:divBdr>
    </w:div>
    <w:div w:id="788747626">
      <w:marLeft w:val="0"/>
      <w:marRight w:val="0"/>
      <w:marTop w:val="0"/>
      <w:marBottom w:val="0"/>
      <w:divBdr>
        <w:top w:val="none" w:sz="0" w:space="0" w:color="auto"/>
        <w:left w:val="none" w:sz="0" w:space="0" w:color="auto"/>
        <w:bottom w:val="none" w:sz="0" w:space="0" w:color="auto"/>
        <w:right w:val="none" w:sz="0" w:space="0" w:color="auto"/>
      </w:divBdr>
    </w:div>
    <w:div w:id="789475396">
      <w:marLeft w:val="0"/>
      <w:marRight w:val="0"/>
      <w:marTop w:val="0"/>
      <w:marBottom w:val="0"/>
      <w:divBdr>
        <w:top w:val="none" w:sz="0" w:space="0" w:color="auto"/>
        <w:left w:val="none" w:sz="0" w:space="0" w:color="auto"/>
        <w:bottom w:val="none" w:sz="0" w:space="0" w:color="auto"/>
        <w:right w:val="none" w:sz="0" w:space="0" w:color="auto"/>
      </w:divBdr>
    </w:div>
    <w:div w:id="790787098">
      <w:marLeft w:val="0"/>
      <w:marRight w:val="0"/>
      <w:marTop w:val="0"/>
      <w:marBottom w:val="0"/>
      <w:divBdr>
        <w:top w:val="none" w:sz="0" w:space="0" w:color="auto"/>
        <w:left w:val="none" w:sz="0" w:space="0" w:color="auto"/>
        <w:bottom w:val="none" w:sz="0" w:space="0" w:color="auto"/>
        <w:right w:val="none" w:sz="0" w:space="0" w:color="auto"/>
      </w:divBdr>
    </w:div>
    <w:div w:id="791093148">
      <w:marLeft w:val="0"/>
      <w:marRight w:val="0"/>
      <w:marTop w:val="0"/>
      <w:marBottom w:val="0"/>
      <w:divBdr>
        <w:top w:val="none" w:sz="0" w:space="0" w:color="auto"/>
        <w:left w:val="none" w:sz="0" w:space="0" w:color="auto"/>
        <w:bottom w:val="none" w:sz="0" w:space="0" w:color="auto"/>
        <w:right w:val="none" w:sz="0" w:space="0" w:color="auto"/>
      </w:divBdr>
    </w:div>
    <w:div w:id="791675869">
      <w:marLeft w:val="0"/>
      <w:marRight w:val="0"/>
      <w:marTop w:val="0"/>
      <w:marBottom w:val="0"/>
      <w:divBdr>
        <w:top w:val="none" w:sz="0" w:space="0" w:color="auto"/>
        <w:left w:val="none" w:sz="0" w:space="0" w:color="auto"/>
        <w:bottom w:val="none" w:sz="0" w:space="0" w:color="auto"/>
        <w:right w:val="none" w:sz="0" w:space="0" w:color="auto"/>
      </w:divBdr>
    </w:div>
    <w:div w:id="792749223">
      <w:marLeft w:val="0"/>
      <w:marRight w:val="0"/>
      <w:marTop w:val="0"/>
      <w:marBottom w:val="0"/>
      <w:divBdr>
        <w:top w:val="none" w:sz="0" w:space="0" w:color="auto"/>
        <w:left w:val="none" w:sz="0" w:space="0" w:color="auto"/>
        <w:bottom w:val="none" w:sz="0" w:space="0" w:color="auto"/>
        <w:right w:val="none" w:sz="0" w:space="0" w:color="auto"/>
      </w:divBdr>
    </w:div>
    <w:div w:id="796143963">
      <w:marLeft w:val="0"/>
      <w:marRight w:val="0"/>
      <w:marTop w:val="0"/>
      <w:marBottom w:val="0"/>
      <w:divBdr>
        <w:top w:val="none" w:sz="0" w:space="0" w:color="auto"/>
        <w:left w:val="none" w:sz="0" w:space="0" w:color="auto"/>
        <w:bottom w:val="none" w:sz="0" w:space="0" w:color="auto"/>
        <w:right w:val="none" w:sz="0" w:space="0" w:color="auto"/>
      </w:divBdr>
    </w:div>
    <w:div w:id="797533313">
      <w:marLeft w:val="0"/>
      <w:marRight w:val="0"/>
      <w:marTop w:val="0"/>
      <w:marBottom w:val="0"/>
      <w:divBdr>
        <w:top w:val="none" w:sz="0" w:space="0" w:color="auto"/>
        <w:left w:val="none" w:sz="0" w:space="0" w:color="auto"/>
        <w:bottom w:val="none" w:sz="0" w:space="0" w:color="auto"/>
        <w:right w:val="none" w:sz="0" w:space="0" w:color="auto"/>
      </w:divBdr>
    </w:div>
    <w:div w:id="801000110">
      <w:marLeft w:val="0"/>
      <w:marRight w:val="0"/>
      <w:marTop w:val="100"/>
      <w:marBottom w:val="100"/>
      <w:divBdr>
        <w:top w:val="none" w:sz="0" w:space="0" w:color="auto"/>
        <w:left w:val="none" w:sz="0" w:space="0" w:color="auto"/>
        <w:bottom w:val="none" w:sz="0" w:space="0" w:color="auto"/>
        <w:right w:val="none" w:sz="0" w:space="0" w:color="auto"/>
      </w:divBdr>
      <w:divsChild>
        <w:div w:id="2139905942">
          <w:marLeft w:val="0"/>
          <w:marRight w:val="0"/>
          <w:marTop w:val="40"/>
          <w:marBottom w:val="40"/>
          <w:divBdr>
            <w:top w:val="none" w:sz="0" w:space="0" w:color="auto"/>
            <w:left w:val="none" w:sz="0" w:space="0" w:color="auto"/>
            <w:bottom w:val="none" w:sz="0" w:space="0" w:color="auto"/>
            <w:right w:val="none" w:sz="0" w:space="0" w:color="auto"/>
          </w:divBdr>
        </w:div>
        <w:div w:id="775249036">
          <w:marLeft w:val="0"/>
          <w:marRight w:val="0"/>
          <w:marTop w:val="40"/>
          <w:marBottom w:val="40"/>
          <w:divBdr>
            <w:top w:val="none" w:sz="0" w:space="0" w:color="auto"/>
            <w:left w:val="none" w:sz="0" w:space="0" w:color="auto"/>
            <w:bottom w:val="none" w:sz="0" w:space="0" w:color="auto"/>
            <w:right w:val="none" w:sz="0" w:space="0" w:color="auto"/>
          </w:divBdr>
        </w:div>
      </w:divsChild>
    </w:div>
    <w:div w:id="801386911">
      <w:marLeft w:val="0"/>
      <w:marRight w:val="0"/>
      <w:marTop w:val="0"/>
      <w:marBottom w:val="0"/>
      <w:divBdr>
        <w:top w:val="none" w:sz="0" w:space="0" w:color="auto"/>
        <w:left w:val="none" w:sz="0" w:space="0" w:color="auto"/>
        <w:bottom w:val="none" w:sz="0" w:space="0" w:color="auto"/>
        <w:right w:val="none" w:sz="0" w:space="0" w:color="auto"/>
      </w:divBdr>
      <w:divsChild>
        <w:div w:id="664938587">
          <w:marLeft w:val="0"/>
          <w:marRight w:val="0"/>
          <w:marTop w:val="0"/>
          <w:marBottom w:val="0"/>
          <w:divBdr>
            <w:top w:val="none" w:sz="0" w:space="0" w:color="auto"/>
            <w:left w:val="none" w:sz="0" w:space="0" w:color="auto"/>
            <w:bottom w:val="none" w:sz="0" w:space="0" w:color="auto"/>
            <w:right w:val="none" w:sz="0" w:space="0" w:color="auto"/>
          </w:divBdr>
        </w:div>
      </w:divsChild>
    </w:div>
    <w:div w:id="803349972">
      <w:marLeft w:val="0"/>
      <w:marRight w:val="0"/>
      <w:marTop w:val="0"/>
      <w:marBottom w:val="0"/>
      <w:divBdr>
        <w:top w:val="none" w:sz="0" w:space="0" w:color="auto"/>
        <w:left w:val="none" w:sz="0" w:space="0" w:color="auto"/>
        <w:bottom w:val="none" w:sz="0" w:space="0" w:color="auto"/>
        <w:right w:val="none" w:sz="0" w:space="0" w:color="auto"/>
      </w:divBdr>
    </w:div>
    <w:div w:id="808939563">
      <w:marLeft w:val="0"/>
      <w:marRight w:val="0"/>
      <w:marTop w:val="0"/>
      <w:marBottom w:val="0"/>
      <w:divBdr>
        <w:top w:val="none" w:sz="0" w:space="0" w:color="auto"/>
        <w:left w:val="none" w:sz="0" w:space="0" w:color="auto"/>
        <w:bottom w:val="none" w:sz="0" w:space="0" w:color="auto"/>
        <w:right w:val="none" w:sz="0" w:space="0" w:color="auto"/>
      </w:divBdr>
    </w:div>
    <w:div w:id="809829309">
      <w:marLeft w:val="0"/>
      <w:marRight w:val="0"/>
      <w:marTop w:val="0"/>
      <w:marBottom w:val="0"/>
      <w:divBdr>
        <w:top w:val="none" w:sz="0" w:space="0" w:color="auto"/>
        <w:left w:val="none" w:sz="0" w:space="0" w:color="auto"/>
        <w:bottom w:val="none" w:sz="0" w:space="0" w:color="auto"/>
        <w:right w:val="none" w:sz="0" w:space="0" w:color="auto"/>
      </w:divBdr>
      <w:divsChild>
        <w:div w:id="1356344034">
          <w:marLeft w:val="0"/>
          <w:marRight w:val="0"/>
          <w:marTop w:val="0"/>
          <w:marBottom w:val="0"/>
          <w:divBdr>
            <w:top w:val="none" w:sz="0" w:space="0" w:color="auto"/>
            <w:left w:val="none" w:sz="0" w:space="0" w:color="auto"/>
            <w:bottom w:val="none" w:sz="0" w:space="0" w:color="auto"/>
            <w:right w:val="none" w:sz="0" w:space="0" w:color="auto"/>
          </w:divBdr>
        </w:div>
      </w:divsChild>
    </w:div>
    <w:div w:id="811556414">
      <w:marLeft w:val="0"/>
      <w:marRight w:val="0"/>
      <w:marTop w:val="0"/>
      <w:marBottom w:val="0"/>
      <w:divBdr>
        <w:top w:val="none" w:sz="0" w:space="0" w:color="auto"/>
        <w:left w:val="none" w:sz="0" w:space="0" w:color="auto"/>
        <w:bottom w:val="none" w:sz="0" w:space="0" w:color="auto"/>
        <w:right w:val="none" w:sz="0" w:space="0" w:color="auto"/>
      </w:divBdr>
    </w:div>
    <w:div w:id="813332569">
      <w:marLeft w:val="0"/>
      <w:marRight w:val="0"/>
      <w:marTop w:val="0"/>
      <w:marBottom w:val="0"/>
      <w:divBdr>
        <w:top w:val="none" w:sz="0" w:space="0" w:color="auto"/>
        <w:left w:val="none" w:sz="0" w:space="0" w:color="auto"/>
        <w:bottom w:val="none" w:sz="0" w:space="0" w:color="auto"/>
        <w:right w:val="none" w:sz="0" w:space="0" w:color="auto"/>
      </w:divBdr>
    </w:div>
    <w:div w:id="813529688">
      <w:marLeft w:val="0"/>
      <w:marRight w:val="0"/>
      <w:marTop w:val="0"/>
      <w:marBottom w:val="0"/>
      <w:divBdr>
        <w:top w:val="none" w:sz="0" w:space="0" w:color="auto"/>
        <w:left w:val="none" w:sz="0" w:space="0" w:color="auto"/>
        <w:bottom w:val="none" w:sz="0" w:space="0" w:color="auto"/>
        <w:right w:val="none" w:sz="0" w:space="0" w:color="auto"/>
      </w:divBdr>
    </w:div>
    <w:div w:id="816994366">
      <w:marLeft w:val="0"/>
      <w:marRight w:val="0"/>
      <w:marTop w:val="0"/>
      <w:marBottom w:val="0"/>
      <w:divBdr>
        <w:top w:val="none" w:sz="0" w:space="0" w:color="auto"/>
        <w:left w:val="none" w:sz="0" w:space="0" w:color="auto"/>
        <w:bottom w:val="none" w:sz="0" w:space="0" w:color="auto"/>
        <w:right w:val="none" w:sz="0" w:space="0" w:color="auto"/>
      </w:divBdr>
    </w:div>
    <w:div w:id="819006902">
      <w:marLeft w:val="0"/>
      <w:marRight w:val="0"/>
      <w:marTop w:val="100"/>
      <w:marBottom w:val="100"/>
      <w:divBdr>
        <w:top w:val="none" w:sz="0" w:space="0" w:color="auto"/>
        <w:left w:val="none" w:sz="0" w:space="0" w:color="auto"/>
        <w:bottom w:val="none" w:sz="0" w:space="0" w:color="auto"/>
        <w:right w:val="none" w:sz="0" w:space="0" w:color="auto"/>
      </w:divBdr>
      <w:divsChild>
        <w:div w:id="1532065535">
          <w:marLeft w:val="0"/>
          <w:marRight w:val="0"/>
          <w:marTop w:val="0"/>
          <w:marBottom w:val="0"/>
          <w:divBdr>
            <w:top w:val="none" w:sz="0" w:space="0" w:color="auto"/>
            <w:left w:val="none" w:sz="0" w:space="0" w:color="auto"/>
            <w:bottom w:val="none" w:sz="0" w:space="0" w:color="auto"/>
            <w:right w:val="none" w:sz="0" w:space="0" w:color="auto"/>
          </w:divBdr>
        </w:div>
        <w:div w:id="1245870957">
          <w:marLeft w:val="0"/>
          <w:marRight w:val="0"/>
          <w:marTop w:val="0"/>
          <w:marBottom w:val="0"/>
          <w:divBdr>
            <w:top w:val="none" w:sz="0" w:space="0" w:color="auto"/>
            <w:left w:val="none" w:sz="0" w:space="0" w:color="auto"/>
            <w:bottom w:val="none" w:sz="0" w:space="0" w:color="auto"/>
            <w:right w:val="none" w:sz="0" w:space="0" w:color="auto"/>
          </w:divBdr>
        </w:div>
        <w:div w:id="663121210">
          <w:marLeft w:val="0"/>
          <w:marRight w:val="0"/>
          <w:marTop w:val="0"/>
          <w:marBottom w:val="0"/>
          <w:divBdr>
            <w:top w:val="none" w:sz="0" w:space="0" w:color="auto"/>
            <w:left w:val="none" w:sz="0" w:space="0" w:color="auto"/>
            <w:bottom w:val="none" w:sz="0" w:space="0" w:color="auto"/>
            <w:right w:val="none" w:sz="0" w:space="0" w:color="auto"/>
          </w:divBdr>
        </w:div>
        <w:div w:id="1889340398">
          <w:marLeft w:val="0"/>
          <w:marRight w:val="0"/>
          <w:marTop w:val="0"/>
          <w:marBottom w:val="0"/>
          <w:divBdr>
            <w:top w:val="none" w:sz="0" w:space="0" w:color="auto"/>
            <w:left w:val="none" w:sz="0" w:space="0" w:color="auto"/>
            <w:bottom w:val="none" w:sz="0" w:space="0" w:color="auto"/>
            <w:right w:val="none" w:sz="0" w:space="0" w:color="auto"/>
          </w:divBdr>
        </w:div>
        <w:div w:id="993531000">
          <w:marLeft w:val="0"/>
          <w:marRight w:val="0"/>
          <w:marTop w:val="0"/>
          <w:marBottom w:val="0"/>
          <w:divBdr>
            <w:top w:val="none" w:sz="0" w:space="0" w:color="auto"/>
            <w:left w:val="none" w:sz="0" w:space="0" w:color="auto"/>
            <w:bottom w:val="none" w:sz="0" w:space="0" w:color="auto"/>
            <w:right w:val="none" w:sz="0" w:space="0" w:color="auto"/>
          </w:divBdr>
        </w:div>
        <w:div w:id="1548251971">
          <w:marLeft w:val="0"/>
          <w:marRight w:val="0"/>
          <w:marTop w:val="0"/>
          <w:marBottom w:val="0"/>
          <w:divBdr>
            <w:top w:val="none" w:sz="0" w:space="0" w:color="auto"/>
            <w:left w:val="none" w:sz="0" w:space="0" w:color="auto"/>
            <w:bottom w:val="none" w:sz="0" w:space="0" w:color="auto"/>
            <w:right w:val="none" w:sz="0" w:space="0" w:color="auto"/>
          </w:divBdr>
        </w:div>
        <w:div w:id="81996999">
          <w:marLeft w:val="0"/>
          <w:marRight w:val="0"/>
          <w:marTop w:val="0"/>
          <w:marBottom w:val="0"/>
          <w:divBdr>
            <w:top w:val="none" w:sz="0" w:space="0" w:color="auto"/>
            <w:left w:val="none" w:sz="0" w:space="0" w:color="auto"/>
            <w:bottom w:val="none" w:sz="0" w:space="0" w:color="auto"/>
            <w:right w:val="none" w:sz="0" w:space="0" w:color="auto"/>
          </w:divBdr>
        </w:div>
        <w:div w:id="1934625620">
          <w:marLeft w:val="0"/>
          <w:marRight w:val="0"/>
          <w:marTop w:val="0"/>
          <w:marBottom w:val="0"/>
          <w:divBdr>
            <w:top w:val="none" w:sz="0" w:space="0" w:color="auto"/>
            <w:left w:val="none" w:sz="0" w:space="0" w:color="auto"/>
            <w:bottom w:val="none" w:sz="0" w:space="0" w:color="auto"/>
            <w:right w:val="none" w:sz="0" w:space="0" w:color="auto"/>
          </w:divBdr>
        </w:div>
        <w:div w:id="498543167">
          <w:marLeft w:val="0"/>
          <w:marRight w:val="0"/>
          <w:marTop w:val="0"/>
          <w:marBottom w:val="0"/>
          <w:divBdr>
            <w:top w:val="none" w:sz="0" w:space="0" w:color="auto"/>
            <w:left w:val="none" w:sz="0" w:space="0" w:color="auto"/>
            <w:bottom w:val="none" w:sz="0" w:space="0" w:color="auto"/>
            <w:right w:val="none" w:sz="0" w:space="0" w:color="auto"/>
          </w:divBdr>
        </w:div>
        <w:div w:id="895244771">
          <w:marLeft w:val="0"/>
          <w:marRight w:val="0"/>
          <w:marTop w:val="0"/>
          <w:marBottom w:val="0"/>
          <w:divBdr>
            <w:top w:val="none" w:sz="0" w:space="0" w:color="auto"/>
            <w:left w:val="none" w:sz="0" w:space="0" w:color="auto"/>
            <w:bottom w:val="none" w:sz="0" w:space="0" w:color="auto"/>
            <w:right w:val="none" w:sz="0" w:space="0" w:color="auto"/>
          </w:divBdr>
        </w:div>
        <w:div w:id="2094546290">
          <w:marLeft w:val="0"/>
          <w:marRight w:val="0"/>
          <w:marTop w:val="0"/>
          <w:marBottom w:val="0"/>
          <w:divBdr>
            <w:top w:val="none" w:sz="0" w:space="0" w:color="auto"/>
            <w:left w:val="none" w:sz="0" w:space="0" w:color="auto"/>
            <w:bottom w:val="none" w:sz="0" w:space="0" w:color="auto"/>
            <w:right w:val="none" w:sz="0" w:space="0" w:color="auto"/>
          </w:divBdr>
        </w:div>
        <w:div w:id="1516841621">
          <w:marLeft w:val="0"/>
          <w:marRight w:val="0"/>
          <w:marTop w:val="0"/>
          <w:marBottom w:val="0"/>
          <w:divBdr>
            <w:top w:val="none" w:sz="0" w:space="0" w:color="auto"/>
            <w:left w:val="none" w:sz="0" w:space="0" w:color="auto"/>
            <w:bottom w:val="none" w:sz="0" w:space="0" w:color="auto"/>
            <w:right w:val="none" w:sz="0" w:space="0" w:color="auto"/>
          </w:divBdr>
        </w:div>
        <w:div w:id="773552978">
          <w:marLeft w:val="0"/>
          <w:marRight w:val="0"/>
          <w:marTop w:val="0"/>
          <w:marBottom w:val="0"/>
          <w:divBdr>
            <w:top w:val="none" w:sz="0" w:space="0" w:color="auto"/>
            <w:left w:val="none" w:sz="0" w:space="0" w:color="auto"/>
            <w:bottom w:val="none" w:sz="0" w:space="0" w:color="auto"/>
            <w:right w:val="none" w:sz="0" w:space="0" w:color="auto"/>
          </w:divBdr>
        </w:div>
        <w:div w:id="880285137">
          <w:marLeft w:val="0"/>
          <w:marRight w:val="0"/>
          <w:marTop w:val="0"/>
          <w:marBottom w:val="0"/>
          <w:divBdr>
            <w:top w:val="none" w:sz="0" w:space="0" w:color="auto"/>
            <w:left w:val="none" w:sz="0" w:space="0" w:color="auto"/>
            <w:bottom w:val="none" w:sz="0" w:space="0" w:color="auto"/>
            <w:right w:val="none" w:sz="0" w:space="0" w:color="auto"/>
          </w:divBdr>
        </w:div>
        <w:div w:id="332149736">
          <w:marLeft w:val="0"/>
          <w:marRight w:val="0"/>
          <w:marTop w:val="0"/>
          <w:marBottom w:val="0"/>
          <w:divBdr>
            <w:top w:val="none" w:sz="0" w:space="0" w:color="auto"/>
            <w:left w:val="none" w:sz="0" w:space="0" w:color="auto"/>
            <w:bottom w:val="none" w:sz="0" w:space="0" w:color="auto"/>
            <w:right w:val="none" w:sz="0" w:space="0" w:color="auto"/>
          </w:divBdr>
        </w:div>
        <w:div w:id="1444305891">
          <w:marLeft w:val="0"/>
          <w:marRight w:val="0"/>
          <w:marTop w:val="0"/>
          <w:marBottom w:val="0"/>
          <w:divBdr>
            <w:top w:val="none" w:sz="0" w:space="0" w:color="auto"/>
            <w:left w:val="none" w:sz="0" w:space="0" w:color="auto"/>
            <w:bottom w:val="none" w:sz="0" w:space="0" w:color="auto"/>
            <w:right w:val="none" w:sz="0" w:space="0" w:color="auto"/>
          </w:divBdr>
        </w:div>
        <w:div w:id="1060249161">
          <w:marLeft w:val="0"/>
          <w:marRight w:val="0"/>
          <w:marTop w:val="0"/>
          <w:marBottom w:val="0"/>
          <w:divBdr>
            <w:top w:val="none" w:sz="0" w:space="0" w:color="auto"/>
            <w:left w:val="none" w:sz="0" w:space="0" w:color="auto"/>
            <w:bottom w:val="none" w:sz="0" w:space="0" w:color="auto"/>
            <w:right w:val="none" w:sz="0" w:space="0" w:color="auto"/>
          </w:divBdr>
        </w:div>
        <w:div w:id="1715471125">
          <w:marLeft w:val="0"/>
          <w:marRight w:val="0"/>
          <w:marTop w:val="0"/>
          <w:marBottom w:val="0"/>
          <w:divBdr>
            <w:top w:val="none" w:sz="0" w:space="0" w:color="auto"/>
            <w:left w:val="none" w:sz="0" w:space="0" w:color="auto"/>
            <w:bottom w:val="none" w:sz="0" w:space="0" w:color="auto"/>
            <w:right w:val="none" w:sz="0" w:space="0" w:color="auto"/>
          </w:divBdr>
        </w:div>
      </w:divsChild>
    </w:div>
    <w:div w:id="820075473">
      <w:marLeft w:val="0"/>
      <w:marRight w:val="0"/>
      <w:marTop w:val="0"/>
      <w:marBottom w:val="0"/>
      <w:divBdr>
        <w:top w:val="none" w:sz="0" w:space="0" w:color="auto"/>
        <w:left w:val="none" w:sz="0" w:space="0" w:color="auto"/>
        <w:bottom w:val="none" w:sz="0" w:space="0" w:color="auto"/>
        <w:right w:val="none" w:sz="0" w:space="0" w:color="auto"/>
      </w:divBdr>
    </w:div>
    <w:div w:id="822283333">
      <w:marLeft w:val="0"/>
      <w:marRight w:val="0"/>
      <w:marTop w:val="0"/>
      <w:marBottom w:val="0"/>
      <w:divBdr>
        <w:top w:val="none" w:sz="0" w:space="0" w:color="auto"/>
        <w:left w:val="none" w:sz="0" w:space="0" w:color="auto"/>
        <w:bottom w:val="none" w:sz="0" w:space="0" w:color="auto"/>
        <w:right w:val="none" w:sz="0" w:space="0" w:color="auto"/>
      </w:divBdr>
    </w:div>
    <w:div w:id="822935997">
      <w:marLeft w:val="0"/>
      <w:marRight w:val="0"/>
      <w:marTop w:val="0"/>
      <w:marBottom w:val="0"/>
      <w:divBdr>
        <w:top w:val="none" w:sz="0" w:space="0" w:color="auto"/>
        <w:left w:val="none" w:sz="0" w:space="0" w:color="auto"/>
        <w:bottom w:val="none" w:sz="0" w:space="0" w:color="auto"/>
        <w:right w:val="none" w:sz="0" w:space="0" w:color="auto"/>
      </w:divBdr>
      <w:divsChild>
        <w:div w:id="232743083">
          <w:marLeft w:val="0"/>
          <w:marRight w:val="0"/>
          <w:marTop w:val="0"/>
          <w:marBottom w:val="0"/>
          <w:divBdr>
            <w:top w:val="none" w:sz="0" w:space="0" w:color="auto"/>
            <w:left w:val="none" w:sz="0" w:space="0" w:color="auto"/>
            <w:bottom w:val="none" w:sz="0" w:space="0" w:color="auto"/>
            <w:right w:val="none" w:sz="0" w:space="0" w:color="auto"/>
          </w:divBdr>
        </w:div>
      </w:divsChild>
    </w:div>
    <w:div w:id="827135702">
      <w:marLeft w:val="0"/>
      <w:marRight w:val="0"/>
      <w:marTop w:val="0"/>
      <w:marBottom w:val="0"/>
      <w:divBdr>
        <w:top w:val="none" w:sz="0" w:space="0" w:color="auto"/>
        <w:left w:val="none" w:sz="0" w:space="0" w:color="auto"/>
        <w:bottom w:val="none" w:sz="0" w:space="0" w:color="auto"/>
        <w:right w:val="none" w:sz="0" w:space="0" w:color="auto"/>
      </w:divBdr>
    </w:div>
    <w:div w:id="827675412">
      <w:marLeft w:val="0"/>
      <w:marRight w:val="0"/>
      <w:marTop w:val="0"/>
      <w:marBottom w:val="0"/>
      <w:divBdr>
        <w:top w:val="none" w:sz="0" w:space="0" w:color="auto"/>
        <w:left w:val="none" w:sz="0" w:space="0" w:color="auto"/>
        <w:bottom w:val="none" w:sz="0" w:space="0" w:color="auto"/>
        <w:right w:val="none" w:sz="0" w:space="0" w:color="auto"/>
      </w:divBdr>
    </w:div>
    <w:div w:id="827943206">
      <w:marLeft w:val="0"/>
      <w:marRight w:val="0"/>
      <w:marTop w:val="0"/>
      <w:marBottom w:val="0"/>
      <w:divBdr>
        <w:top w:val="none" w:sz="0" w:space="0" w:color="auto"/>
        <w:left w:val="none" w:sz="0" w:space="0" w:color="auto"/>
        <w:bottom w:val="none" w:sz="0" w:space="0" w:color="auto"/>
        <w:right w:val="none" w:sz="0" w:space="0" w:color="auto"/>
      </w:divBdr>
    </w:div>
    <w:div w:id="832257290">
      <w:marLeft w:val="0"/>
      <w:marRight w:val="0"/>
      <w:marTop w:val="0"/>
      <w:marBottom w:val="0"/>
      <w:divBdr>
        <w:top w:val="none" w:sz="0" w:space="0" w:color="auto"/>
        <w:left w:val="none" w:sz="0" w:space="0" w:color="auto"/>
        <w:bottom w:val="none" w:sz="0" w:space="0" w:color="auto"/>
        <w:right w:val="none" w:sz="0" w:space="0" w:color="auto"/>
      </w:divBdr>
      <w:divsChild>
        <w:div w:id="358432840">
          <w:marLeft w:val="0"/>
          <w:marRight w:val="0"/>
          <w:marTop w:val="0"/>
          <w:marBottom w:val="0"/>
          <w:divBdr>
            <w:top w:val="none" w:sz="0" w:space="0" w:color="auto"/>
            <w:left w:val="none" w:sz="0" w:space="0" w:color="auto"/>
            <w:bottom w:val="none" w:sz="0" w:space="0" w:color="auto"/>
            <w:right w:val="none" w:sz="0" w:space="0" w:color="auto"/>
          </w:divBdr>
        </w:div>
      </w:divsChild>
    </w:div>
    <w:div w:id="835456290">
      <w:marLeft w:val="0"/>
      <w:marRight w:val="0"/>
      <w:marTop w:val="0"/>
      <w:marBottom w:val="0"/>
      <w:divBdr>
        <w:top w:val="none" w:sz="0" w:space="0" w:color="auto"/>
        <w:left w:val="none" w:sz="0" w:space="0" w:color="auto"/>
        <w:bottom w:val="none" w:sz="0" w:space="0" w:color="auto"/>
        <w:right w:val="none" w:sz="0" w:space="0" w:color="auto"/>
      </w:divBdr>
    </w:div>
    <w:div w:id="840195837">
      <w:marLeft w:val="0"/>
      <w:marRight w:val="0"/>
      <w:marTop w:val="100"/>
      <w:marBottom w:val="120"/>
      <w:divBdr>
        <w:top w:val="none" w:sz="0" w:space="0" w:color="auto"/>
        <w:left w:val="none" w:sz="0" w:space="0" w:color="auto"/>
        <w:bottom w:val="none" w:sz="0" w:space="0" w:color="auto"/>
        <w:right w:val="none" w:sz="0" w:space="0" w:color="auto"/>
      </w:divBdr>
      <w:divsChild>
        <w:div w:id="550579615">
          <w:marLeft w:val="0"/>
          <w:marRight w:val="0"/>
          <w:marTop w:val="0"/>
          <w:marBottom w:val="0"/>
          <w:divBdr>
            <w:top w:val="none" w:sz="0" w:space="0" w:color="auto"/>
            <w:left w:val="none" w:sz="0" w:space="0" w:color="auto"/>
            <w:bottom w:val="none" w:sz="0" w:space="0" w:color="auto"/>
            <w:right w:val="none" w:sz="0" w:space="0" w:color="auto"/>
          </w:divBdr>
        </w:div>
        <w:div w:id="946041054">
          <w:marLeft w:val="0"/>
          <w:marRight w:val="0"/>
          <w:marTop w:val="0"/>
          <w:marBottom w:val="0"/>
          <w:divBdr>
            <w:top w:val="none" w:sz="0" w:space="0" w:color="auto"/>
            <w:left w:val="none" w:sz="0" w:space="0" w:color="auto"/>
            <w:bottom w:val="none" w:sz="0" w:space="0" w:color="auto"/>
            <w:right w:val="none" w:sz="0" w:space="0" w:color="auto"/>
          </w:divBdr>
        </w:div>
      </w:divsChild>
    </w:div>
    <w:div w:id="841357968">
      <w:marLeft w:val="0"/>
      <w:marRight w:val="0"/>
      <w:marTop w:val="0"/>
      <w:marBottom w:val="0"/>
      <w:divBdr>
        <w:top w:val="none" w:sz="0" w:space="0" w:color="auto"/>
        <w:left w:val="none" w:sz="0" w:space="0" w:color="auto"/>
        <w:bottom w:val="none" w:sz="0" w:space="0" w:color="auto"/>
        <w:right w:val="none" w:sz="0" w:space="0" w:color="auto"/>
      </w:divBdr>
    </w:div>
    <w:div w:id="843669107">
      <w:marLeft w:val="0"/>
      <w:marRight w:val="0"/>
      <w:marTop w:val="0"/>
      <w:marBottom w:val="0"/>
      <w:divBdr>
        <w:top w:val="none" w:sz="0" w:space="0" w:color="auto"/>
        <w:left w:val="none" w:sz="0" w:space="0" w:color="auto"/>
        <w:bottom w:val="none" w:sz="0" w:space="0" w:color="auto"/>
        <w:right w:val="none" w:sz="0" w:space="0" w:color="auto"/>
      </w:divBdr>
    </w:div>
    <w:div w:id="843936629">
      <w:marLeft w:val="0"/>
      <w:marRight w:val="0"/>
      <w:marTop w:val="0"/>
      <w:marBottom w:val="0"/>
      <w:divBdr>
        <w:top w:val="none" w:sz="0" w:space="0" w:color="auto"/>
        <w:left w:val="none" w:sz="0" w:space="0" w:color="auto"/>
        <w:bottom w:val="none" w:sz="0" w:space="0" w:color="auto"/>
        <w:right w:val="none" w:sz="0" w:space="0" w:color="auto"/>
      </w:divBdr>
      <w:divsChild>
        <w:div w:id="1848326629">
          <w:marLeft w:val="0"/>
          <w:marRight w:val="0"/>
          <w:marTop w:val="0"/>
          <w:marBottom w:val="0"/>
          <w:divBdr>
            <w:top w:val="none" w:sz="0" w:space="0" w:color="auto"/>
            <w:left w:val="none" w:sz="0" w:space="0" w:color="auto"/>
            <w:bottom w:val="none" w:sz="0" w:space="0" w:color="auto"/>
            <w:right w:val="none" w:sz="0" w:space="0" w:color="auto"/>
          </w:divBdr>
        </w:div>
      </w:divsChild>
    </w:div>
    <w:div w:id="845171464">
      <w:marLeft w:val="0"/>
      <w:marRight w:val="0"/>
      <w:marTop w:val="0"/>
      <w:marBottom w:val="0"/>
      <w:divBdr>
        <w:top w:val="none" w:sz="0" w:space="0" w:color="auto"/>
        <w:left w:val="none" w:sz="0" w:space="0" w:color="auto"/>
        <w:bottom w:val="none" w:sz="0" w:space="0" w:color="auto"/>
        <w:right w:val="none" w:sz="0" w:space="0" w:color="auto"/>
      </w:divBdr>
    </w:div>
    <w:div w:id="848252371">
      <w:marLeft w:val="0"/>
      <w:marRight w:val="0"/>
      <w:marTop w:val="0"/>
      <w:marBottom w:val="0"/>
      <w:divBdr>
        <w:top w:val="none" w:sz="0" w:space="0" w:color="auto"/>
        <w:left w:val="none" w:sz="0" w:space="0" w:color="auto"/>
        <w:bottom w:val="none" w:sz="0" w:space="0" w:color="auto"/>
        <w:right w:val="none" w:sz="0" w:space="0" w:color="auto"/>
      </w:divBdr>
    </w:div>
    <w:div w:id="848642014">
      <w:marLeft w:val="0"/>
      <w:marRight w:val="0"/>
      <w:marTop w:val="0"/>
      <w:marBottom w:val="0"/>
      <w:divBdr>
        <w:top w:val="none" w:sz="0" w:space="0" w:color="auto"/>
        <w:left w:val="none" w:sz="0" w:space="0" w:color="auto"/>
        <w:bottom w:val="none" w:sz="0" w:space="0" w:color="auto"/>
        <w:right w:val="none" w:sz="0" w:space="0" w:color="auto"/>
      </w:divBdr>
    </w:div>
    <w:div w:id="852037249">
      <w:marLeft w:val="0"/>
      <w:marRight w:val="0"/>
      <w:marTop w:val="0"/>
      <w:marBottom w:val="0"/>
      <w:divBdr>
        <w:top w:val="none" w:sz="0" w:space="0" w:color="auto"/>
        <w:left w:val="none" w:sz="0" w:space="0" w:color="auto"/>
        <w:bottom w:val="none" w:sz="0" w:space="0" w:color="auto"/>
        <w:right w:val="none" w:sz="0" w:space="0" w:color="auto"/>
      </w:divBdr>
    </w:div>
    <w:div w:id="852761996">
      <w:marLeft w:val="0"/>
      <w:marRight w:val="0"/>
      <w:marTop w:val="0"/>
      <w:marBottom w:val="0"/>
      <w:divBdr>
        <w:top w:val="none" w:sz="0" w:space="0" w:color="auto"/>
        <w:left w:val="none" w:sz="0" w:space="0" w:color="auto"/>
        <w:bottom w:val="none" w:sz="0" w:space="0" w:color="auto"/>
        <w:right w:val="none" w:sz="0" w:space="0" w:color="auto"/>
      </w:divBdr>
    </w:div>
    <w:div w:id="853687329">
      <w:marLeft w:val="0"/>
      <w:marRight w:val="0"/>
      <w:marTop w:val="0"/>
      <w:marBottom w:val="0"/>
      <w:divBdr>
        <w:top w:val="none" w:sz="0" w:space="0" w:color="auto"/>
        <w:left w:val="none" w:sz="0" w:space="0" w:color="auto"/>
        <w:bottom w:val="none" w:sz="0" w:space="0" w:color="auto"/>
        <w:right w:val="none" w:sz="0" w:space="0" w:color="auto"/>
      </w:divBdr>
    </w:div>
    <w:div w:id="854000965">
      <w:marLeft w:val="0"/>
      <w:marRight w:val="0"/>
      <w:marTop w:val="0"/>
      <w:marBottom w:val="0"/>
      <w:divBdr>
        <w:top w:val="none" w:sz="0" w:space="0" w:color="auto"/>
        <w:left w:val="none" w:sz="0" w:space="0" w:color="auto"/>
        <w:bottom w:val="none" w:sz="0" w:space="0" w:color="auto"/>
        <w:right w:val="none" w:sz="0" w:space="0" w:color="auto"/>
      </w:divBdr>
    </w:div>
    <w:div w:id="857892953">
      <w:marLeft w:val="0"/>
      <w:marRight w:val="0"/>
      <w:marTop w:val="0"/>
      <w:marBottom w:val="240"/>
      <w:divBdr>
        <w:top w:val="none" w:sz="0" w:space="0" w:color="auto"/>
        <w:left w:val="none" w:sz="0" w:space="0" w:color="auto"/>
        <w:bottom w:val="none" w:sz="0" w:space="0" w:color="auto"/>
        <w:right w:val="none" w:sz="0" w:space="0" w:color="auto"/>
      </w:divBdr>
    </w:div>
    <w:div w:id="863513948">
      <w:marLeft w:val="0"/>
      <w:marRight w:val="0"/>
      <w:marTop w:val="0"/>
      <w:marBottom w:val="0"/>
      <w:divBdr>
        <w:top w:val="none" w:sz="0" w:space="0" w:color="auto"/>
        <w:left w:val="none" w:sz="0" w:space="0" w:color="auto"/>
        <w:bottom w:val="none" w:sz="0" w:space="0" w:color="auto"/>
        <w:right w:val="none" w:sz="0" w:space="0" w:color="auto"/>
      </w:divBdr>
    </w:div>
    <w:div w:id="867254210">
      <w:marLeft w:val="0"/>
      <w:marRight w:val="0"/>
      <w:marTop w:val="0"/>
      <w:marBottom w:val="0"/>
      <w:divBdr>
        <w:top w:val="none" w:sz="0" w:space="0" w:color="auto"/>
        <w:left w:val="none" w:sz="0" w:space="0" w:color="auto"/>
        <w:bottom w:val="none" w:sz="0" w:space="0" w:color="auto"/>
        <w:right w:val="none" w:sz="0" w:space="0" w:color="auto"/>
      </w:divBdr>
    </w:div>
    <w:div w:id="868180724">
      <w:marLeft w:val="0"/>
      <w:marRight w:val="0"/>
      <w:marTop w:val="0"/>
      <w:marBottom w:val="0"/>
      <w:divBdr>
        <w:top w:val="none" w:sz="0" w:space="0" w:color="auto"/>
        <w:left w:val="none" w:sz="0" w:space="0" w:color="auto"/>
        <w:bottom w:val="none" w:sz="0" w:space="0" w:color="auto"/>
        <w:right w:val="none" w:sz="0" w:space="0" w:color="auto"/>
      </w:divBdr>
    </w:div>
    <w:div w:id="868252673">
      <w:marLeft w:val="0"/>
      <w:marRight w:val="0"/>
      <w:marTop w:val="0"/>
      <w:marBottom w:val="0"/>
      <w:divBdr>
        <w:top w:val="none" w:sz="0" w:space="0" w:color="auto"/>
        <w:left w:val="none" w:sz="0" w:space="0" w:color="auto"/>
        <w:bottom w:val="none" w:sz="0" w:space="0" w:color="auto"/>
        <w:right w:val="none" w:sz="0" w:space="0" w:color="auto"/>
      </w:divBdr>
    </w:div>
    <w:div w:id="868446378">
      <w:marLeft w:val="0"/>
      <w:marRight w:val="0"/>
      <w:marTop w:val="0"/>
      <w:marBottom w:val="0"/>
      <w:divBdr>
        <w:top w:val="none" w:sz="0" w:space="0" w:color="auto"/>
        <w:left w:val="none" w:sz="0" w:space="0" w:color="auto"/>
        <w:bottom w:val="none" w:sz="0" w:space="0" w:color="auto"/>
        <w:right w:val="none" w:sz="0" w:space="0" w:color="auto"/>
      </w:divBdr>
    </w:div>
    <w:div w:id="870918091">
      <w:marLeft w:val="0"/>
      <w:marRight w:val="0"/>
      <w:marTop w:val="0"/>
      <w:marBottom w:val="0"/>
      <w:divBdr>
        <w:top w:val="none" w:sz="0" w:space="0" w:color="auto"/>
        <w:left w:val="none" w:sz="0" w:space="0" w:color="auto"/>
        <w:bottom w:val="none" w:sz="0" w:space="0" w:color="auto"/>
        <w:right w:val="none" w:sz="0" w:space="0" w:color="auto"/>
      </w:divBdr>
    </w:div>
    <w:div w:id="873229645">
      <w:marLeft w:val="0"/>
      <w:marRight w:val="0"/>
      <w:marTop w:val="0"/>
      <w:marBottom w:val="0"/>
      <w:divBdr>
        <w:top w:val="none" w:sz="0" w:space="0" w:color="auto"/>
        <w:left w:val="none" w:sz="0" w:space="0" w:color="auto"/>
        <w:bottom w:val="none" w:sz="0" w:space="0" w:color="auto"/>
        <w:right w:val="none" w:sz="0" w:space="0" w:color="auto"/>
      </w:divBdr>
    </w:div>
    <w:div w:id="875042019">
      <w:marLeft w:val="0"/>
      <w:marRight w:val="0"/>
      <w:marTop w:val="0"/>
      <w:marBottom w:val="0"/>
      <w:divBdr>
        <w:top w:val="none" w:sz="0" w:space="0" w:color="auto"/>
        <w:left w:val="none" w:sz="0" w:space="0" w:color="auto"/>
        <w:bottom w:val="none" w:sz="0" w:space="0" w:color="auto"/>
        <w:right w:val="none" w:sz="0" w:space="0" w:color="auto"/>
      </w:divBdr>
    </w:div>
    <w:div w:id="885260313">
      <w:marLeft w:val="0"/>
      <w:marRight w:val="0"/>
      <w:marTop w:val="0"/>
      <w:marBottom w:val="0"/>
      <w:divBdr>
        <w:top w:val="none" w:sz="0" w:space="0" w:color="auto"/>
        <w:left w:val="none" w:sz="0" w:space="0" w:color="auto"/>
        <w:bottom w:val="none" w:sz="0" w:space="0" w:color="auto"/>
        <w:right w:val="none" w:sz="0" w:space="0" w:color="auto"/>
      </w:divBdr>
    </w:div>
    <w:div w:id="891886094">
      <w:marLeft w:val="0"/>
      <w:marRight w:val="0"/>
      <w:marTop w:val="100"/>
      <w:marBottom w:val="100"/>
      <w:divBdr>
        <w:top w:val="none" w:sz="0" w:space="0" w:color="auto"/>
        <w:left w:val="none" w:sz="0" w:space="0" w:color="auto"/>
        <w:bottom w:val="none" w:sz="0" w:space="0" w:color="auto"/>
        <w:right w:val="none" w:sz="0" w:space="0" w:color="auto"/>
      </w:divBdr>
      <w:divsChild>
        <w:div w:id="1872299154">
          <w:marLeft w:val="0"/>
          <w:marRight w:val="0"/>
          <w:marTop w:val="0"/>
          <w:marBottom w:val="0"/>
          <w:divBdr>
            <w:top w:val="none" w:sz="0" w:space="0" w:color="auto"/>
            <w:left w:val="none" w:sz="0" w:space="0" w:color="auto"/>
            <w:bottom w:val="none" w:sz="0" w:space="0" w:color="auto"/>
            <w:right w:val="none" w:sz="0" w:space="0" w:color="auto"/>
          </w:divBdr>
        </w:div>
      </w:divsChild>
    </w:div>
    <w:div w:id="895120045">
      <w:marLeft w:val="0"/>
      <w:marRight w:val="0"/>
      <w:marTop w:val="0"/>
      <w:marBottom w:val="0"/>
      <w:divBdr>
        <w:top w:val="none" w:sz="0" w:space="0" w:color="auto"/>
        <w:left w:val="none" w:sz="0" w:space="0" w:color="auto"/>
        <w:bottom w:val="none" w:sz="0" w:space="0" w:color="auto"/>
        <w:right w:val="none" w:sz="0" w:space="0" w:color="auto"/>
      </w:divBdr>
    </w:div>
    <w:div w:id="896626610">
      <w:marLeft w:val="0"/>
      <w:marRight w:val="0"/>
      <w:marTop w:val="0"/>
      <w:marBottom w:val="120"/>
      <w:divBdr>
        <w:top w:val="none" w:sz="0" w:space="0" w:color="auto"/>
        <w:left w:val="none" w:sz="0" w:space="0" w:color="auto"/>
        <w:bottom w:val="none" w:sz="0" w:space="0" w:color="auto"/>
        <w:right w:val="none" w:sz="0" w:space="0" w:color="auto"/>
      </w:divBdr>
    </w:div>
    <w:div w:id="898588815">
      <w:marLeft w:val="0"/>
      <w:marRight w:val="0"/>
      <w:marTop w:val="0"/>
      <w:marBottom w:val="0"/>
      <w:divBdr>
        <w:top w:val="none" w:sz="0" w:space="0" w:color="auto"/>
        <w:left w:val="none" w:sz="0" w:space="0" w:color="auto"/>
        <w:bottom w:val="none" w:sz="0" w:space="0" w:color="auto"/>
        <w:right w:val="none" w:sz="0" w:space="0" w:color="auto"/>
      </w:divBdr>
    </w:div>
    <w:div w:id="902374100">
      <w:marLeft w:val="0"/>
      <w:marRight w:val="0"/>
      <w:marTop w:val="0"/>
      <w:marBottom w:val="0"/>
      <w:divBdr>
        <w:top w:val="none" w:sz="0" w:space="0" w:color="auto"/>
        <w:left w:val="none" w:sz="0" w:space="0" w:color="auto"/>
        <w:bottom w:val="none" w:sz="0" w:space="0" w:color="auto"/>
        <w:right w:val="none" w:sz="0" w:space="0" w:color="auto"/>
      </w:divBdr>
      <w:divsChild>
        <w:div w:id="2140150213">
          <w:marLeft w:val="0"/>
          <w:marRight w:val="0"/>
          <w:marTop w:val="0"/>
          <w:marBottom w:val="0"/>
          <w:divBdr>
            <w:top w:val="none" w:sz="0" w:space="0" w:color="auto"/>
            <w:left w:val="none" w:sz="0" w:space="0" w:color="auto"/>
            <w:bottom w:val="none" w:sz="0" w:space="0" w:color="auto"/>
            <w:right w:val="none" w:sz="0" w:space="0" w:color="auto"/>
          </w:divBdr>
        </w:div>
      </w:divsChild>
    </w:div>
    <w:div w:id="903949082">
      <w:marLeft w:val="0"/>
      <w:marRight w:val="0"/>
      <w:marTop w:val="0"/>
      <w:marBottom w:val="0"/>
      <w:divBdr>
        <w:top w:val="none" w:sz="0" w:space="0" w:color="auto"/>
        <w:left w:val="none" w:sz="0" w:space="0" w:color="auto"/>
        <w:bottom w:val="none" w:sz="0" w:space="0" w:color="auto"/>
        <w:right w:val="none" w:sz="0" w:space="0" w:color="auto"/>
      </w:divBdr>
    </w:div>
    <w:div w:id="907417007">
      <w:marLeft w:val="0"/>
      <w:marRight w:val="0"/>
      <w:marTop w:val="0"/>
      <w:marBottom w:val="0"/>
      <w:divBdr>
        <w:top w:val="none" w:sz="0" w:space="0" w:color="auto"/>
        <w:left w:val="none" w:sz="0" w:space="0" w:color="auto"/>
        <w:bottom w:val="none" w:sz="0" w:space="0" w:color="auto"/>
        <w:right w:val="none" w:sz="0" w:space="0" w:color="auto"/>
      </w:divBdr>
    </w:div>
    <w:div w:id="909389082">
      <w:marLeft w:val="0"/>
      <w:marRight w:val="0"/>
      <w:marTop w:val="0"/>
      <w:marBottom w:val="0"/>
      <w:divBdr>
        <w:top w:val="none" w:sz="0" w:space="0" w:color="auto"/>
        <w:left w:val="none" w:sz="0" w:space="0" w:color="auto"/>
        <w:bottom w:val="none" w:sz="0" w:space="0" w:color="auto"/>
        <w:right w:val="none" w:sz="0" w:space="0" w:color="auto"/>
      </w:divBdr>
    </w:div>
    <w:div w:id="911037715">
      <w:marLeft w:val="0"/>
      <w:marRight w:val="0"/>
      <w:marTop w:val="0"/>
      <w:marBottom w:val="0"/>
      <w:divBdr>
        <w:top w:val="none" w:sz="0" w:space="0" w:color="auto"/>
        <w:left w:val="none" w:sz="0" w:space="0" w:color="auto"/>
        <w:bottom w:val="none" w:sz="0" w:space="0" w:color="auto"/>
        <w:right w:val="none" w:sz="0" w:space="0" w:color="auto"/>
      </w:divBdr>
      <w:divsChild>
        <w:div w:id="714814526">
          <w:marLeft w:val="0"/>
          <w:marRight w:val="0"/>
          <w:marTop w:val="0"/>
          <w:marBottom w:val="0"/>
          <w:divBdr>
            <w:top w:val="none" w:sz="0" w:space="0" w:color="auto"/>
            <w:left w:val="none" w:sz="0" w:space="0" w:color="auto"/>
            <w:bottom w:val="none" w:sz="0" w:space="0" w:color="auto"/>
            <w:right w:val="none" w:sz="0" w:space="0" w:color="auto"/>
          </w:divBdr>
        </w:div>
      </w:divsChild>
    </w:div>
    <w:div w:id="912738205">
      <w:marLeft w:val="0"/>
      <w:marRight w:val="0"/>
      <w:marTop w:val="0"/>
      <w:marBottom w:val="0"/>
      <w:divBdr>
        <w:top w:val="none" w:sz="0" w:space="0" w:color="auto"/>
        <w:left w:val="none" w:sz="0" w:space="0" w:color="auto"/>
        <w:bottom w:val="none" w:sz="0" w:space="0" w:color="auto"/>
        <w:right w:val="none" w:sz="0" w:space="0" w:color="auto"/>
      </w:divBdr>
    </w:div>
    <w:div w:id="917906121">
      <w:marLeft w:val="0"/>
      <w:marRight w:val="0"/>
      <w:marTop w:val="0"/>
      <w:marBottom w:val="0"/>
      <w:divBdr>
        <w:top w:val="none" w:sz="0" w:space="0" w:color="auto"/>
        <w:left w:val="none" w:sz="0" w:space="0" w:color="auto"/>
        <w:bottom w:val="none" w:sz="0" w:space="0" w:color="auto"/>
        <w:right w:val="none" w:sz="0" w:space="0" w:color="auto"/>
      </w:divBdr>
    </w:div>
    <w:div w:id="922030743">
      <w:marLeft w:val="0"/>
      <w:marRight w:val="0"/>
      <w:marTop w:val="0"/>
      <w:marBottom w:val="120"/>
      <w:divBdr>
        <w:top w:val="none" w:sz="0" w:space="0" w:color="auto"/>
        <w:left w:val="none" w:sz="0" w:space="0" w:color="auto"/>
        <w:bottom w:val="none" w:sz="0" w:space="0" w:color="auto"/>
        <w:right w:val="none" w:sz="0" w:space="0" w:color="auto"/>
      </w:divBdr>
    </w:div>
    <w:div w:id="930044008">
      <w:marLeft w:val="0"/>
      <w:marRight w:val="0"/>
      <w:marTop w:val="0"/>
      <w:marBottom w:val="0"/>
      <w:divBdr>
        <w:top w:val="none" w:sz="0" w:space="0" w:color="auto"/>
        <w:left w:val="none" w:sz="0" w:space="0" w:color="auto"/>
        <w:bottom w:val="none" w:sz="0" w:space="0" w:color="auto"/>
        <w:right w:val="none" w:sz="0" w:space="0" w:color="auto"/>
      </w:divBdr>
    </w:div>
    <w:div w:id="931746575">
      <w:marLeft w:val="0"/>
      <w:marRight w:val="0"/>
      <w:marTop w:val="0"/>
      <w:marBottom w:val="0"/>
      <w:divBdr>
        <w:top w:val="none" w:sz="0" w:space="0" w:color="auto"/>
        <w:left w:val="none" w:sz="0" w:space="0" w:color="auto"/>
        <w:bottom w:val="none" w:sz="0" w:space="0" w:color="auto"/>
        <w:right w:val="none" w:sz="0" w:space="0" w:color="auto"/>
      </w:divBdr>
    </w:div>
    <w:div w:id="937981472">
      <w:marLeft w:val="0"/>
      <w:marRight w:val="0"/>
      <w:marTop w:val="0"/>
      <w:marBottom w:val="0"/>
      <w:divBdr>
        <w:top w:val="none" w:sz="0" w:space="0" w:color="auto"/>
        <w:left w:val="none" w:sz="0" w:space="0" w:color="auto"/>
        <w:bottom w:val="none" w:sz="0" w:space="0" w:color="auto"/>
        <w:right w:val="none" w:sz="0" w:space="0" w:color="auto"/>
      </w:divBdr>
    </w:div>
    <w:div w:id="941260698">
      <w:marLeft w:val="0"/>
      <w:marRight w:val="0"/>
      <w:marTop w:val="0"/>
      <w:marBottom w:val="0"/>
      <w:divBdr>
        <w:top w:val="none" w:sz="0" w:space="0" w:color="auto"/>
        <w:left w:val="none" w:sz="0" w:space="0" w:color="auto"/>
        <w:bottom w:val="none" w:sz="0" w:space="0" w:color="auto"/>
        <w:right w:val="none" w:sz="0" w:space="0" w:color="auto"/>
      </w:divBdr>
    </w:div>
    <w:div w:id="941306671">
      <w:marLeft w:val="0"/>
      <w:marRight w:val="0"/>
      <w:marTop w:val="0"/>
      <w:marBottom w:val="0"/>
      <w:divBdr>
        <w:top w:val="none" w:sz="0" w:space="0" w:color="auto"/>
        <w:left w:val="none" w:sz="0" w:space="0" w:color="auto"/>
        <w:bottom w:val="none" w:sz="0" w:space="0" w:color="auto"/>
        <w:right w:val="none" w:sz="0" w:space="0" w:color="auto"/>
      </w:divBdr>
    </w:div>
    <w:div w:id="941767738">
      <w:marLeft w:val="0"/>
      <w:marRight w:val="0"/>
      <w:marTop w:val="0"/>
      <w:marBottom w:val="0"/>
      <w:divBdr>
        <w:top w:val="none" w:sz="0" w:space="0" w:color="auto"/>
        <w:left w:val="none" w:sz="0" w:space="0" w:color="auto"/>
        <w:bottom w:val="none" w:sz="0" w:space="0" w:color="auto"/>
        <w:right w:val="none" w:sz="0" w:space="0" w:color="auto"/>
      </w:divBdr>
    </w:div>
    <w:div w:id="945816386">
      <w:marLeft w:val="0"/>
      <w:marRight w:val="0"/>
      <w:marTop w:val="0"/>
      <w:marBottom w:val="0"/>
      <w:divBdr>
        <w:top w:val="none" w:sz="0" w:space="0" w:color="auto"/>
        <w:left w:val="none" w:sz="0" w:space="0" w:color="auto"/>
        <w:bottom w:val="none" w:sz="0" w:space="0" w:color="auto"/>
        <w:right w:val="none" w:sz="0" w:space="0" w:color="auto"/>
      </w:divBdr>
      <w:divsChild>
        <w:div w:id="1899510623">
          <w:marLeft w:val="0"/>
          <w:marRight w:val="0"/>
          <w:marTop w:val="0"/>
          <w:marBottom w:val="0"/>
          <w:divBdr>
            <w:top w:val="none" w:sz="0" w:space="0" w:color="auto"/>
            <w:left w:val="none" w:sz="0" w:space="0" w:color="auto"/>
            <w:bottom w:val="none" w:sz="0" w:space="0" w:color="auto"/>
            <w:right w:val="none" w:sz="0" w:space="0" w:color="auto"/>
          </w:divBdr>
        </w:div>
      </w:divsChild>
    </w:div>
    <w:div w:id="947392678">
      <w:marLeft w:val="0"/>
      <w:marRight w:val="0"/>
      <w:marTop w:val="0"/>
      <w:marBottom w:val="0"/>
      <w:divBdr>
        <w:top w:val="none" w:sz="0" w:space="0" w:color="auto"/>
        <w:left w:val="none" w:sz="0" w:space="0" w:color="auto"/>
        <w:bottom w:val="none" w:sz="0" w:space="0" w:color="auto"/>
        <w:right w:val="none" w:sz="0" w:space="0" w:color="auto"/>
      </w:divBdr>
    </w:div>
    <w:div w:id="949430748">
      <w:marLeft w:val="0"/>
      <w:marRight w:val="0"/>
      <w:marTop w:val="0"/>
      <w:marBottom w:val="0"/>
      <w:divBdr>
        <w:top w:val="none" w:sz="0" w:space="0" w:color="auto"/>
        <w:left w:val="none" w:sz="0" w:space="0" w:color="auto"/>
        <w:bottom w:val="none" w:sz="0" w:space="0" w:color="auto"/>
        <w:right w:val="none" w:sz="0" w:space="0" w:color="auto"/>
      </w:divBdr>
    </w:div>
    <w:div w:id="952514835">
      <w:marLeft w:val="0"/>
      <w:marRight w:val="0"/>
      <w:marTop w:val="0"/>
      <w:marBottom w:val="0"/>
      <w:divBdr>
        <w:top w:val="none" w:sz="0" w:space="0" w:color="auto"/>
        <w:left w:val="none" w:sz="0" w:space="0" w:color="auto"/>
        <w:bottom w:val="none" w:sz="0" w:space="0" w:color="auto"/>
        <w:right w:val="none" w:sz="0" w:space="0" w:color="auto"/>
      </w:divBdr>
    </w:div>
    <w:div w:id="953365440">
      <w:marLeft w:val="0"/>
      <w:marRight w:val="0"/>
      <w:marTop w:val="0"/>
      <w:marBottom w:val="0"/>
      <w:divBdr>
        <w:top w:val="none" w:sz="0" w:space="0" w:color="auto"/>
        <w:left w:val="none" w:sz="0" w:space="0" w:color="auto"/>
        <w:bottom w:val="none" w:sz="0" w:space="0" w:color="auto"/>
        <w:right w:val="none" w:sz="0" w:space="0" w:color="auto"/>
      </w:divBdr>
    </w:div>
    <w:div w:id="953898958">
      <w:marLeft w:val="0"/>
      <w:marRight w:val="0"/>
      <w:marTop w:val="0"/>
      <w:marBottom w:val="0"/>
      <w:divBdr>
        <w:top w:val="none" w:sz="0" w:space="0" w:color="auto"/>
        <w:left w:val="none" w:sz="0" w:space="0" w:color="auto"/>
        <w:bottom w:val="none" w:sz="0" w:space="0" w:color="auto"/>
        <w:right w:val="none" w:sz="0" w:space="0" w:color="auto"/>
      </w:divBdr>
      <w:divsChild>
        <w:div w:id="88740800">
          <w:marLeft w:val="0"/>
          <w:marRight w:val="0"/>
          <w:marTop w:val="0"/>
          <w:marBottom w:val="0"/>
          <w:divBdr>
            <w:top w:val="none" w:sz="0" w:space="0" w:color="auto"/>
            <w:left w:val="none" w:sz="0" w:space="0" w:color="auto"/>
            <w:bottom w:val="none" w:sz="0" w:space="0" w:color="auto"/>
            <w:right w:val="none" w:sz="0" w:space="0" w:color="auto"/>
          </w:divBdr>
        </w:div>
      </w:divsChild>
    </w:div>
    <w:div w:id="956762493">
      <w:marLeft w:val="0"/>
      <w:marRight w:val="0"/>
      <w:marTop w:val="0"/>
      <w:marBottom w:val="0"/>
      <w:divBdr>
        <w:top w:val="none" w:sz="0" w:space="0" w:color="auto"/>
        <w:left w:val="none" w:sz="0" w:space="0" w:color="auto"/>
        <w:bottom w:val="none" w:sz="0" w:space="0" w:color="auto"/>
        <w:right w:val="none" w:sz="0" w:space="0" w:color="auto"/>
      </w:divBdr>
    </w:div>
    <w:div w:id="961422085">
      <w:marLeft w:val="0"/>
      <w:marRight w:val="0"/>
      <w:marTop w:val="0"/>
      <w:marBottom w:val="0"/>
      <w:divBdr>
        <w:top w:val="none" w:sz="0" w:space="0" w:color="auto"/>
        <w:left w:val="none" w:sz="0" w:space="0" w:color="auto"/>
        <w:bottom w:val="none" w:sz="0" w:space="0" w:color="auto"/>
        <w:right w:val="none" w:sz="0" w:space="0" w:color="auto"/>
      </w:divBdr>
    </w:div>
    <w:div w:id="962736592">
      <w:marLeft w:val="0"/>
      <w:marRight w:val="0"/>
      <w:marTop w:val="0"/>
      <w:marBottom w:val="0"/>
      <w:divBdr>
        <w:top w:val="none" w:sz="0" w:space="0" w:color="auto"/>
        <w:left w:val="none" w:sz="0" w:space="0" w:color="auto"/>
        <w:bottom w:val="none" w:sz="0" w:space="0" w:color="auto"/>
        <w:right w:val="none" w:sz="0" w:space="0" w:color="auto"/>
      </w:divBdr>
      <w:divsChild>
        <w:div w:id="1096831850">
          <w:marLeft w:val="0"/>
          <w:marRight w:val="0"/>
          <w:marTop w:val="0"/>
          <w:marBottom w:val="0"/>
          <w:divBdr>
            <w:top w:val="none" w:sz="0" w:space="0" w:color="auto"/>
            <w:left w:val="none" w:sz="0" w:space="0" w:color="auto"/>
            <w:bottom w:val="none" w:sz="0" w:space="0" w:color="auto"/>
            <w:right w:val="none" w:sz="0" w:space="0" w:color="auto"/>
          </w:divBdr>
        </w:div>
      </w:divsChild>
    </w:div>
    <w:div w:id="963316405">
      <w:marLeft w:val="0"/>
      <w:marRight w:val="0"/>
      <w:marTop w:val="0"/>
      <w:marBottom w:val="0"/>
      <w:divBdr>
        <w:top w:val="none" w:sz="0" w:space="0" w:color="auto"/>
        <w:left w:val="none" w:sz="0" w:space="0" w:color="auto"/>
        <w:bottom w:val="none" w:sz="0" w:space="0" w:color="auto"/>
        <w:right w:val="none" w:sz="0" w:space="0" w:color="auto"/>
      </w:divBdr>
    </w:div>
    <w:div w:id="963346218">
      <w:marLeft w:val="0"/>
      <w:marRight w:val="0"/>
      <w:marTop w:val="0"/>
      <w:marBottom w:val="0"/>
      <w:divBdr>
        <w:top w:val="none" w:sz="0" w:space="0" w:color="auto"/>
        <w:left w:val="none" w:sz="0" w:space="0" w:color="auto"/>
        <w:bottom w:val="none" w:sz="0" w:space="0" w:color="auto"/>
        <w:right w:val="none" w:sz="0" w:space="0" w:color="auto"/>
      </w:divBdr>
    </w:div>
    <w:div w:id="972095562">
      <w:marLeft w:val="0"/>
      <w:marRight w:val="0"/>
      <w:marTop w:val="0"/>
      <w:marBottom w:val="0"/>
      <w:divBdr>
        <w:top w:val="none" w:sz="0" w:space="0" w:color="auto"/>
        <w:left w:val="none" w:sz="0" w:space="0" w:color="auto"/>
        <w:bottom w:val="none" w:sz="0" w:space="0" w:color="auto"/>
        <w:right w:val="none" w:sz="0" w:space="0" w:color="auto"/>
      </w:divBdr>
    </w:div>
    <w:div w:id="972322405">
      <w:marLeft w:val="0"/>
      <w:marRight w:val="0"/>
      <w:marTop w:val="0"/>
      <w:marBottom w:val="0"/>
      <w:divBdr>
        <w:top w:val="none" w:sz="0" w:space="0" w:color="auto"/>
        <w:left w:val="none" w:sz="0" w:space="0" w:color="auto"/>
        <w:bottom w:val="none" w:sz="0" w:space="0" w:color="auto"/>
        <w:right w:val="none" w:sz="0" w:space="0" w:color="auto"/>
      </w:divBdr>
    </w:div>
    <w:div w:id="973755347">
      <w:marLeft w:val="0"/>
      <w:marRight w:val="0"/>
      <w:marTop w:val="0"/>
      <w:marBottom w:val="0"/>
      <w:divBdr>
        <w:top w:val="none" w:sz="0" w:space="0" w:color="auto"/>
        <w:left w:val="none" w:sz="0" w:space="0" w:color="auto"/>
        <w:bottom w:val="none" w:sz="0" w:space="0" w:color="auto"/>
        <w:right w:val="none" w:sz="0" w:space="0" w:color="auto"/>
      </w:divBdr>
      <w:divsChild>
        <w:div w:id="1132746142">
          <w:marLeft w:val="0"/>
          <w:marRight w:val="0"/>
          <w:marTop w:val="0"/>
          <w:marBottom w:val="0"/>
          <w:divBdr>
            <w:top w:val="none" w:sz="0" w:space="0" w:color="auto"/>
            <w:left w:val="none" w:sz="0" w:space="0" w:color="auto"/>
            <w:bottom w:val="none" w:sz="0" w:space="0" w:color="auto"/>
            <w:right w:val="none" w:sz="0" w:space="0" w:color="auto"/>
          </w:divBdr>
        </w:div>
      </w:divsChild>
    </w:div>
    <w:div w:id="978073859">
      <w:marLeft w:val="0"/>
      <w:marRight w:val="0"/>
      <w:marTop w:val="0"/>
      <w:marBottom w:val="0"/>
      <w:divBdr>
        <w:top w:val="none" w:sz="0" w:space="0" w:color="auto"/>
        <w:left w:val="none" w:sz="0" w:space="0" w:color="auto"/>
        <w:bottom w:val="none" w:sz="0" w:space="0" w:color="auto"/>
        <w:right w:val="none" w:sz="0" w:space="0" w:color="auto"/>
      </w:divBdr>
    </w:div>
    <w:div w:id="978804094">
      <w:marLeft w:val="0"/>
      <w:marRight w:val="0"/>
      <w:marTop w:val="0"/>
      <w:marBottom w:val="0"/>
      <w:divBdr>
        <w:top w:val="none" w:sz="0" w:space="0" w:color="auto"/>
        <w:left w:val="none" w:sz="0" w:space="0" w:color="auto"/>
        <w:bottom w:val="none" w:sz="0" w:space="0" w:color="auto"/>
        <w:right w:val="none" w:sz="0" w:space="0" w:color="auto"/>
      </w:divBdr>
    </w:div>
    <w:div w:id="983197176">
      <w:marLeft w:val="0"/>
      <w:marRight w:val="0"/>
      <w:marTop w:val="0"/>
      <w:marBottom w:val="0"/>
      <w:divBdr>
        <w:top w:val="none" w:sz="0" w:space="0" w:color="auto"/>
        <w:left w:val="none" w:sz="0" w:space="0" w:color="auto"/>
        <w:bottom w:val="none" w:sz="0" w:space="0" w:color="auto"/>
        <w:right w:val="none" w:sz="0" w:space="0" w:color="auto"/>
      </w:divBdr>
    </w:div>
    <w:div w:id="990408640">
      <w:marLeft w:val="0"/>
      <w:marRight w:val="0"/>
      <w:marTop w:val="0"/>
      <w:marBottom w:val="0"/>
      <w:divBdr>
        <w:top w:val="none" w:sz="0" w:space="0" w:color="auto"/>
        <w:left w:val="none" w:sz="0" w:space="0" w:color="auto"/>
        <w:bottom w:val="none" w:sz="0" w:space="0" w:color="auto"/>
        <w:right w:val="none" w:sz="0" w:space="0" w:color="auto"/>
      </w:divBdr>
    </w:div>
    <w:div w:id="993877858">
      <w:marLeft w:val="0"/>
      <w:marRight w:val="0"/>
      <w:marTop w:val="0"/>
      <w:marBottom w:val="0"/>
      <w:divBdr>
        <w:top w:val="none" w:sz="0" w:space="0" w:color="auto"/>
        <w:left w:val="none" w:sz="0" w:space="0" w:color="auto"/>
        <w:bottom w:val="none" w:sz="0" w:space="0" w:color="auto"/>
        <w:right w:val="none" w:sz="0" w:space="0" w:color="auto"/>
      </w:divBdr>
      <w:divsChild>
        <w:div w:id="715927747">
          <w:marLeft w:val="0"/>
          <w:marRight w:val="0"/>
          <w:marTop w:val="0"/>
          <w:marBottom w:val="0"/>
          <w:divBdr>
            <w:top w:val="none" w:sz="0" w:space="0" w:color="auto"/>
            <w:left w:val="none" w:sz="0" w:space="0" w:color="auto"/>
            <w:bottom w:val="none" w:sz="0" w:space="0" w:color="auto"/>
            <w:right w:val="none" w:sz="0" w:space="0" w:color="auto"/>
          </w:divBdr>
        </w:div>
      </w:divsChild>
    </w:div>
    <w:div w:id="995690810">
      <w:marLeft w:val="0"/>
      <w:marRight w:val="0"/>
      <w:marTop w:val="0"/>
      <w:marBottom w:val="0"/>
      <w:divBdr>
        <w:top w:val="none" w:sz="0" w:space="0" w:color="auto"/>
        <w:left w:val="none" w:sz="0" w:space="0" w:color="auto"/>
        <w:bottom w:val="none" w:sz="0" w:space="0" w:color="auto"/>
        <w:right w:val="none" w:sz="0" w:space="0" w:color="auto"/>
      </w:divBdr>
    </w:div>
    <w:div w:id="998075919">
      <w:marLeft w:val="0"/>
      <w:marRight w:val="0"/>
      <w:marTop w:val="0"/>
      <w:marBottom w:val="0"/>
      <w:divBdr>
        <w:top w:val="none" w:sz="0" w:space="0" w:color="auto"/>
        <w:left w:val="none" w:sz="0" w:space="0" w:color="auto"/>
        <w:bottom w:val="none" w:sz="0" w:space="0" w:color="auto"/>
        <w:right w:val="none" w:sz="0" w:space="0" w:color="auto"/>
      </w:divBdr>
      <w:divsChild>
        <w:div w:id="1464498299">
          <w:marLeft w:val="0"/>
          <w:marRight w:val="0"/>
          <w:marTop w:val="0"/>
          <w:marBottom w:val="0"/>
          <w:divBdr>
            <w:top w:val="none" w:sz="0" w:space="0" w:color="auto"/>
            <w:left w:val="none" w:sz="0" w:space="0" w:color="auto"/>
            <w:bottom w:val="none" w:sz="0" w:space="0" w:color="auto"/>
            <w:right w:val="none" w:sz="0" w:space="0" w:color="auto"/>
          </w:divBdr>
        </w:div>
      </w:divsChild>
    </w:div>
    <w:div w:id="1000698671">
      <w:marLeft w:val="0"/>
      <w:marRight w:val="0"/>
      <w:marTop w:val="0"/>
      <w:marBottom w:val="0"/>
      <w:divBdr>
        <w:top w:val="none" w:sz="0" w:space="0" w:color="auto"/>
        <w:left w:val="none" w:sz="0" w:space="0" w:color="auto"/>
        <w:bottom w:val="none" w:sz="0" w:space="0" w:color="auto"/>
        <w:right w:val="none" w:sz="0" w:space="0" w:color="auto"/>
      </w:divBdr>
    </w:div>
    <w:div w:id="1001935839">
      <w:marLeft w:val="0"/>
      <w:marRight w:val="0"/>
      <w:marTop w:val="0"/>
      <w:marBottom w:val="0"/>
      <w:divBdr>
        <w:top w:val="none" w:sz="0" w:space="0" w:color="auto"/>
        <w:left w:val="none" w:sz="0" w:space="0" w:color="auto"/>
        <w:bottom w:val="none" w:sz="0" w:space="0" w:color="auto"/>
        <w:right w:val="none" w:sz="0" w:space="0" w:color="auto"/>
      </w:divBdr>
    </w:div>
    <w:div w:id="1003780194">
      <w:marLeft w:val="0"/>
      <w:marRight w:val="0"/>
      <w:marTop w:val="0"/>
      <w:marBottom w:val="0"/>
      <w:divBdr>
        <w:top w:val="none" w:sz="0" w:space="0" w:color="auto"/>
        <w:left w:val="none" w:sz="0" w:space="0" w:color="auto"/>
        <w:bottom w:val="none" w:sz="0" w:space="0" w:color="auto"/>
        <w:right w:val="none" w:sz="0" w:space="0" w:color="auto"/>
      </w:divBdr>
    </w:div>
    <w:div w:id="1009134648">
      <w:marLeft w:val="0"/>
      <w:marRight w:val="0"/>
      <w:marTop w:val="0"/>
      <w:marBottom w:val="0"/>
      <w:divBdr>
        <w:top w:val="none" w:sz="0" w:space="0" w:color="auto"/>
        <w:left w:val="none" w:sz="0" w:space="0" w:color="auto"/>
        <w:bottom w:val="none" w:sz="0" w:space="0" w:color="auto"/>
        <w:right w:val="none" w:sz="0" w:space="0" w:color="auto"/>
      </w:divBdr>
    </w:div>
    <w:div w:id="1010333382">
      <w:marLeft w:val="0"/>
      <w:marRight w:val="0"/>
      <w:marTop w:val="0"/>
      <w:marBottom w:val="0"/>
      <w:divBdr>
        <w:top w:val="none" w:sz="0" w:space="0" w:color="auto"/>
        <w:left w:val="none" w:sz="0" w:space="0" w:color="auto"/>
        <w:bottom w:val="none" w:sz="0" w:space="0" w:color="auto"/>
        <w:right w:val="none" w:sz="0" w:space="0" w:color="auto"/>
      </w:divBdr>
    </w:div>
    <w:div w:id="1012417444">
      <w:marLeft w:val="0"/>
      <w:marRight w:val="0"/>
      <w:marTop w:val="0"/>
      <w:marBottom w:val="0"/>
      <w:divBdr>
        <w:top w:val="none" w:sz="0" w:space="0" w:color="auto"/>
        <w:left w:val="none" w:sz="0" w:space="0" w:color="auto"/>
        <w:bottom w:val="none" w:sz="0" w:space="0" w:color="auto"/>
        <w:right w:val="none" w:sz="0" w:space="0" w:color="auto"/>
      </w:divBdr>
    </w:div>
    <w:div w:id="1017929688">
      <w:marLeft w:val="0"/>
      <w:marRight w:val="0"/>
      <w:marTop w:val="0"/>
      <w:marBottom w:val="0"/>
      <w:divBdr>
        <w:top w:val="none" w:sz="0" w:space="0" w:color="auto"/>
        <w:left w:val="none" w:sz="0" w:space="0" w:color="auto"/>
        <w:bottom w:val="none" w:sz="0" w:space="0" w:color="auto"/>
        <w:right w:val="none" w:sz="0" w:space="0" w:color="auto"/>
      </w:divBdr>
    </w:div>
    <w:div w:id="1018577144">
      <w:marLeft w:val="0"/>
      <w:marRight w:val="0"/>
      <w:marTop w:val="100"/>
      <w:marBottom w:val="240"/>
      <w:divBdr>
        <w:top w:val="none" w:sz="0" w:space="0" w:color="auto"/>
        <w:left w:val="none" w:sz="0" w:space="0" w:color="auto"/>
        <w:bottom w:val="none" w:sz="0" w:space="0" w:color="auto"/>
        <w:right w:val="none" w:sz="0" w:space="0" w:color="auto"/>
      </w:divBdr>
      <w:divsChild>
        <w:div w:id="2018992507">
          <w:marLeft w:val="0"/>
          <w:marRight w:val="0"/>
          <w:marTop w:val="0"/>
          <w:marBottom w:val="0"/>
          <w:divBdr>
            <w:top w:val="none" w:sz="0" w:space="0" w:color="auto"/>
            <w:left w:val="none" w:sz="0" w:space="0" w:color="auto"/>
            <w:bottom w:val="none" w:sz="0" w:space="0" w:color="auto"/>
            <w:right w:val="none" w:sz="0" w:space="0" w:color="auto"/>
          </w:divBdr>
        </w:div>
        <w:div w:id="1584950058">
          <w:marLeft w:val="0"/>
          <w:marRight w:val="0"/>
          <w:marTop w:val="0"/>
          <w:marBottom w:val="0"/>
          <w:divBdr>
            <w:top w:val="none" w:sz="0" w:space="0" w:color="auto"/>
            <w:left w:val="none" w:sz="0" w:space="0" w:color="auto"/>
            <w:bottom w:val="none" w:sz="0" w:space="0" w:color="auto"/>
            <w:right w:val="none" w:sz="0" w:space="0" w:color="auto"/>
          </w:divBdr>
        </w:div>
        <w:div w:id="1080639647">
          <w:marLeft w:val="0"/>
          <w:marRight w:val="0"/>
          <w:marTop w:val="0"/>
          <w:marBottom w:val="0"/>
          <w:divBdr>
            <w:top w:val="none" w:sz="0" w:space="0" w:color="auto"/>
            <w:left w:val="none" w:sz="0" w:space="0" w:color="auto"/>
            <w:bottom w:val="none" w:sz="0" w:space="0" w:color="auto"/>
            <w:right w:val="none" w:sz="0" w:space="0" w:color="auto"/>
          </w:divBdr>
        </w:div>
        <w:div w:id="1041200012">
          <w:marLeft w:val="0"/>
          <w:marRight w:val="0"/>
          <w:marTop w:val="0"/>
          <w:marBottom w:val="0"/>
          <w:divBdr>
            <w:top w:val="none" w:sz="0" w:space="0" w:color="auto"/>
            <w:left w:val="none" w:sz="0" w:space="0" w:color="auto"/>
            <w:bottom w:val="none" w:sz="0" w:space="0" w:color="auto"/>
            <w:right w:val="none" w:sz="0" w:space="0" w:color="auto"/>
          </w:divBdr>
        </w:div>
        <w:div w:id="1926300676">
          <w:marLeft w:val="0"/>
          <w:marRight w:val="0"/>
          <w:marTop w:val="0"/>
          <w:marBottom w:val="0"/>
          <w:divBdr>
            <w:top w:val="none" w:sz="0" w:space="0" w:color="auto"/>
            <w:left w:val="none" w:sz="0" w:space="0" w:color="auto"/>
            <w:bottom w:val="none" w:sz="0" w:space="0" w:color="auto"/>
            <w:right w:val="none" w:sz="0" w:space="0" w:color="auto"/>
          </w:divBdr>
        </w:div>
      </w:divsChild>
    </w:div>
    <w:div w:id="1020468342">
      <w:marLeft w:val="0"/>
      <w:marRight w:val="0"/>
      <w:marTop w:val="0"/>
      <w:marBottom w:val="0"/>
      <w:divBdr>
        <w:top w:val="none" w:sz="0" w:space="0" w:color="auto"/>
        <w:left w:val="none" w:sz="0" w:space="0" w:color="auto"/>
        <w:bottom w:val="none" w:sz="0" w:space="0" w:color="auto"/>
        <w:right w:val="none" w:sz="0" w:space="0" w:color="auto"/>
      </w:divBdr>
    </w:div>
    <w:div w:id="1023747281">
      <w:marLeft w:val="0"/>
      <w:marRight w:val="0"/>
      <w:marTop w:val="0"/>
      <w:marBottom w:val="0"/>
      <w:divBdr>
        <w:top w:val="none" w:sz="0" w:space="0" w:color="auto"/>
        <w:left w:val="none" w:sz="0" w:space="0" w:color="auto"/>
        <w:bottom w:val="none" w:sz="0" w:space="0" w:color="auto"/>
        <w:right w:val="none" w:sz="0" w:space="0" w:color="auto"/>
      </w:divBdr>
    </w:div>
    <w:div w:id="1027680373">
      <w:marLeft w:val="0"/>
      <w:marRight w:val="0"/>
      <w:marTop w:val="0"/>
      <w:marBottom w:val="0"/>
      <w:divBdr>
        <w:top w:val="none" w:sz="0" w:space="0" w:color="auto"/>
        <w:left w:val="none" w:sz="0" w:space="0" w:color="auto"/>
        <w:bottom w:val="none" w:sz="0" w:space="0" w:color="auto"/>
        <w:right w:val="none" w:sz="0" w:space="0" w:color="auto"/>
      </w:divBdr>
    </w:div>
    <w:div w:id="1029530541">
      <w:marLeft w:val="0"/>
      <w:marRight w:val="0"/>
      <w:marTop w:val="0"/>
      <w:marBottom w:val="0"/>
      <w:divBdr>
        <w:top w:val="none" w:sz="0" w:space="0" w:color="auto"/>
        <w:left w:val="none" w:sz="0" w:space="0" w:color="auto"/>
        <w:bottom w:val="none" w:sz="0" w:space="0" w:color="auto"/>
        <w:right w:val="none" w:sz="0" w:space="0" w:color="auto"/>
      </w:divBdr>
      <w:divsChild>
        <w:div w:id="1336299253">
          <w:marLeft w:val="0"/>
          <w:marRight w:val="0"/>
          <w:marTop w:val="0"/>
          <w:marBottom w:val="0"/>
          <w:divBdr>
            <w:top w:val="none" w:sz="0" w:space="0" w:color="auto"/>
            <w:left w:val="none" w:sz="0" w:space="0" w:color="auto"/>
            <w:bottom w:val="none" w:sz="0" w:space="0" w:color="auto"/>
            <w:right w:val="none" w:sz="0" w:space="0" w:color="auto"/>
          </w:divBdr>
        </w:div>
      </w:divsChild>
    </w:div>
    <w:div w:id="1029841498">
      <w:marLeft w:val="0"/>
      <w:marRight w:val="0"/>
      <w:marTop w:val="0"/>
      <w:marBottom w:val="0"/>
      <w:divBdr>
        <w:top w:val="none" w:sz="0" w:space="0" w:color="auto"/>
        <w:left w:val="none" w:sz="0" w:space="0" w:color="auto"/>
        <w:bottom w:val="none" w:sz="0" w:space="0" w:color="auto"/>
        <w:right w:val="none" w:sz="0" w:space="0" w:color="auto"/>
      </w:divBdr>
    </w:div>
    <w:div w:id="1030572982">
      <w:marLeft w:val="0"/>
      <w:marRight w:val="0"/>
      <w:marTop w:val="0"/>
      <w:marBottom w:val="60"/>
      <w:divBdr>
        <w:top w:val="none" w:sz="0" w:space="0" w:color="auto"/>
        <w:left w:val="none" w:sz="0" w:space="0" w:color="auto"/>
        <w:bottom w:val="none" w:sz="0" w:space="0" w:color="auto"/>
        <w:right w:val="none" w:sz="0" w:space="0" w:color="auto"/>
      </w:divBdr>
    </w:div>
    <w:div w:id="1040590901">
      <w:marLeft w:val="0"/>
      <w:marRight w:val="0"/>
      <w:marTop w:val="100"/>
      <w:marBottom w:val="100"/>
      <w:divBdr>
        <w:top w:val="none" w:sz="0" w:space="0" w:color="auto"/>
        <w:left w:val="none" w:sz="0" w:space="0" w:color="auto"/>
        <w:bottom w:val="none" w:sz="0" w:space="0" w:color="auto"/>
        <w:right w:val="none" w:sz="0" w:space="0" w:color="auto"/>
      </w:divBdr>
      <w:divsChild>
        <w:div w:id="1416592587">
          <w:marLeft w:val="0"/>
          <w:marRight w:val="0"/>
          <w:marTop w:val="0"/>
          <w:marBottom w:val="0"/>
          <w:divBdr>
            <w:top w:val="none" w:sz="0" w:space="0" w:color="auto"/>
            <w:left w:val="none" w:sz="0" w:space="0" w:color="auto"/>
            <w:bottom w:val="none" w:sz="0" w:space="0" w:color="auto"/>
            <w:right w:val="none" w:sz="0" w:space="0" w:color="auto"/>
          </w:divBdr>
        </w:div>
        <w:div w:id="376127989">
          <w:marLeft w:val="0"/>
          <w:marRight w:val="0"/>
          <w:marTop w:val="0"/>
          <w:marBottom w:val="0"/>
          <w:divBdr>
            <w:top w:val="none" w:sz="0" w:space="0" w:color="auto"/>
            <w:left w:val="none" w:sz="0" w:space="0" w:color="auto"/>
            <w:bottom w:val="none" w:sz="0" w:space="0" w:color="auto"/>
            <w:right w:val="none" w:sz="0" w:space="0" w:color="auto"/>
          </w:divBdr>
        </w:div>
      </w:divsChild>
    </w:div>
    <w:div w:id="1041512621">
      <w:marLeft w:val="0"/>
      <w:marRight w:val="0"/>
      <w:marTop w:val="0"/>
      <w:marBottom w:val="0"/>
      <w:divBdr>
        <w:top w:val="none" w:sz="0" w:space="0" w:color="auto"/>
        <w:left w:val="none" w:sz="0" w:space="0" w:color="auto"/>
        <w:bottom w:val="none" w:sz="0" w:space="0" w:color="auto"/>
        <w:right w:val="none" w:sz="0" w:space="0" w:color="auto"/>
      </w:divBdr>
    </w:div>
    <w:div w:id="1042561751">
      <w:marLeft w:val="0"/>
      <w:marRight w:val="0"/>
      <w:marTop w:val="0"/>
      <w:marBottom w:val="0"/>
      <w:divBdr>
        <w:top w:val="none" w:sz="0" w:space="0" w:color="auto"/>
        <w:left w:val="none" w:sz="0" w:space="0" w:color="auto"/>
        <w:bottom w:val="none" w:sz="0" w:space="0" w:color="auto"/>
        <w:right w:val="none" w:sz="0" w:space="0" w:color="auto"/>
      </w:divBdr>
    </w:div>
    <w:div w:id="1043097917">
      <w:marLeft w:val="0"/>
      <w:marRight w:val="0"/>
      <w:marTop w:val="0"/>
      <w:marBottom w:val="0"/>
      <w:divBdr>
        <w:top w:val="none" w:sz="0" w:space="0" w:color="auto"/>
        <w:left w:val="none" w:sz="0" w:space="0" w:color="auto"/>
        <w:bottom w:val="none" w:sz="0" w:space="0" w:color="auto"/>
        <w:right w:val="none" w:sz="0" w:space="0" w:color="auto"/>
      </w:divBdr>
    </w:div>
    <w:div w:id="1047030956">
      <w:marLeft w:val="0"/>
      <w:marRight w:val="0"/>
      <w:marTop w:val="0"/>
      <w:marBottom w:val="0"/>
      <w:divBdr>
        <w:top w:val="none" w:sz="0" w:space="0" w:color="auto"/>
        <w:left w:val="none" w:sz="0" w:space="0" w:color="auto"/>
        <w:bottom w:val="none" w:sz="0" w:space="0" w:color="auto"/>
        <w:right w:val="none" w:sz="0" w:space="0" w:color="auto"/>
      </w:divBdr>
    </w:div>
    <w:div w:id="1048457261">
      <w:marLeft w:val="0"/>
      <w:marRight w:val="0"/>
      <w:marTop w:val="0"/>
      <w:marBottom w:val="0"/>
      <w:divBdr>
        <w:top w:val="none" w:sz="0" w:space="0" w:color="auto"/>
        <w:left w:val="none" w:sz="0" w:space="0" w:color="auto"/>
        <w:bottom w:val="none" w:sz="0" w:space="0" w:color="auto"/>
        <w:right w:val="none" w:sz="0" w:space="0" w:color="auto"/>
      </w:divBdr>
    </w:div>
    <w:div w:id="1052192840">
      <w:marLeft w:val="0"/>
      <w:marRight w:val="0"/>
      <w:marTop w:val="0"/>
      <w:marBottom w:val="0"/>
      <w:divBdr>
        <w:top w:val="none" w:sz="0" w:space="0" w:color="auto"/>
        <w:left w:val="none" w:sz="0" w:space="0" w:color="auto"/>
        <w:bottom w:val="none" w:sz="0" w:space="0" w:color="auto"/>
        <w:right w:val="none" w:sz="0" w:space="0" w:color="auto"/>
      </w:divBdr>
    </w:div>
    <w:div w:id="1053116547">
      <w:marLeft w:val="0"/>
      <w:marRight w:val="0"/>
      <w:marTop w:val="0"/>
      <w:marBottom w:val="0"/>
      <w:divBdr>
        <w:top w:val="none" w:sz="0" w:space="0" w:color="auto"/>
        <w:left w:val="none" w:sz="0" w:space="0" w:color="auto"/>
        <w:bottom w:val="none" w:sz="0" w:space="0" w:color="auto"/>
        <w:right w:val="none" w:sz="0" w:space="0" w:color="auto"/>
      </w:divBdr>
    </w:div>
    <w:div w:id="1054886997">
      <w:marLeft w:val="0"/>
      <w:marRight w:val="0"/>
      <w:marTop w:val="0"/>
      <w:marBottom w:val="0"/>
      <w:divBdr>
        <w:top w:val="none" w:sz="0" w:space="0" w:color="auto"/>
        <w:left w:val="none" w:sz="0" w:space="0" w:color="auto"/>
        <w:bottom w:val="none" w:sz="0" w:space="0" w:color="auto"/>
        <w:right w:val="none" w:sz="0" w:space="0" w:color="auto"/>
      </w:divBdr>
    </w:div>
    <w:div w:id="1054934222">
      <w:marLeft w:val="0"/>
      <w:marRight w:val="0"/>
      <w:marTop w:val="0"/>
      <w:marBottom w:val="0"/>
      <w:divBdr>
        <w:top w:val="none" w:sz="0" w:space="0" w:color="auto"/>
        <w:left w:val="none" w:sz="0" w:space="0" w:color="auto"/>
        <w:bottom w:val="none" w:sz="0" w:space="0" w:color="auto"/>
        <w:right w:val="none" w:sz="0" w:space="0" w:color="auto"/>
      </w:divBdr>
    </w:div>
    <w:div w:id="1058164663">
      <w:marLeft w:val="0"/>
      <w:marRight w:val="0"/>
      <w:marTop w:val="0"/>
      <w:marBottom w:val="0"/>
      <w:divBdr>
        <w:top w:val="none" w:sz="0" w:space="0" w:color="auto"/>
        <w:left w:val="none" w:sz="0" w:space="0" w:color="auto"/>
        <w:bottom w:val="none" w:sz="0" w:space="0" w:color="auto"/>
        <w:right w:val="none" w:sz="0" w:space="0" w:color="auto"/>
      </w:divBdr>
    </w:div>
    <w:div w:id="1060247719">
      <w:marLeft w:val="0"/>
      <w:marRight w:val="0"/>
      <w:marTop w:val="0"/>
      <w:marBottom w:val="0"/>
      <w:divBdr>
        <w:top w:val="none" w:sz="0" w:space="0" w:color="auto"/>
        <w:left w:val="none" w:sz="0" w:space="0" w:color="auto"/>
        <w:bottom w:val="none" w:sz="0" w:space="0" w:color="auto"/>
        <w:right w:val="none" w:sz="0" w:space="0" w:color="auto"/>
      </w:divBdr>
    </w:div>
    <w:div w:id="1064108830">
      <w:marLeft w:val="0"/>
      <w:marRight w:val="0"/>
      <w:marTop w:val="0"/>
      <w:marBottom w:val="0"/>
      <w:divBdr>
        <w:top w:val="none" w:sz="0" w:space="0" w:color="auto"/>
        <w:left w:val="none" w:sz="0" w:space="0" w:color="auto"/>
        <w:bottom w:val="none" w:sz="0" w:space="0" w:color="auto"/>
        <w:right w:val="none" w:sz="0" w:space="0" w:color="auto"/>
      </w:divBdr>
    </w:div>
    <w:div w:id="1064375021">
      <w:marLeft w:val="0"/>
      <w:marRight w:val="0"/>
      <w:marTop w:val="0"/>
      <w:marBottom w:val="0"/>
      <w:divBdr>
        <w:top w:val="none" w:sz="0" w:space="0" w:color="auto"/>
        <w:left w:val="none" w:sz="0" w:space="0" w:color="auto"/>
        <w:bottom w:val="none" w:sz="0" w:space="0" w:color="auto"/>
        <w:right w:val="none" w:sz="0" w:space="0" w:color="auto"/>
      </w:divBdr>
    </w:div>
    <w:div w:id="1079403589">
      <w:marLeft w:val="0"/>
      <w:marRight w:val="0"/>
      <w:marTop w:val="0"/>
      <w:marBottom w:val="0"/>
      <w:divBdr>
        <w:top w:val="none" w:sz="0" w:space="0" w:color="auto"/>
        <w:left w:val="none" w:sz="0" w:space="0" w:color="auto"/>
        <w:bottom w:val="none" w:sz="0" w:space="0" w:color="auto"/>
        <w:right w:val="none" w:sz="0" w:space="0" w:color="auto"/>
      </w:divBdr>
    </w:div>
    <w:div w:id="1079787272">
      <w:marLeft w:val="0"/>
      <w:marRight w:val="0"/>
      <w:marTop w:val="0"/>
      <w:marBottom w:val="0"/>
      <w:divBdr>
        <w:top w:val="none" w:sz="0" w:space="0" w:color="auto"/>
        <w:left w:val="none" w:sz="0" w:space="0" w:color="auto"/>
        <w:bottom w:val="none" w:sz="0" w:space="0" w:color="auto"/>
        <w:right w:val="none" w:sz="0" w:space="0" w:color="auto"/>
      </w:divBdr>
    </w:div>
    <w:div w:id="1080980320">
      <w:marLeft w:val="0"/>
      <w:marRight w:val="0"/>
      <w:marTop w:val="0"/>
      <w:marBottom w:val="0"/>
      <w:divBdr>
        <w:top w:val="none" w:sz="0" w:space="0" w:color="auto"/>
        <w:left w:val="none" w:sz="0" w:space="0" w:color="auto"/>
        <w:bottom w:val="none" w:sz="0" w:space="0" w:color="auto"/>
        <w:right w:val="none" w:sz="0" w:space="0" w:color="auto"/>
      </w:divBdr>
    </w:div>
    <w:div w:id="1081219479">
      <w:marLeft w:val="0"/>
      <w:marRight w:val="0"/>
      <w:marTop w:val="0"/>
      <w:marBottom w:val="0"/>
      <w:divBdr>
        <w:top w:val="none" w:sz="0" w:space="0" w:color="auto"/>
        <w:left w:val="none" w:sz="0" w:space="0" w:color="auto"/>
        <w:bottom w:val="none" w:sz="0" w:space="0" w:color="auto"/>
        <w:right w:val="none" w:sz="0" w:space="0" w:color="auto"/>
      </w:divBdr>
    </w:div>
    <w:div w:id="1081371202">
      <w:marLeft w:val="0"/>
      <w:marRight w:val="0"/>
      <w:marTop w:val="0"/>
      <w:marBottom w:val="0"/>
      <w:divBdr>
        <w:top w:val="none" w:sz="0" w:space="0" w:color="auto"/>
        <w:left w:val="none" w:sz="0" w:space="0" w:color="auto"/>
        <w:bottom w:val="none" w:sz="0" w:space="0" w:color="auto"/>
        <w:right w:val="none" w:sz="0" w:space="0" w:color="auto"/>
      </w:divBdr>
    </w:div>
    <w:div w:id="1081873634">
      <w:marLeft w:val="0"/>
      <w:marRight w:val="0"/>
      <w:marTop w:val="0"/>
      <w:marBottom w:val="0"/>
      <w:divBdr>
        <w:top w:val="none" w:sz="0" w:space="0" w:color="auto"/>
        <w:left w:val="none" w:sz="0" w:space="0" w:color="auto"/>
        <w:bottom w:val="none" w:sz="0" w:space="0" w:color="auto"/>
        <w:right w:val="none" w:sz="0" w:space="0" w:color="auto"/>
      </w:divBdr>
      <w:divsChild>
        <w:div w:id="474950887">
          <w:marLeft w:val="0"/>
          <w:marRight w:val="0"/>
          <w:marTop w:val="0"/>
          <w:marBottom w:val="0"/>
          <w:divBdr>
            <w:top w:val="none" w:sz="0" w:space="0" w:color="auto"/>
            <w:left w:val="none" w:sz="0" w:space="0" w:color="auto"/>
            <w:bottom w:val="none" w:sz="0" w:space="0" w:color="auto"/>
            <w:right w:val="none" w:sz="0" w:space="0" w:color="auto"/>
          </w:divBdr>
        </w:div>
      </w:divsChild>
    </w:div>
    <w:div w:id="1081953097">
      <w:marLeft w:val="0"/>
      <w:marRight w:val="0"/>
      <w:marTop w:val="0"/>
      <w:marBottom w:val="0"/>
      <w:divBdr>
        <w:top w:val="none" w:sz="0" w:space="0" w:color="auto"/>
        <w:left w:val="none" w:sz="0" w:space="0" w:color="auto"/>
        <w:bottom w:val="none" w:sz="0" w:space="0" w:color="auto"/>
        <w:right w:val="none" w:sz="0" w:space="0" w:color="auto"/>
      </w:divBdr>
    </w:div>
    <w:div w:id="1088038333">
      <w:marLeft w:val="0"/>
      <w:marRight w:val="0"/>
      <w:marTop w:val="0"/>
      <w:marBottom w:val="0"/>
      <w:divBdr>
        <w:top w:val="none" w:sz="0" w:space="0" w:color="auto"/>
        <w:left w:val="none" w:sz="0" w:space="0" w:color="auto"/>
        <w:bottom w:val="none" w:sz="0" w:space="0" w:color="auto"/>
        <w:right w:val="none" w:sz="0" w:space="0" w:color="auto"/>
      </w:divBdr>
    </w:div>
    <w:div w:id="1088117761">
      <w:marLeft w:val="0"/>
      <w:marRight w:val="0"/>
      <w:marTop w:val="0"/>
      <w:marBottom w:val="0"/>
      <w:divBdr>
        <w:top w:val="none" w:sz="0" w:space="0" w:color="auto"/>
        <w:left w:val="none" w:sz="0" w:space="0" w:color="auto"/>
        <w:bottom w:val="none" w:sz="0" w:space="0" w:color="auto"/>
        <w:right w:val="none" w:sz="0" w:space="0" w:color="auto"/>
      </w:divBdr>
    </w:div>
    <w:div w:id="1088305399">
      <w:marLeft w:val="0"/>
      <w:marRight w:val="0"/>
      <w:marTop w:val="0"/>
      <w:marBottom w:val="0"/>
      <w:divBdr>
        <w:top w:val="none" w:sz="0" w:space="0" w:color="auto"/>
        <w:left w:val="none" w:sz="0" w:space="0" w:color="auto"/>
        <w:bottom w:val="none" w:sz="0" w:space="0" w:color="auto"/>
        <w:right w:val="none" w:sz="0" w:space="0" w:color="auto"/>
      </w:divBdr>
    </w:div>
    <w:div w:id="1088424664">
      <w:marLeft w:val="0"/>
      <w:marRight w:val="0"/>
      <w:marTop w:val="0"/>
      <w:marBottom w:val="0"/>
      <w:divBdr>
        <w:top w:val="none" w:sz="0" w:space="0" w:color="auto"/>
        <w:left w:val="none" w:sz="0" w:space="0" w:color="auto"/>
        <w:bottom w:val="none" w:sz="0" w:space="0" w:color="auto"/>
        <w:right w:val="none" w:sz="0" w:space="0" w:color="auto"/>
      </w:divBdr>
    </w:div>
    <w:div w:id="1090857691">
      <w:marLeft w:val="0"/>
      <w:marRight w:val="0"/>
      <w:marTop w:val="0"/>
      <w:marBottom w:val="0"/>
      <w:divBdr>
        <w:top w:val="none" w:sz="0" w:space="0" w:color="auto"/>
        <w:left w:val="none" w:sz="0" w:space="0" w:color="auto"/>
        <w:bottom w:val="none" w:sz="0" w:space="0" w:color="auto"/>
        <w:right w:val="none" w:sz="0" w:space="0" w:color="auto"/>
      </w:divBdr>
    </w:div>
    <w:div w:id="1091511895">
      <w:marLeft w:val="0"/>
      <w:marRight w:val="0"/>
      <w:marTop w:val="0"/>
      <w:marBottom w:val="0"/>
      <w:divBdr>
        <w:top w:val="none" w:sz="0" w:space="0" w:color="auto"/>
        <w:left w:val="none" w:sz="0" w:space="0" w:color="auto"/>
        <w:bottom w:val="none" w:sz="0" w:space="0" w:color="auto"/>
        <w:right w:val="none" w:sz="0" w:space="0" w:color="auto"/>
      </w:divBdr>
    </w:div>
    <w:div w:id="1092240304">
      <w:marLeft w:val="0"/>
      <w:marRight w:val="0"/>
      <w:marTop w:val="0"/>
      <w:marBottom w:val="0"/>
      <w:divBdr>
        <w:top w:val="none" w:sz="0" w:space="0" w:color="auto"/>
        <w:left w:val="none" w:sz="0" w:space="0" w:color="auto"/>
        <w:bottom w:val="none" w:sz="0" w:space="0" w:color="auto"/>
        <w:right w:val="none" w:sz="0" w:space="0" w:color="auto"/>
      </w:divBdr>
    </w:div>
    <w:div w:id="1092356144">
      <w:marLeft w:val="0"/>
      <w:marRight w:val="0"/>
      <w:marTop w:val="0"/>
      <w:marBottom w:val="0"/>
      <w:divBdr>
        <w:top w:val="none" w:sz="0" w:space="0" w:color="auto"/>
        <w:left w:val="none" w:sz="0" w:space="0" w:color="auto"/>
        <w:bottom w:val="none" w:sz="0" w:space="0" w:color="auto"/>
        <w:right w:val="none" w:sz="0" w:space="0" w:color="auto"/>
      </w:divBdr>
    </w:div>
    <w:div w:id="1093167090">
      <w:marLeft w:val="0"/>
      <w:marRight w:val="0"/>
      <w:marTop w:val="0"/>
      <w:marBottom w:val="0"/>
      <w:divBdr>
        <w:top w:val="none" w:sz="0" w:space="0" w:color="auto"/>
        <w:left w:val="none" w:sz="0" w:space="0" w:color="auto"/>
        <w:bottom w:val="none" w:sz="0" w:space="0" w:color="auto"/>
        <w:right w:val="none" w:sz="0" w:space="0" w:color="auto"/>
      </w:divBdr>
    </w:div>
    <w:div w:id="1093284201">
      <w:marLeft w:val="0"/>
      <w:marRight w:val="0"/>
      <w:marTop w:val="0"/>
      <w:marBottom w:val="0"/>
      <w:divBdr>
        <w:top w:val="none" w:sz="0" w:space="0" w:color="auto"/>
        <w:left w:val="none" w:sz="0" w:space="0" w:color="auto"/>
        <w:bottom w:val="none" w:sz="0" w:space="0" w:color="auto"/>
        <w:right w:val="none" w:sz="0" w:space="0" w:color="auto"/>
      </w:divBdr>
      <w:divsChild>
        <w:div w:id="349917305">
          <w:marLeft w:val="0"/>
          <w:marRight w:val="0"/>
          <w:marTop w:val="0"/>
          <w:marBottom w:val="0"/>
          <w:divBdr>
            <w:top w:val="none" w:sz="0" w:space="0" w:color="auto"/>
            <w:left w:val="none" w:sz="0" w:space="0" w:color="auto"/>
            <w:bottom w:val="none" w:sz="0" w:space="0" w:color="auto"/>
            <w:right w:val="none" w:sz="0" w:space="0" w:color="auto"/>
          </w:divBdr>
        </w:div>
      </w:divsChild>
    </w:div>
    <w:div w:id="1093287151">
      <w:marLeft w:val="0"/>
      <w:marRight w:val="0"/>
      <w:marTop w:val="0"/>
      <w:marBottom w:val="0"/>
      <w:divBdr>
        <w:top w:val="none" w:sz="0" w:space="0" w:color="auto"/>
        <w:left w:val="none" w:sz="0" w:space="0" w:color="auto"/>
        <w:bottom w:val="none" w:sz="0" w:space="0" w:color="auto"/>
        <w:right w:val="none" w:sz="0" w:space="0" w:color="auto"/>
      </w:divBdr>
    </w:div>
    <w:div w:id="1097334947">
      <w:marLeft w:val="0"/>
      <w:marRight w:val="0"/>
      <w:marTop w:val="0"/>
      <w:marBottom w:val="0"/>
      <w:divBdr>
        <w:top w:val="none" w:sz="0" w:space="0" w:color="auto"/>
        <w:left w:val="none" w:sz="0" w:space="0" w:color="auto"/>
        <w:bottom w:val="none" w:sz="0" w:space="0" w:color="auto"/>
        <w:right w:val="none" w:sz="0" w:space="0" w:color="auto"/>
      </w:divBdr>
    </w:div>
    <w:div w:id="1099104787">
      <w:marLeft w:val="0"/>
      <w:marRight w:val="0"/>
      <w:marTop w:val="0"/>
      <w:marBottom w:val="0"/>
      <w:divBdr>
        <w:top w:val="none" w:sz="0" w:space="0" w:color="auto"/>
        <w:left w:val="none" w:sz="0" w:space="0" w:color="auto"/>
        <w:bottom w:val="none" w:sz="0" w:space="0" w:color="auto"/>
        <w:right w:val="none" w:sz="0" w:space="0" w:color="auto"/>
      </w:divBdr>
    </w:div>
    <w:div w:id="1104306020">
      <w:marLeft w:val="0"/>
      <w:marRight w:val="0"/>
      <w:marTop w:val="0"/>
      <w:marBottom w:val="0"/>
      <w:divBdr>
        <w:top w:val="none" w:sz="0" w:space="0" w:color="auto"/>
        <w:left w:val="none" w:sz="0" w:space="0" w:color="auto"/>
        <w:bottom w:val="none" w:sz="0" w:space="0" w:color="auto"/>
        <w:right w:val="none" w:sz="0" w:space="0" w:color="auto"/>
      </w:divBdr>
    </w:div>
    <w:div w:id="1104378076">
      <w:marLeft w:val="0"/>
      <w:marRight w:val="0"/>
      <w:marTop w:val="0"/>
      <w:marBottom w:val="0"/>
      <w:divBdr>
        <w:top w:val="none" w:sz="0" w:space="0" w:color="auto"/>
        <w:left w:val="none" w:sz="0" w:space="0" w:color="auto"/>
        <w:bottom w:val="none" w:sz="0" w:space="0" w:color="auto"/>
        <w:right w:val="none" w:sz="0" w:space="0" w:color="auto"/>
      </w:divBdr>
    </w:div>
    <w:div w:id="1105343836">
      <w:marLeft w:val="0"/>
      <w:marRight w:val="0"/>
      <w:marTop w:val="0"/>
      <w:marBottom w:val="0"/>
      <w:divBdr>
        <w:top w:val="none" w:sz="0" w:space="0" w:color="auto"/>
        <w:left w:val="none" w:sz="0" w:space="0" w:color="auto"/>
        <w:bottom w:val="none" w:sz="0" w:space="0" w:color="auto"/>
        <w:right w:val="none" w:sz="0" w:space="0" w:color="auto"/>
      </w:divBdr>
    </w:div>
    <w:div w:id="1105805690">
      <w:marLeft w:val="0"/>
      <w:marRight w:val="0"/>
      <w:marTop w:val="0"/>
      <w:marBottom w:val="0"/>
      <w:divBdr>
        <w:top w:val="none" w:sz="0" w:space="0" w:color="auto"/>
        <w:left w:val="none" w:sz="0" w:space="0" w:color="auto"/>
        <w:bottom w:val="none" w:sz="0" w:space="0" w:color="auto"/>
        <w:right w:val="none" w:sz="0" w:space="0" w:color="auto"/>
      </w:divBdr>
    </w:div>
    <w:div w:id="1106071910">
      <w:marLeft w:val="0"/>
      <w:marRight w:val="0"/>
      <w:marTop w:val="0"/>
      <w:marBottom w:val="0"/>
      <w:divBdr>
        <w:top w:val="none" w:sz="0" w:space="0" w:color="auto"/>
        <w:left w:val="none" w:sz="0" w:space="0" w:color="auto"/>
        <w:bottom w:val="none" w:sz="0" w:space="0" w:color="auto"/>
        <w:right w:val="none" w:sz="0" w:space="0" w:color="auto"/>
      </w:divBdr>
    </w:div>
    <w:div w:id="1106924879">
      <w:marLeft w:val="0"/>
      <w:marRight w:val="0"/>
      <w:marTop w:val="0"/>
      <w:marBottom w:val="0"/>
      <w:divBdr>
        <w:top w:val="none" w:sz="0" w:space="0" w:color="auto"/>
        <w:left w:val="none" w:sz="0" w:space="0" w:color="auto"/>
        <w:bottom w:val="none" w:sz="0" w:space="0" w:color="auto"/>
        <w:right w:val="none" w:sz="0" w:space="0" w:color="auto"/>
      </w:divBdr>
    </w:div>
    <w:div w:id="1107457988">
      <w:marLeft w:val="0"/>
      <w:marRight w:val="0"/>
      <w:marTop w:val="0"/>
      <w:marBottom w:val="0"/>
      <w:divBdr>
        <w:top w:val="none" w:sz="0" w:space="0" w:color="auto"/>
        <w:left w:val="none" w:sz="0" w:space="0" w:color="auto"/>
        <w:bottom w:val="none" w:sz="0" w:space="0" w:color="auto"/>
        <w:right w:val="none" w:sz="0" w:space="0" w:color="auto"/>
      </w:divBdr>
    </w:div>
    <w:div w:id="1109668200">
      <w:marLeft w:val="0"/>
      <w:marRight w:val="0"/>
      <w:marTop w:val="0"/>
      <w:marBottom w:val="0"/>
      <w:divBdr>
        <w:top w:val="none" w:sz="0" w:space="0" w:color="auto"/>
        <w:left w:val="none" w:sz="0" w:space="0" w:color="auto"/>
        <w:bottom w:val="none" w:sz="0" w:space="0" w:color="auto"/>
        <w:right w:val="none" w:sz="0" w:space="0" w:color="auto"/>
      </w:divBdr>
    </w:div>
    <w:div w:id="1110196843">
      <w:marLeft w:val="0"/>
      <w:marRight w:val="0"/>
      <w:marTop w:val="0"/>
      <w:marBottom w:val="0"/>
      <w:divBdr>
        <w:top w:val="none" w:sz="0" w:space="0" w:color="auto"/>
        <w:left w:val="none" w:sz="0" w:space="0" w:color="auto"/>
        <w:bottom w:val="none" w:sz="0" w:space="0" w:color="auto"/>
        <w:right w:val="none" w:sz="0" w:space="0" w:color="auto"/>
      </w:divBdr>
    </w:div>
    <w:div w:id="1112625849">
      <w:marLeft w:val="0"/>
      <w:marRight w:val="0"/>
      <w:marTop w:val="0"/>
      <w:marBottom w:val="0"/>
      <w:divBdr>
        <w:top w:val="none" w:sz="0" w:space="0" w:color="auto"/>
        <w:left w:val="none" w:sz="0" w:space="0" w:color="auto"/>
        <w:bottom w:val="none" w:sz="0" w:space="0" w:color="auto"/>
        <w:right w:val="none" w:sz="0" w:space="0" w:color="auto"/>
      </w:divBdr>
    </w:div>
    <w:div w:id="1120031593">
      <w:marLeft w:val="0"/>
      <w:marRight w:val="0"/>
      <w:marTop w:val="0"/>
      <w:marBottom w:val="280"/>
      <w:divBdr>
        <w:top w:val="none" w:sz="0" w:space="0" w:color="auto"/>
        <w:left w:val="none" w:sz="0" w:space="0" w:color="auto"/>
        <w:bottom w:val="none" w:sz="0" w:space="0" w:color="auto"/>
        <w:right w:val="none" w:sz="0" w:space="0" w:color="auto"/>
      </w:divBdr>
    </w:div>
    <w:div w:id="1121419182">
      <w:marLeft w:val="0"/>
      <w:marRight w:val="0"/>
      <w:marTop w:val="0"/>
      <w:marBottom w:val="0"/>
      <w:divBdr>
        <w:top w:val="none" w:sz="0" w:space="0" w:color="auto"/>
        <w:left w:val="none" w:sz="0" w:space="0" w:color="auto"/>
        <w:bottom w:val="none" w:sz="0" w:space="0" w:color="auto"/>
        <w:right w:val="none" w:sz="0" w:space="0" w:color="auto"/>
      </w:divBdr>
    </w:div>
    <w:div w:id="1127045663">
      <w:marLeft w:val="0"/>
      <w:marRight w:val="0"/>
      <w:marTop w:val="0"/>
      <w:marBottom w:val="0"/>
      <w:divBdr>
        <w:top w:val="none" w:sz="0" w:space="0" w:color="auto"/>
        <w:left w:val="none" w:sz="0" w:space="0" w:color="auto"/>
        <w:bottom w:val="none" w:sz="0" w:space="0" w:color="auto"/>
        <w:right w:val="none" w:sz="0" w:space="0" w:color="auto"/>
      </w:divBdr>
      <w:divsChild>
        <w:div w:id="1292008041">
          <w:marLeft w:val="0"/>
          <w:marRight w:val="0"/>
          <w:marTop w:val="0"/>
          <w:marBottom w:val="0"/>
          <w:divBdr>
            <w:top w:val="none" w:sz="0" w:space="0" w:color="auto"/>
            <w:left w:val="none" w:sz="0" w:space="0" w:color="auto"/>
            <w:bottom w:val="none" w:sz="0" w:space="0" w:color="auto"/>
            <w:right w:val="none" w:sz="0" w:space="0" w:color="auto"/>
          </w:divBdr>
        </w:div>
      </w:divsChild>
    </w:div>
    <w:div w:id="1131169824">
      <w:marLeft w:val="0"/>
      <w:marRight w:val="0"/>
      <w:marTop w:val="0"/>
      <w:marBottom w:val="0"/>
      <w:divBdr>
        <w:top w:val="none" w:sz="0" w:space="0" w:color="auto"/>
        <w:left w:val="none" w:sz="0" w:space="0" w:color="auto"/>
        <w:bottom w:val="none" w:sz="0" w:space="0" w:color="auto"/>
        <w:right w:val="none" w:sz="0" w:space="0" w:color="auto"/>
      </w:divBdr>
    </w:div>
    <w:div w:id="1135952925">
      <w:marLeft w:val="0"/>
      <w:marRight w:val="0"/>
      <w:marTop w:val="0"/>
      <w:marBottom w:val="180"/>
      <w:divBdr>
        <w:top w:val="none" w:sz="0" w:space="0" w:color="auto"/>
        <w:left w:val="none" w:sz="0" w:space="0" w:color="auto"/>
        <w:bottom w:val="none" w:sz="0" w:space="0" w:color="auto"/>
        <w:right w:val="none" w:sz="0" w:space="0" w:color="auto"/>
      </w:divBdr>
    </w:div>
    <w:div w:id="1138958157">
      <w:marLeft w:val="0"/>
      <w:marRight w:val="0"/>
      <w:marTop w:val="80"/>
      <w:marBottom w:val="0"/>
      <w:divBdr>
        <w:top w:val="none" w:sz="0" w:space="0" w:color="auto"/>
        <w:left w:val="none" w:sz="0" w:space="0" w:color="auto"/>
        <w:bottom w:val="none" w:sz="0" w:space="0" w:color="auto"/>
        <w:right w:val="none" w:sz="0" w:space="0" w:color="auto"/>
      </w:divBdr>
    </w:div>
    <w:div w:id="1140079588">
      <w:marLeft w:val="0"/>
      <w:marRight w:val="0"/>
      <w:marTop w:val="0"/>
      <w:marBottom w:val="0"/>
      <w:divBdr>
        <w:top w:val="none" w:sz="0" w:space="0" w:color="auto"/>
        <w:left w:val="none" w:sz="0" w:space="0" w:color="auto"/>
        <w:bottom w:val="none" w:sz="0" w:space="0" w:color="auto"/>
        <w:right w:val="none" w:sz="0" w:space="0" w:color="auto"/>
      </w:divBdr>
    </w:div>
    <w:div w:id="1140997199">
      <w:marLeft w:val="0"/>
      <w:marRight w:val="0"/>
      <w:marTop w:val="0"/>
      <w:marBottom w:val="0"/>
      <w:divBdr>
        <w:top w:val="none" w:sz="0" w:space="0" w:color="auto"/>
        <w:left w:val="none" w:sz="0" w:space="0" w:color="auto"/>
        <w:bottom w:val="none" w:sz="0" w:space="0" w:color="auto"/>
        <w:right w:val="none" w:sz="0" w:space="0" w:color="auto"/>
      </w:divBdr>
    </w:div>
    <w:div w:id="1141922637">
      <w:marLeft w:val="0"/>
      <w:marRight w:val="0"/>
      <w:marTop w:val="0"/>
      <w:marBottom w:val="0"/>
      <w:divBdr>
        <w:top w:val="none" w:sz="0" w:space="0" w:color="auto"/>
        <w:left w:val="none" w:sz="0" w:space="0" w:color="auto"/>
        <w:bottom w:val="none" w:sz="0" w:space="0" w:color="auto"/>
        <w:right w:val="none" w:sz="0" w:space="0" w:color="auto"/>
      </w:divBdr>
    </w:div>
    <w:div w:id="1143158224">
      <w:marLeft w:val="0"/>
      <w:marRight w:val="0"/>
      <w:marTop w:val="0"/>
      <w:marBottom w:val="0"/>
      <w:divBdr>
        <w:top w:val="none" w:sz="0" w:space="0" w:color="auto"/>
        <w:left w:val="none" w:sz="0" w:space="0" w:color="auto"/>
        <w:bottom w:val="none" w:sz="0" w:space="0" w:color="auto"/>
        <w:right w:val="none" w:sz="0" w:space="0" w:color="auto"/>
      </w:divBdr>
    </w:div>
    <w:div w:id="1143235304">
      <w:marLeft w:val="0"/>
      <w:marRight w:val="0"/>
      <w:marTop w:val="80"/>
      <w:marBottom w:val="0"/>
      <w:divBdr>
        <w:top w:val="none" w:sz="0" w:space="0" w:color="auto"/>
        <w:left w:val="none" w:sz="0" w:space="0" w:color="auto"/>
        <w:bottom w:val="none" w:sz="0" w:space="0" w:color="auto"/>
        <w:right w:val="none" w:sz="0" w:space="0" w:color="auto"/>
      </w:divBdr>
    </w:div>
    <w:div w:id="1143620141">
      <w:marLeft w:val="0"/>
      <w:marRight w:val="0"/>
      <w:marTop w:val="0"/>
      <w:marBottom w:val="0"/>
      <w:divBdr>
        <w:top w:val="none" w:sz="0" w:space="0" w:color="auto"/>
        <w:left w:val="none" w:sz="0" w:space="0" w:color="auto"/>
        <w:bottom w:val="none" w:sz="0" w:space="0" w:color="auto"/>
        <w:right w:val="none" w:sz="0" w:space="0" w:color="auto"/>
      </w:divBdr>
    </w:div>
    <w:div w:id="1147208817">
      <w:marLeft w:val="0"/>
      <w:marRight w:val="0"/>
      <w:marTop w:val="0"/>
      <w:marBottom w:val="200"/>
      <w:divBdr>
        <w:top w:val="none" w:sz="0" w:space="0" w:color="auto"/>
        <w:left w:val="none" w:sz="0" w:space="0" w:color="auto"/>
        <w:bottom w:val="none" w:sz="0" w:space="0" w:color="auto"/>
        <w:right w:val="none" w:sz="0" w:space="0" w:color="auto"/>
      </w:divBdr>
    </w:div>
    <w:div w:id="1148933297">
      <w:marLeft w:val="0"/>
      <w:marRight w:val="0"/>
      <w:marTop w:val="0"/>
      <w:marBottom w:val="0"/>
      <w:divBdr>
        <w:top w:val="none" w:sz="0" w:space="0" w:color="auto"/>
        <w:left w:val="none" w:sz="0" w:space="0" w:color="auto"/>
        <w:bottom w:val="none" w:sz="0" w:space="0" w:color="auto"/>
        <w:right w:val="none" w:sz="0" w:space="0" w:color="auto"/>
      </w:divBdr>
    </w:div>
    <w:div w:id="1149588594">
      <w:marLeft w:val="0"/>
      <w:marRight w:val="0"/>
      <w:marTop w:val="0"/>
      <w:marBottom w:val="0"/>
      <w:divBdr>
        <w:top w:val="none" w:sz="0" w:space="0" w:color="auto"/>
        <w:left w:val="none" w:sz="0" w:space="0" w:color="auto"/>
        <w:bottom w:val="none" w:sz="0" w:space="0" w:color="auto"/>
        <w:right w:val="none" w:sz="0" w:space="0" w:color="auto"/>
      </w:divBdr>
    </w:div>
    <w:div w:id="1151099682">
      <w:marLeft w:val="0"/>
      <w:marRight w:val="0"/>
      <w:marTop w:val="0"/>
      <w:marBottom w:val="0"/>
      <w:divBdr>
        <w:top w:val="none" w:sz="0" w:space="0" w:color="auto"/>
        <w:left w:val="none" w:sz="0" w:space="0" w:color="auto"/>
        <w:bottom w:val="none" w:sz="0" w:space="0" w:color="auto"/>
        <w:right w:val="none" w:sz="0" w:space="0" w:color="auto"/>
      </w:divBdr>
    </w:div>
    <w:div w:id="1153716097">
      <w:marLeft w:val="0"/>
      <w:marRight w:val="0"/>
      <w:marTop w:val="0"/>
      <w:marBottom w:val="0"/>
      <w:divBdr>
        <w:top w:val="none" w:sz="0" w:space="0" w:color="auto"/>
        <w:left w:val="none" w:sz="0" w:space="0" w:color="auto"/>
        <w:bottom w:val="none" w:sz="0" w:space="0" w:color="auto"/>
        <w:right w:val="none" w:sz="0" w:space="0" w:color="auto"/>
      </w:divBdr>
    </w:div>
    <w:div w:id="1153839973">
      <w:marLeft w:val="0"/>
      <w:marRight w:val="0"/>
      <w:marTop w:val="0"/>
      <w:marBottom w:val="0"/>
      <w:divBdr>
        <w:top w:val="none" w:sz="0" w:space="0" w:color="auto"/>
        <w:left w:val="none" w:sz="0" w:space="0" w:color="auto"/>
        <w:bottom w:val="none" w:sz="0" w:space="0" w:color="auto"/>
        <w:right w:val="none" w:sz="0" w:space="0" w:color="auto"/>
      </w:divBdr>
    </w:div>
    <w:div w:id="1154029772">
      <w:marLeft w:val="0"/>
      <w:marRight w:val="0"/>
      <w:marTop w:val="0"/>
      <w:marBottom w:val="0"/>
      <w:divBdr>
        <w:top w:val="none" w:sz="0" w:space="0" w:color="auto"/>
        <w:left w:val="none" w:sz="0" w:space="0" w:color="auto"/>
        <w:bottom w:val="none" w:sz="0" w:space="0" w:color="auto"/>
        <w:right w:val="none" w:sz="0" w:space="0" w:color="auto"/>
      </w:divBdr>
    </w:div>
    <w:div w:id="1155412851">
      <w:marLeft w:val="0"/>
      <w:marRight w:val="0"/>
      <w:marTop w:val="0"/>
      <w:marBottom w:val="0"/>
      <w:divBdr>
        <w:top w:val="none" w:sz="0" w:space="0" w:color="auto"/>
        <w:left w:val="none" w:sz="0" w:space="0" w:color="auto"/>
        <w:bottom w:val="none" w:sz="0" w:space="0" w:color="auto"/>
        <w:right w:val="none" w:sz="0" w:space="0" w:color="auto"/>
      </w:divBdr>
      <w:divsChild>
        <w:div w:id="949319583">
          <w:marLeft w:val="0"/>
          <w:marRight w:val="0"/>
          <w:marTop w:val="0"/>
          <w:marBottom w:val="0"/>
          <w:divBdr>
            <w:top w:val="none" w:sz="0" w:space="0" w:color="auto"/>
            <w:left w:val="none" w:sz="0" w:space="0" w:color="auto"/>
            <w:bottom w:val="none" w:sz="0" w:space="0" w:color="auto"/>
            <w:right w:val="none" w:sz="0" w:space="0" w:color="auto"/>
          </w:divBdr>
        </w:div>
      </w:divsChild>
    </w:div>
    <w:div w:id="1155997184">
      <w:marLeft w:val="0"/>
      <w:marRight w:val="0"/>
      <w:marTop w:val="0"/>
      <w:marBottom w:val="0"/>
      <w:divBdr>
        <w:top w:val="none" w:sz="0" w:space="0" w:color="auto"/>
        <w:left w:val="none" w:sz="0" w:space="0" w:color="auto"/>
        <w:bottom w:val="none" w:sz="0" w:space="0" w:color="auto"/>
        <w:right w:val="none" w:sz="0" w:space="0" w:color="auto"/>
      </w:divBdr>
    </w:div>
    <w:div w:id="1159419060">
      <w:marLeft w:val="0"/>
      <w:marRight w:val="0"/>
      <w:marTop w:val="0"/>
      <w:marBottom w:val="0"/>
      <w:divBdr>
        <w:top w:val="none" w:sz="0" w:space="0" w:color="auto"/>
        <w:left w:val="none" w:sz="0" w:space="0" w:color="auto"/>
        <w:bottom w:val="none" w:sz="0" w:space="0" w:color="auto"/>
        <w:right w:val="none" w:sz="0" w:space="0" w:color="auto"/>
      </w:divBdr>
    </w:div>
    <w:div w:id="1160385174">
      <w:marLeft w:val="0"/>
      <w:marRight w:val="0"/>
      <w:marTop w:val="0"/>
      <w:marBottom w:val="0"/>
      <w:divBdr>
        <w:top w:val="none" w:sz="0" w:space="0" w:color="auto"/>
        <w:left w:val="none" w:sz="0" w:space="0" w:color="auto"/>
        <w:bottom w:val="none" w:sz="0" w:space="0" w:color="auto"/>
        <w:right w:val="none" w:sz="0" w:space="0" w:color="auto"/>
      </w:divBdr>
    </w:div>
    <w:div w:id="1161430033">
      <w:marLeft w:val="0"/>
      <w:marRight w:val="0"/>
      <w:marTop w:val="0"/>
      <w:marBottom w:val="0"/>
      <w:divBdr>
        <w:top w:val="none" w:sz="0" w:space="0" w:color="auto"/>
        <w:left w:val="none" w:sz="0" w:space="0" w:color="auto"/>
        <w:bottom w:val="none" w:sz="0" w:space="0" w:color="auto"/>
        <w:right w:val="none" w:sz="0" w:space="0" w:color="auto"/>
      </w:divBdr>
      <w:divsChild>
        <w:div w:id="630136656">
          <w:marLeft w:val="0"/>
          <w:marRight w:val="0"/>
          <w:marTop w:val="0"/>
          <w:marBottom w:val="0"/>
          <w:divBdr>
            <w:top w:val="none" w:sz="0" w:space="0" w:color="auto"/>
            <w:left w:val="none" w:sz="0" w:space="0" w:color="auto"/>
            <w:bottom w:val="none" w:sz="0" w:space="0" w:color="auto"/>
            <w:right w:val="none" w:sz="0" w:space="0" w:color="auto"/>
          </w:divBdr>
        </w:div>
      </w:divsChild>
    </w:div>
    <w:div w:id="1161460462">
      <w:marLeft w:val="0"/>
      <w:marRight w:val="0"/>
      <w:marTop w:val="100"/>
      <w:marBottom w:val="100"/>
      <w:divBdr>
        <w:top w:val="none" w:sz="0" w:space="0" w:color="auto"/>
        <w:left w:val="none" w:sz="0" w:space="0" w:color="auto"/>
        <w:bottom w:val="none" w:sz="0" w:space="0" w:color="auto"/>
        <w:right w:val="none" w:sz="0" w:space="0" w:color="auto"/>
      </w:divBdr>
    </w:div>
    <w:div w:id="1177621510">
      <w:marLeft w:val="0"/>
      <w:marRight w:val="0"/>
      <w:marTop w:val="0"/>
      <w:marBottom w:val="0"/>
      <w:divBdr>
        <w:top w:val="none" w:sz="0" w:space="0" w:color="auto"/>
        <w:left w:val="none" w:sz="0" w:space="0" w:color="auto"/>
        <w:bottom w:val="none" w:sz="0" w:space="0" w:color="auto"/>
        <w:right w:val="none" w:sz="0" w:space="0" w:color="auto"/>
      </w:divBdr>
    </w:div>
    <w:div w:id="1178344487">
      <w:marLeft w:val="0"/>
      <w:marRight w:val="0"/>
      <w:marTop w:val="0"/>
      <w:marBottom w:val="0"/>
      <w:divBdr>
        <w:top w:val="none" w:sz="0" w:space="0" w:color="auto"/>
        <w:left w:val="none" w:sz="0" w:space="0" w:color="auto"/>
        <w:bottom w:val="none" w:sz="0" w:space="0" w:color="auto"/>
        <w:right w:val="none" w:sz="0" w:space="0" w:color="auto"/>
      </w:divBdr>
    </w:div>
    <w:div w:id="1179544347">
      <w:marLeft w:val="0"/>
      <w:marRight w:val="0"/>
      <w:marTop w:val="0"/>
      <w:marBottom w:val="0"/>
      <w:divBdr>
        <w:top w:val="none" w:sz="0" w:space="0" w:color="auto"/>
        <w:left w:val="none" w:sz="0" w:space="0" w:color="auto"/>
        <w:bottom w:val="none" w:sz="0" w:space="0" w:color="auto"/>
        <w:right w:val="none" w:sz="0" w:space="0" w:color="auto"/>
      </w:divBdr>
    </w:div>
    <w:div w:id="1181165061">
      <w:marLeft w:val="0"/>
      <w:marRight w:val="0"/>
      <w:marTop w:val="0"/>
      <w:marBottom w:val="0"/>
      <w:divBdr>
        <w:top w:val="none" w:sz="0" w:space="0" w:color="auto"/>
        <w:left w:val="none" w:sz="0" w:space="0" w:color="auto"/>
        <w:bottom w:val="none" w:sz="0" w:space="0" w:color="auto"/>
        <w:right w:val="none" w:sz="0" w:space="0" w:color="auto"/>
      </w:divBdr>
    </w:div>
    <w:div w:id="1185900843">
      <w:marLeft w:val="0"/>
      <w:marRight w:val="0"/>
      <w:marTop w:val="0"/>
      <w:marBottom w:val="0"/>
      <w:divBdr>
        <w:top w:val="none" w:sz="0" w:space="0" w:color="auto"/>
        <w:left w:val="none" w:sz="0" w:space="0" w:color="auto"/>
        <w:bottom w:val="none" w:sz="0" w:space="0" w:color="auto"/>
        <w:right w:val="none" w:sz="0" w:space="0" w:color="auto"/>
      </w:divBdr>
    </w:div>
    <w:div w:id="1186168553">
      <w:marLeft w:val="0"/>
      <w:marRight w:val="0"/>
      <w:marTop w:val="0"/>
      <w:marBottom w:val="0"/>
      <w:divBdr>
        <w:top w:val="none" w:sz="0" w:space="0" w:color="auto"/>
        <w:left w:val="none" w:sz="0" w:space="0" w:color="auto"/>
        <w:bottom w:val="none" w:sz="0" w:space="0" w:color="auto"/>
        <w:right w:val="none" w:sz="0" w:space="0" w:color="auto"/>
      </w:divBdr>
    </w:div>
    <w:div w:id="1187409065">
      <w:marLeft w:val="0"/>
      <w:marRight w:val="0"/>
      <w:marTop w:val="0"/>
      <w:marBottom w:val="0"/>
      <w:divBdr>
        <w:top w:val="none" w:sz="0" w:space="0" w:color="auto"/>
        <w:left w:val="none" w:sz="0" w:space="0" w:color="auto"/>
        <w:bottom w:val="none" w:sz="0" w:space="0" w:color="auto"/>
        <w:right w:val="none" w:sz="0" w:space="0" w:color="auto"/>
      </w:divBdr>
    </w:div>
    <w:div w:id="1187907143">
      <w:marLeft w:val="0"/>
      <w:marRight w:val="0"/>
      <w:marTop w:val="0"/>
      <w:marBottom w:val="0"/>
      <w:divBdr>
        <w:top w:val="none" w:sz="0" w:space="0" w:color="auto"/>
        <w:left w:val="none" w:sz="0" w:space="0" w:color="auto"/>
        <w:bottom w:val="none" w:sz="0" w:space="0" w:color="auto"/>
        <w:right w:val="none" w:sz="0" w:space="0" w:color="auto"/>
      </w:divBdr>
    </w:div>
    <w:div w:id="1188178620">
      <w:marLeft w:val="0"/>
      <w:marRight w:val="0"/>
      <w:marTop w:val="0"/>
      <w:marBottom w:val="0"/>
      <w:divBdr>
        <w:top w:val="none" w:sz="0" w:space="0" w:color="auto"/>
        <w:left w:val="none" w:sz="0" w:space="0" w:color="auto"/>
        <w:bottom w:val="none" w:sz="0" w:space="0" w:color="auto"/>
        <w:right w:val="none" w:sz="0" w:space="0" w:color="auto"/>
      </w:divBdr>
    </w:div>
    <w:div w:id="1189486786">
      <w:marLeft w:val="0"/>
      <w:marRight w:val="0"/>
      <w:marTop w:val="0"/>
      <w:marBottom w:val="0"/>
      <w:divBdr>
        <w:top w:val="none" w:sz="0" w:space="0" w:color="auto"/>
        <w:left w:val="none" w:sz="0" w:space="0" w:color="auto"/>
        <w:bottom w:val="none" w:sz="0" w:space="0" w:color="auto"/>
        <w:right w:val="none" w:sz="0" w:space="0" w:color="auto"/>
      </w:divBdr>
    </w:div>
    <w:div w:id="1194853552">
      <w:marLeft w:val="0"/>
      <w:marRight w:val="0"/>
      <w:marTop w:val="0"/>
      <w:marBottom w:val="0"/>
      <w:divBdr>
        <w:top w:val="none" w:sz="0" w:space="0" w:color="auto"/>
        <w:left w:val="none" w:sz="0" w:space="0" w:color="auto"/>
        <w:bottom w:val="none" w:sz="0" w:space="0" w:color="auto"/>
        <w:right w:val="none" w:sz="0" w:space="0" w:color="auto"/>
      </w:divBdr>
    </w:div>
    <w:div w:id="1199127627">
      <w:marLeft w:val="0"/>
      <w:marRight w:val="0"/>
      <w:marTop w:val="0"/>
      <w:marBottom w:val="0"/>
      <w:divBdr>
        <w:top w:val="none" w:sz="0" w:space="0" w:color="auto"/>
        <w:left w:val="none" w:sz="0" w:space="0" w:color="auto"/>
        <w:bottom w:val="none" w:sz="0" w:space="0" w:color="auto"/>
        <w:right w:val="none" w:sz="0" w:space="0" w:color="auto"/>
      </w:divBdr>
    </w:div>
    <w:div w:id="1200627568">
      <w:marLeft w:val="0"/>
      <w:marRight w:val="0"/>
      <w:marTop w:val="0"/>
      <w:marBottom w:val="0"/>
      <w:divBdr>
        <w:top w:val="none" w:sz="0" w:space="0" w:color="auto"/>
        <w:left w:val="none" w:sz="0" w:space="0" w:color="auto"/>
        <w:bottom w:val="none" w:sz="0" w:space="0" w:color="auto"/>
        <w:right w:val="none" w:sz="0" w:space="0" w:color="auto"/>
      </w:divBdr>
    </w:div>
    <w:div w:id="1201355222">
      <w:marLeft w:val="0"/>
      <w:marRight w:val="0"/>
      <w:marTop w:val="0"/>
      <w:marBottom w:val="0"/>
      <w:divBdr>
        <w:top w:val="none" w:sz="0" w:space="0" w:color="auto"/>
        <w:left w:val="none" w:sz="0" w:space="0" w:color="auto"/>
        <w:bottom w:val="none" w:sz="0" w:space="0" w:color="auto"/>
        <w:right w:val="none" w:sz="0" w:space="0" w:color="auto"/>
      </w:divBdr>
    </w:div>
    <w:div w:id="1202087701">
      <w:marLeft w:val="0"/>
      <w:marRight w:val="0"/>
      <w:marTop w:val="0"/>
      <w:marBottom w:val="0"/>
      <w:divBdr>
        <w:top w:val="none" w:sz="0" w:space="0" w:color="auto"/>
        <w:left w:val="none" w:sz="0" w:space="0" w:color="auto"/>
        <w:bottom w:val="none" w:sz="0" w:space="0" w:color="auto"/>
        <w:right w:val="none" w:sz="0" w:space="0" w:color="auto"/>
      </w:divBdr>
    </w:div>
    <w:div w:id="1212035994">
      <w:marLeft w:val="0"/>
      <w:marRight w:val="0"/>
      <w:marTop w:val="0"/>
      <w:marBottom w:val="0"/>
      <w:divBdr>
        <w:top w:val="none" w:sz="0" w:space="0" w:color="auto"/>
        <w:left w:val="none" w:sz="0" w:space="0" w:color="auto"/>
        <w:bottom w:val="none" w:sz="0" w:space="0" w:color="auto"/>
        <w:right w:val="none" w:sz="0" w:space="0" w:color="auto"/>
      </w:divBdr>
    </w:div>
    <w:div w:id="1212231607">
      <w:marLeft w:val="0"/>
      <w:marRight w:val="0"/>
      <w:marTop w:val="0"/>
      <w:marBottom w:val="0"/>
      <w:divBdr>
        <w:top w:val="none" w:sz="0" w:space="0" w:color="auto"/>
        <w:left w:val="none" w:sz="0" w:space="0" w:color="auto"/>
        <w:bottom w:val="none" w:sz="0" w:space="0" w:color="auto"/>
        <w:right w:val="none" w:sz="0" w:space="0" w:color="auto"/>
      </w:divBdr>
    </w:div>
    <w:div w:id="1212350521">
      <w:marLeft w:val="0"/>
      <w:marRight w:val="0"/>
      <w:marTop w:val="0"/>
      <w:marBottom w:val="0"/>
      <w:divBdr>
        <w:top w:val="none" w:sz="0" w:space="0" w:color="auto"/>
        <w:left w:val="none" w:sz="0" w:space="0" w:color="auto"/>
        <w:bottom w:val="none" w:sz="0" w:space="0" w:color="auto"/>
        <w:right w:val="none" w:sz="0" w:space="0" w:color="auto"/>
      </w:divBdr>
    </w:div>
    <w:div w:id="1214733388">
      <w:marLeft w:val="0"/>
      <w:marRight w:val="0"/>
      <w:marTop w:val="0"/>
      <w:marBottom w:val="0"/>
      <w:divBdr>
        <w:top w:val="none" w:sz="0" w:space="0" w:color="auto"/>
        <w:left w:val="none" w:sz="0" w:space="0" w:color="auto"/>
        <w:bottom w:val="none" w:sz="0" w:space="0" w:color="auto"/>
        <w:right w:val="none" w:sz="0" w:space="0" w:color="auto"/>
      </w:divBdr>
    </w:div>
    <w:div w:id="1216311378">
      <w:marLeft w:val="0"/>
      <w:marRight w:val="0"/>
      <w:marTop w:val="0"/>
      <w:marBottom w:val="0"/>
      <w:divBdr>
        <w:top w:val="none" w:sz="0" w:space="0" w:color="auto"/>
        <w:left w:val="none" w:sz="0" w:space="0" w:color="auto"/>
        <w:bottom w:val="none" w:sz="0" w:space="0" w:color="auto"/>
        <w:right w:val="none" w:sz="0" w:space="0" w:color="auto"/>
      </w:divBdr>
    </w:div>
    <w:div w:id="1217938942">
      <w:marLeft w:val="0"/>
      <w:marRight w:val="0"/>
      <w:marTop w:val="0"/>
      <w:marBottom w:val="0"/>
      <w:divBdr>
        <w:top w:val="none" w:sz="0" w:space="0" w:color="auto"/>
        <w:left w:val="none" w:sz="0" w:space="0" w:color="auto"/>
        <w:bottom w:val="none" w:sz="0" w:space="0" w:color="auto"/>
        <w:right w:val="none" w:sz="0" w:space="0" w:color="auto"/>
      </w:divBdr>
    </w:div>
    <w:div w:id="1219588132">
      <w:marLeft w:val="0"/>
      <w:marRight w:val="0"/>
      <w:marTop w:val="100"/>
      <w:marBottom w:val="100"/>
      <w:divBdr>
        <w:top w:val="none" w:sz="0" w:space="0" w:color="auto"/>
        <w:left w:val="none" w:sz="0" w:space="0" w:color="auto"/>
        <w:bottom w:val="none" w:sz="0" w:space="0" w:color="auto"/>
        <w:right w:val="none" w:sz="0" w:space="0" w:color="auto"/>
      </w:divBdr>
      <w:divsChild>
        <w:div w:id="1876116337">
          <w:marLeft w:val="0"/>
          <w:marRight w:val="0"/>
          <w:marTop w:val="0"/>
          <w:marBottom w:val="0"/>
          <w:divBdr>
            <w:top w:val="none" w:sz="0" w:space="0" w:color="auto"/>
            <w:left w:val="none" w:sz="0" w:space="0" w:color="auto"/>
            <w:bottom w:val="none" w:sz="0" w:space="0" w:color="auto"/>
            <w:right w:val="none" w:sz="0" w:space="0" w:color="auto"/>
          </w:divBdr>
        </w:div>
        <w:div w:id="1923098756">
          <w:marLeft w:val="0"/>
          <w:marRight w:val="0"/>
          <w:marTop w:val="0"/>
          <w:marBottom w:val="0"/>
          <w:divBdr>
            <w:top w:val="none" w:sz="0" w:space="0" w:color="auto"/>
            <w:left w:val="none" w:sz="0" w:space="0" w:color="auto"/>
            <w:bottom w:val="none" w:sz="0" w:space="0" w:color="auto"/>
            <w:right w:val="none" w:sz="0" w:space="0" w:color="auto"/>
          </w:divBdr>
        </w:div>
        <w:div w:id="1433478309">
          <w:marLeft w:val="0"/>
          <w:marRight w:val="0"/>
          <w:marTop w:val="0"/>
          <w:marBottom w:val="0"/>
          <w:divBdr>
            <w:top w:val="none" w:sz="0" w:space="0" w:color="auto"/>
            <w:left w:val="none" w:sz="0" w:space="0" w:color="auto"/>
            <w:bottom w:val="none" w:sz="0" w:space="0" w:color="auto"/>
            <w:right w:val="none" w:sz="0" w:space="0" w:color="auto"/>
          </w:divBdr>
        </w:div>
        <w:div w:id="1451320542">
          <w:marLeft w:val="0"/>
          <w:marRight w:val="0"/>
          <w:marTop w:val="0"/>
          <w:marBottom w:val="0"/>
          <w:divBdr>
            <w:top w:val="none" w:sz="0" w:space="0" w:color="auto"/>
            <w:left w:val="none" w:sz="0" w:space="0" w:color="auto"/>
            <w:bottom w:val="none" w:sz="0" w:space="0" w:color="auto"/>
            <w:right w:val="none" w:sz="0" w:space="0" w:color="auto"/>
          </w:divBdr>
        </w:div>
        <w:div w:id="884291423">
          <w:marLeft w:val="0"/>
          <w:marRight w:val="0"/>
          <w:marTop w:val="0"/>
          <w:marBottom w:val="0"/>
          <w:divBdr>
            <w:top w:val="none" w:sz="0" w:space="0" w:color="auto"/>
            <w:left w:val="none" w:sz="0" w:space="0" w:color="auto"/>
            <w:bottom w:val="none" w:sz="0" w:space="0" w:color="auto"/>
            <w:right w:val="none" w:sz="0" w:space="0" w:color="auto"/>
          </w:divBdr>
        </w:div>
        <w:div w:id="1192576015">
          <w:marLeft w:val="0"/>
          <w:marRight w:val="0"/>
          <w:marTop w:val="0"/>
          <w:marBottom w:val="0"/>
          <w:divBdr>
            <w:top w:val="none" w:sz="0" w:space="0" w:color="auto"/>
            <w:left w:val="none" w:sz="0" w:space="0" w:color="auto"/>
            <w:bottom w:val="none" w:sz="0" w:space="0" w:color="auto"/>
            <w:right w:val="none" w:sz="0" w:space="0" w:color="auto"/>
          </w:divBdr>
        </w:div>
        <w:div w:id="260375087">
          <w:marLeft w:val="0"/>
          <w:marRight w:val="0"/>
          <w:marTop w:val="0"/>
          <w:marBottom w:val="0"/>
          <w:divBdr>
            <w:top w:val="none" w:sz="0" w:space="0" w:color="auto"/>
            <w:left w:val="none" w:sz="0" w:space="0" w:color="auto"/>
            <w:bottom w:val="none" w:sz="0" w:space="0" w:color="auto"/>
            <w:right w:val="none" w:sz="0" w:space="0" w:color="auto"/>
          </w:divBdr>
        </w:div>
        <w:div w:id="1526676416">
          <w:marLeft w:val="0"/>
          <w:marRight w:val="0"/>
          <w:marTop w:val="0"/>
          <w:marBottom w:val="0"/>
          <w:divBdr>
            <w:top w:val="none" w:sz="0" w:space="0" w:color="auto"/>
            <w:left w:val="none" w:sz="0" w:space="0" w:color="auto"/>
            <w:bottom w:val="none" w:sz="0" w:space="0" w:color="auto"/>
            <w:right w:val="none" w:sz="0" w:space="0" w:color="auto"/>
          </w:divBdr>
        </w:div>
      </w:divsChild>
    </w:div>
    <w:div w:id="1221283441">
      <w:marLeft w:val="0"/>
      <w:marRight w:val="0"/>
      <w:marTop w:val="0"/>
      <w:marBottom w:val="0"/>
      <w:divBdr>
        <w:top w:val="none" w:sz="0" w:space="0" w:color="auto"/>
        <w:left w:val="none" w:sz="0" w:space="0" w:color="auto"/>
        <w:bottom w:val="none" w:sz="0" w:space="0" w:color="auto"/>
        <w:right w:val="none" w:sz="0" w:space="0" w:color="auto"/>
      </w:divBdr>
      <w:divsChild>
        <w:div w:id="574437051">
          <w:marLeft w:val="0"/>
          <w:marRight w:val="0"/>
          <w:marTop w:val="0"/>
          <w:marBottom w:val="0"/>
          <w:divBdr>
            <w:top w:val="none" w:sz="0" w:space="0" w:color="auto"/>
            <w:left w:val="none" w:sz="0" w:space="0" w:color="auto"/>
            <w:bottom w:val="none" w:sz="0" w:space="0" w:color="auto"/>
            <w:right w:val="none" w:sz="0" w:space="0" w:color="auto"/>
          </w:divBdr>
        </w:div>
      </w:divsChild>
    </w:div>
    <w:div w:id="1221944413">
      <w:marLeft w:val="0"/>
      <w:marRight w:val="0"/>
      <w:marTop w:val="0"/>
      <w:marBottom w:val="0"/>
      <w:divBdr>
        <w:top w:val="none" w:sz="0" w:space="0" w:color="auto"/>
        <w:left w:val="none" w:sz="0" w:space="0" w:color="auto"/>
        <w:bottom w:val="none" w:sz="0" w:space="0" w:color="auto"/>
        <w:right w:val="none" w:sz="0" w:space="0" w:color="auto"/>
      </w:divBdr>
    </w:div>
    <w:div w:id="1222445868">
      <w:marLeft w:val="0"/>
      <w:marRight w:val="0"/>
      <w:marTop w:val="0"/>
      <w:marBottom w:val="0"/>
      <w:divBdr>
        <w:top w:val="none" w:sz="0" w:space="0" w:color="auto"/>
        <w:left w:val="none" w:sz="0" w:space="0" w:color="auto"/>
        <w:bottom w:val="none" w:sz="0" w:space="0" w:color="auto"/>
        <w:right w:val="none" w:sz="0" w:space="0" w:color="auto"/>
      </w:divBdr>
    </w:div>
    <w:div w:id="1229612793">
      <w:marLeft w:val="0"/>
      <w:marRight w:val="0"/>
      <w:marTop w:val="0"/>
      <w:marBottom w:val="0"/>
      <w:divBdr>
        <w:top w:val="none" w:sz="0" w:space="0" w:color="auto"/>
        <w:left w:val="none" w:sz="0" w:space="0" w:color="auto"/>
        <w:bottom w:val="none" w:sz="0" w:space="0" w:color="auto"/>
        <w:right w:val="none" w:sz="0" w:space="0" w:color="auto"/>
      </w:divBdr>
      <w:divsChild>
        <w:div w:id="1560751593">
          <w:marLeft w:val="0"/>
          <w:marRight w:val="0"/>
          <w:marTop w:val="0"/>
          <w:marBottom w:val="0"/>
          <w:divBdr>
            <w:top w:val="none" w:sz="0" w:space="0" w:color="auto"/>
            <w:left w:val="none" w:sz="0" w:space="0" w:color="auto"/>
            <w:bottom w:val="none" w:sz="0" w:space="0" w:color="auto"/>
            <w:right w:val="none" w:sz="0" w:space="0" w:color="auto"/>
          </w:divBdr>
        </w:div>
      </w:divsChild>
    </w:div>
    <w:div w:id="1233849611">
      <w:marLeft w:val="0"/>
      <w:marRight w:val="0"/>
      <w:marTop w:val="0"/>
      <w:marBottom w:val="0"/>
      <w:divBdr>
        <w:top w:val="none" w:sz="0" w:space="0" w:color="auto"/>
        <w:left w:val="none" w:sz="0" w:space="0" w:color="auto"/>
        <w:bottom w:val="none" w:sz="0" w:space="0" w:color="auto"/>
        <w:right w:val="none" w:sz="0" w:space="0" w:color="auto"/>
      </w:divBdr>
    </w:div>
    <w:div w:id="1235049265">
      <w:marLeft w:val="0"/>
      <w:marRight w:val="0"/>
      <w:marTop w:val="100"/>
      <w:marBottom w:val="100"/>
      <w:divBdr>
        <w:top w:val="none" w:sz="0" w:space="0" w:color="auto"/>
        <w:left w:val="none" w:sz="0" w:space="0" w:color="auto"/>
        <w:bottom w:val="none" w:sz="0" w:space="0" w:color="auto"/>
        <w:right w:val="none" w:sz="0" w:space="0" w:color="auto"/>
      </w:divBdr>
      <w:divsChild>
        <w:div w:id="1317296408">
          <w:marLeft w:val="0"/>
          <w:marRight w:val="0"/>
          <w:marTop w:val="0"/>
          <w:marBottom w:val="0"/>
          <w:divBdr>
            <w:top w:val="none" w:sz="0" w:space="0" w:color="auto"/>
            <w:left w:val="none" w:sz="0" w:space="0" w:color="auto"/>
            <w:bottom w:val="none" w:sz="0" w:space="0" w:color="auto"/>
            <w:right w:val="none" w:sz="0" w:space="0" w:color="auto"/>
          </w:divBdr>
        </w:div>
        <w:div w:id="318660498">
          <w:marLeft w:val="0"/>
          <w:marRight w:val="0"/>
          <w:marTop w:val="0"/>
          <w:marBottom w:val="0"/>
          <w:divBdr>
            <w:top w:val="none" w:sz="0" w:space="0" w:color="auto"/>
            <w:left w:val="none" w:sz="0" w:space="0" w:color="auto"/>
            <w:bottom w:val="none" w:sz="0" w:space="0" w:color="auto"/>
            <w:right w:val="none" w:sz="0" w:space="0" w:color="auto"/>
          </w:divBdr>
        </w:div>
        <w:div w:id="246891693">
          <w:marLeft w:val="0"/>
          <w:marRight w:val="0"/>
          <w:marTop w:val="0"/>
          <w:marBottom w:val="0"/>
          <w:divBdr>
            <w:top w:val="none" w:sz="0" w:space="0" w:color="auto"/>
            <w:left w:val="none" w:sz="0" w:space="0" w:color="auto"/>
            <w:bottom w:val="none" w:sz="0" w:space="0" w:color="auto"/>
            <w:right w:val="none" w:sz="0" w:space="0" w:color="auto"/>
          </w:divBdr>
        </w:div>
        <w:div w:id="1162820587">
          <w:marLeft w:val="0"/>
          <w:marRight w:val="0"/>
          <w:marTop w:val="0"/>
          <w:marBottom w:val="0"/>
          <w:divBdr>
            <w:top w:val="none" w:sz="0" w:space="0" w:color="auto"/>
            <w:left w:val="none" w:sz="0" w:space="0" w:color="auto"/>
            <w:bottom w:val="none" w:sz="0" w:space="0" w:color="auto"/>
            <w:right w:val="none" w:sz="0" w:space="0" w:color="auto"/>
          </w:divBdr>
        </w:div>
        <w:div w:id="1253978033">
          <w:marLeft w:val="0"/>
          <w:marRight w:val="0"/>
          <w:marTop w:val="0"/>
          <w:marBottom w:val="0"/>
          <w:divBdr>
            <w:top w:val="none" w:sz="0" w:space="0" w:color="auto"/>
            <w:left w:val="none" w:sz="0" w:space="0" w:color="auto"/>
            <w:bottom w:val="none" w:sz="0" w:space="0" w:color="auto"/>
            <w:right w:val="none" w:sz="0" w:space="0" w:color="auto"/>
          </w:divBdr>
        </w:div>
      </w:divsChild>
    </w:div>
    <w:div w:id="1242908400">
      <w:marLeft w:val="0"/>
      <w:marRight w:val="0"/>
      <w:marTop w:val="0"/>
      <w:marBottom w:val="0"/>
      <w:divBdr>
        <w:top w:val="none" w:sz="0" w:space="0" w:color="auto"/>
        <w:left w:val="none" w:sz="0" w:space="0" w:color="auto"/>
        <w:bottom w:val="none" w:sz="0" w:space="0" w:color="auto"/>
        <w:right w:val="none" w:sz="0" w:space="0" w:color="auto"/>
      </w:divBdr>
    </w:div>
    <w:div w:id="1245336403">
      <w:marLeft w:val="0"/>
      <w:marRight w:val="0"/>
      <w:marTop w:val="0"/>
      <w:marBottom w:val="0"/>
      <w:divBdr>
        <w:top w:val="none" w:sz="0" w:space="0" w:color="auto"/>
        <w:left w:val="none" w:sz="0" w:space="0" w:color="auto"/>
        <w:bottom w:val="none" w:sz="0" w:space="0" w:color="auto"/>
        <w:right w:val="none" w:sz="0" w:space="0" w:color="auto"/>
      </w:divBdr>
    </w:div>
    <w:div w:id="1250820341">
      <w:marLeft w:val="0"/>
      <w:marRight w:val="0"/>
      <w:marTop w:val="0"/>
      <w:marBottom w:val="0"/>
      <w:divBdr>
        <w:top w:val="none" w:sz="0" w:space="0" w:color="auto"/>
        <w:left w:val="none" w:sz="0" w:space="0" w:color="auto"/>
        <w:bottom w:val="none" w:sz="0" w:space="0" w:color="auto"/>
        <w:right w:val="none" w:sz="0" w:space="0" w:color="auto"/>
      </w:divBdr>
    </w:div>
    <w:div w:id="1252155025">
      <w:marLeft w:val="0"/>
      <w:marRight w:val="0"/>
      <w:marTop w:val="0"/>
      <w:marBottom w:val="0"/>
      <w:divBdr>
        <w:top w:val="none" w:sz="0" w:space="0" w:color="auto"/>
        <w:left w:val="none" w:sz="0" w:space="0" w:color="auto"/>
        <w:bottom w:val="none" w:sz="0" w:space="0" w:color="auto"/>
        <w:right w:val="none" w:sz="0" w:space="0" w:color="auto"/>
      </w:divBdr>
    </w:div>
    <w:div w:id="1257136452">
      <w:marLeft w:val="0"/>
      <w:marRight w:val="0"/>
      <w:marTop w:val="0"/>
      <w:marBottom w:val="0"/>
      <w:divBdr>
        <w:top w:val="none" w:sz="0" w:space="0" w:color="auto"/>
        <w:left w:val="none" w:sz="0" w:space="0" w:color="auto"/>
        <w:bottom w:val="none" w:sz="0" w:space="0" w:color="auto"/>
        <w:right w:val="none" w:sz="0" w:space="0" w:color="auto"/>
      </w:divBdr>
    </w:div>
    <w:div w:id="1257598507">
      <w:marLeft w:val="0"/>
      <w:marRight w:val="0"/>
      <w:marTop w:val="0"/>
      <w:marBottom w:val="0"/>
      <w:divBdr>
        <w:top w:val="none" w:sz="0" w:space="0" w:color="auto"/>
        <w:left w:val="none" w:sz="0" w:space="0" w:color="auto"/>
        <w:bottom w:val="none" w:sz="0" w:space="0" w:color="auto"/>
        <w:right w:val="none" w:sz="0" w:space="0" w:color="auto"/>
      </w:divBdr>
    </w:div>
    <w:div w:id="1257861114">
      <w:marLeft w:val="0"/>
      <w:marRight w:val="0"/>
      <w:marTop w:val="0"/>
      <w:marBottom w:val="0"/>
      <w:divBdr>
        <w:top w:val="none" w:sz="0" w:space="0" w:color="auto"/>
        <w:left w:val="none" w:sz="0" w:space="0" w:color="auto"/>
        <w:bottom w:val="none" w:sz="0" w:space="0" w:color="auto"/>
        <w:right w:val="none" w:sz="0" w:space="0" w:color="auto"/>
      </w:divBdr>
      <w:divsChild>
        <w:div w:id="558906441">
          <w:marLeft w:val="0"/>
          <w:marRight w:val="0"/>
          <w:marTop w:val="0"/>
          <w:marBottom w:val="0"/>
          <w:divBdr>
            <w:top w:val="none" w:sz="0" w:space="0" w:color="auto"/>
            <w:left w:val="none" w:sz="0" w:space="0" w:color="auto"/>
            <w:bottom w:val="none" w:sz="0" w:space="0" w:color="auto"/>
            <w:right w:val="none" w:sz="0" w:space="0" w:color="auto"/>
          </w:divBdr>
        </w:div>
      </w:divsChild>
    </w:div>
    <w:div w:id="1257983215">
      <w:marLeft w:val="0"/>
      <w:marRight w:val="0"/>
      <w:marTop w:val="0"/>
      <w:marBottom w:val="0"/>
      <w:divBdr>
        <w:top w:val="none" w:sz="0" w:space="0" w:color="auto"/>
        <w:left w:val="none" w:sz="0" w:space="0" w:color="auto"/>
        <w:bottom w:val="none" w:sz="0" w:space="0" w:color="auto"/>
        <w:right w:val="none" w:sz="0" w:space="0" w:color="auto"/>
      </w:divBdr>
    </w:div>
    <w:div w:id="1259479853">
      <w:marLeft w:val="0"/>
      <w:marRight w:val="0"/>
      <w:marTop w:val="0"/>
      <w:marBottom w:val="0"/>
      <w:divBdr>
        <w:top w:val="none" w:sz="0" w:space="0" w:color="auto"/>
        <w:left w:val="none" w:sz="0" w:space="0" w:color="auto"/>
        <w:bottom w:val="none" w:sz="0" w:space="0" w:color="auto"/>
        <w:right w:val="none" w:sz="0" w:space="0" w:color="auto"/>
      </w:divBdr>
      <w:divsChild>
        <w:div w:id="485242015">
          <w:marLeft w:val="0"/>
          <w:marRight w:val="0"/>
          <w:marTop w:val="0"/>
          <w:marBottom w:val="0"/>
          <w:divBdr>
            <w:top w:val="none" w:sz="0" w:space="0" w:color="auto"/>
            <w:left w:val="none" w:sz="0" w:space="0" w:color="auto"/>
            <w:bottom w:val="none" w:sz="0" w:space="0" w:color="auto"/>
            <w:right w:val="none" w:sz="0" w:space="0" w:color="auto"/>
          </w:divBdr>
        </w:div>
      </w:divsChild>
    </w:div>
    <w:div w:id="1260601859">
      <w:marLeft w:val="0"/>
      <w:marRight w:val="0"/>
      <w:marTop w:val="0"/>
      <w:marBottom w:val="0"/>
      <w:divBdr>
        <w:top w:val="none" w:sz="0" w:space="0" w:color="auto"/>
        <w:left w:val="none" w:sz="0" w:space="0" w:color="auto"/>
        <w:bottom w:val="none" w:sz="0" w:space="0" w:color="auto"/>
        <w:right w:val="none" w:sz="0" w:space="0" w:color="auto"/>
      </w:divBdr>
    </w:div>
    <w:div w:id="1267343069">
      <w:marLeft w:val="0"/>
      <w:marRight w:val="0"/>
      <w:marTop w:val="0"/>
      <w:marBottom w:val="0"/>
      <w:divBdr>
        <w:top w:val="none" w:sz="0" w:space="0" w:color="auto"/>
        <w:left w:val="none" w:sz="0" w:space="0" w:color="auto"/>
        <w:bottom w:val="none" w:sz="0" w:space="0" w:color="auto"/>
        <w:right w:val="none" w:sz="0" w:space="0" w:color="auto"/>
      </w:divBdr>
    </w:div>
    <w:div w:id="1267619277">
      <w:marLeft w:val="0"/>
      <w:marRight w:val="0"/>
      <w:marTop w:val="0"/>
      <w:marBottom w:val="0"/>
      <w:divBdr>
        <w:top w:val="none" w:sz="0" w:space="0" w:color="auto"/>
        <w:left w:val="none" w:sz="0" w:space="0" w:color="auto"/>
        <w:bottom w:val="none" w:sz="0" w:space="0" w:color="auto"/>
        <w:right w:val="none" w:sz="0" w:space="0" w:color="auto"/>
      </w:divBdr>
    </w:div>
    <w:div w:id="1271939637">
      <w:marLeft w:val="0"/>
      <w:marRight w:val="0"/>
      <w:marTop w:val="0"/>
      <w:marBottom w:val="0"/>
      <w:divBdr>
        <w:top w:val="none" w:sz="0" w:space="0" w:color="auto"/>
        <w:left w:val="none" w:sz="0" w:space="0" w:color="auto"/>
        <w:bottom w:val="none" w:sz="0" w:space="0" w:color="auto"/>
        <w:right w:val="none" w:sz="0" w:space="0" w:color="auto"/>
      </w:divBdr>
    </w:div>
    <w:div w:id="1279338373">
      <w:marLeft w:val="0"/>
      <w:marRight w:val="0"/>
      <w:marTop w:val="0"/>
      <w:marBottom w:val="0"/>
      <w:divBdr>
        <w:top w:val="none" w:sz="0" w:space="0" w:color="auto"/>
        <w:left w:val="none" w:sz="0" w:space="0" w:color="auto"/>
        <w:bottom w:val="none" w:sz="0" w:space="0" w:color="auto"/>
        <w:right w:val="none" w:sz="0" w:space="0" w:color="auto"/>
      </w:divBdr>
      <w:divsChild>
        <w:div w:id="1333993072">
          <w:marLeft w:val="0"/>
          <w:marRight w:val="0"/>
          <w:marTop w:val="0"/>
          <w:marBottom w:val="0"/>
          <w:divBdr>
            <w:top w:val="none" w:sz="0" w:space="0" w:color="auto"/>
            <w:left w:val="none" w:sz="0" w:space="0" w:color="auto"/>
            <w:bottom w:val="none" w:sz="0" w:space="0" w:color="auto"/>
            <w:right w:val="none" w:sz="0" w:space="0" w:color="auto"/>
          </w:divBdr>
        </w:div>
      </w:divsChild>
    </w:div>
    <w:div w:id="1287732553">
      <w:marLeft w:val="0"/>
      <w:marRight w:val="0"/>
      <w:marTop w:val="0"/>
      <w:marBottom w:val="0"/>
      <w:divBdr>
        <w:top w:val="none" w:sz="0" w:space="0" w:color="auto"/>
        <w:left w:val="none" w:sz="0" w:space="0" w:color="auto"/>
        <w:bottom w:val="none" w:sz="0" w:space="0" w:color="auto"/>
        <w:right w:val="none" w:sz="0" w:space="0" w:color="auto"/>
      </w:divBdr>
    </w:div>
    <w:div w:id="1291208098">
      <w:marLeft w:val="0"/>
      <w:marRight w:val="0"/>
      <w:marTop w:val="0"/>
      <w:marBottom w:val="0"/>
      <w:divBdr>
        <w:top w:val="none" w:sz="0" w:space="0" w:color="auto"/>
        <w:left w:val="none" w:sz="0" w:space="0" w:color="auto"/>
        <w:bottom w:val="none" w:sz="0" w:space="0" w:color="auto"/>
        <w:right w:val="none" w:sz="0" w:space="0" w:color="auto"/>
      </w:divBdr>
    </w:div>
    <w:div w:id="1291521620">
      <w:marLeft w:val="0"/>
      <w:marRight w:val="0"/>
      <w:marTop w:val="0"/>
      <w:marBottom w:val="0"/>
      <w:divBdr>
        <w:top w:val="none" w:sz="0" w:space="0" w:color="auto"/>
        <w:left w:val="none" w:sz="0" w:space="0" w:color="auto"/>
        <w:bottom w:val="none" w:sz="0" w:space="0" w:color="auto"/>
        <w:right w:val="none" w:sz="0" w:space="0" w:color="auto"/>
      </w:divBdr>
    </w:div>
    <w:div w:id="1294091518">
      <w:marLeft w:val="0"/>
      <w:marRight w:val="0"/>
      <w:marTop w:val="0"/>
      <w:marBottom w:val="0"/>
      <w:divBdr>
        <w:top w:val="none" w:sz="0" w:space="0" w:color="auto"/>
        <w:left w:val="none" w:sz="0" w:space="0" w:color="auto"/>
        <w:bottom w:val="none" w:sz="0" w:space="0" w:color="auto"/>
        <w:right w:val="none" w:sz="0" w:space="0" w:color="auto"/>
      </w:divBdr>
      <w:divsChild>
        <w:div w:id="939408937">
          <w:marLeft w:val="0"/>
          <w:marRight w:val="0"/>
          <w:marTop w:val="0"/>
          <w:marBottom w:val="0"/>
          <w:divBdr>
            <w:top w:val="none" w:sz="0" w:space="0" w:color="auto"/>
            <w:left w:val="none" w:sz="0" w:space="0" w:color="auto"/>
            <w:bottom w:val="none" w:sz="0" w:space="0" w:color="auto"/>
            <w:right w:val="none" w:sz="0" w:space="0" w:color="auto"/>
          </w:divBdr>
        </w:div>
      </w:divsChild>
    </w:div>
    <w:div w:id="1297562719">
      <w:marLeft w:val="0"/>
      <w:marRight w:val="0"/>
      <w:marTop w:val="0"/>
      <w:marBottom w:val="0"/>
      <w:divBdr>
        <w:top w:val="none" w:sz="0" w:space="0" w:color="auto"/>
        <w:left w:val="none" w:sz="0" w:space="0" w:color="auto"/>
        <w:bottom w:val="none" w:sz="0" w:space="0" w:color="auto"/>
        <w:right w:val="none" w:sz="0" w:space="0" w:color="auto"/>
      </w:divBdr>
      <w:divsChild>
        <w:div w:id="436410298">
          <w:marLeft w:val="0"/>
          <w:marRight w:val="0"/>
          <w:marTop w:val="0"/>
          <w:marBottom w:val="0"/>
          <w:divBdr>
            <w:top w:val="none" w:sz="0" w:space="0" w:color="auto"/>
            <w:left w:val="none" w:sz="0" w:space="0" w:color="auto"/>
            <w:bottom w:val="none" w:sz="0" w:space="0" w:color="auto"/>
            <w:right w:val="none" w:sz="0" w:space="0" w:color="auto"/>
          </w:divBdr>
        </w:div>
      </w:divsChild>
    </w:div>
    <w:div w:id="1299263966">
      <w:marLeft w:val="0"/>
      <w:marRight w:val="0"/>
      <w:marTop w:val="0"/>
      <w:marBottom w:val="0"/>
      <w:divBdr>
        <w:top w:val="none" w:sz="0" w:space="0" w:color="auto"/>
        <w:left w:val="none" w:sz="0" w:space="0" w:color="auto"/>
        <w:bottom w:val="none" w:sz="0" w:space="0" w:color="auto"/>
        <w:right w:val="none" w:sz="0" w:space="0" w:color="auto"/>
      </w:divBdr>
    </w:div>
    <w:div w:id="1302151277">
      <w:marLeft w:val="0"/>
      <w:marRight w:val="0"/>
      <w:marTop w:val="0"/>
      <w:marBottom w:val="0"/>
      <w:divBdr>
        <w:top w:val="none" w:sz="0" w:space="0" w:color="auto"/>
        <w:left w:val="none" w:sz="0" w:space="0" w:color="auto"/>
        <w:bottom w:val="none" w:sz="0" w:space="0" w:color="auto"/>
        <w:right w:val="none" w:sz="0" w:space="0" w:color="auto"/>
      </w:divBdr>
    </w:div>
    <w:div w:id="1303579413">
      <w:marLeft w:val="0"/>
      <w:marRight w:val="0"/>
      <w:marTop w:val="0"/>
      <w:marBottom w:val="0"/>
      <w:divBdr>
        <w:top w:val="none" w:sz="0" w:space="0" w:color="auto"/>
        <w:left w:val="none" w:sz="0" w:space="0" w:color="auto"/>
        <w:bottom w:val="none" w:sz="0" w:space="0" w:color="auto"/>
        <w:right w:val="none" w:sz="0" w:space="0" w:color="auto"/>
      </w:divBdr>
    </w:div>
    <w:div w:id="1306348202">
      <w:marLeft w:val="0"/>
      <w:marRight w:val="0"/>
      <w:marTop w:val="0"/>
      <w:marBottom w:val="0"/>
      <w:divBdr>
        <w:top w:val="none" w:sz="0" w:space="0" w:color="auto"/>
        <w:left w:val="none" w:sz="0" w:space="0" w:color="auto"/>
        <w:bottom w:val="none" w:sz="0" w:space="0" w:color="auto"/>
        <w:right w:val="none" w:sz="0" w:space="0" w:color="auto"/>
      </w:divBdr>
    </w:div>
    <w:div w:id="1308783170">
      <w:marLeft w:val="0"/>
      <w:marRight w:val="0"/>
      <w:marTop w:val="0"/>
      <w:marBottom w:val="0"/>
      <w:divBdr>
        <w:top w:val="none" w:sz="0" w:space="0" w:color="auto"/>
        <w:left w:val="none" w:sz="0" w:space="0" w:color="auto"/>
        <w:bottom w:val="none" w:sz="0" w:space="0" w:color="auto"/>
        <w:right w:val="none" w:sz="0" w:space="0" w:color="auto"/>
      </w:divBdr>
    </w:div>
    <w:div w:id="1309361476">
      <w:marLeft w:val="0"/>
      <w:marRight w:val="0"/>
      <w:marTop w:val="0"/>
      <w:marBottom w:val="0"/>
      <w:divBdr>
        <w:top w:val="none" w:sz="0" w:space="0" w:color="auto"/>
        <w:left w:val="none" w:sz="0" w:space="0" w:color="auto"/>
        <w:bottom w:val="none" w:sz="0" w:space="0" w:color="auto"/>
        <w:right w:val="none" w:sz="0" w:space="0" w:color="auto"/>
      </w:divBdr>
    </w:div>
    <w:div w:id="1311863797">
      <w:marLeft w:val="0"/>
      <w:marRight w:val="0"/>
      <w:marTop w:val="0"/>
      <w:marBottom w:val="0"/>
      <w:divBdr>
        <w:top w:val="none" w:sz="0" w:space="0" w:color="auto"/>
        <w:left w:val="none" w:sz="0" w:space="0" w:color="auto"/>
        <w:bottom w:val="none" w:sz="0" w:space="0" w:color="auto"/>
        <w:right w:val="none" w:sz="0" w:space="0" w:color="auto"/>
      </w:divBdr>
    </w:div>
    <w:div w:id="1312442087">
      <w:marLeft w:val="0"/>
      <w:marRight w:val="0"/>
      <w:marTop w:val="0"/>
      <w:marBottom w:val="0"/>
      <w:divBdr>
        <w:top w:val="none" w:sz="0" w:space="0" w:color="auto"/>
        <w:left w:val="none" w:sz="0" w:space="0" w:color="auto"/>
        <w:bottom w:val="none" w:sz="0" w:space="0" w:color="auto"/>
        <w:right w:val="none" w:sz="0" w:space="0" w:color="auto"/>
      </w:divBdr>
    </w:div>
    <w:div w:id="1316834533">
      <w:marLeft w:val="0"/>
      <w:marRight w:val="0"/>
      <w:marTop w:val="0"/>
      <w:marBottom w:val="0"/>
      <w:divBdr>
        <w:top w:val="none" w:sz="0" w:space="0" w:color="auto"/>
        <w:left w:val="none" w:sz="0" w:space="0" w:color="auto"/>
        <w:bottom w:val="none" w:sz="0" w:space="0" w:color="auto"/>
        <w:right w:val="none" w:sz="0" w:space="0" w:color="auto"/>
      </w:divBdr>
    </w:div>
    <w:div w:id="1320116818">
      <w:marLeft w:val="0"/>
      <w:marRight w:val="0"/>
      <w:marTop w:val="0"/>
      <w:marBottom w:val="0"/>
      <w:divBdr>
        <w:top w:val="none" w:sz="0" w:space="0" w:color="auto"/>
        <w:left w:val="none" w:sz="0" w:space="0" w:color="auto"/>
        <w:bottom w:val="none" w:sz="0" w:space="0" w:color="auto"/>
        <w:right w:val="none" w:sz="0" w:space="0" w:color="auto"/>
      </w:divBdr>
    </w:div>
    <w:div w:id="1320425690">
      <w:marLeft w:val="0"/>
      <w:marRight w:val="0"/>
      <w:marTop w:val="0"/>
      <w:marBottom w:val="0"/>
      <w:divBdr>
        <w:top w:val="none" w:sz="0" w:space="0" w:color="auto"/>
        <w:left w:val="none" w:sz="0" w:space="0" w:color="auto"/>
        <w:bottom w:val="none" w:sz="0" w:space="0" w:color="auto"/>
        <w:right w:val="none" w:sz="0" w:space="0" w:color="auto"/>
      </w:divBdr>
      <w:divsChild>
        <w:div w:id="1978340582">
          <w:marLeft w:val="0"/>
          <w:marRight w:val="0"/>
          <w:marTop w:val="0"/>
          <w:marBottom w:val="0"/>
          <w:divBdr>
            <w:top w:val="none" w:sz="0" w:space="0" w:color="auto"/>
            <w:left w:val="none" w:sz="0" w:space="0" w:color="auto"/>
            <w:bottom w:val="none" w:sz="0" w:space="0" w:color="auto"/>
            <w:right w:val="none" w:sz="0" w:space="0" w:color="auto"/>
          </w:divBdr>
        </w:div>
      </w:divsChild>
    </w:div>
    <w:div w:id="1323583236">
      <w:marLeft w:val="0"/>
      <w:marRight w:val="0"/>
      <w:marTop w:val="0"/>
      <w:marBottom w:val="0"/>
      <w:divBdr>
        <w:top w:val="none" w:sz="0" w:space="0" w:color="auto"/>
        <w:left w:val="none" w:sz="0" w:space="0" w:color="auto"/>
        <w:bottom w:val="none" w:sz="0" w:space="0" w:color="auto"/>
        <w:right w:val="none" w:sz="0" w:space="0" w:color="auto"/>
      </w:divBdr>
    </w:div>
    <w:div w:id="1323657857">
      <w:marLeft w:val="0"/>
      <w:marRight w:val="0"/>
      <w:marTop w:val="0"/>
      <w:marBottom w:val="0"/>
      <w:divBdr>
        <w:top w:val="none" w:sz="0" w:space="0" w:color="auto"/>
        <w:left w:val="none" w:sz="0" w:space="0" w:color="auto"/>
        <w:bottom w:val="none" w:sz="0" w:space="0" w:color="auto"/>
        <w:right w:val="none" w:sz="0" w:space="0" w:color="auto"/>
      </w:divBdr>
    </w:div>
    <w:div w:id="1325354776">
      <w:marLeft w:val="0"/>
      <w:marRight w:val="0"/>
      <w:marTop w:val="0"/>
      <w:marBottom w:val="0"/>
      <w:divBdr>
        <w:top w:val="none" w:sz="0" w:space="0" w:color="auto"/>
        <w:left w:val="none" w:sz="0" w:space="0" w:color="auto"/>
        <w:bottom w:val="none" w:sz="0" w:space="0" w:color="auto"/>
        <w:right w:val="none" w:sz="0" w:space="0" w:color="auto"/>
      </w:divBdr>
    </w:div>
    <w:div w:id="1327394539">
      <w:marLeft w:val="0"/>
      <w:marRight w:val="0"/>
      <w:marTop w:val="0"/>
      <w:marBottom w:val="0"/>
      <w:divBdr>
        <w:top w:val="none" w:sz="0" w:space="0" w:color="auto"/>
        <w:left w:val="none" w:sz="0" w:space="0" w:color="auto"/>
        <w:bottom w:val="none" w:sz="0" w:space="0" w:color="auto"/>
        <w:right w:val="none" w:sz="0" w:space="0" w:color="auto"/>
      </w:divBdr>
    </w:div>
    <w:div w:id="1329677569">
      <w:marLeft w:val="0"/>
      <w:marRight w:val="0"/>
      <w:marTop w:val="0"/>
      <w:marBottom w:val="0"/>
      <w:divBdr>
        <w:top w:val="none" w:sz="0" w:space="0" w:color="auto"/>
        <w:left w:val="none" w:sz="0" w:space="0" w:color="auto"/>
        <w:bottom w:val="none" w:sz="0" w:space="0" w:color="auto"/>
        <w:right w:val="none" w:sz="0" w:space="0" w:color="auto"/>
      </w:divBdr>
    </w:div>
    <w:div w:id="1336112868">
      <w:marLeft w:val="0"/>
      <w:marRight w:val="0"/>
      <w:marTop w:val="0"/>
      <w:marBottom w:val="0"/>
      <w:divBdr>
        <w:top w:val="none" w:sz="0" w:space="0" w:color="auto"/>
        <w:left w:val="none" w:sz="0" w:space="0" w:color="auto"/>
        <w:bottom w:val="none" w:sz="0" w:space="0" w:color="auto"/>
        <w:right w:val="none" w:sz="0" w:space="0" w:color="auto"/>
      </w:divBdr>
    </w:div>
    <w:div w:id="1340232372">
      <w:marLeft w:val="0"/>
      <w:marRight w:val="0"/>
      <w:marTop w:val="0"/>
      <w:marBottom w:val="0"/>
      <w:divBdr>
        <w:top w:val="none" w:sz="0" w:space="0" w:color="auto"/>
        <w:left w:val="none" w:sz="0" w:space="0" w:color="auto"/>
        <w:bottom w:val="none" w:sz="0" w:space="0" w:color="auto"/>
        <w:right w:val="none" w:sz="0" w:space="0" w:color="auto"/>
      </w:divBdr>
      <w:divsChild>
        <w:div w:id="64494266">
          <w:marLeft w:val="0"/>
          <w:marRight w:val="0"/>
          <w:marTop w:val="0"/>
          <w:marBottom w:val="0"/>
          <w:divBdr>
            <w:top w:val="none" w:sz="0" w:space="0" w:color="auto"/>
            <w:left w:val="none" w:sz="0" w:space="0" w:color="auto"/>
            <w:bottom w:val="none" w:sz="0" w:space="0" w:color="auto"/>
            <w:right w:val="none" w:sz="0" w:space="0" w:color="auto"/>
          </w:divBdr>
        </w:div>
      </w:divsChild>
    </w:div>
    <w:div w:id="1342703829">
      <w:marLeft w:val="0"/>
      <w:marRight w:val="0"/>
      <w:marTop w:val="0"/>
      <w:marBottom w:val="0"/>
      <w:divBdr>
        <w:top w:val="none" w:sz="0" w:space="0" w:color="auto"/>
        <w:left w:val="none" w:sz="0" w:space="0" w:color="auto"/>
        <w:bottom w:val="none" w:sz="0" w:space="0" w:color="auto"/>
        <w:right w:val="none" w:sz="0" w:space="0" w:color="auto"/>
      </w:divBdr>
    </w:div>
    <w:div w:id="1345782116">
      <w:marLeft w:val="0"/>
      <w:marRight w:val="0"/>
      <w:marTop w:val="0"/>
      <w:marBottom w:val="0"/>
      <w:divBdr>
        <w:top w:val="none" w:sz="0" w:space="0" w:color="auto"/>
        <w:left w:val="none" w:sz="0" w:space="0" w:color="auto"/>
        <w:bottom w:val="none" w:sz="0" w:space="0" w:color="auto"/>
        <w:right w:val="none" w:sz="0" w:space="0" w:color="auto"/>
      </w:divBdr>
    </w:div>
    <w:div w:id="1351418823">
      <w:marLeft w:val="0"/>
      <w:marRight w:val="0"/>
      <w:marTop w:val="0"/>
      <w:marBottom w:val="0"/>
      <w:divBdr>
        <w:top w:val="none" w:sz="0" w:space="0" w:color="auto"/>
        <w:left w:val="none" w:sz="0" w:space="0" w:color="auto"/>
        <w:bottom w:val="none" w:sz="0" w:space="0" w:color="auto"/>
        <w:right w:val="none" w:sz="0" w:space="0" w:color="auto"/>
      </w:divBdr>
    </w:div>
    <w:div w:id="1359772517">
      <w:marLeft w:val="0"/>
      <w:marRight w:val="0"/>
      <w:marTop w:val="0"/>
      <w:marBottom w:val="0"/>
      <w:divBdr>
        <w:top w:val="none" w:sz="0" w:space="0" w:color="auto"/>
        <w:left w:val="none" w:sz="0" w:space="0" w:color="auto"/>
        <w:bottom w:val="none" w:sz="0" w:space="0" w:color="auto"/>
        <w:right w:val="none" w:sz="0" w:space="0" w:color="auto"/>
      </w:divBdr>
    </w:div>
    <w:div w:id="1364398842">
      <w:marLeft w:val="0"/>
      <w:marRight w:val="0"/>
      <w:marTop w:val="0"/>
      <w:marBottom w:val="0"/>
      <w:divBdr>
        <w:top w:val="none" w:sz="0" w:space="0" w:color="auto"/>
        <w:left w:val="none" w:sz="0" w:space="0" w:color="auto"/>
        <w:bottom w:val="none" w:sz="0" w:space="0" w:color="auto"/>
        <w:right w:val="none" w:sz="0" w:space="0" w:color="auto"/>
      </w:divBdr>
    </w:div>
    <w:div w:id="1365212752">
      <w:marLeft w:val="0"/>
      <w:marRight w:val="0"/>
      <w:marTop w:val="0"/>
      <w:marBottom w:val="0"/>
      <w:divBdr>
        <w:top w:val="none" w:sz="0" w:space="0" w:color="auto"/>
        <w:left w:val="none" w:sz="0" w:space="0" w:color="auto"/>
        <w:bottom w:val="none" w:sz="0" w:space="0" w:color="auto"/>
        <w:right w:val="none" w:sz="0" w:space="0" w:color="auto"/>
      </w:divBdr>
    </w:div>
    <w:div w:id="1368143373">
      <w:marLeft w:val="0"/>
      <w:marRight w:val="0"/>
      <w:marTop w:val="0"/>
      <w:marBottom w:val="0"/>
      <w:divBdr>
        <w:top w:val="none" w:sz="0" w:space="0" w:color="auto"/>
        <w:left w:val="none" w:sz="0" w:space="0" w:color="auto"/>
        <w:bottom w:val="none" w:sz="0" w:space="0" w:color="auto"/>
        <w:right w:val="none" w:sz="0" w:space="0" w:color="auto"/>
      </w:divBdr>
      <w:divsChild>
        <w:div w:id="144399729">
          <w:marLeft w:val="0"/>
          <w:marRight w:val="0"/>
          <w:marTop w:val="0"/>
          <w:marBottom w:val="0"/>
          <w:divBdr>
            <w:top w:val="none" w:sz="0" w:space="0" w:color="auto"/>
            <w:left w:val="none" w:sz="0" w:space="0" w:color="auto"/>
            <w:bottom w:val="none" w:sz="0" w:space="0" w:color="auto"/>
            <w:right w:val="none" w:sz="0" w:space="0" w:color="auto"/>
          </w:divBdr>
        </w:div>
      </w:divsChild>
    </w:div>
    <w:div w:id="1369985072">
      <w:marLeft w:val="0"/>
      <w:marRight w:val="0"/>
      <w:marTop w:val="0"/>
      <w:marBottom w:val="0"/>
      <w:divBdr>
        <w:top w:val="none" w:sz="0" w:space="0" w:color="auto"/>
        <w:left w:val="none" w:sz="0" w:space="0" w:color="auto"/>
        <w:bottom w:val="none" w:sz="0" w:space="0" w:color="auto"/>
        <w:right w:val="none" w:sz="0" w:space="0" w:color="auto"/>
      </w:divBdr>
    </w:div>
    <w:div w:id="1370496630">
      <w:marLeft w:val="0"/>
      <w:marRight w:val="0"/>
      <w:marTop w:val="0"/>
      <w:marBottom w:val="0"/>
      <w:divBdr>
        <w:top w:val="none" w:sz="0" w:space="0" w:color="auto"/>
        <w:left w:val="none" w:sz="0" w:space="0" w:color="auto"/>
        <w:bottom w:val="none" w:sz="0" w:space="0" w:color="auto"/>
        <w:right w:val="none" w:sz="0" w:space="0" w:color="auto"/>
      </w:divBdr>
    </w:div>
    <w:div w:id="1378820266">
      <w:marLeft w:val="0"/>
      <w:marRight w:val="0"/>
      <w:marTop w:val="0"/>
      <w:marBottom w:val="0"/>
      <w:divBdr>
        <w:top w:val="none" w:sz="0" w:space="0" w:color="auto"/>
        <w:left w:val="none" w:sz="0" w:space="0" w:color="auto"/>
        <w:bottom w:val="none" w:sz="0" w:space="0" w:color="auto"/>
        <w:right w:val="none" w:sz="0" w:space="0" w:color="auto"/>
      </w:divBdr>
    </w:div>
    <w:div w:id="1380010531">
      <w:marLeft w:val="0"/>
      <w:marRight w:val="0"/>
      <w:marTop w:val="0"/>
      <w:marBottom w:val="0"/>
      <w:divBdr>
        <w:top w:val="none" w:sz="0" w:space="0" w:color="auto"/>
        <w:left w:val="none" w:sz="0" w:space="0" w:color="auto"/>
        <w:bottom w:val="none" w:sz="0" w:space="0" w:color="auto"/>
        <w:right w:val="none" w:sz="0" w:space="0" w:color="auto"/>
      </w:divBdr>
    </w:div>
    <w:div w:id="1380399201">
      <w:marLeft w:val="0"/>
      <w:marRight w:val="0"/>
      <w:marTop w:val="0"/>
      <w:marBottom w:val="0"/>
      <w:divBdr>
        <w:top w:val="none" w:sz="0" w:space="0" w:color="auto"/>
        <w:left w:val="none" w:sz="0" w:space="0" w:color="auto"/>
        <w:bottom w:val="none" w:sz="0" w:space="0" w:color="auto"/>
        <w:right w:val="none" w:sz="0" w:space="0" w:color="auto"/>
      </w:divBdr>
    </w:div>
    <w:div w:id="1380670210">
      <w:marLeft w:val="0"/>
      <w:marRight w:val="0"/>
      <w:marTop w:val="0"/>
      <w:marBottom w:val="0"/>
      <w:divBdr>
        <w:top w:val="none" w:sz="0" w:space="0" w:color="auto"/>
        <w:left w:val="none" w:sz="0" w:space="0" w:color="auto"/>
        <w:bottom w:val="none" w:sz="0" w:space="0" w:color="auto"/>
        <w:right w:val="none" w:sz="0" w:space="0" w:color="auto"/>
      </w:divBdr>
    </w:div>
    <w:div w:id="1388065237">
      <w:marLeft w:val="0"/>
      <w:marRight w:val="0"/>
      <w:marTop w:val="0"/>
      <w:marBottom w:val="0"/>
      <w:divBdr>
        <w:top w:val="none" w:sz="0" w:space="0" w:color="auto"/>
        <w:left w:val="none" w:sz="0" w:space="0" w:color="auto"/>
        <w:bottom w:val="none" w:sz="0" w:space="0" w:color="auto"/>
        <w:right w:val="none" w:sz="0" w:space="0" w:color="auto"/>
      </w:divBdr>
    </w:div>
    <w:div w:id="1392268902">
      <w:marLeft w:val="0"/>
      <w:marRight w:val="0"/>
      <w:marTop w:val="0"/>
      <w:marBottom w:val="0"/>
      <w:divBdr>
        <w:top w:val="none" w:sz="0" w:space="0" w:color="auto"/>
        <w:left w:val="none" w:sz="0" w:space="0" w:color="auto"/>
        <w:bottom w:val="none" w:sz="0" w:space="0" w:color="auto"/>
        <w:right w:val="none" w:sz="0" w:space="0" w:color="auto"/>
      </w:divBdr>
    </w:div>
    <w:div w:id="1399404853">
      <w:marLeft w:val="0"/>
      <w:marRight w:val="0"/>
      <w:marTop w:val="0"/>
      <w:marBottom w:val="0"/>
      <w:divBdr>
        <w:top w:val="none" w:sz="0" w:space="0" w:color="auto"/>
        <w:left w:val="none" w:sz="0" w:space="0" w:color="auto"/>
        <w:bottom w:val="none" w:sz="0" w:space="0" w:color="auto"/>
        <w:right w:val="none" w:sz="0" w:space="0" w:color="auto"/>
      </w:divBdr>
    </w:div>
    <w:div w:id="1400521068">
      <w:marLeft w:val="0"/>
      <w:marRight w:val="0"/>
      <w:marTop w:val="0"/>
      <w:marBottom w:val="0"/>
      <w:divBdr>
        <w:top w:val="none" w:sz="0" w:space="0" w:color="auto"/>
        <w:left w:val="none" w:sz="0" w:space="0" w:color="auto"/>
        <w:bottom w:val="none" w:sz="0" w:space="0" w:color="auto"/>
        <w:right w:val="none" w:sz="0" w:space="0" w:color="auto"/>
      </w:divBdr>
    </w:div>
    <w:div w:id="1405302327">
      <w:marLeft w:val="0"/>
      <w:marRight w:val="0"/>
      <w:marTop w:val="0"/>
      <w:marBottom w:val="0"/>
      <w:divBdr>
        <w:top w:val="none" w:sz="0" w:space="0" w:color="auto"/>
        <w:left w:val="none" w:sz="0" w:space="0" w:color="auto"/>
        <w:bottom w:val="none" w:sz="0" w:space="0" w:color="auto"/>
        <w:right w:val="none" w:sz="0" w:space="0" w:color="auto"/>
      </w:divBdr>
    </w:div>
    <w:div w:id="1406412106">
      <w:marLeft w:val="0"/>
      <w:marRight w:val="0"/>
      <w:marTop w:val="0"/>
      <w:marBottom w:val="0"/>
      <w:divBdr>
        <w:top w:val="none" w:sz="0" w:space="0" w:color="auto"/>
        <w:left w:val="none" w:sz="0" w:space="0" w:color="auto"/>
        <w:bottom w:val="none" w:sz="0" w:space="0" w:color="auto"/>
        <w:right w:val="none" w:sz="0" w:space="0" w:color="auto"/>
      </w:divBdr>
    </w:div>
    <w:div w:id="1406563960">
      <w:marLeft w:val="0"/>
      <w:marRight w:val="0"/>
      <w:marTop w:val="0"/>
      <w:marBottom w:val="0"/>
      <w:divBdr>
        <w:top w:val="none" w:sz="0" w:space="0" w:color="auto"/>
        <w:left w:val="none" w:sz="0" w:space="0" w:color="auto"/>
        <w:bottom w:val="none" w:sz="0" w:space="0" w:color="auto"/>
        <w:right w:val="none" w:sz="0" w:space="0" w:color="auto"/>
      </w:divBdr>
    </w:div>
    <w:div w:id="1411080408">
      <w:marLeft w:val="0"/>
      <w:marRight w:val="0"/>
      <w:marTop w:val="0"/>
      <w:marBottom w:val="0"/>
      <w:divBdr>
        <w:top w:val="none" w:sz="0" w:space="0" w:color="auto"/>
        <w:left w:val="none" w:sz="0" w:space="0" w:color="auto"/>
        <w:bottom w:val="none" w:sz="0" w:space="0" w:color="auto"/>
        <w:right w:val="none" w:sz="0" w:space="0" w:color="auto"/>
      </w:divBdr>
    </w:div>
    <w:div w:id="1414660708">
      <w:marLeft w:val="0"/>
      <w:marRight w:val="0"/>
      <w:marTop w:val="0"/>
      <w:marBottom w:val="0"/>
      <w:divBdr>
        <w:top w:val="none" w:sz="0" w:space="0" w:color="auto"/>
        <w:left w:val="none" w:sz="0" w:space="0" w:color="auto"/>
        <w:bottom w:val="none" w:sz="0" w:space="0" w:color="auto"/>
        <w:right w:val="none" w:sz="0" w:space="0" w:color="auto"/>
      </w:divBdr>
    </w:div>
    <w:div w:id="1414738920">
      <w:marLeft w:val="0"/>
      <w:marRight w:val="0"/>
      <w:marTop w:val="0"/>
      <w:marBottom w:val="0"/>
      <w:divBdr>
        <w:top w:val="none" w:sz="0" w:space="0" w:color="auto"/>
        <w:left w:val="none" w:sz="0" w:space="0" w:color="auto"/>
        <w:bottom w:val="none" w:sz="0" w:space="0" w:color="auto"/>
        <w:right w:val="none" w:sz="0" w:space="0" w:color="auto"/>
      </w:divBdr>
    </w:div>
    <w:div w:id="1419474469">
      <w:marLeft w:val="0"/>
      <w:marRight w:val="0"/>
      <w:marTop w:val="0"/>
      <w:marBottom w:val="0"/>
      <w:divBdr>
        <w:top w:val="none" w:sz="0" w:space="0" w:color="auto"/>
        <w:left w:val="none" w:sz="0" w:space="0" w:color="auto"/>
        <w:bottom w:val="none" w:sz="0" w:space="0" w:color="auto"/>
        <w:right w:val="none" w:sz="0" w:space="0" w:color="auto"/>
      </w:divBdr>
    </w:div>
    <w:div w:id="1423262944">
      <w:marLeft w:val="0"/>
      <w:marRight w:val="0"/>
      <w:marTop w:val="0"/>
      <w:marBottom w:val="0"/>
      <w:divBdr>
        <w:top w:val="none" w:sz="0" w:space="0" w:color="auto"/>
        <w:left w:val="none" w:sz="0" w:space="0" w:color="auto"/>
        <w:bottom w:val="none" w:sz="0" w:space="0" w:color="auto"/>
        <w:right w:val="none" w:sz="0" w:space="0" w:color="auto"/>
      </w:divBdr>
    </w:div>
    <w:div w:id="1427073203">
      <w:marLeft w:val="0"/>
      <w:marRight w:val="0"/>
      <w:marTop w:val="0"/>
      <w:marBottom w:val="0"/>
      <w:divBdr>
        <w:top w:val="none" w:sz="0" w:space="0" w:color="auto"/>
        <w:left w:val="none" w:sz="0" w:space="0" w:color="auto"/>
        <w:bottom w:val="none" w:sz="0" w:space="0" w:color="auto"/>
        <w:right w:val="none" w:sz="0" w:space="0" w:color="auto"/>
      </w:divBdr>
    </w:div>
    <w:div w:id="1428651164">
      <w:marLeft w:val="0"/>
      <w:marRight w:val="0"/>
      <w:marTop w:val="0"/>
      <w:marBottom w:val="0"/>
      <w:divBdr>
        <w:top w:val="none" w:sz="0" w:space="0" w:color="auto"/>
        <w:left w:val="none" w:sz="0" w:space="0" w:color="auto"/>
        <w:bottom w:val="none" w:sz="0" w:space="0" w:color="auto"/>
        <w:right w:val="none" w:sz="0" w:space="0" w:color="auto"/>
      </w:divBdr>
    </w:div>
    <w:div w:id="1429547235">
      <w:marLeft w:val="0"/>
      <w:marRight w:val="0"/>
      <w:marTop w:val="0"/>
      <w:marBottom w:val="0"/>
      <w:divBdr>
        <w:top w:val="none" w:sz="0" w:space="0" w:color="auto"/>
        <w:left w:val="none" w:sz="0" w:space="0" w:color="auto"/>
        <w:bottom w:val="none" w:sz="0" w:space="0" w:color="auto"/>
        <w:right w:val="none" w:sz="0" w:space="0" w:color="auto"/>
      </w:divBdr>
    </w:div>
    <w:div w:id="1430858851">
      <w:marLeft w:val="0"/>
      <w:marRight w:val="0"/>
      <w:marTop w:val="100"/>
      <w:marBottom w:val="100"/>
      <w:divBdr>
        <w:top w:val="none" w:sz="0" w:space="0" w:color="auto"/>
        <w:left w:val="none" w:sz="0" w:space="0" w:color="auto"/>
        <w:bottom w:val="none" w:sz="0" w:space="0" w:color="auto"/>
        <w:right w:val="none" w:sz="0" w:space="0" w:color="auto"/>
      </w:divBdr>
      <w:divsChild>
        <w:div w:id="1903174555">
          <w:marLeft w:val="0"/>
          <w:marRight w:val="0"/>
          <w:marTop w:val="0"/>
          <w:marBottom w:val="0"/>
          <w:divBdr>
            <w:top w:val="none" w:sz="0" w:space="0" w:color="auto"/>
            <w:left w:val="none" w:sz="0" w:space="0" w:color="auto"/>
            <w:bottom w:val="none" w:sz="0" w:space="0" w:color="auto"/>
            <w:right w:val="none" w:sz="0" w:space="0" w:color="auto"/>
          </w:divBdr>
        </w:div>
        <w:div w:id="165484742">
          <w:marLeft w:val="0"/>
          <w:marRight w:val="0"/>
          <w:marTop w:val="0"/>
          <w:marBottom w:val="0"/>
          <w:divBdr>
            <w:top w:val="none" w:sz="0" w:space="0" w:color="auto"/>
            <w:left w:val="none" w:sz="0" w:space="0" w:color="auto"/>
            <w:bottom w:val="none" w:sz="0" w:space="0" w:color="auto"/>
            <w:right w:val="none" w:sz="0" w:space="0" w:color="auto"/>
          </w:divBdr>
        </w:div>
        <w:div w:id="1702045809">
          <w:marLeft w:val="0"/>
          <w:marRight w:val="0"/>
          <w:marTop w:val="0"/>
          <w:marBottom w:val="0"/>
          <w:divBdr>
            <w:top w:val="none" w:sz="0" w:space="0" w:color="auto"/>
            <w:left w:val="none" w:sz="0" w:space="0" w:color="auto"/>
            <w:bottom w:val="none" w:sz="0" w:space="0" w:color="auto"/>
            <w:right w:val="none" w:sz="0" w:space="0" w:color="auto"/>
          </w:divBdr>
        </w:div>
        <w:div w:id="304315584">
          <w:marLeft w:val="0"/>
          <w:marRight w:val="0"/>
          <w:marTop w:val="0"/>
          <w:marBottom w:val="0"/>
          <w:divBdr>
            <w:top w:val="none" w:sz="0" w:space="0" w:color="auto"/>
            <w:left w:val="none" w:sz="0" w:space="0" w:color="auto"/>
            <w:bottom w:val="none" w:sz="0" w:space="0" w:color="auto"/>
            <w:right w:val="none" w:sz="0" w:space="0" w:color="auto"/>
          </w:divBdr>
        </w:div>
        <w:div w:id="2118018205">
          <w:marLeft w:val="0"/>
          <w:marRight w:val="0"/>
          <w:marTop w:val="0"/>
          <w:marBottom w:val="0"/>
          <w:divBdr>
            <w:top w:val="none" w:sz="0" w:space="0" w:color="auto"/>
            <w:left w:val="none" w:sz="0" w:space="0" w:color="auto"/>
            <w:bottom w:val="none" w:sz="0" w:space="0" w:color="auto"/>
            <w:right w:val="none" w:sz="0" w:space="0" w:color="auto"/>
          </w:divBdr>
        </w:div>
        <w:div w:id="302010407">
          <w:marLeft w:val="0"/>
          <w:marRight w:val="0"/>
          <w:marTop w:val="0"/>
          <w:marBottom w:val="0"/>
          <w:divBdr>
            <w:top w:val="none" w:sz="0" w:space="0" w:color="auto"/>
            <w:left w:val="none" w:sz="0" w:space="0" w:color="auto"/>
            <w:bottom w:val="none" w:sz="0" w:space="0" w:color="auto"/>
            <w:right w:val="none" w:sz="0" w:space="0" w:color="auto"/>
          </w:divBdr>
        </w:div>
        <w:div w:id="28998403">
          <w:marLeft w:val="0"/>
          <w:marRight w:val="0"/>
          <w:marTop w:val="0"/>
          <w:marBottom w:val="0"/>
          <w:divBdr>
            <w:top w:val="none" w:sz="0" w:space="0" w:color="auto"/>
            <w:left w:val="none" w:sz="0" w:space="0" w:color="auto"/>
            <w:bottom w:val="none" w:sz="0" w:space="0" w:color="auto"/>
            <w:right w:val="none" w:sz="0" w:space="0" w:color="auto"/>
          </w:divBdr>
        </w:div>
        <w:div w:id="1251503882">
          <w:marLeft w:val="0"/>
          <w:marRight w:val="0"/>
          <w:marTop w:val="0"/>
          <w:marBottom w:val="0"/>
          <w:divBdr>
            <w:top w:val="none" w:sz="0" w:space="0" w:color="auto"/>
            <w:left w:val="none" w:sz="0" w:space="0" w:color="auto"/>
            <w:bottom w:val="none" w:sz="0" w:space="0" w:color="auto"/>
            <w:right w:val="none" w:sz="0" w:space="0" w:color="auto"/>
          </w:divBdr>
        </w:div>
      </w:divsChild>
    </w:div>
    <w:div w:id="1433625801">
      <w:marLeft w:val="0"/>
      <w:marRight w:val="0"/>
      <w:marTop w:val="0"/>
      <w:marBottom w:val="0"/>
      <w:divBdr>
        <w:top w:val="none" w:sz="0" w:space="0" w:color="auto"/>
        <w:left w:val="none" w:sz="0" w:space="0" w:color="auto"/>
        <w:bottom w:val="none" w:sz="0" w:space="0" w:color="auto"/>
        <w:right w:val="none" w:sz="0" w:space="0" w:color="auto"/>
      </w:divBdr>
    </w:div>
    <w:div w:id="1433626136">
      <w:marLeft w:val="0"/>
      <w:marRight w:val="0"/>
      <w:marTop w:val="0"/>
      <w:marBottom w:val="0"/>
      <w:divBdr>
        <w:top w:val="none" w:sz="0" w:space="0" w:color="auto"/>
        <w:left w:val="none" w:sz="0" w:space="0" w:color="auto"/>
        <w:bottom w:val="none" w:sz="0" w:space="0" w:color="auto"/>
        <w:right w:val="none" w:sz="0" w:space="0" w:color="auto"/>
      </w:divBdr>
    </w:div>
    <w:div w:id="1441530998">
      <w:marLeft w:val="0"/>
      <w:marRight w:val="0"/>
      <w:marTop w:val="0"/>
      <w:marBottom w:val="0"/>
      <w:divBdr>
        <w:top w:val="none" w:sz="0" w:space="0" w:color="auto"/>
        <w:left w:val="none" w:sz="0" w:space="0" w:color="auto"/>
        <w:bottom w:val="none" w:sz="0" w:space="0" w:color="auto"/>
        <w:right w:val="none" w:sz="0" w:space="0" w:color="auto"/>
      </w:divBdr>
    </w:div>
    <w:div w:id="1442258976">
      <w:marLeft w:val="0"/>
      <w:marRight w:val="0"/>
      <w:marTop w:val="0"/>
      <w:marBottom w:val="0"/>
      <w:divBdr>
        <w:top w:val="none" w:sz="0" w:space="0" w:color="auto"/>
        <w:left w:val="none" w:sz="0" w:space="0" w:color="auto"/>
        <w:bottom w:val="none" w:sz="0" w:space="0" w:color="auto"/>
        <w:right w:val="none" w:sz="0" w:space="0" w:color="auto"/>
      </w:divBdr>
    </w:div>
    <w:div w:id="1443571507">
      <w:marLeft w:val="0"/>
      <w:marRight w:val="0"/>
      <w:marTop w:val="0"/>
      <w:marBottom w:val="0"/>
      <w:divBdr>
        <w:top w:val="none" w:sz="0" w:space="0" w:color="auto"/>
        <w:left w:val="none" w:sz="0" w:space="0" w:color="auto"/>
        <w:bottom w:val="none" w:sz="0" w:space="0" w:color="auto"/>
        <w:right w:val="none" w:sz="0" w:space="0" w:color="auto"/>
      </w:divBdr>
    </w:div>
    <w:div w:id="1446079898">
      <w:marLeft w:val="0"/>
      <w:marRight w:val="0"/>
      <w:marTop w:val="100"/>
      <w:marBottom w:val="100"/>
      <w:divBdr>
        <w:top w:val="none" w:sz="0" w:space="0" w:color="auto"/>
        <w:left w:val="none" w:sz="0" w:space="0" w:color="auto"/>
        <w:bottom w:val="none" w:sz="0" w:space="0" w:color="auto"/>
        <w:right w:val="none" w:sz="0" w:space="0" w:color="auto"/>
      </w:divBdr>
    </w:div>
    <w:div w:id="1448743604">
      <w:marLeft w:val="0"/>
      <w:marRight w:val="0"/>
      <w:marTop w:val="0"/>
      <w:marBottom w:val="0"/>
      <w:divBdr>
        <w:top w:val="none" w:sz="0" w:space="0" w:color="auto"/>
        <w:left w:val="none" w:sz="0" w:space="0" w:color="auto"/>
        <w:bottom w:val="none" w:sz="0" w:space="0" w:color="auto"/>
        <w:right w:val="none" w:sz="0" w:space="0" w:color="auto"/>
      </w:divBdr>
    </w:div>
    <w:div w:id="1454902577">
      <w:marLeft w:val="0"/>
      <w:marRight w:val="0"/>
      <w:marTop w:val="0"/>
      <w:marBottom w:val="0"/>
      <w:divBdr>
        <w:top w:val="none" w:sz="0" w:space="0" w:color="auto"/>
        <w:left w:val="none" w:sz="0" w:space="0" w:color="auto"/>
        <w:bottom w:val="none" w:sz="0" w:space="0" w:color="auto"/>
        <w:right w:val="none" w:sz="0" w:space="0" w:color="auto"/>
      </w:divBdr>
    </w:div>
    <w:div w:id="1456482629">
      <w:marLeft w:val="0"/>
      <w:marRight w:val="0"/>
      <w:marTop w:val="0"/>
      <w:marBottom w:val="0"/>
      <w:divBdr>
        <w:top w:val="none" w:sz="0" w:space="0" w:color="auto"/>
        <w:left w:val="none" w:sz="0" w:space="0" w:color="auto"/>
        <w:bottom w:val="none" w:sz="0" w:space="0" w:color="auto"/>
        <w:right w:val="none" w:sz="0" w:space="0" w:color="auto"/>
      </w:divBdr>
    </w:div>
    <w:div w:id="1458332745">
      <w:marLeft w:val="0"/>
      <w:marRight w:val="0"/>
      <w:marTop w:val="0"/>
      <w:marBottom w:val="0"/>
      <w:divBdr>
        <w:top w:val="none" w:sz="0" w:space="0" w:color="auto"/>
        <w:left w:val="none" w:sz="0" w:space="0" w:color="auto"/>
        <w:bottom w:val="none" w:sz="0" w:space="0" w:color="auto"/>
        <w:right w:val="none" w:sz="0" w:space="0" w:color="auto"/>
      </w:divBdr>
    </w:div>
    <w:div w:id="1459563527">
      <w:marLeft w:val="0"/>
      <w:marRight w:val="0"/>
      <w:marTop w:val="0"/>
      <w:marBottom w:val="0"/>
      <w:divBdr>
        <w:top w:val="none" w:sz="0" w:space="0" w:color="auto"/>
        <w:left w:val="none" w:sz="0" w:space="0" w:color="auto"/>
        <w:bottom w:val="none" w:sz="0" w:space="0" w:color="auto"/>
        <w:right w:val="none" w:sz="0" w:space="0" w:color="auto"/>
      </w:divBdr>
    </w:div>
    <w:div w:id="1470904454">
      <w:marLeft w:val="0"/>
      <w:marRight w:val="0"/>
      <w:marTop w:val="0"/>
      <w:marBottom w:val="0"/>
      <w:divBdr>
        <w:top w:val="none" w:sz="0" w:space="0" w:color="auto"/>
        <w:left w:val="none" w:sz="0" w:space="0" w:color="auto"/>
        <w:bottom w:val="none" w:sz="0" w:space="0" w:color="auto"/>
        <w:right w:val="none" w:sz="0" w:space="0" w:color="auto"/>
      </w:divBdr>
    </w:div>
    <w:div w:id="1482118481">
      <w:marLeft w:val="0"/>
      <w:marRight w:val="0"/>
      <w:marTop w:val="0"/>
      <w:marBottom w:val="0"/>
      <w:divBdr>
        <w:top w:val="none" w:sz="0" w:space="0" w:color="auto"/>
        <w:left w:val="none" w:sz="0" w:space="0" w:color="auto"/>
        <w:bottom w:val="none" w:sz="0" w:space="0" w:color="auto"/>
        <w:right w:val="none" w:sz="0" w:space="0" w:color="auto"/>
      </w:divBdr>
    </w:div>
    <w:div w:id="1482768003">
      <w:marLeft w:val="0"/>
      <w:marRight w:val="0"/>
      <w:marTop w:val="0"/>
      <w:marBottom w:val="0"/>
      <w:divBdr>
        <w:top w:val="none" w:sz="0" w:space="0" w:color="auto"/>
        <w:left w:val="none" w:sz="0" w:space="0" w:color="auto"/>
        <w:bottom w:val="none" w:sz="0" w:space="0" w:color="auto"/>
        <w:right w:val="none" w:sz="0" w:space="0" w:color="auto"/>
      </w:divBdr>
      <w:divsChild>
        <w:div w:id="2024626171">
          <w:marLeft w:val="0"/>
          <w:marRight w:val="0"/>
          <w:marTop w:val="0"/>
          <w:marBottom w:val="0"/>
          <w:divBdr>
            <w:top w:val="none" w:sz="0" w:space="0" w:color="auto"/>
            <w:left w:val="none" w:sz="0" w:space="0" w:color="auto"/>
            <w:bottom w:val="none" w:sz="0" w:space="0" w:color="auto"/>
            <w:right w:val="none" w:sz="0" w:space="0" w:color="auto"/>
          </w:divBdr>
        </w:div>
      </w:divsChild>
    </w:div>
    <w:div w:id="1485585305">
      <w:marLeft w:val="0"/>
      <w:marRight w:val="0"/>
      <w:marTop w:val="0"/>
      <w:marBottom w:val="0"/>
      <w:divBdr>
        <w:top w:val="none" w:sz="0" w:space="0" w:color="auto"/>
        <w:left w:val="none" w:sz="0" w:space="0" w:color="auto"/>
        <w:bottom w:val="none" w:sz="0" w:space="0" w:color="auto"/>
        <w:right w:val="none" w:sz="0" w:space="0" w:color="auto"/>
      </w:divBdr>
    </w:div>
    <w:div w:id="1486698869">
      <w:marLeft w:val="0"/>
      <w:marRight w:val="0"/>
      <w:marTop w:val="0"/>
      <w:marBottom w:val="0"/>
      <w:divBdr>
        <w:top w:val="none" w:sz="0" w:space="0" w:color="auto"/>
        <w:left w:val="none" w:sz="0" w:space="0" w:color="auto"/>
        <w:bottom w:val="none" w:sz="0" w:space="0" w:color="auto"/>
        <w:right w:val="none" w:sz="0" w:space="0" w:color="auto"/>
      </w:divBdr>
    </w:div>
    <w:div w:id="1489906548">
      <w:marLeft w:val="0"/>
      <w:marRight w:val="0"/>
      <w:marTop w:val="0"/>
      <w:marBottom w:val="0"/>
      <w:divBdr>
        <w:top w:val="none" w:sz="0" w:space="0" w:color="auto"/>
        <w:left w:val="none" w:sz="0" w:space="0" w:color="auto"/>
        <w:bottom w:val="none" w:sz="0" w:space="0" w:color="auto"/>
        <w:right w:val="none" w:sz="0" w:space="0" w:color="auto"/>
      </w:divBdr>
    </w:div>
    <w:div w:id="1491097101">
      <w:marLeft w:val="0"/>
      <w:marRight w:val="0"/>
      <w:marTop w:val="0"/>
      <w:marBottom w:val="0"/>
      <w:divBdr>
        <w:top w:val="none" w:sz="0" w:space="0" w:color="auto"/>
        <w:left w:val="none" w:sz="0" w:space="0" w:color="auto"/>
        <w:bottom w:val="none" w:sz="0" w:space="0" w:color="auto"/>
        <w:right w:val="none" w:sz="0" w:space="0" w:color="auto"/>
      </w:divBdr>
    </w:div>
    <w:div w:id="1500458574">
      <w:marLeft w:val="0"/>
      <w:marRight w:val="0"/>
      <w:marTop w:val="0"/>
      <w:marBottom w:val="0"/>
      <w:divBdr>
        <w:top w:val="none" w:sz="0" w:space="0" w:color="auto"/>
        <w:left w:val="none" w:sz="0" w:space="0" w:color="auto"/>
        <w:bottom w:val="none" w:sz="0" w:space="0" w:color="auto"/>
        <w:right w:val="none" w:sz="0" w:space="0" w:color="auto"/>
      </w:divBdr>
    </w:div>
    <w:div w:id="1504777614">
      <w:marLeft w:val="0"/>
      <w:marRight w:val="0"/>
      <w:marTop w:val="0"/>
      <w:marBottom w:val="0"/>
      <w:divBdr>
        <w:top w:val="none" w:sz="0" w:space="0" w:color="auto"/>
        <w:left w:val="none" w:sz="0" w:space="0" w:color="auto"/>
        <w:bottom w:val="none" w:sz="0" w:space="0" w:color="auto"/>
        <w:right w:val="none" w:sz="0" w:space="0" w:color="auto"/>
      </w:divBdr>
    </w:div>
    <w:div w:id="1506284684">
      <w:marLeft w:val="0"/>
      <w:marRight w:val="0"/>
      <w:marTop w:val="0"/>
      <w:marBottom w:val="0"/>
      <w:divBdr>
        <w:top w:val="none" w:sz="0" w:space="0" w:color="auto"/>
        <w:left w:val="none" w:sz="0" w:space="0" w:color="auto"/>
        <w:bottom w:val="none" w:sz="0" w:space="0" w:color="auto"/>
        <w:right w:val="none" w:sz="0" w:space="0" w:color="auto"/>
      </w:divBdr>
      <w:divsChild>
        <w:div w:id="974528106">
          <w:marLeft w:val="0"/>
          <w:marRight w:val="0"/>
          <w:marTop w:val="0"/>
          <w:marBottom w:val="0"/>
          <w:divBdr>
            <w:top w:val="none" w:sz="0" w:space="0" w:color="auto"/>
            <w:left w:val="none" w:sz="0" w:space="0" w:color="auto"/>
            <w:bottom w:val="none" w:sz="0" w:space="0" w:color="auto"/>
            <w:right w:val="none" w:sz="0" w:space="0" w:color="auto"/>
          </w:divBdr>
        </w:div>
      </w:divsChild>
    </w:div>
    <w:div w:id="1506700571">
      <w:marLeft w:val="0"/>
      <w:marRight w:val="0"/>
      <w:marTop w:val="0"/>
      <w:marBottom w:val="0"/>
      <w:divBdr>
        <w:top w:val="none" w:sz="0" w:space="0" w:color="auto"/>
        <w:left w:val="none" w:sz="0" w:space="0" w:color="auto"/>
        <w:bottom w:val="none" w:sz="0" w:space="0" w:color="auto"/>
        <w:right w:val="none" w:sz="0" w:space="0" w:color="auto"/>
      </w:divBdr>
    </w:div>
    <w:div w:id="1508137087">
      <w:marLeft w:val="0"/>
      <w:marRight w:val="0"/>
      <w:marTop w:val="0"/>
      <w:marBottom w:val="0"/>
      <w:divBdr>
        <w:top w:val="none" w:sz="0" w:space="0" w:color="auto"/>
        <w:left w:val="none" w:sz="0" w:space="0" w:color="auto"/>
        <w:bottom w:val="none" w:sz="0" w:space="0" w:color="auto"/>
        <w:right w:val="none" w:sz="0" w:space="0" w:color="auto"/>
      </w:divBdr>
    </w:div>
    <w:div w:id="1509251810">
      <w:marLeft w:val="0"/>
      <w:marRight w:val="0"/>
      <w:marTop w:val="0"/>
      <w:marBottom w:val="0"/>
      <w:divBdr>
        <w:top w:val="none" w:sz="0" w:space="0" w:color="auto"/>
        <w:left w:val="none" w:sz="0" w:space="0" w:color="auto"/>
        <w:bottom w:val="none" w:sz="0" w:space="0" w:color="auto"/>
        <w:right w:val="none" w:sz="0" w:space="0" w:color="auto"/>
      </w:divBdr>
    </w:div>
    <w:div w:id="1511026626">
      <w:marLeft w:val="0"/>
      <w:marRight w:val="0"/>
      <w:marTop w:val="0"/>
      <w:marBottom w:val="0"/>
      <w:divBdr>
        <w:top w:val="none" w:sz="0" w:space="0" w:color="auto"/>
        <w:left w:val="none" w:sz="0" w:space="0" w:color="auto"/>
        <w:bottom w:val="none" w:sz="0" w:space="0" w:color="auto"/>
        <w:right w:val="none" w:sz="0" w:space="0" w:color="auto"/>
      </w:divBdr>
    </w:div>
    <w:div w:id="1511136907">
      <w:marLeft w:val="0"/>
      <w:marRight w:val="0"/>
      <w:marTop w:val="0"/>
      <w:marBottom w:val="0"/>
      <w:divBdr>
        <w:top w:val="none" w:sz="0" w:space="0" w:color="auto"/>
        <w:left w:val="none" w:sz="0" w:space="0" w:color="auto"/>
        <w:bottom w:val="none" w:sz="0" w:space="0" w:color="auto"/>
        <w:right w:val="none" w:sz="0" w:space="0" w:color="auto"/>
      </w:divBdr>
    </w:div>
    <w:div w:id="1512527425">
      <w:marLeft w:val="0"/>
      <w:marRight w:val="0"/>
      <w:marTop w:val="0"/>
      <w:marBottom w:val="0"/>
      <w:divBdr>
        <w:top w:val="none" w:sz="0" w:space="0" w:color="auto"/>
        <w:left w:val="none" w:sz="0" w:space="0" w:color="auto"/>
        <w:bottom w:val="none" w:sz="0" w:space="0" w:color="auto"/>
        <w:right w:val="none" w:sz="0" w:space="0" w:color="auto"/>
      </w:divBdr>
    </w:div>
    <w:div w:id="1513450905">
      <w:marLeft w:val="0"/>
      <w:marRight w:val="0"/>
      <w:marTop w:val="0"/>
      <w:marBottom w:val="0"/>
      <w:divBdr>
        <w:top w:val="none" w:sz="0" w:space="0" w:color="auto"/>
        <w:left w:val="none" w:sz="0" w:space="0" w:color="auto"/>
        <w:bottom w:val="none" w:sz="0" w:space="0" w:color="auto"/>
        <w:right w:val="none" w:sz="0" w:space="0" w:color="auto"/>
      </w:divBdr>
    </w:div>
    <w:div w:id="1518226826">
      <w:marLeft w:val="0"/>
      <w:marRight w:val="0"/>
      <w:marTop w:val="100"/>
      <w:marBottom w:val="100"/>
      <w:divBdr>
        <w:top w:val="none" w:sz="0" w:space="0" w:color="auto"/>
        <w:left w:val="none" w:sz="0" w:space="0" w:color="auto"/>
        <w:bottom w:val="none" w:sz="0" w:space="0" w:color="auto"/>
        <w:right w:val="none" w:sz="0" w:space="0" w:color="auto"/>
      </w:divBdr>
      <w:divsChild>
        <w:div w:id="1217277309">
          <w:marLeft w:val="0"/>
          <w:marRight w:val="0"/>
          <w:marTop w:val="40"/>
          <w:marBottom w:val="0"/>
          <w:divBdr>
            <w:top w:val="none" w:sz="0" w:space="0" w:color="auto"/>
            <w:left w:val="none" w:sz="0" w:space="0" w:color="auto"/>
            <w:bottom w:val="none" w:sz="0" w:space="0" w:color="auto"/>
            <w:right w:val="none" w:sz="0" w:space="0" w:color="auto"/>
          </w:divBdr>
        </w:div>
        <w:div w:id="701711988">
          <w:marLeft w:val="0"/>
          <w:marRight w:val="0"/>
          <w:marTop w:val="40"/>
          <w:marBottom w:val="0"/>
          <w:divBdr>
            <w:top w:val="none" w:sz="0" w:space="0" w:color="auto"/>
            <w:left w:val="none" w:sz="0" w:space="0" w:color="auto"/>
            <w:bottom w:val="none" w:sz="0" w:space="0" w:color="auto"/>
            <w:right w:val="none" w:sz="0" w:space="0" w:color="auto"/>
          </w:divBdr>
        </w:div>
      </w:divsChild>
    </w:div>
    <w:div w:id="1518737591">
      <w:marLeft w:val="0"/>
      <w:marRight w:val="0"/>
      <w:marTop w:val="0"/>
      <w:marBottom w:val="0"/>
      <w:divBdr>
        <w:top w:val="none" w:sz="0" w:space="0" w:color="auto"/>
        <w:left w:val="none" w:sz="0" w:space="0" w:color="auto"/>
        <w:bottom w:val="none" w:sz="0" w:space="0" w:color="auto"/>
        <w:right w:val="none" w:sz="0" w:space="0" w:color="auto"/>
      </w:divBdr>
    </w:div>
    <w:div w:id="1521312291">
      <w:marLeft w:val="0"/>
      <w:marRight w:val="0"/>
      <w:marTop w:val="0"/>
      <w:marBottom w:val="0"/>
      <w:divBdr>
        <w:top w:val="none" w:sz="0" w:space="0" w:color="auto"/>
        <w:left w:val="none" w:sz="0" w:space="0" w:color="auto"/>
        <w:bottom w:val="none" w:sz="0" w:space="0" w:color="auto"/>
        <w:right w:val="none" w:sz="0" w:space="0" w:color="auto"/>
      </w:divBdr>
    </w:div>
    <w:div w:id="1523738915">
      <w:marLeft w:val="0"/>
      <w:marRight w:val="0"/>
      <w:marTop w:val="0"/>
      <w:marBottom w:val="0"/>
      <w:divBdr>
        <w:top w:val="none" w:sz="0" w:space="0" w:color="auto"/>
        <w:left w:val="none" w:sz="0" w:space="0" w:color="auto"/>
        <w:bottom w:val="none" w:sz="0" w:space="0" w:color="auto"/>
        <w:right w:val="none" w:sz="0" w:space="0" w:color="auto"/>
      </w:divBdr>
    </w:div>
    <w:div w:id="1531184175">
      <w:marLeft w:val="0"/>
      <w:marRight w:val="0"/>
      <w:marTop w:val="0"/>
      <w:marBottom w:val="0"/>
      <w:divBdr>
        <w:top w:val="none" w:sz="0" w:space="0" w:color="auto"/>
        <w:left w:val="none" w:sz="0" w:space="0" w:color="auto"/>
        <w:bottom w:val="none" w:sz="0" w:space="0" w:color="auto"/>
        <w:right w:val="none" w:sz="0" w:space="0" w:color="auto"/>
      </w:divBdr>
    </w:div>
    <w:div w:id="1531992145">
      <w:marLeft w:val="0"/>
      <w:marRight w:val="0"/>
      <w:marTop w:val="0"/>
      <w:marBottom w:val="0"/>
      <w:divBdr>
        <w:top w:val="none" w:sz="0" w:space="0" w:color="auto"/>
        <w:left w:val="none" w:sz="0" w:space="0" w:color="auto"/>
        <w:bottom w:val="none" w:sz="0" w:space="0" w:color="auto"/>
        <w:right w:val="none" w:sz="0" w:space="0" w:color="auto"/>
      </w:divBdr>
    </w:div>
    <w:div w:id="1537356473">
      <w:marLeft w:val="0"/>
      <w:marRight w:val="0"/>
      <w:marTop w:val="100"/>
      <w:marBottom w:val="100"/>
      <w:divBdr>
        <w:top w:val="none" w:sz="0" w:space="0" w:color="auto"/>
        <w:left w:val="none" w:sz="0" w:space="0" w:color="auto"/>
        <w:bottom w:val="none" w:sz="0" w:space="0" w:color="auto"/>
        <w:right w:val="none" w:sz="0" w:space="0" w:color="auto"/>
      </w:divBdr>
      <w:divsChild>
        <w:div w:id="750540968">
          <w:marLeft w:val="0"/>
          <w:marRight w:val="0"/>
          <w:marTop w:val="0"/>
          <w:marBottom w:val="0"/>
          <w:divBdr>
            <w:top w:val="none" w:sz="0" w:space="0" w:color="auto"/>
            <w:left w:val="none" w:sz="0" w:space="0" w:color="auto"/>
            <w:bottom w:val="none" w:sz="0" w:space="0" w:color="auto"/>
            <w:right w:val="none" w:sz="0" w:space="0" w:color="auto"/>
          </w:divBdr>
        </w:div>
      </w:divsChild>
    </w:div>
    <w:div w:id="1540511474">
      <w:marLeft w:val="0"/>
      <w:marRight w:val="0"/>
      <w:marTop w:val="0"/>
      <w:marBottom w:val="0"/>
      <w:divBdr>
        <w:top w:val="none" w:sz="0" w:space="0" w:color="auto"/>
        <w:left w:val="none" w:sz="0" w:space="0" w:color="auto"/>
        <w:bottom w:val="none" w:sz="0" w:space="0" w:color="auto"/>
        <w:right w:val="none" w:sz="0" w:space="0" w:color="auto"/>
      </w:divBdr>
    </w:div>
    <w:div w:id="1541019279">
      <w:marLeft w:val="0"/>
      <w:marRight w:val="0"/>
      <w:marTop w:val="0"/>
      <w:marBottom w:val="0"/>
      <w:divBdr>
        <w:top w:val="none" w:sz="0" w:space="0" w:color="auto"/>
        <w:left w:val="none" w:sz="0" w:space="0" w:color="auto"/>
        <w:bottom w:val="none" w:sz="0" w:space="0" w:color="auto"/>
        <w:right w:val="none" w:sz="0" w:space="0" w:color="auto"/>
      </w:divBdr>
    </w:div>
    <w:div w:id="1544710650">
      <w:marLeft w:val="0"/>
      <w:marRight w:val="0"/>
      <w:marTop w:val="0"/>
      <w:marBottom w:val="0"/>
      <w:divBdr>
        <w:top w:val="none" w:sz="0" w:space="0" w:color="auto"/>
        <w:left w:val="none" w:sz="0" w:space="0" w:color="auto"/>
        <w:bottom w:val="none" w:sz="0" w:space="0" w:color="auto"/>
        <w:right w:val="none" w:sz="0" w:space="0" w:color="auto"/>
      </w:divBdr>
    </w:div>
    <w:div w:id="1546479759">
      <w:marLeft w:val="0"/>
      <w:marRight w:val="0"/>
      <w:marTop w:val="0"/>
      <w:marBottom w:val="0"/>
      <w:divBdr>
        <w:top w:val="none" w:sz="0" w:space="0" w:color="auto"/>
        <w:left w:val="none" w:sz="0" w:space="0" w:color="auto"/>
        <w:bottom w:val="none" w:sz="0" w:space="0" w:color="auto"/>
        <w:right w:val="none" w:sz="0" w:space="0" w:color="auto"/>
      </w:divBdr>
    </w:div>
    <w:div w:id="1548057726">
      <w:marLeft w:val="0"/>
      <w:marRight w:val="0"/>
      <w:marTop w:val="0"/>
      <w:marBottom w:val="0"/>
      <w:divBdr>
        <w:top w:val="none" w:sz="0" w:space="0" w:color="auto"/>
        <w:left w:val="none" w:sz="0" w:space="0" w:color="auto"/>
        <w:bottom w:val="none" w:sz="0" w:space="0" w:color="auto"/>
        <w:right w:val="none" w:sz="0" w:space="0" w:color="auto"/>
      </w:divBdr>
    </w:div>
    <w:div w:id="1550190469">
      <w:marLeft w:val="0"/>
      <w:marRight w:val="0"/>
      <w:marTop w:val="0"/>
      <w:marBottom w:val="0"/>
      <w:divBdr>
        <w:top w:val="none" w:sz="0" w:space="0" w:color="auto"/>
        <w:left w:val="none" w:sz="0" w:space="0" w:color="auto"/>
        <w:bottom w:val="none" w:sz="0" w:space="0" w:color="auto"/>
        <w:right w:val="none" w:sz="0" w:space="0" w:color="auto"/>
      </w:divBdr>
    </w:div>
    <w:div w:id="1552182408">
      <w:marLeft w:val="0"/>
      <w:marRight w:val="0"/>
      <w:marTop w:val="0"/>
      <w:marBottom w:val="0"/>
      <w:divBdr>
        <w:top w:val="none" w:sz="0" w:space="0" w:color="auto"/>
        <w:left w:val="none" w:sz="0" w:space="0" w:color="auto"/>
        <w:bottom w:val="none" w:sz="0" w:space="0" w:color="auto"/>
        <w:right w:val="none" w:sz="0" w:space="0" w:color="auto"/>
      </w:divBdr>
    </w:div>
    <w:div w:id="1555311328">
      <w:marLeft w:val="0"/>
      <w:marRight w:val="0"/>
      <w:marTop w:val="0"/>
      <w:marBottom w:val="0"/>
      <w:divBdr>
        <w:top w:val="none" w:sz="0" w:space="0" w:color="auto"/>
        <w:left w:val="none" w:sz="0" w:space="0" w:color="auto"/>
        <w:bottom w:val="none" w:sz="0" w:space="0" w:color="auto"/>
        <w:right w:val="none" w:sz="0" w:space="0" w:color="auto"/>
      </w:divBdr>
    </w:div>
    <w:div w:id="1557472666">
      <w:marLeft w:val="0"/>
      <w:marRight w:val="0"/>
      <w:marTop w:val="0"/>
      <w:marBottom w:val="0"/>
      <w:divBdr>
        <w:top w:val="none" w:sz="0" w:space="0" w:color="auto"/>
        <w:left w:val="none" w:sz="0" w:space="0" w:color="auto"/>
        <w:bottom w:val="none" w:sz="0" w:space="0" w:color="auto"/>
        <w:right w:val="none" w:sz="0" w:space="0" w:color="auto"/>
      </w:divBdr>
    </w:div>
    <w:div w:id="1559241748">
      <w:marLeft w:val="0"/>
      <w:marRight w:val="0"/>
      <w:marTop w:val="0"/>
      <w:marBottom w:val="0"/>
      <w:divBdr>
        <w:top w:val="none" w:sz="0" w:space="0" w:color="auto"/>
        <w:left w:val="none" w:sz="0" w:space="0" w:color="auto"/>
        <w:bottom w:val="none" w:sz="0" w:space="0" w:color="auto"/>
        <w:right w:val="none" w:sz="0" w:space="0" w:color="auto"/>
      </w:divBdr>
      <w:divsChild>
        <w:div w:id="1841043807">
          <w:marLeft w:val="0"/>
          <w:marRight w:val="0"/>
          <w:marTop w:val="0"/>
          <w:marBottom w:val="0"/>
          <w:divBdr>
            <w:top w:val="none" w:sz="0" w:space="0" w:color="auto"/>
            <w:left w:val="none" w:sz="0" w:space="0" w:color="auto"/>
            <w:bottom w:val="none" w:sz="0" w:space="0" w:color="auto"/>
            <w:right w:val="none" w:sz="0" w:space="0" w:color="auto"/>
          </w:divBdr>
        </w:div>
      </w:divsChild>
    </w:div>
    <w:div w:id="1560937834">
      <w:marLeft w:val="0"/>
      <w:marRight w:val="0"/>
      <w:marTop w:val="0"/>
      <w:marBottom w:val="0"/>
      <w:divBdr>
        <w:top w:val="none" w:sz="0" w:space="0" w:color="auto"/>
        <w:left w:val="none" w:sz="0" w:space="0" w:color="auto"/>
        <w:bottom w:val="none" w:sz="0" w:space="0" w:color="auto"/>
        <w:right w:val="none" w:sz="0" w:space="0" w:color="auto"/>
      </w:divBdr>
    </w:div>
    <w:div w:id="1563054799">
      <w:marLeft w:val="0"/>
      <w:marRight w:val="0"/>
      <w:marTop w:val="0"/>
      <w:marBottom w:val="0"/>
      <w:divBdr>
        <w:top w:val="none" w:sz="0" w:space="0" w:color="auto"/>
        <w:left w:val="none" w:sz="0" w:space="0" w:color="auto"/>
        <w:bottom w:val="none" w:sz="0" w:space="0" w:color="auto"/>
        <w:right w:val="none" w:sz="0" w:space="0" w:color="auto"/>
      </w:divBdr>
    </w:div>
    <w:div w:id="1571308039">
      <w:marLeft w:val="0"/>
      <w:marRight w:val="0"/>
      <w:marTop w:val="0"/>
      <w:marBottom w:val="0"/>
      <w:divBdr>
        <w:top w:val="none" w:sz="0" w:space="0" w:color="auto"/>
        <w:left w:val="none" w:sz="0" w:space="0" w:color="auto"/>
        <w:bottom w:val="none" w:sz="0" w:space="0" w:color="auto"/>
        <w:right w:val="none" w:sz="0" w:space="0" w:color="auto"/>
      </w:divBdr>
    </w:div>
    <w:div w:id="1574195628">
      <w:marLeft w:val="0"/>
      <w:marRight w:val="0"/>
      <w:marTop w:val="0"/>
      <w:marBottom w:val="0"/>
      <w:divBdr>
        <w:top w:val="none" w:sz="0" w:space="0" w:color="auto"/>
        <w:left w:val="none" w:sz="0" w:space="0" w:color="auto"/>
        <w:bottom w:val="none" w:sz="0" w:space="0" w:color="auto"/>
        <w:right w:val="none" w:sz="0" w:space="0" w:color="auto"/>
      </w:divBdr>
    </w:div>
    <w:div w:id="1575969464">
      <w:marLeft w:val="0"/>
      <w:marRight w:val="0"/>
      <w:marTop w:val="0"/>
      <w:marBottom w:val="0"/>
      <w:divBdr>
        <w:top w:val="none" w:sz="0" w:space="0" w:color="auto"/>
        <w:left w:val="none" w:sz="0" w:space="0" w:color="auto"/>
        <w:bottom w:val="none" w:sz="0" w:space="0" w:color="auto"/>
        <w:right w:val="none" w:sz="0" w:space="0" w:color="auto"/>
      </w:divBdr>
    </w:div>
    <w:div w:id="1578857967">
      <w:marLeft w:val="0"/>
      <w:marRight w:val="0"/>
      <w:marTop w:val="0"/>
      <w:marBottom w:val="0"/>
      <w:divBdr>
        <w:top w:val="none" w:sz="0" w:space="0" w:color="auto"/>
        <w:left w:val="none" w:sz="0" w:space="0" w:color="auto"/>
        <w:bottom w:val="none" w:sz="0" w:space="0" w:color="auto"/>
        <w:right w:val="none" w:sz="0" w:space="0" w:color="auto"/>
      </w:divBdr>
    </w:div>
    <w:div w:id="1581211447">
      <w:marLeft w:val="0"/>
      <w:marRight w:val="0"/>
      <w:marTop w:val="0"/>
      <w:marBottom w:val="0"/>
      <w:divBdr>
        <w:top w:val="none" w:sz="0" w:space="0" w:color="auto"/>
        <w:left w:val="none" w:sz="0" w:space="0" w:color="auto"/>
        <w:bottom w:val="none" w:sz="0" w:space="0" w:color="auto"/>
        <w:right w:val="none" w:sz="0" w:space="0" w:color="auto"/>
      </w:divBdr>
    </w:div>
    <w:div w:id="1583444505">
      <w:marLeft w:val="0"/>
      <w:marRight w:val="0"/>
      <w:marTop w:val="0"/>
      <w:marBottom w:val="0"/>
      <w:divBdr>
        <w:top w:val="none" w:sz="0" w:space="0" w:color="auto"/>
        <w:left w:val="none" w:sz="0" w:space="0" w:color="auto"/>
        <w:bottom w:val="none" w:sz="0" w:space="0" w:color="auto"/>
        <w:right w:val="none" w:sz="0" w:space="0" w:color="auto"/>
      </w:divBdr>
    </w:div>
    <w:div w:id="1586692262">
      <w:marLeft w:val="0"/>
      <w:marRight w:val="0"/>
      <w:marTop w:val="100"/>
      <w:marBottom w:val="100"/>
      <w:divBdr>
        <w:top w:val="none" w:sz="0" w:space="0" w:color="auto"/>
        <w:left w:val="none" w:sz="0" w:space="0" w:color="auto"/>
        <w:bottom w:val="none" w:sz="0" w:space="0" w:color="auto"/>
        <w:right w:val="none" w:sz="0" w:space="0" w:color="auto"/>
      </w:divBdr>
      <w:divsChild>
        <w:div w:id="1430278904">
          <w:marLeft w:val="0"/>
          <w:marRight w:val="0"/>
          <w:marTop w:val="0"/>
          <w:marBottom w:val="0"/>
          <w:divBdr>
            <w:top w:val="none" w:sz="0" w:space="0" w:color="auto"/>
            <w:left w:val="none" w:sz="0" w:space="0" w:color="auto"/>
            <w:bottom w:val="none" w:sz="0" w:space="0" w:color="auto"/>
            <w:right w:val="none" w:sz="0" w:space="0" w:color="auto"/>
          </w:divBdr>
        </w:div>
        <w:div w:id="522596913">
          <w:marLeft w:val="0"/>
          <w:marRight w:val="0"/>
          <w:marTop w:val="0"/>
          <w:marBottom w:val="0"/>
          <w:divBdr>
            <w:top w:val="none" w:sz="0" w:space="0" w:color="auto"/>
            <w:left w:val="none" w:sz="0" w:space="0" w:color="auto"/>
            <w:bottom w:val="none" w:sz="0" w:space="0" w:color="auto"/>
            <w:right w:val="none" w:sz="0" w:space="0" w:color="auto"/>
          </w:divBdr>
        </w:div>
        <w:div w:id="670832520">
          <w:marLeft w:val="0"/>
          <w:marRight w:val="0"/>
          <w:marTop w:val="0"/>
          <w:marBottom w:val="0"/>
          <w:divBdr>
            <w:top w:val="none" w:sz="0" w:space="0" w:color="auto"/>
            <w:left w:val="none" w:sz="0" w:space="0" w:color="auto"/>
            <w:bottom w:val="none" w:sz="0" w:space="0" w:color="auto"/>
            <w:right w:val="none" w:sz="0" w:space="0" w:color="auto"/>
          </w:divBdr>
        </w:div>
        <w:div w:id="1000307249">
          <w:marLeft w:val="0"/>
          <w:marRight w:val="0"/>
          <w:marTop w:val="0"/>
          <w:marBottom w:val="0"/>
          <w:divBdr>
            <w:top w:val="none" w:sz="0" w:space="0" w:color="auto"/>
            <w:left w:val="none" w:sz="0" w:space="0" w:color="auto"/>
            <w:bottom w:val="none" w:sz="0" w:space="0" w:color="auto"/>
            <w:right w:val="none" w:sz="0" w:space="0" w:color="auto"/>
          </w:divBdr>
        </w:div>
        <w:div w:id="1736657916">
          <w:marLeft w:val="0"/>
          <w:marRight w:val="0"/>
          <w:marTop w:val="0"/>
          <w:marBottom w:val="0"/>
          <w:divBdr>
            <w:top w:val="none" w:sz="0" w:space="0" w:color="auto"/>
            <w:left w:val="none" w:sz="0" w:space="0" w:color="auto"/>
            <w:bottom w:val="none" w:sz="0" w:space="0" w:color="auto"/>
            <w:right w:val="none" w:sz="0" w:space="0" w:color="auto"/>
          </w:divBdr>
        </w:div>
        <w:div w:id="558517529">
          <w:marLeft w:val="0"/>
          <w:marRight w:val="0"/>
          <w:marTop w:val="0"/>
          <w:marBottom w:val="0"/>
          <w:divBdr>
            <w:top w:val="none" w:sz="0" w:space="0" w:color="auto"/>
            <w:left w:val="none" w:sz="0" w:space="0" w:color="auto"/>
            <w:bottom w:val="none" w:sz="0" w:space="0" w:color="auto"/>
            <w:right w:val="none" w:sz="0" w:space="0" w:color="auto"/>
          </w:divBdr>
        </w:div>
      </w:divsChild>
    </w:div>
    <w:div w:id="1587113043">
      <w:marLeft w:val="0"/>
      <w:marRight w:val="0"/>
      <w:marTop w:val="0"/>
      <w:marBottom w:val="0"/>
      <w:divBdr>
        <w:top w:val="none" w:sz="0" w:space="0" w:color="auto"/>
        <w:left w:val="none" w:sz="0" w:space="0" w:color="auto"/>
        <w:bottom w:val="none" w:sz="0" w:space="0" w:color="auto"/>
        <w:right w:val="none" w:sz="0" w:space="0" w:color="auto"/>
      </w:divBdr>
    </w:div>
    <w:div w:id="1587500610">
      <w:marLeft w:val="0"/>
      <w:marRight w:val="0"/>
      <w:marTop w:val="0"/>
      <w:marBottom w:val="0"/>
      <w:divBdr>
        <w:top w:val="none" w:sz="0" w:space="0" w:color="auto"/>
        <w:left w:val="none" w:sz="0" w:space="0" w:color="auto"/>
        <w:bottom w:val="none" w:sz="0" w:space="0" w:color="auto"/>
        <w:right w:val="none" w:sz="0" w:space="0" w:color="auto"/>
      </w:divBdr>
    </w:div>
    <w:div w:id="1588535530">
      <w:marLeft w:val="0"/>
      <w:marRight w:val="0"/>
      <w:marTop w:val="0"/>
      <w:marBottom w:val="0"/>
      <w:divBdr>
        <w:top w:val="none" w:sz="0" w:space="0" w:color="auto"/>
        <w:left w:val="none" w:sz="0" w:space="0" w:color="auto"/>
        <w:bottom w:val="none" w:sz="0" w:space="0" w:color="auto"/>
        <w:right w:val="none" w:sz="0" w:space="0" w:color="auto"/>
      </w:divBdr>
    </w:div>
    <w:div w:id="1590189326">
      <w:marLeft w:val="0"/>
      <w:marRight w:val="0"/>
      <w:marTop w:val="0"/>
      <w:marBottom w:val="0"/>
      <w:divBdr>
        <w:top w:val="none" w:sz="0" w:space="0" w:color="auto"/>
        <w:left w:val="none" w:sz="0" w:space="0" w:color="auto"/>
        <w:bottom w:val="none" w:sz="0" w:space="0" w:color="auto"/>
        <w:right w:val="none" w:sz="0" w:space="0" w:color="auto"/>
      </w:divBdr>
    </w:div>
    <w:div w:id="1593659118">
      <w:marLeft w:val="0"/>
      <w:marRight w:val="0"/>
      <w:marTop w:val="100"/>
      <w:marBottom w:val="100"/>
      <w:divBdr>
        <w:top w:val="none" w:sz="0" w:space="0" w:color="auto"/>
        <w:left w:val="none" w:sz="0" w:space="0" w:color="auto"/>
        <w:bottom w:val="none" w:sz="0" w:space="0" w:color="auto"/>
        <w:right w:val="none" w:sz="0" w:space="0" w:color="auto"/>
      </w:divBdr>
      <w:divsChild>
        <w:div w:id="1905098001">
          <w:marLeft w:val="0"/>
          <w:marRight w:val="0"/>
          <w:marTop w:val="40"/>
          <w:marBottom w:val="40"/>
          <w:divBdr>
            <w:top w:val="none" w:sz="0" w:space="0" w:color="auto"/>
            <w:left w:val="none" w:sz="0" w:space="0" w:color="auto"/>
            <w:bottom w:val="none" w:sz="0" w:space="0" w:color="auto"/>
            <w:right w:val="none" w:sz="0" w:space="0" w:color="auto"/>
          </w:divBdr>
        </w:div>
        <w:div w:id="886451543">
          <w:marLeft w:val="0"/>
          <w:marRight w:val="0"/>
          <w:marTop w:val="40"/>
          <w:marBottom w:val="40"/>
          <w:divBdr>
            <w:top w:val="none" w:sz="0" w:space="0" w:color="auto"/>
            <w:left w:val="none" w:sz="0" w:space="0" w:color="auto"/>
            <w:bottom w:val="none" w:sz="0" w:space="0" w:color="auto"/>
            <w:right w:val="none" w:sz="0" w:space="0" w:color="auto"/>
          </w:divBdr>
        </w:div>
      </w:divsChild>
    </w:div>
    <w:div w:id="1595700839">
      <w:marLeft w:val="0"/>
      <w:marRight w:val="0"/>
      <w:marTop w:val="0"/>
      <w:marBottom w:val="0"/>
      <w:divBdr>
        <w:top w:val="none" w:sz="0" w:space="0" w:color="auto"/>
        <w:left w:val="none" w:sz="0" w:space="0" w:color="auto"/>
        <w:bottom w:val="none" w:sz="0" w:space="0" w:color="auto"/>
        <w:right w:val="none" w:sz="0" w:space="0" w:color="auto"/>
      </w:divBdr>
      <w:divsChild>
        <w:div w:id="494341347">
          <w:marLeft w:val="0"/>
          <w:marRight w:val="0"/>
          <w:marTop w:val="0"/>
          <w:marBottom w:val="0"/>
          <w:divBdr>
            <w:top w:val="none" w:sz="0" w:space="0" w:color="auto"/>
            <w:left w:val="none" w:sz="0" w:space="0" w:color="auto"/>
            <w:bottom w:val="none" w:sz="0" w:space="0" w:color="auto"/>
            <w:right w:val="none" w:sz="0" w:space="0" w:color="auto"/>
          </w:divBdr>
        </w:div>
      </w:divsChild>
    </w:div>
    <w:div w:id="1597596375">
      <w:marLeft w:val="0"/>
      <w:marRight w:val="0"/>
      <w:marTop w:val="0"/>
      <w:marBottom w:val="0"/>
      <w:divBdr>
        <w:top w:val="none" w:sz="0" w:space="0" w:color="auto"/>
        <w:left w:val="none" w:sz="0" w:space="0" w:color="auto"/>
        <w:bottom w:val="none" w:sz="0" w:space="0" w:color="auto"/>
        <w:right w:val="none" w:sz="0" w:space="0" w:color="auto"/>
      </w:divBdr>
    </w:div>
    <w:div w:id="1597834317">
      <w:marLeft w:val="0"/>
      <w:marRight w:val="0"/>
      <w:marTop w:val="0"/>
      <w:marBottom w:val="0"/>
      <w:divBdr>
        <w:top w:val="none" w:sz="0" w:space="0" w:color="auto"/>
        <w:left w:val="none" w:sz="0" w:space="0" w:color="auto"/>
        <w:bottom w:val="none" w:sz="0" w:space="0" w:color="auto"/>
        <w:right w:val="none" w:sz="0" w:space="0" w:color="auto"/>
      </w:divBdr>
    </w:div>
    <w:div w:id="1598518401">
      <w:marLeft w:val="0"/>
      <w:marRight w:val="0"/>
      <w:marTop w:val="0"/>
      <w:marBottom w:val="0"/>
      <w:divBdr>
        <w:top w:val="none" w:sz="0" w:space="0" w:color="auto"/>
        <w:left w:val="none" w:sz="0" w:space="0" w:color="auto"/>
        <w:bottom w:val="none" w:sz="0" w:space="0" w:color="auto"/>
        <w:right w:val="none" w:sz="0" w:space="0" w:color="auto"/>
      </w:divBdr>
    </w:div>
    <w:div w:id="1601916309">
      <w:marLeft w:val="0"/>
      <w:marRight w:val="0"/>
      <w:marTop w:val="0"/>
      <w:marBottom w:val="0"/>
      <w:divBdr>
        <w:top w:val="none" w:sz="0" w:space="0" w:color="auto"/>
        <w:left w:val="none" w:sz="0" w:space="0" w:color="auto"/>
        <w:bottom w:val="none" w:sz="0" w:space="0" w:color="auto"/>
        <w:right w:val="none" w:sz="0" w:space="0" w:color="auto"/>
      </w:divBdr>
    </w:div>
    <w:div w:id="1603562191">
      <w:marLeft w:val="0"/>
      <w:marRight w:val="0"/>
      <w:marTop w:val="0"/>
      <w:marBottom w:val="0"/>
      <w:divBdr>
        <w:top w:val="none" w:sz="0" w:space="0" w:color="auto"/>
        <w:left w:val="none" w:sz="0" w:space="0" w:color="auto"/>
        <w:bottom w:val="none" w:sz="0" w:space="0" w:color="auto"/>
        <w:right w:val="none" w:sz="0" w:space="0" w:color="auto"/>
      </w:divBdr>
      <w:divsChild>
        <w:div w:id="1950120194">
          <w:marLeft w:val="0"/>
          <w:marRight w:val="0"/>
          <w:marTop w:val="0"/>
          <w:marBottom w:val="0"/>
          <w:divBdr>
            <w:top w:val="none" w:sz="0" w:space="0" w:color="auto"/>
            <w:left w:val="none" w:sz="0" w:space="0" w:color="auto"/>
            <w:bottom w:val="none" w:sz="0" w:space="0" w:color="auto"/>
            <w:right w:val="none" w:sz="0" w:space="0" w:color="auto"/>
          </w:divBdr>
        </w:div>
      </w:divsChild>
    </w:div>
    <w:div w:id="1603689004">
      <w:marLeft w:val="0"/>
      <w:marRight w:val="0"/>
      <w:marTop w:val="0"/>
      <w:marBottom w:val="120"/>
      <w:divBdr>
        <w:top w:val="none" w:sz="0" w:space="0" w:color="auto"/>
        <w:left w:val="none" w:sz="0" w:space="0" w:color="auto"/>
        <w:bottom w:val="none" w:sz="0" w:space="0" w:color="auto"/>
        <w:right w:val="none" w:sz="0" w:space="0" w:color="auto"/>
      </w:divBdr>
    </w:div>
    <w:div w:id="1604651643">
      <w:marLeft w:val="0"/>
      <w:marRight w:val="0"/>
      <w:marTop w:val="0"/>
      <w:marBottom w:val="0"/>
      <w:divBdr>
        <w:top w:val="none" w:sz="0" w:space="0" w:color="auto"/>
        <w:left w:val="none" w:sz="0" w:space="0" w:color="auto"/>
        <w:bottom w:val="none" w:sz="0" w:space="0" w:color="auto"/>
        <w:right w:val="none" w:sz="0" w:space="0" w:color="auto"/>
      </w:divBdr>
    </w:div>
    <w:div w:id="1605110908">
      <w:marLeft w:val="0"/>
      <w:marRight w:val="0"/>
      <w:marTop w:val="0"/>
      <w:marBottom w:val="0"/>
      <w:divBdr>
        <w:top w:val="none" w:sz="0" w:space="0" w:color="auto"/>
        <w:left w:val="none" w:sz="0" w:space="0" w:color="auto"/>
        <w:bottom w:val="none" w:sz="0" w:space="0" w:color="auto"/>
        <w:right w:val="none" w:sz="0" w:space="0" w:color="auto"/>
      </w:divBdr>
    </w:div>
    <w:div w:id="1609462394">
      <w:marLeft w:val="0"/>
      <w:marRight w:val="0"/>
      <w:marTop w:val="0"/>
      <w:marBottom w:val="0"/>
      <w:divBdr>
        <w:top w:val="none" w:sz="0" w:space="0" w:color="auto"/>
        <w:left w:val="none" w:sz="0" w:space="0" w:color="auto"/>
        <w:bottom w:val="none" w:sz="0" w:space="0" w:color="auto"/>
        <w:right w:val="none" w:sz="0" w:space="0" w:color="auto"/>
      </w:divBdr>
    </w:div>
    <w:div w:id="1612084038">
      <w:marLeft w:val="0"/>
      <w:marRight w:val="0"/>
      <w:marTop w:val="0"/>
      <w:marBottom w:val="0"/>
      <w:divBdr>
        <w:top w:val="none" w:sz="0" w:space="0" w:color="auto"/>
        <w:left w:val="none" w:sz="0" w:space="0" w:color="auto"/>
        <w:bottom w:val="none" w:sz="0" w:space="0" w:color="auto"/>
        <w:right w:val="none" w:sz="0" w:space="0" w:color="auto"/>
      </w:divBdr>
    </w:div>
    <w:div w:id="1615671668">
      <w:marLeft w:val="0"/>
      <w:marRight w:val="0"/>
      <w:marTop w:val="0"/>
      <w:marBottom w:val="0"/>
      <w:divBdr>
        <w:top w:val="none" w:sz="0" w:space="0" w:color="auto"/>
        <w:left w:val="none" w:sz="0" w:space="0" w:color="auto"/>
        <w:bottom w:val="none" w:sz="0" w:space="0" w:color="auto"/>
        <w:right w:val="none" w:sz="0" w:space="0" w:color="auto"/>
      </w:divBdr>
    </w:div>
    <w:div w:id="1616599935">
      <w:marLeft w:val="0"/>
      <w:marRight w:val="0"/>
      <w:marTop w:val="0"/>
      <w:marBottom w:val="0"/>
      <w:divBdr>
        <w:top w:val="none" w:sz="0" w:space="0" w:color="auto"/>
        <w:left w:val="none" w:sz="0" w:space="0" w:color="auto"/>
        <w:bottom w:val="none" w:sz="0" w:space="0" w:color="auto"/>
        <w:right w:val="none" w:sz="0" w:space="0" w:color="auto"/>
      </w:divBdr>
    </w:div>
    <w:div w:id="1616868674">
      <w:marLeft w:val="0"/>
      <w:marRight w:val="0"/>
      <w:marTop w:val="0"/>
      <w:marBottom w:val="0"/>
      <w:divBdr>
        <w:top w:val="none" w:sz="0" w:space="0" w:color="auto"/>
        <w:left w:val="none" w:sz="0" w:space="0" w:color="auto"/>
        <w:bottom w:val="none" w:sz="0" w:space="0" w:color="auto"/>
        <w:right w:val="none" w:sz="0" w:space="0" w:color="auto"/>
      </w:divBdr>
    </w:div>
    <w:div w:id="1618174689">
      <w:marLeft w:val="0"/>
      <w:marRight w:val="0"/>
      <w:marTop w:val="0"/>
      <w:marBottom w:val="0"/>
      <w:divBdr>
        <w:top w:val="none" w:sz="0" w:space="0" w:color="auto"/>
        <w:left w:val="none" w:sz="0" w:space="0" w:color="auto"/>
        <w:bottom w:val="none" w:sz="0" w:space="0" w:color="auto"/>
        <w:right w:val="none" w:sz="0" w:space="0" w:color="auto"/>
      </w:divBdr>
    </w:div>
    <w:div w:id="1629356887">
      <w:marLeft w:val="0"/>
      <w:marRight w:val="0"/>
      <w:marTop w:val="0"/>
      <w:marBottom w:val="0"/>
      <w:divBdr>
        <w:top w:val="none" w:sz="0" w:space="0" w:color="auto"/>
        <w:left w:val="none" w:sz="0" w:space="0" w:color="auto"/>
        <w:bottom w:val="none" w:sz="0" w:space="0" w:color="auto"/>
        <w:right w:val="none" w:sz="0" w:space="0" w:color="auto"/>
      </w:divBdr>
    </w:div>
    <w:div w:id="1643463879">
      <w:marLeft w:val="0"/>
      <w:marRight w:val="0"/>
      <w:marTop w:val="0"/>
      <w:marBottom w:val="0"/>
      <w:divBdr>
        <w:top w:val="none" w:sz="0" w:space="0" w:color="auto"/>
        <w:left w:val="none" w:sz="0" w:space="0" w:color="auto"/>
        <w:bottom w:val="none" w:sz="0" w:space="0" w:color="auto"/>
        <w:right w:val="none" w:sz="0" w:space="0" w:color="auto"/>
      </w:divBdr>
    </w:div>
    <w:div w:id="1644459129">
      <w:marLeft w:val="0"/>
      <w:marRight w:val="0"/>
      <w:marTop w:val="0"/>
      <w:marBottom w:val="0"/>
      <w:divBdr>
        <w:top w:val="none" w:sz="0" w:space="0" w:color="auto"/>
        <w:left w:val="none" w:sz="0" w:space="0" w:color="auto"/>
        <w:bottom w:val="none" w:sz="0" w:space="0" w:color="auto"/>
        <w:right w:val="none" w:sz="0" w:space="0" w:color="auto"/>
      </w:divBdr>
    </w:div>
    <w:div w:id="1648624481">
      <w:marLeft w:val="0"/>
      <w:marRight w:val="0"/>
      <w:marTop w:val="100"/>
      <w:marBottom w:val="100"/>
      <w:divBdr>
        <w:top w:val="none" w:sz="0" w:space="0" w:color="auto"/>
        <w:left w:val="none" w:sz="0" w:space="0" w:color="auto"/>
        <w:bottom w:val="none" w:sz="0" w:space="0" w:color="auto"/>
        <w:right w:val="none" w:sz="0" w:space="0" w:color="auto"/>
      </w:divBdr>
    </w:div>
    <w:div w:id="1649214155">
      <w:marLeft w:val="0"/>
      <w:marRight w:val="0"/>
      <w:marTop w:val="0"/>
      <w:marBottom w:val="0"/>
      <w:divBdr>
        <w:top w:val="none" w:sz="0" w:space="0" w:color="auto"/>
        <w:left w:val="none" w:sz="0" w:space="0" w:color="auto"/>
        <w:bottom w:val="none" w:sz="0" w:space="0" w:color="auto"/>
        <w:right w:val="none" w:sz="0" w:space="0" w:color="auto"/>
      </w:divBdr>
    </w:div>
    <w:div w:id="1652638255">
      <w:marLeft w:val="0"/>
      <w:marRight w:val="0"/>
      <w:marTop w:val="100"/>
      <w:marBottom w:val="100"/>
      <w:divBdr>
        <w:top w:val="none" w:sz="0" w:space="0" w:color="auto"/>
        <w:left w:val="none" w:sz="0" w:space="0" w:color="auto"/>
        <w:bottom w:val="none" w:sz="0" w:space="0" w:color="auto"/>
        <w:right w:val="none" w:sz="0" w:space="0" w:color="auto"/>
      </w:divBdr>
    </w:div>
    <w:div w:id="1654870922">
      <w:marLeft w:val="0"/>
      <w:marRight w:val="0"/>
      <w:marTop w:val="0"/>
      <w:marBottom w:val="0"/>
      <w:divBdr>
        <w:top w:val="none" w:sz="0" w:space="0" w:color="auto"/>
        <w:left w:val="none" w:sz="0" w:space="0" w:color="auto"/>
        <w:bottom w:val="none" w:sz="0" w:space="0" w:color="auto"/>
        <w:right w:val="none" w:sz="0" w:space="0" w:color="auto"/>
      </w:divBdr>
    </w:div>
    <w:div w:id="1662925113">
      <w:marLeft w:val="0"/>
      <w:marRight w:val="0"/>
      <w:marTop w:val="0"/>
      <w:marBottom w:val="0"/>
      <w:divBdr>
        <w:top w:val="none" w:sz="0" w:space="0" w:color="auto"/>
        <w:left w:val="none" w:sz="0" w:space="0" w:color="auto"/>
        <w:bottom w:val="none" w:sz="0" w:space="0" w:color="auto"/>
        <w:right w:val="none" w:sz="0" w:space="0" w:color="auto"/>
      </w:divBdr>
    </w:div>
    <w:div w:id="1666401821">
      <w:marLeft w:val="0"/>
      <w:marRight w:val="0"/>
      <w:marTop w:val="0"/>
      <w:marBottom w:val="0"/>
      <w:divBdr>
        <w:top w:val="none" w:sz="0" w:space="0" w:color="auto"/>
        <w:left w:val="none" w:sz="0" w:space="0" w:color="auto"/>
        <w:bottom w:val="none" w:sz="0" w:space="0" w:color="auto"/>
        <w:right w:val="none" w:sz="0" w:space="0" w:color="auto"/>
      </w:divBdr>
    </w:div>
    <w:div w:id="1669215015">
      <w:marLeft w:val="0"/>
      <w:marRight w:val="0"/>
      <w:marTop w:val="0"/>
      <w:marBottom w:val="0"/>
      <w:divBdr>
        <w:top w:val="none" w:sz="0" w:space="0" w:color="auto"/>
        <w:left w:val="none" w:sz="0" w:space="0" w:color="auto"/>
        <w:bottom w:val="none" w:sz="0" w:space="0" w:color="auto"/>
        <w:right w:val="none" w:sz="0" w:space="0" w:color="auto"/>
      </w:divBdr>
    </w:div>
    <w:div w:id="1672565470">
      <w:marLeft w:val="0"/>
      <w:marRight w:val="0"/>
      <w:marTop w:val="100"/>
      <w:marBottom w:val="100"/>
      <w:divBdr>
        <w:top w:val="none" w:sz="0" w:space="0" w:color="auto"/>
        <w:left w:val="none" w:sz="0" w:space="0" w:color="auto"/>
        <w:bottom w:val="none" w:sz="0" w:space="0" w:color="auto"/>
        <w:right w:val="none" w:sz="0" w:space="0" w:color="auto"/>
      </w:divBdr>
    </w:div>
    <w:div w:id="1674987615">
      <w:marLeft w:val="0"/>
      <w:marRight w:val="0"/>
      <w:marTop w:val="100"/>
      <w:marBottom w:val="100"/>
      <w:divBdr>
        <w:top w:val="none" w:sz="0" w:space="0" w:color="auto"/>
        <w:left w:val="none" w:sz="0" w:space="0" w:color="auto"/>
        <w:bottom w:val="none" w:sz="0" w:space="0" w:color="auto"/>
        <w:right w:val="none" w:sz="0" w:space="0" w:color="auto"/>
      </w:divBdr>
      <w:divsChild>
        <w:div w:id="1418206699">
          <w:marLeft w:val="0"/>
          <w:marRight w:val="0"/>
          <w:marTop w:val="0"/>
          <w:marBottom w:val="0"/>
          <w:divBdr>
            <w:top w:val="none" w:sz="0" w:space="0" w:color="auto"/>
            <w:left w:val="none" w:sz="0" w:space="0" w:color="auto"/>
            <w:bottom w:val="none" w:sz="0" w:space="0" w:color="auto"/>
            <w:right w:val="none" w:sz="0" w:space="0" w:color="auto"/>
          </w:divBdr>
        </w:div>
      </w:divsChild>
    </w:div>
    <w:div w:id="1677027986">
      <w:marLeft w:val="0"/>
      <w:marRight w:val="0"/>
      <w:marTop w:val="0"/>
      <w:marBottom w:val="0"/>
      <w:divBdr>
        <w:top w:val="none" w:sz="0" w:space="0" w:color="auto"/>
        <w:left w:val="none" w:sz="0" w:space="0" w:color="auto"/>
        <w:bottom w:val="none" w:sz="0" w:space="0" w:color="auto"/>
        <w:right w:val="none" w:sz="0" w:space="0" w:color="auto"/>
      </w:divBdr>
    </w:div>
    <w:div w:id="1677272046">
      <w:marLeft w:val="0"/>
      <w:marRight w:val="0"/>
      <w:marTop w:val="0"/>
      <w:marBottom w:val="0"/>
      <w:divBdr>
        <w:top w:val="none" w:sz="0" w:space="0" w:color="auto"/>
        <w:left w:val="none" w:sz="0" w:space="0" w:color="auto"/>
        <w:bottom w:val="none" w:sz="0" w:space="0" w:color="auto"/>
        <w:right w:val="none" w:sz="0" w:space="0" w:color="auto"/>
      </w:divBdr>
    </w:div>
    <w:div w:id="1678843189">
      <w:marLeft w:val="0"/>
      <w:marRight w:val="0"/>
      <w:marTop w:val="0"/>
      <w:marBottom w:val="0"/>
      <w:divBdr>
        <w:top w:val="none" w:sz="0" w:space="0" w:color="auto"/>
        <w:left w:val="none" w:sz="0" w:space="0" w:color="auto"/>
        <w:bottom w:val="none" w:sz="0" w:space="0" w:color="auto"/>
        <w:right w:val="none" w:sz="0" w:space="0" w:color="auto"/>
      </w:divBdr>
    </w:div>
    <w:div w:id="1680035763">
      <w:marLeft w:val="0"/>
      <w:marRight w:val="0"/>
      <w:marTop w:val="0"/>
      <w:marBottom w:val="0"/>
      <w:divBdr>
        <w:top w:val="none" w:sz="0" w:space="0" w:color="auto"/>
        <w:left w:val="none" w:sz="0" w:space="0" w:color="auto"/>
        <w:bottom w:val="none" w:sz="0" w:space="0" w:color="auto"/>
        <w:right w:val="none" w:sz="0" w:space="0" w:color="auto"/>
      </w:divBdr>
    </w:div>
    <w:div w:id="1686323312">
      <w:marLeft w:val="0"/>
      <w:marRight w:val="0"/>
      <w:marTop w:val="0"/>
      <w:marBottom w:val="0"/>
      <w:divBdr>
        <w:top w:val="none" w:sz="0" w:space="0" w:color="auto"/>
        <w:left w:val="none" w:sz="0" w:space="0" w:color="auto"/>
        <w:bottom w:val="none" w:sz="0" w:space="0" w:color="auto"/>
        <w:right w:val="none" w:sz="0" w:space="0" w:color="auto"/>
      </w:divBdr>
    </w:div>
    <w:div w:id="1687055809">
      <w:marLeft w:val="0"/>
      <w:marRight w:val="0"/>
      <w:marTop w:val="0"/>
      <w:marBottom w:val="0"/>
      <w:divBdr>
        <w:top w:val="none" w:sz="0" w:space="0" w:color="auto"/>
        <w:left w:val="none" w:sz="0" w:space="0" w:color="auto"/>
        <w:bottom w:val="none" w:sz="0" w:space="0" w:color="auto"/>
        <w:right w:val="none" w:sz="0" w:space="0" w:color="auto"/>
      </w:divBdr>
    </w:div>
    <w:div w:id="1688294042">
      <w:marLeft w:val="0"/>
      <w:marRight w:val="0"/>
      <w:marTop w:val="0"/>
      <w:marBottom w:val="0"/>
      <w:divBdr>
        <w:top w:val="none" w:sz="0" w:space="0" w:color="auto"/>
        <w:left w:val="none" w:sz="0" w:space="0" w:color="auto"/>
        <w:bottom w:val="none" w:sz="0" w:space="0" w:color="auto"/>
        <w:right w:val="none" w:sz="0" w:space="0" w:color="auto"/>
      </w:divBdr>
      <w:divsChild>
        <w:div w:id="1716461920">
          <w:marLeft w:val="0"/>
          <w:marRight w:val="0"/>
          <w:marTop w:val="0"/>
          <w:marBottom w:val="0"/>
          <w:divBdr>
            <w:top w:val="none" w:sz="0" w:space="0" w:color="auto"/>
            <w:left w:val="none" w:sz="0" w:space="0" w:color="auto"/>
            <w:bottom w:val="none" w:sz="0" w:space="0" w:color="auto"/>
            <w:right w:val="none" w:sz="0" w:space="0" w:color="auto"/>
          </w:divBdr>
        </w:div>
      </w:divsChild>
    </w:div>
    <w:div w:id="1691030008">
      <w:marLeft w:val="0"/>
      <w:marRight w:val="0"/>
      <w:marTop w:val="0"/>
      <w:marBottom w:val="0"/>
      <w:divBdr>
        <w:top w:val="none" w:sz="0" w:space="0" w:color="auto"/>
        <w:left w:val="none" w:sz="0" w:space="0" w:color="auto"/>
        <w:bottom w:val="none" w:sz="0" w:space="0" w:color="auto"/>
        <w:right w:val="none" w:sz="0" w:space="0" w:color="auto"/>
      </w:divBdr>
    </w:div>
    <w:div w:id="1691177814">
      <w:marLeft w:val="0"/>
      <w:marRight w:val="0"/>
      <w:marTop w:val="0"/>
      <w:marBottom w:val="0"/>
      <w:divBdr>
        <w:top w:val="none" w:sz="0" w:space="0" w:color="auto"/>
        <w:left w:val="none" w:sz="0" w:space="0" w:color="auto"/>
        <w:bottom w:val="none" w:sz="0" w:space="0" w:color="auto"/>
        <w:right w:val="none" w:sz="0" w:space="0" w:color="auto"/>
      </w:divBdr>
      <w:divsChild>
        <w:div w:id="2035232844">
          <w:marLeft w:val="0"/>
          <w:marRight w:val="0"/>
          <w:marTop w:val="0"/>
          <w:marBottom w:val="0"/>
          <w:divBdr>
            <w:top w:val="none" w:sz="0" w:space="0" w:color="auto"/>
            <w:left w:val="none" w:sz="0" w:space="0" w:color="auto"/>
            <w:bottom w:val="none" w:sz="0" w:space="0" w:color="auto"/>
            <w:right w:val="none" w:sz="0" w:space="0" w:color="auto"/>
          </w:divBdr>
        </w:div>
      </w:divsChild>
    </w:div>
    <w:div w:id="1692218187">
      <w:marLeft w:val="0"/>
      <w:marRight w:val="0"/>
      <w:marTop w:val="0"/>
      <w:marBottom w:val="0"/>
      <w:divBdr>
        <w:top w:val="none" w:sz="0" w:space="0" w:color="auto"/>
        <w:left w:val="none" w:sz="0" w:space="0" w:color="auto"/>
        <w:bottom w:val="none" w:sz="0" w:space="0" w:color="auto"/>
        <w:right w:val="none" w:sz="0" w:space="0" w:color="auto"/>
      </w:divBdr>
    </w:div>
    <w:div w:id="1693338615">
      <w:marLeft w:val="0"/>
      <w:marRight w:val="0"/>
      <w:marTop w:val="0"/>
      <w:marBottom w:val="0"/>
      <w:divBdr>
        <w:top w:val="none" w:sz="0" w:space="0" w:color="auto"/>
        <w:left w:val="none" w:sz="0" w:space="0" w:color="auto"/>
        <w:bottom w:val="none" w:sz="0" w:space="0" w:color="auto"/>
        <w:right w:val="none" w:sz="0" w:space="0" w:color="auto"/>
      </w:divBdr>
    </w:div>
    <w:div w:id="1693917637">
      <w:marLeft w:val="0"/>
      <w:marRight w:val="0"/>
      <w:marTop w:val="0"/>
      <w:marBottom w:val="0"/>
      <w:divBdr>
        <w:top w:val="none" w:sz="0" w:space="0" w:color="auto"/>
        <w:left w:val="none" w:sz="0" w:space="0" w:color="auto"/>
        <w:bottom w:val="none" w:sz="0" w:space="0" w:color="auto"/>
        <w:right w:val="none" w:sz="0" w:space="0" w:color="auto"/>
      </w:divBdr>
    </w:div>
    <w:div w:id="1695499126">
      <w:marLeft w:val="0"/>
      <w:marRight w:val="0"/>
      <w:marTop w:val="0"/>
      <w:marBottom w:val="0"/>
      <w:divBdr>
        <w:top w:val="none" w:sz="0" w:space="0" w:color="auto"/>
        <w:left w:val="none" w:sz="0" w:space="0" w:color="auto"/>
        <w:bottom w:val="none" w:sz="0" w:space="0" w:color="auto"/>
        <w:right w:val="none" w:sz="0" w:space="0" w:color="auto"/>
      </w:divBdr>
      <w:divsChild>
        <w:div w:id="824972422">
          <w:marLeft w:val="0"/>
          <w:marRight w:val="0"/>
          <w:marTop w:val="0"/>
          <w:marBottom w:val="0"/>
          <w:divBdr>
            <w:top w:val="none" w:sz="0" w:space="0" w:color="auto"/>
            <w:left w:val="none" w:sz="0" w:space="0" w:color="auto"/>
            <w:bottom w:val="none" w:sz="0" w:space="0" w:color="auto"/>
            <w:right w:val="none" w:sz="0" w:space="0" w:color="auto"/>
          </w:divBdr>
        </w:div>
        <w:div w:id="1934775187">
          <w:marLeft w:val="0"/>
          <w:marRight w:val="0"/>
          <w:marTop w:val="0"/>
          <w:marBottom w:val="0"/>
          <w:divBdr>
            <w:top w:val="none" w:sz="0" w:space="0" w:color="auto"/>
            <w:left w:val="none" w:sz="0" w:space="0" w:color="auto"/>
            <w:bottom w:val="none" w:sz="0" w:space="0" w:color="auto"/>
            <w:right w:val="none" w:sz="0" w:space="0" w:color="auto"/>
          </w:divBdr>
        </w:div>
        <w:div w:id="1187059733">
          <w:marLeft w:val="0"/>
          <w:marRight w:val="0"/>
          <w:marTop w:val="0"/>
          <w:marBottom w:val="0"/>
          <w:divBdr>
            <w:top w:val="none" w:sz="0" w:space="0" w:color="auto"/>
            <w:left w:val="none" w:sz="0" w:space="0" w:color="auto"/>
            <w:bottom w:val="none" w:sz="0" w:space="0" w:color="auto"/>
            <w:right w:val="none" w:sz="0" w:space="0" w:color="auto"/>
          </w:divBdr>
        </w:div>
      </w:divsChild>
    </w:div>
    <w:div w:id="1697148272">
      <w:marLeft w:val="0"/>
      <w:marRight w:val="0"/>
      <w:marTop w:val="0"/>
      <w:marBottom w:val="0"/>
      <w:divBdr>
        <w:top w:val="none" w:sz="0" w:space="0" w:color="auto"/>
        <w:left w:val="none" w:sz="0" w:space="0" w:color="auto"/>
        <w:bottom w:val="none" w:sz="0" w:space="0" w:color="auto"/>
        <w:right w:val="none" w:sz="0" w:space="0" w:color="auto"/>
      </w:divBdr>
    </w:div>
    <w:div w:id="1698577519">
      <w:marLeft w:val="0"/>
      <w:marRight w:val="0"/>
      <w:marTop w:val="0"/>
      <w:marBottom w:val="0"/>
      <w:divBdr>
        <w:top w:val="none" w:sz="0" w:space="0" w:color="auto"/>
        <w:left w:val="none" w:sz="0" w:space="0" w:color="auto"/>
        <w:bottom w:val="none" w:sz="0" w:space="0" w:color="auto"/>
        <w:right w:val="none" w:sz="0" w:space="0" w:color="auto"/>
      </w:divBdr>
    </w:div>
    <w:div w:id="1702783008">
      <w:marLeft w:val="0"/>
      <w:marRight w:val="0"/>
      <w:marTop w:val="0"/>
      <w:marBottom w:val="120"/>
      <w:divBdr>
        <w:top w:val="none" w:sz="0" w:space="0" w:color="auto"/>
        <w:left w:val="none" w:sz="0" w:space="0" w:color="auto"/>
        <w:bottom w:val="none" w:sz="0" w:space="0" w:color="auto"/>
        <w:right w:val="none" w:sz="0" w:space="0" w:color="auto"/>
      </w:divBdr>
    </w:div>
    <w:div w:id="1704674288">
      <w:marLeft w:val="0"/>
      <w:marRight w:val="0"/>
      <w:marTop w:val="0"/>
      <w:marBottom w:val="0"/>
      <w:divBdr>
        <w:top w:val="none" w:sz="0" w:space="0" w:color="auto"/>
        <w:left w:val="none" w:sz="0" w:space="0" w:color="auto"/>
        <w:bottom w:val="none" w:sz="0" w:space="0" w:color="auto"/>
        <w:right w:val="none" w:sz="0" w:space="0" w:color="auto"/>
      </w:divBdr>
    </w:div>
    <w:div w:id="1708141465">
      <w:marLeft w:val="0"/>
      <w:marRight w:val="0"/>
      <w:marTop w:val="0"/>
      <w:marBottom w:val="0"/>
      <w:divBdr>
        <w:top w:val="none" w:sz="0" w:space="0" w:color="auto"/>
        <w:left w:val="none" w:sz="0" w:space="0" w:color="auto"/>
        <w:bottom w:val="none" w:sz="0" w:space="0" w:color="auto"/>
        <w:right w:val="none" w:sz="0" w:space="0" w:color="auto"/>
      </w:divBdr>
    </w:div>
    <w:div w:id="1711800326">
      <w:marLeft w:val="0"/>
      <w:marRight w:val="0"/>
      <w:marTop w:val="0"/>
      <w:marBottom w:val="0"/>
      <w:divBdr>
        <w:top w:val="none" w:sz="0" w:space="0" w:color="auto"/>
        <w:left w:val="none" w:sz="0" w:space="0" w:color="auto"/>
        <w:bottom w:val="none" w:sz="0" w:space="0" w:color="auto"/>
        <w:right w:val="none" w:sz="0" w:space="0" w:color="auto"/>
      </w:divBdr>
    </w:div>
    <w:div w:id="1711954525">
      <w:marLeft w:val="0"/>
      <w:marRight w:val="0"/>
      <w:marTop w:val="0"/>
      <w:marBottom w:val="0"/>
      <w:divBdr>
        <w:top w:val="none" w:sz="0" w:space="0" w:color="auto"/>
        <w:left w:val="none" w:sz="0" w:space="0" w:color="auto"/>
        <w:bottom w:val="none" w:sz="0" w:space="0" w:color="auto"/>
        <w:right w:val="none" w:sz="0" w:space="0" w:color="auto"/>
      </w:divBdr>
    </w:div>
    <w:div w:id="1713916707">
      <w:marLeft w:val="0"/>
      <w:marRight w:val="0"/>
      <w:marTop w:val="0"/>
      <w:marBottom w:val="0"/>
      <w:divBdr>
        <w:top w:val="none" w:sz="0" w:space="0" w:color="auto"/>
        <w:left w:val="none" w:sz="0" w:space="0" w:color="auto"/>
        <w:bottom w:val="none" w:sz="0" w:space="0" w:color="auto"/>
        <w:right w:val="none" w:sz="0" w:space="0" w:color="auto"/>
      </w:divBdr>
    </w:div>
    <w:div w:id="1714690470">
      <w:marLeft w:val="0"/>
      <w:marRight w:val="0"/>
      <w:marTop w:val="100"/>
      <w:marBottom w:val="100"/>
      <w:divBdr>
        <w:top w:val="none" w:sz="0" w:space="0" w:color="auto"/>
        <w:left w:val="none" w:sz="0" w:space="0" w:color="auto"/>
        <w:bottom w:val="none" w:sz="0" w:space="0" w:color="auto"/>
        <w:right w:val="none" w:sz="0" w:space="0" w:color="auto"/>
      </w:divBdr>
      <w:divsChild>
        <w:div w:id="380373328">
          <w:marLeft w:val="0"/>
          <w:marRight w:val="0"/>
          <w:marTop w:val="0"/>
          <w:marBottom w:val="0"/>
          <w:divBdr>
            <w:top w:val="none" w:sz="0" w:space="0" w:color="auto"/>
            <w:left w:val="none" w:sz="0" w:space="0" w:color="auto"/>
            <w:bottom w:val="none" w:sz="0" w:space="0" w:color="auto"/>
            <w:right w:val="none" w:sz="0" w:space="0" w:color="auto"/>
          </w:divBdr>
        </w:div>
        <w:div w:id="1596590822">
          <w:marLeft w:val="0"/>
          <w:marRight w:val="0"/>
          <w:marTop w:val="0"/>
          <w:marBottom w:val="0"/>
          <w:divBdr>
            <w:top w:val="none" w:sz="0" w:space="0" w:color="auto"/>
            <w:left w:val="none" w:sz="0" w:space="0" w:color="auto"/>
            <w:bottom w:val="none" w:sz="0" w:space="0" w:color="auto"/>
            <w:right w:val="none" w:sz="0" w:space="0" w:color="auto"/>
          </w:divBdr>
        </w:div>
        <w:div w:id="853030416">
          <w:marLeft w:val="0"/>
          <w:marRight w:val="0"/>
          <w:marTop w:val="0"/>
          <w:marBottom w:val="0"/>
          <w:divBdr>
            <w:top w:val="none" w:sz="0" w:space="0" w:color="auto"/>
            <w:left w:val="none" w:sz="0" w:space="0" w:color="auto"/>
            <w:bottom w:val="none" w:sz="0" w:space="0" w:color="auto"/>
            <w:right w:val="none" w:sz="0" w:space="0" w:color="auto"/>
          </w:divBdr>
        </w:div>
        <w:div w:id="487211322">
          <w:marLeft w:val="0"/>
          <w:marRight w:val="0"/>
          <w:marTop w:val="0"/>
          <w:marBottom w:val="0"/>
          <w:divBdr>
            <w:top w:val="none" w:sz="0" w:space="0" w:color="auto"/>
            <w:left w:val="none" w:sz="0" w:space="0" w:color="auto"/>
            <w:bottom w:val="none" w:sz="0" w:space="0" w:color="auto"/>
            <w:right w:val="none" w:sz="0" w:space="0" w:color="auto"/>
          </w:divBdr>
        </w:div>
      </w:divsChild>
    </w:div>
    <w:div w:id="1715301819">
      <w:marLeft w:val="0"/>
      <w:marRight w:val="0"/>
      <w:marTop w:val="0"/>
      <w:marBottom w:val="0"/>
      <w:divBdr>
        <w:top w:val="none" w:sz="0" w:space="0" w:color="auto"/>
        <w:left w:val="none" w:sz="0" w:space="0" w:color="auto"/>
        <w:bottom w:val="none" w:sz="0" w:space="0" w:color="auto"/>
        <w:right w:val="none" w:sz="0" w:space="0" w:color="auto"/>
      </w:divBdr>
    </w:div>
    <w:div w:id="1716467838">
      <w:marLeft w:val="0"/>
      <w:marRight w:val="0"/>
      <w:marTop w:val="0"/>
      <w:marBottom w:val="0"/>
      <w:divBdr>
        <w:top w:val="none" w:sz="0" w:space="0" w:color="auto"/>
        <w:left w:val="none" w:sz="0" w:space="0" w:color="auto"/>
        <w:bottom w:val="none" w:sz="0" w:space="0" w:color="auto"/>
        <w:right w:val="none" w:sz="0" w:space="0" w:color="auto"/>
      </w:divBdr>
    </w:div>
    <w:div w:id="1718309664">
      <w:marLeft w:val="0"/>
      <w:marRight w:val="0"/>
      <w:marTop w:val="0"/>
      <w:marBottom w:val="0"/>
      <w:divBdr>
        <w:top w:val="none" w:sz="0" w:space="0" w:color="auto"/>
        <w:left w:val="none" w:sz="0" w:space="0" w:color="auto"/>
        <w:bottom w:val="none" w:sz="0" w:space="0" w:color="auto"/>
        <w:right w:val="none" w:sz="0" w:space="0" w:color="auto"/>
      </w:divBdr>
    </w:div>
    <w:div w:id="1727992401">
      <w:marLeft w:val="0"/>
      <w:marRight w:val="0"/>
      <w:marTop w:val="0"/>
      <w:marBottom w:val="0"/>
      <w:divBdr>
        <w:top w:val="none" w:sz="0" w:space="0" w:color="auto"/>
        <w:left w:val="none" w:sz="0" w:space="0" w:color="auto"/>
        <w:bottom w:val="none" w:sz="0" w:space="0" w:color="auto"/>
        <w:right w:val="none" w:sz="0" w:space="0" w:color="auto"/>
      </w:divBdr>
    </w:div>
    <w:div w:id="1729525691">
      <w:marLeft w:val="0"/>
      <w:marRight w:val="0"/>
      <w:marTop w:val="100"/>
      <w:marBottom w:val="100"/>
      <w:divBdr>
        <w:top w:val="none" w:sz="0" w:space="0" w:color="auto"/>
        <w:left w:val="none" w:sz="0" w:space="0" w:color="auto"/>
        <w:bottom w:val="none" w:sz="0" w:space="0" w:color="auto"/>
        <w:right w:val="none" w:sz="0" w:space="0" w:color="auto"/>
      </w:divBdr>
      <w:divsChild>
        <w:div w:id="435515528">
          <w:marLeft w:val="0"/>
          <w:marRight w:val="0"/>
          <w:marTop w:val="0"/>
          <w:marBottom w:val="0"/>
          <w:divBdr>
            <w:top w:val="none" w:sz="0" w:space="0" w:color="auto"/>
            <w:left w:val="none" w:sz="0" w:space="0" w:color="auto"/>
            <w:bottom w:val="none" w:sz="0" w:space="0" w:color="auto"/>
            <w:right w:val="none" w:sz="0" w:space="0" w:color="auto"/>
          </w:divBdr>
        </w:div>
        <w:div w:id="680157314">
          <w:marLeft w:val="0"/>
          <w:marRight w:val="0"/>
          <w:marTop w:val="0"/>
          <w:marBottom w:val="0"/>
          <w:divBdr>
            <w:top w:val="none" w:sz="0" w:space="0" w:color="auto"/>
            <w:left w:val="none" w:sz="0" w:space="0" w:color="auto"/>
            <w:bottom w:val="none" w:sz="0" w:space="0" w:color="auto"/>
            <w:right w:val="none" w:sz="0" w:space="0" w:color="auto"/>
          </w:divBdr>
        </w:div>
        <w:div w:id="2046715879">
          <w:marLeft w:val="0"/>
          <w:marRight w:val="0"/>
          <w:marTop w:val="0"/>
          <w:marBottom w:val="0"/>
          <w:divBdr>
            <w:top w:val="none" w:sz="0" w:space="0" w:color="auto"/>
            <w:left w:val="none" w:sz="0" w:space="0" w:color="auto"/>
            <w:bottom w:val="none" w:sz="0" w:space="0" w:color="auto"/>
            <w:right w:val="none" w:sz="0" w:space="0" w:color="auto"/>
          </w:divBdr>
        </w:div>
        <w:div w:id="665205713">
          <w:marLeft w:val="0"/>
          <w:marRight w:val="0"/>
          <w:marTop w:val="0"/>
          <w:marBottom w:val="0"/>
          <w:divBdr>
            <w:top w:val="none" w:sz="0" w:space="0" w:color="auto"/>
            <w:left w:val="none" w:sz="0" w:space="0" w:color="auto"/>
            <w:bottom w:val="none" w:sz="0" w:space="0" w:color="auto"/>
            <w:right w:val="none" w:sz="0" w:space="0" w:color="auto"/>
          </w:divBdr>
        </w:div>
        <w:div w:id="1227571279">
          <w:marLeft w:val="0"/>
          <w:marRight w:val="0"/>
          <w:marTop w:val="0"/>
          <w:marBottom w:val="0"/>
          <w:divBdr>
            <w:top w:val="none" w:sz="0" w:space="0" w:color="auto"/>
            <w:left w:val="none" w:sz="0" w:space="0" w:color="auto"/>
            <w:bottom w:val="none" w:sz="0" w:space="0" w:color="auto"/>
            <w:right w:val="none" w:sz="0" w:space="0" w:color="auto"/>
          </w:divBdr>
        </w:div>
        <w:div w:id="630090686">
          <w:marLeft w:val="0"/>
          <w:marRight w:val="0"/>
          <w:marTop w:val="0"/>
          <w:marBottom w:val="0"/>
          <w:divBdr>
            <w:top w:val="none" w:sz="0" w:space="0" w:color="auto"/>
            <w:left w:val="none" w:sz="0" w:space="0" w:color="auto"/>
            <w:bottom w:val="none" w:sz="0" w:space="0" w:color="auto"/>
            <w:right w:val="none" w:sz="0" w:space="0" w:color="auto"/>
          </w:divBdr>
        </w:div>
        <w:div w:id="2146584240">
          <w:marLeft w:val="0"/>
          <w:marRight w:val="0"/>
          <w:marTop w:val="0"/>
          <w:marBottom w:val="0"/>
          <w:divBdr>
            <w:top w:val="none" w:sz="0" w:space="0" w:color="auto"/>
            <w:left w:val="none" w:sz="0" w:space="0" w:color="auto"/>
            <w:bottom w:val="none" w:sz="0" w:space="0" w:color="auto"/>
            <w:right w:val="none" w:sz="0" w:space="0" w:color="auto"/>
          </w:divBdr>
        </w:div>
        <w:div w:id="1997369562">
          <w:marLeft w:val="0"/>
          <w:marRight w:val="0"/>
          <w:marTop w:val="0"/>
          <w:marBottom w:val="0"/>
          <w:divBdr>
            <w:top w:val="none" w:sz="0" w:space="0" w:color="auto"/>
            <w:left w:val="none" w:sz="0" w:space="0" w:color="auto"/>
            <w:bottom w:val="none" w:sz="0" w:space="0" w:color="auto"/>
            <w:right w:val="none" w:sz="0" w:space="0" w:color="auto"/>
          </w:divBdr>
        </w:div>
        <w:div w:id="2129616239">
          <w:marLeft w:val="0"/>
          <w:marRight w:val="0"/>
          <w:marTop w:val="0"/>
          <w:marBottom w:val="0"/>
          <w:divBdr>
            <w:top w:val="none" w:sz="0" w:space="0" w:color="auto"/>
            <w:left w:val="none" w:sz="0" w:space="0" w:color="auto"/>
            <w:bottom w:val="none" w:sz="0" w:space="0" w:color="auto"/>
            <w:right w:val="none" w:sz="0" w:space="0" w:color="auto"/>
          </w:divBdr>
        </w:div>
        <w:div w:id="454300625">
          <w:marLeft w:val="0"/>
          <w:marRight w:val="0"/>
          <w:marTop w:val="0"/>
          <w:marBottom w:val="0"/>
          <w:divBdr>
            <w:top w:val="none" w:sz="0" w:space="0" w:color="auto"/>
            <w:left w:val="none" w:sz="0" w:space="0" w:color="auto"/>
            <w:bottom w:val="none" w:sz="0" w:space="0" w:color="auto"/>
            <w:right w:val="none" w:sz="0" w:space="0" w:color="auto"/>
          </w:divBdr>
        </w:div>
        <w:div w:id="1039205410">
          <w:marLeft w:val="0"/>
          <w:marRight w:val="0"/>
          <w:marTop w:val="0"/>
          <w:marBottom w:val="0"/>
          <w:divBdr>
            <w:top w:val="none" w:sz="0" w:space="0" w:color="auto"/>
            <w:left w:val="none" w:sz="0" w:space="0" w:color="auto"/>
            <w:bottom w:val="none" w:sz="0" w:space="0" w:color="auto"/>
            <w:right w:val="none" w:sz="0" w:space="0" w:color="auto"/>
          </w:divBdr>
        </w:div>
        <w:div w:id="435096628">
          <w:marLeft w:val="0"/>
          <w:marRight w:val="0"/>
          <w:marTop w:val="0"/>
          <w:marBottom w:val="0"/>
          <w:divBdr>
            <w:top w:val="none" w:sz="0" w:space="0" w:color="auto"/>
            <w:left w:val="none" w:sz="0" w:space="0" w:color="auto"/>
            <w:bottom w:val="none" w:sz="0" w:space="0" w:color="auto"/>
            <w:right w:val="none" w:sz="0" w:space="0" w:color="auto"/>
          </w:divBdr>
        </w:div>
      </w:divsChild>
    </w:div>
    <w:div w:id="1730228349">
      <w:marLeft w:val="0"/>
      <w:marRight w:val="0"/>
      <w:marTop w:val="0"/>
      <w:marBottom w:val="0"/>
      <w:divBdr>
        <w:top w:val="none" w:sz="0" w:space="0" w:color="auto"/>
        <w:left w:val="none" w:sz="0" w:space="0" w:color="auto"/>
        <w:bottom w:val="none" w:sz="0" w:space="0" w:color="auto"/>
        <w:right w:val="none" w:sz="0" w:space="0" w:color="auto"/>
      </w:divBdr>
    </w:div>
    <w:div w:id="1731534025">
      <w:marLeft w:val="0"/>
      <w:marRight w:val="0"/>
      <w:marTop w:val="0"/>
      <w:marBottom w:val="0"/>
      <w:divBdr>
        <w:top w:val="none" w:sz="0" w:space="0" w:color="auto"/>
        <w:left w:val="none" w:sz="0" w:space="0" w:color="auto"/>
        <w:bottom w:val="none" w:sz="0" w:space="0" w:color="auto"/>
        <w:right w:val="none" w:sz="0" w:space="0" w:color="auto"/>
      </w:divBdr>
    </w:div>
    <w:div w:id="1732800365">
      <w:marLeft w:val="0"/>
      <w:marRight w:val="0"/>
      <w:marTop w:val="100"/>
      <w:marBottom w:val="100"/>
      <w:divBdr>
        <w:top w:val="none" w:sz="0" w:space="0" w:color="auto"/>
        <w:left w:val="none" w:sz="0" w:space="0" w:color="auto"/>
        <w:bottom w:val="none" w:sz="0" w:space="0" w:color="auto"/>
        <w:right w:val="none" w:sz="0" w:space="0" w:color="auto"/>
      </w:divBdr>
      <w:divsChild>
        <w:div w:id="792864361">
          <w:marLeft w:val="0"/>
          <w:marRight w:val="0"/>
          <w:marTop w:val="0"/>
          <w:marBottom w:val="0"/>
          <w:divBdr>
            <w:top w:val="none" w:sz="0" w:space="0" w:color="auto"/>
            <w:left w:val="none" w:sz="0" w:space="0" w:color="auto"/>
            <w:bottom w:val="none" w:sz="0" w:space="0" w:color="auto"/>
            <w:right w:val="none" w:sz="0" w:space="0" w:color="auto"/>
          </w:divBdr>
        </w:div>
      </w:divsChild>
    </w:div>
    <w:div w:id="1737774687">
      <w:marLeft w:val="0"/>
      <w:marRight w:val="0"/>
      <w:marTop w:val="0"/>
      <w:marBottom w:val="0"/>
      <w:divBdr>
        <w:top w:val="none" w:sz="0" w:space="0" w:color="auto"/>
        <w:left w:val="none" w:sz="0" w:space="0" w:color="auto"/>
        <w:bottom w:val="none" w:sz="0" w:space="0" w:color="auto"/>
        <w:right w:val="none" w:sz="0" w:space="0" w:color="auto"/>
      </w:divBdr>
      <w:divsChild>
        <w:div w:id="2046250979">
          <w:marLeft w:val="0"/>
          <w:marRight w:val="0"/>
          <w:marTop w:val="0"/>
          <w:marBottom w:val="0"/>
          <w:divBdr>
            <w:top w:val="none" w:sz="0" w:space="0" w:color="auto"/>
            <w:left w:val="none" w:sz="0" w:space="0" w:color="auto"/>
            <w:bottom w:val="none" w:sz="0" w:space="0" w:color="auto"/>
            <w:right w:val="none" w:sz="0" w:space="0" w:color="auto"/>
          </w:divBdr>
        </w:div>
      </w:divsChild>
    </w:div>
    <w:div w:id="1738362433">
      <w:marLeft w:val="0"/>
      <w:marRight w:val="0"/>
      <w:marTop w:val="0"/>
      <w:marBottom w:val="0"/>
      <w:divBdr>
        <w:top w:val="none" w:sz="0" w:space="0" w:color="auto"/>
        <w:left w:val="none" w:sz="0" w:space="0" w:color="auto"/>
        <w:bottom w:val="none" w:sz="0" w:space="0" w:color="auto"/>
        <w:right w:val="none" w:sz="0" w:space="0" w:color="auto"/>
      </w:divBdr>
    </w:div>
    <w:div w:id="1742563230">
      <w:marLeft w:val="0"/>
      <w:marRight w:val="0"/>
      <w:marTop w:val="0"/>
      <w:marBottom w:val="0"/>
      <w:divBdr>
        <w:top w:val="none" w:sz="0" w:space="0" w:color="auto"/>
        <w:left w:val="none" w:sz="0" w:space="0" w:color="auto"/>
        <w:bottom w:val="none" w:sz="0" w:space="0" w:color="auto"/>
        <w:right w:val="none" w:sz="0" w:space="0" w:color="auto"/>
      </w:divBdr>
    </w:div>
    <w:div w:id="1745760086">
      <w:marLeft w:val="0"/>
      <w:marRight w:val="0"/>
      <w:marTop w:val="0"/>
      <w:marBottom w:val="0"/>
      <w:divBdr>
        <w:top w:val="none" w:sz="0" w:space="0" w:color="auto"/>
        <w:left w:val="none" w:sz="0" w:space="0" w:color="auto"/>
        <w:bottom w:val="none" w:sz="0" w:space="0" w:color="auto"/>
        <w:right w:val="none" w:sz="0" w:space="0" w:color="auto"/>
      </w:divBdr>
    </w:div>
    <w:div w:id="1749615341">
      <w:marLeft w:val="0"/>
      <w:marRight w:val="0"/>
      <w:marTop w:val="0"/>
      <w:marBottom w:val="0"/>
      <w:divBdr>
        <w:top w:val="none" w:sz="0" w:space="0" w:color="auto"/>
        <w:left w:val="none" w:sz="0" w:space="0" w:color="auto"/>
        <w:bottom w:val="none" w:sz="0" w:space="0" w:color="auto"/>
        <w:right w:val="none" w:sz="0" w:space="0" w:color="auto"/>
      </w:divBdr>
    </w:div>
    <w:div w:id="1762025941">
      <w:marLeft w:val="0"/>
      <w:marRight w:val="0"/>
      <w:marTop w:val="0"/>
      <w:marBottom w:val="0"/>
      <w:divBdr>
        <w:top w:val="none" w:sz="0" w:space="0" w:color="auto"/>
        <w:left w:val="none" w:sz="0" w:space="0" w:color="auto"/>
        <w:bottom w:val="none" w:sz="0" w:space="0" w:color="auto"/>
        <w:right w:val="none" w:sz="0" w:space="0" w:color="auto"/>
      </w:divBdr>
    </w:div>
    <w:div w:id="1765150908">
      <w:marLeft w:val="0"/>
      <w:marRight w:val="0"/>
      <w:marTop w:val="100"/>
      <w:marBottom w:val="240"/>
      <w:divBdr>
        <w:top w:val="none" w:sz="0" w:space="0" w:color="auto"/>
        <w:left w:val="none" w:sz="0" w:space="0" w:color="auto"/>
        <w:bottom w:val="none" w:sz="0" w:space="0" w:color="auto"/>
        <w:right w:val="none" w:sz="0" w:space="0" w:color="auto"/>
      </w:divBdr>
      <w:divsChild>
        <w:div w:id="1361510768">
          <w:marLeft w:val="0"/>
          <w:marRight w:val="0"/>
          <w:marTop w:val="0"/>
          <w:marBottom w:val="0"/>
          <w:divBdr>
            <w:top w:val="none" w:sz="0" w:space="0" w:color="auto"/>
            <w:left w:val="none" w:sz="0" w:space="0" w:color="auto"/>
            <w:bottom w:val="none" w:sz="0" w:space="0" w:color="auto"/>
            <w:right w:val="none" w:sz="0" w:space="0" w:color="auto"/>
          </w:divBdr>
        </w:div>
        <w:div w:id="582958735">
          <w:marLeft w:val="0"/>
          <w:marRight w:val="0"/>
          <w:marTop w:val="0"/>
          <w:marBottom w:val="0"/>
          <w:divBdr>
            <w:top w:val="none" w:sz="0" w:space="0" w:color="auto"/>
            <w:left w:val="none" w:sz="0" w:space="0" w:color="auto"/>
            <w:bottom w:val="none" w:sz="0" w:space="0" w:color="auto"/>
            <w:right w:val="none" w:sz="0" w:space="0" w:color="auto"/>
          </w:divBdr>
        </w:div>
      </w:divsChild>
    </w:div>
    <w:div w:id="1770739444">
      <w:marLeft w:val="0"/>
      <w:marRight w:val="0"/>
      <w:marTop w:val="0"/>
      <w:marBottom w:val="0"/>
      <w:divBdr>
        <w:top w:val="none" w:sz="0" w:space="0" w:color="auto"/>
        <w:left w:val="none" w:sz="0" w:space="0" w:color="auto"/>
        <w:bottom w:val="none" w:sz="0" w:space="0" w:color="auto"/>
        <w:right w:val="none" w:sz="0" w:space="0" w:color="auto"/>
      </w:divBdr>
      <w:divsChild>
        <w:div w:id="834304134">
          <w:marLeft w:val="0"/>
          <w:marRight w:val="0"/>
          <w:marTop w:val="0"/>
          <w:marBottom w:val="0"/>
          <w:divBdr>
            <w:top w:val="none" w:sz="0" w:space="0" w:color="auto"/>
            <w:left w:val="none" w:sz="0" w:space="0" w:color="auto"/>
            <w:bottom w:val="none" w:sz="0" w:space="0" w:color="auto"/>
            <w:right w:val="none" w:sz="0" w:space="0" w:color="auto"/>
          </w:divBdr>
        </w:div>
      </w:divsChild>
    </w:div>
    <w:div w:id="1772046112">
      <w:marLeft w:val="0"/>
      <w:marRight w:val="0"/>
      <w:marTop w:val="0"/>
      <w:marBottom w:val="0"/>
      <w:divBdr>
        <w:top w:val="none" w:sz="0" w:space="0" w:color="auto"/>
        <w:left w:val="none" w:sz="0" w:space="0" w:color="auto"/>
        <w:bottom w:val="none" w:sz="0" w:space="0" w:color="auto"/>
        <w:right w:val="none" w:sz="0" w:space="0" w:color="auto"/>
      </w:divBdr>
    </w:div>
    <w:div w:id="1778600614">
      <w:marLeft w:val="0"/>
      <w:marRight w:val="0"/>
      <w:marTop w:val="0"/>
      <w:marBottom w:val="0"/>
      <w:divBdr>
        <w:top w:val="none" w:sz="0" w:space="0" w:color="auto"/>
        <w:left w:val="none" w:sz="0" w:space="0" w:color="auto"/>
        <w:bottom w:val="none" w:sz="0" w:space="0" w:color="auto"/>
        <w:right w:val="none" w:sz="0" w:space="0" w:color="auto"/>
      </w:divBdr>
    </w:div>
    <w:div w:id="1786148781">
      <w:marLeft w:val="0"/>
      <w:marRight w:val="0"/>
      <w:marTop w:val="0"/>
      <w:marBottom w:val="0"/>
      <w:divBdr>
        <w:top w:val="none" w:sz="0" w:space="0" w:color="auto"/>
        <w:left w:val="none" w:sz="0" w:space="0" w:color="auto"/>
        <w:bottom w:val="none" w:sz="0" w:space="0" w:color="auto"/>
        <w:right w:val="none" w:sz="0" w:space="0" w:color="auto"/>
      </w:divBdr>
      <w:divsChild>
        <w:div w:id="677973653">
          <w:marLeft w:val="0"/>
          <w:marRight w:val="0"/>
          <w:marTop w:val="0"/>
          <w:marBottom w:val="0"/>
          <w:divBdr>
            <w:top w:val="none" w:sz="0" w:space="0" w:color="auto"/>
            <w:left w:val="none" w:sz="0" w:space="0" w:color="auto"/>
            <w:bottom w:val="none" w:sz="0" w:space="0" w:color="auto"/>
            <w:right w:val="none" w:sz="0" w:space="0" w:color="auto"/>
          </w:divBdr>
        </w:div>
      </w:divsChild>
    </w:div>
    <w:div w:id="1789085705">
      <w:marLeft w:val="0"/>
      <w:marRight w:val="0"/>
      <w:marTop w:val="0"/>
      <w:marBottom w:val="0"/>
      <w:divBdr>
        <w:top w:val="none" w:sz="0" w:space="0" w:color="auto"/>
        <w:left w:val="none" w:sz="0" w:space="0" w:color="auto"/>
        <w:bottom w:val="none" w:sz="0" w:space="0" w:color="auto"/>
        <w:right w:val="none" w:sz="0" w:space="0" w:color="auto"/>
      </w:divBdr>
    </w:div>
    <w:div w:id="1790657727">
      <w:marLeft w:val="0"/>
      <w:marRight w:val="0"/>
      <w:marTop w:val="0"/>
      <w:marBottom w:val="0"/>
      <w:divBdr>
        <w:top w:val="none" w:sz="0" w:space="0" w:color="auto"/>
        <w:left w:val="none" w:sz="0" w:space="0" w:color="auto"/>
        <w:bottom w:val="none" w:sz="0" w:space="0" w:color="auto"/>
        <w:right w:val="none" w:sz="0" w:space="0" w:color="auto"/>
      </w:divBdr>
    </w:div>
    <w:div w:id="1791169795">
      <w:marLeft w:val="0"/>
      <w:marRight w:val="0"/>
      <w:marTop w:val="0"/>
      <w:marBottom w:val="0"/>
      <w:divBdr>
        <w:top w:val="none" w:sz="0" w:space="0" w:color="auto"/>
        <w:left w:val="none" w:sz="0" w:space="0" w:color="auto"/>
        <w:bottom w:val="none" w:sz="0" w:space="0" w:color="auto"/>
        <w:right w:val="none" w:sz="0" w:space="0" w:color="auto"/>
      </w:divBdr>
    </w:div>
    <w:div w:id="1793283791">
      <w:marLeft w:val="0"/>
      <w:marRight w:val="0"/>
      <w:marTop w:val="0"/>
      <w:marBottom w:val="0"/>
      <w:divBdr>
        <w:top w:val="none" w:sz="0" w:space="0" w:color="auto"/>
        <w:left w:val="none" w:sz="0" w:space="0" w:color="auto"/>
        <w:bottom w:val="none" w:sz="0" w:space="0" w:color="auto"/>
        <w:right w:val="none" w:sz="0" w:space="0" w:color="auto"/>
      </w:divBdr>
    </w:div>
    <w:div w:id="1793396768">
      <w:marLeft w:val="0"/>
      <w:marRight w:val="0"/>
      <w:marTop w:val="0"/>
      <w:marBottom w:val="0"/>
      <w:divBdr>
        <w:top w:val="none" w:sz="0" w:space="0" w:color="auto"/>
        <w:left w:val="none" w:sz="0" w:space="0" w:color="auto"/>
        <w:bottom w:val="none" w:sz="0" w:space="0" w:color="auto"/>
        <w:right w:val="none" w:sz="0" w:space="0" w:color="auto"/>
      </w:divBdr>
    </w:div>
    <w:div w:id="1796292281">
      <w:marLeft w:val="0"/>
      <w:marRight w:val="0"/>
      <w:marTop w:val="0"/>
      <w:marBottom w:val="0"/>
      <w:divBdr>
        <w:top w:val="none" w:sz="0" w:space="0" w:color="auto"/>
        <w:left w:val="none" w:sz="0" w:space="0" w:color="auto"/>
        <w:bottom w:val="none" w:sz="0" w:space="0" w:color="auto"/>
        <w:right w:val="none" w:sz="0" w:space="0" w:color="auto"/>
      </w:divBdr>
    </w:div>
    <w:div w:id="1797408661">
      <w:marLeft w:val="0"/>
      <w:marRight w:val="0"/>
      <w:marTop w:val="0"/>
      <w:marBottom w:val="0"/>
      <w:divBdr>
        <w:top w:val="none" w:sz="0" w:space="0" w:color="auto"/>
        <w:left w:val="none" w:sz="0" w:space="0" w:color="auto"/>
        <w:bottom w:val="none" w:sz="0" w:space="0" w:color="auto"/>
        <w:right w:val="none" w:sz="0" w:space="0" w:color="auto"/>
      </w:divBdr>
    </w:div>
    <w:div w:id="1799100661">
      <w:marLeft w:val="0"/>
      <w:marRight w:val="0"/>
      <w:marTop w:val="0"/>
      <w:marBottom w:val="0"/>
      <w:divBdr>
        <w:top w:val="none" w:sz="0" w:space="0" w:color="auto"/>
        <w:left w:val="none" w:sz="0" w:space="0" w:color="auto"/>
        <w:bottom w:val="none" w:sz="0" w:space="0" w:color="auto"/>
        <w:right w:val="none" w:sz="0" w:space="0" w:color="auto"/>
      </w:divBdr>
    </w:div>
    <w:div w:id="1804807464">
      <w:marLeft w:val="0"/>
      <w:marRight w:val="0"/>
      <w:marTop w:val="0"/>
      <w:marBottom w:val="0"/>
      <w:divBdr>
        <w:top w:val="none" w:sz="0" w:space="0" w:color="auto"/>
        <w:left w:val="none" w:sz="0" w:space="0" w:color="auto"/>
        <w:bottom w:val="none" w:sz="0" w:space="0" w:color="auto"/>
        <w:right w:val="none" w:sz="0" w:space="0" w:color="auto"/>
      </w:divBdr>
    </w:div>
    <w:div w:id="1806073223">
      <w:marLeft w:val="0"/>
      <w:marRight w:val="0"/>
      <w:marTop w:val="0"/>
      <w:marBottom w:val="0"/>
      <w:divBdr>
        <w:top w:val="none" w:sz="0" w:space="0" w:color="auto"/>
        <w:left w:val="none" w:sz="0" w:space="0" w:color="auto"/>
        <w:bottom w:val="none" w:sz="0" w:space="0" w:color="auto"/>
        <w:right w:val="none" w:sz="0" w:space="0" w:color="auto"/>
      </w:divBdr>
    </w:div>
    <w:div w:id="1809711485">
      <w:marLeft w:val="0"/>
      <w:marRight w:val="0"/>
      <w:marTop w:val="0"/>
      <w:marBottom w:val="0"/>
      <w:divBdr>
        <w:top w:val="none" w:sz="0" w:space="0" w:color="auto"/>
        <w:left w:val="none" w:sz="0" w:space="0" w:color="auto"/>
        <w:bottom w:val="none" w:sz="0" w:space="0" w:color="auto"/>
        <w:right w:val="none" w:sz="0" w:space="0" w:color="auto"/>
      </w:divBdr>
    </w:div>
    <w:div w:id="1812557555">
      <w:marLeft w:val="0"/>
      <w:marRight w:val="0"/>
      <w:marTop w:val="0"/>
      <w:marBottom w:val="0"/>
      <w:divBdr>
        <w:top w:val="none" w:sz="0" w:space="0" w:color="auto"/>
        <w:left w:val="none" w:sz="0" w:space="0" w:color="auto"/>
        <w:bottom w:val="none" w:sz="0" w:space="0" w:color="auto"/>
        <w:right w:val="none" w:sz="0" w:space="0" w:color="auto"/>
      </w:divBdr>
    </w:div>
    <w:div w:id="1812987933">
      <w:marLeft w:val="0"/>
      <w:marRight w:val="0"/>
      <w:marTop w:val="0"/>
      <w:marBottom w:val="0"/>
      <w:divBdr>
        <w:top w:val="none" w:sz="0" w:space="0" w:color="auto"/>
        <w:left w:val="none" w:sz="0" w:space="0" w:color="auto"/>
        <w:bottom w:val="none" w:sz="0" w:space="0" w:color="auto"/>
        <w:right w:val="none" w:sz="0" w:space="0" w:color="auto"/>
      </w:divBdr>
    </w:div>
    <w:div w:id="1813403406">
      <w:marLeft w:val="0"/>
      <w:marRight w:val="0"/>
      <w:marTop w:val="0"/>
      <w:marBottom w:val="0"/>
      <w:divBdr>
        <w:top w:val="none" w:sz="0" w:space="0" w:color="auto"/>
        <w:left w:val="none" w:sz="0" w:space="0" w:color="auto"/>
        <w:bottom w:val="none" w:sz="0" w:space="0" w:color="auto"/>
        <w:right w:val="none" w:sz="0" w:space="0" w:color="auto"/>
      </w:divBdr>
    </w:div>
    <w:div w:id="1814784321">
      <w:marLeft w:val="0"/>
      <w:marRight w:val="0"/>
      <w:marTop w:val="0"/>
      <w:marBottom w:val="0"/>
      <w:divBdr>
        <w:top w:val="none" w:sz="0" w:space="0" w:color="auto"/>
        <w:left w:val="none" w:sz="0" w:space="0" w:color="auto"/>
        <w:bottom w:val="none" w:sz="0" w:space="0" w:color="auto"/>
        <w:right w:val="none" w:sz="0" w:space="0" w:color="auto"/>
      </w:divBdr>
    </w:div>
    <w:div w:id="1815171493">
      <w:marLeft w:val="0"/>
      <w:marRight w:val="0"/>
      <w:marTop w:val="0"/>
      <w:marBottom w:val="0"/>
      <w:divBdr>
        <w:top w:val="none" w:sz="0" w:space="0" w:color="auto"/>
        <w:left w:val="none" w:sz="0" w:space="0" w:color="auto"/>
        <w:bottom w:val="none" w:sz="0" w:space="0" w:color="auto"/>
        <w:right w:val="none" w:sz="0" w:space="0" w:color="auto"/>
      </w:divBdr>
    </w:div>
    <w:div w:id="1816920255">
      <w:marLeft w:val="0"/>
      <w:marRight w:val="0"/>
      <w:marTop w:val="0"/>
      <w:marBottom w:val="0"/>
      <w:divBdr>
        <w:top w:val="none" w:sz="0" w:space="0" w:color="auto"/>
        <w:left w:val="none" w:sz="0" w:space="0" w:color="auto"/>
        <w:bottom w:val="none" w:sz="0" w:space="0" w:color="auto"/>
        <w:right w:val="none" w:sz="0" w:space="0" w:color="auto"/>
      </w:divBdr>
    </w:div>
    <w:div w:id="1818034187">
      <w:marLeft w:val="0"/>
      <w:marRight w:val="0"/>
      <w:marTop w:val="0"/>
      <w:marBottom w:val="0"/>
      <w:divBdr>
        <w:top w:val="none" w:sz="0" w:space="0" w:color="auto"/>
        <w:left w:val="none" w:sz="0" w:space="0" w:color="auto"/>
        <w:bottom w:val="none" w:sz="0" w:space="0" w:color="auto"/>
        <w:right w:val="none" w:sz="0" w:space="0" w:color="auto"/>
      </w:divBdr>
    </w:div>
    <w:div w:id="1823306513">
      <w:marLeft w:val="0"/>
      <w:marRight w:val="0"/>
      <w:marTop w:val="0"/>
      <w:marBottom w:val="0"/>
      <w:divBdr>
        <w:top w:val="none" w:sz="0" w:space="0" w:color="auto"/>
        <w:left w:val="none" w:sz="0" w:space="0" w:color="auto"/>
        <w:bottom w:val="none" w:sz="0" w:space="0" w:color="auto"/>
        <w:right w:val="none" w:sz="0" w:space="0" w:color="auto"/>
      </w:divBdr>
    </w:div>
    <w:div w:id="1825463694">
      <w:marLeft w:val="0"/>
      <w:marRight w:val="0"/>
      <w:marTop w:val="0"/>
      <w:marBottom w:val="0"/>
      <w:divBdr>
        <w:top w:val="none" w:sz="0" w:space="0" w:color="auto"/>
        <w:left w:val="none" w:sz="0" w:space="0" w:color="auto"/>
        <w:bottom w:val="none" w:sz="0" w:space="0" w:color="auto"/>
        <w:right w:val="none" w:sz="0" w:space="0" w:color="auto"/>
      </w:divBdr>
    </w:div>
    <w:div w:id="1827941157">
      <w:marLeft w:val="0"/>
      <w:marRight w:val="0"/>
      <w:marTop w:val="0"/>
      <w:marBottom w:val="0"/>
      <w:divBdr>
        <w:top w:val="none" w:sz="0" w:space="0" w:color="auto"/>
        <w:left w:val="none" w:sz="0" w:space="0" w:color="auto"/>
        <w:bottom w:val="none" w:sz="0" w:space="0" w:color="auto"/>
        <w:right w:val="none" w:sz="0" w:space="0" w:color="auto"/>
      </w:divBdr>
    </w:div>
    <w:div w:id="1831797829">
      <w:marLeft w:val="0"/>
      <w:marRight w:val="0"/>
      <w:marTop w:val="0"/>
      <w:marBottom w:val="0"/>
      <w:divBdr>
        <w:top w:val="none" w:sz="0" w:space="0" w:color="auto"/>
        <w:left w:val="none" w:sz="0" w:space="0" w:color="auto"/>
        <w:bottom w:val="none" w:sz="0" w:space="0" w:color="auto"/>
        <w:right w:val="none" w:sz="0" w:space="0" w:color="auto"/>
      </w:divBdr>
    </w:div>
    <w:div w:id="1833136046">
      <w:marLeft w:val="0"/>
      <w:marRight w:val="0"/>
      <w:marTop w:val="0"/>
      <w:marBottom w:val="0"/>
      <w:divBdr>
        <w:top w:val="none" w:sz="0" w:space="0" w:color="auto"/>
        <w:left w:val="none" w:sz="0" w:space="0" w:color="auto"/>
        <w:bottom w:val="none" w:sz="0" w:space="0" w:color="auto"/>
        <w:right w:val="none" w:sz="0" w:space="0" w:color="auto"/>
      </w:divBdr>
    </w:div>
    <w:div w:id="1834951229">
      <w:marLeft w:val="0"/>
      <w:marRight w:val="0"/>
      <w:marTop w:val="100"/>
      <w:marBottom w:val="100"/>
      <w:divBdr>
        <w:top w:val="none" w:sz="0" w:space="0" w:color="auto"/>
        <w:left w:val="none" w:sz="0" w:space="0" w:color="auto"/>
        <w:bottom w:val="none" w:sz="0" w:space="0" w:color="auto"/>
        <w:right w:val="none" w:sz="0" w:space="0" w:color="auto"/>
      </w:divBdr>
    </w:div>
    <w:div w:id="1836411269">
      <w:marLeft w:val="0"/>
      <w:marRight w:val="0"/>
      <w:marTop w:val="0"/>
      <w:marBottom w:val="0"/>
      <w:divBdr>
        <w:top w:val="none" w:sz="0" w:space="0" w:color="auto"/>
        <w:left w:val="none" w:sz="0" w:space="0" w:color="auto"/>
        <w:bottom w:val="none" w:sz="0" w:space="0" w:color="auto"/>
        <w:right w:val="none" w:sz="0" w:space="0" w:color="auto"/>
      </w:divBdr>
    </w:div>
    <w:div w:id="1838111525">
      <w:marLeft w:val="0"/>
      <w:marRight w:val="0"/>
      <w:marTop w:val="0"/>
      <w:marBottom w:val="0"/>
      <w:divBdr>
        <w:top w:val="none" w:sz="0" w:space="0" w:color="auto"/>
        <w:left w:val="none" w:sz="0" w:space="0" w:color="auto"/>
        <w:bottom w:val="none" w:sz="0" w:space="0" w:color="auto"/>
        <w:right w:val="none" w:sz="0" w:space="0" w:color="auto"/>
      </w:divBdr>
    </w:div>
    <w:div w:id="1838575776">
      <w:marLeft w:val="0"/>
      <w:marRight w:val="0"/>
      <w:marTop w:val="0"/>
      <w:marBottom w:val="0"/>
      <w:divBdr>
        <w:top w:val="none" w:sz="0" w:space="0" w:color="auto"/>
        <w:left w:val="none" w:sz="0" w:space="0" w:color="auto"/>
        <w:bottom w:val="none" w:sz="0" w:space="0" w:color="auto"/>
        <w:right w:val="none" w:sz="0" w:space="0" w:color="auto"/>
      </w:divBdr>
    </w:div>
    <w:div w:id="1842155600">
      <w:marLeft w:val="0"/>
      <w:marRight w:val="0"/>
      <w:marTop w:val="0"/>
      <w:marBottom w:val="0"/>
      <w:divBdr>
        <w:top w:val="none" w:sz="0" w:space="0" w:color="auto"/>
        <w:left w:val="none" w:sz="0" w:space="0" w:color="auto"/>
        <w:bottom w:val="none" w:sz="0" w:space="0" w:color="auto"/>
        <w:right w:val="none" w:sz="0" w:space="0" w:color="auto"/>
      </w:divBdr>
    </w:div>
    <w:div w:id="1842157220">
      <w:marLeft w:val="0"/>
      <w:marRight w:val="0"/>
      <w:marTop w:val="0"/>
      <w:marBottom w:val="0"/>
      <w:divBdr>
        <w:top w:val="none" w:sz="0" w:space="0" w:color="auto"/>
        <w:left w:val="none" w:sz="0" w:space="0" w:color="auto"/>
        <w:bottom w:val="none" w:sz="0" w:space="0" w:color="auto"/>
        <w:right w:val="none" w:sz="0" w:space="0" w:color="auto"/>
      </w:divBdr>
    </w:div>
    <w:div w:id="1846241633">
      <w:marLeft w:val="0"/>
      <w:marRight w:val="0"/>
      <w:marTop w:val="0"/>
      <w:marBottom w:val="0"/>
      <w:divBdr>
        <w:top w:val="none" w:sz="0" w:space="0" w:color="auto"/>
        <w:left w:val="none" w:sz="0" w:space="0" w:color="auto"/>
        <w:bottom w:val="none" w:sz="0" w:space="0" w:color="auto"/>
        <w:right w:val="none" w:sz="0" w:space="0" w:color="auto"/>
      </w:divBdr>
      <w:divsChild>
        <w:div w:id="381178391">
          <w:marLeft w:val="0"/>
          <w:marRight w:val="0"/>
          <w:marTop w:val="0"/>
          <w:marBottom w:val="0"/>
          <w:divBdr>
            <w:top w:val="none" w:sz="0" w:space="0" w:color="auto"/>
            <w:left w:val="none" w:sz="0" w:space="0" w:color="auto"/>
            <w:bottom w:val="none" w:sz="0" w:space="0" w:color="auto"/>
            <w:right w:val="none" w:sz="0" w:space="0" w:color="auto"/>
          </w:divBdr>
        </w:div>
      </w:divsChild>
    </w:div>
    <w:div w:id="1846480020">
      <w:marLeft w:val="0"/>
      <w:marRight w:val="0"/>
      <w:marTop w:val="0"/>
      <w:marBottom w:val="0"/>
      <w:divBdr>
        <w:top w:val="none" w:sz="0" w:space="0" w:color="auto"/>
        <w:left w:val="none" w:sz="0" w:space="0" w:color="auto"/>
        <w:bottom w:val="none" w:sz="0" w:space="0" w:color="auto"/>
        <w:right w:val="none" w:sz="0" w:space="0" w:color="auto"/>
      </w:divBdr>
    </w:div>
    <w:div w:id="1847749226">
      <w:marLeft w:val="0"/>
      <w:marRight w:val="0"/>
      <w:marTop w:val="0"/>
      <w:marBottom w:val="0"/>
      <w:divBdr>
        <w:top w:val="none" w:sz="0" w:space="0" w:color="auto"/>
        <w:left w:val="none" w:sz="0" w:space="0" w:color="auto"/>
        <w:bottom w:val="none" w:sz="0" w:space="0" w:color="auto"/>
        <w:right w:val="none" w:sz="0" w:space="0" w:color="auto"/>
      </w:divBdr>
    </w:div>
    <w:div w:id="1849445537">
      <w:marLeft w:val="0"/>
      <w:marRight w:val="0"/>
      <w:marTop w:val="0"/>
      <w:marBottom w:val="0"/>
      <w:divBdr>
        <w:top w:val="none" w:sz="0" w:space="0" w:color="auto"/>
        <w:left w:val="none" w:sz="0" w:space="0" w:color="auto"/>
        <w:bottom w:val="none" w:sz="0" w:space="0" w:color="auto"/>
        <w:right w:val="none" w:sz="0" w:space="0" w:color="auto"/>
      </w:divBdr>
    </w:div>
    <w:div w:id="1854296627">
      <w:marLeft w:val="0"/>
      <w:marRight w:val="0"/>
      <w:marTop w:val="0"/>
      <w:marBottom w:val="0"/>
      <w:divBdr>
        <w:top w:val="none" w:sz="0" w:space="0" w:color="auto"/>
        <w:left w:val="none" w:sz="0" w:space="0" w:color="auto"/>
        <w:bottom w:val="none" w:sz="0" w:space="0" w:color="auto"/>
        <w:right w:val="none" w:sz="0" w:space="0" w:color="auto"/>
      </w:divBdr>
    </w:div>
    <w:div w:id="1856185812">
      <w:marLeft w:val="0"/>
      <w:marRight w:val="0"/>
      <w:marTop w:val="0"/>
      <w:marBottom w:val="0"/>
      <w:divBdr>
        <w:top w:val="none" w:sz="0" w:space="0" w:color="auto"/>
        <w:left w:val="none" w:sz="0" w:space="0" w:color="auto"/>
        <w:bottom w:val="none" w:sz="0" w:space="0" w:color="auto"/>
        <w:right w:val="none" w:sz="0" w:space="0" w:color="auto"/>
      </w:divBdr>
      <w:divsChild>
        <w:div w:id="1895698763">
          <w:marLeft w:val="0"/>
          <w:marRight w:val="0"/>
          <w:marTop w:val="0"/>
          <w:marBottom w:val="0"/>
          <w:divBdr>
            <w:top w:val="none" w:sz="0" w:space="0" w:color="auto"/>
            <w:left w:val="none" w:sz="0" w:space="0" w:color="auto"/>
            <w:bottom w:val="none" w:sz="0" w:space="0" w:color="auto"/>
            <w:right w:val="none" w:sz="0" w:space="0" w:color="auto"/>
          </w:divBdr>
        </w:div>
      </w:divsChild>
    </w:div>
    <w:div w:id="1861503976">
      <w:marLeft w:val="0"/>
      <w:marRight w:val="0"/>
      <w:marTop w:val="0"/>
      <w:marBottom w:val="0"/>
      <w:divBdr>
        <w:top w:val="none" w:sz="0" w:space="0" w:color="auto"/>
        <w:left w:val="none" w:sz="0" w:space="0" w:color="auto"/>
        <w:bottom w:val="none" w:sz="0" w:space="0" w:color="auto"/>
        <w:right w:val="none" w:sz="0" w:space="0" w:color="auto"/>
      </w:divBdr>
    </w:div>
    <w:div w:id="1861628197">
      <w:marLeft w:val="0"/>
      <w:marRight w:val="0"/>
      <w:marTop w:val="0"/>
      <w:marBottom w:val="0"/>
      <w:divBdr>
        <w:top w:val="none" w:sz="0" w:space="0" w:color="auto"/>
        <w:left w:val="none" w:sz="0" w:space="0" w:color="auto"/>
        <w:bottom w:val="none" w:sz="0" w:space="0" w:color="auto"/>
        <w:right w:val="none" w:sz="0" w:space="0" w:color="auto"/>
      </w:divBdr>
    </w:div>
    <w:div w:id="1866475981">
      <w:marLeft w:val="0"/>
      <w:marRight w:val="0"/>
      <w:marTop w:val="0"/>
      <w:marBottom w:val="0"/>
      <w:divBdr>
        <w:top w:val="none" w:sz="0" w:space="0" w:color="auto"/>
        <w:left w:val="none" w:sz="0" w:space="0" w:color="auto"/>
        <w:bottom w:val="none" w:sz="0" w:space="0" w:color="auto"/>
        <w:right w:val="none" w:sz="0" w:space="0" w:color="auto"/>
      </w:divBdr>
    </w:div>
    <w:div w:id="1866560157">
      <w:marLeft w:val="0"/>
      <w:marRight w:val="0"/>
      <w:marTop w:val="0"/>
      <w:marBottom w:val="0"/>
      <w:divBdr>
        <w:top w:val="none" w:sz="0" w:space="0" w:color="auto"/>
        <w:left w:val="none" w:sz="0" w:space="0" w:color="auto"/>
        <w:bottom w:val="none" w:sz="0" w:space="0" w:color="auto"/>
        <w:right w:val="none" w:sz="0" w:space="0" w:color="auto"/>
      </w:divBdr>
    </w:div>
    <w:div w:id="1869291667">
      <w:marLeft w:val="0"/>
      <w:marRight w:val="0"/>
      <w:marTop w:val="0"/>
      <w:marBottom w:val="0"/>
      <w:divBdr>
        <w:top w:val="none" w:sz="0" w:space="0" w:color="auto"/>
        <w:left w:val="none" w:sz="0" w:space="0" w:color="auto"/>
        <w:bottom w:val="none" w:sz="0" w:space="0" w:color="auto"/>
        <w:right w:val="none" w:sz="0" w:space="0" w:color="auto"/>
      </w:divBdr>
    </w:div>
    <w:div w:id="1873423591">
      <w:marLeft w:val="0"/>
      <w:marRight w:val="0"/>
      <w:marTop w:val="0"/>
      <w:marBottom w:val="0"/>
      <w:divBdr>
        <w:top w:val="none" w:sz="0" w:space="0" w:color="auto"/>
        <w:left w:val="none" w:sz="0" w:space="0" w:color="auto"/>
        <w:bottom w:val="none" w:sz="0" w:space="0" w:color="auto"/>
        <w:right w:val="none" w:sz="0" w:space="0" w:color="auto"/>
      </w:divBdr>
      <w:divsChild>
        <w:div w:id="1001665973">
          <w:marLeft w:val="0"/>
          <w:marRight w:val="0"/>
          <w:marTop w:val="0"/>
          <w:marBottom w:val="0"/>
          <w:divBdr>
            <w:top w:val="none" w:sz="0" w:space="0" w:color="auto"/>
            <w:left w:val="none" w:sz="0" w:space="0" w:color="auto"/>
            <w:bottom w:val="none" w:sz="0" w:space="0" w:color="auto"/>
            <w:right w:val="none" w:sz="0" w:space="0" w:color="auto"/>
          </w:divBdr>
        </w:div>
      </w:divsChild>
    </w:div>
    <w:div w:id="1874342113">
      <w:marLeft w:val="0"/>
      <w:marRight w:val="0"/>
      <w:marTop w:val="0"/>
      <w:marBottom w:val="0"/>
      <w:divBdr>
        <w:top w:val="none" w:sz="0" w:space="0" w:color="auto"/>
        <w:left w:val="none" w:sz="0" w:space="0" w:color="auto"/>
        <w:bottom w:val="none" w:sz="0" w:space="0" w:color="auto"/>
        <w:right w:val="none" w:sz="0" w:space="0" w:color="auto"/>
      </w:divBdr>
    </w:div>
    <w:div w:id="1874464344">
      <w:marLeft w:val="0"/>
      <w:marRight w:val="0"/>
      <w:marTop w:val="0"/>
      <w:marBottom w:val="0"/>
      <w:divBdr>
        <w:top w:val="none" w:sz="0" w:space="0" w:color="auto"/>
        <w:left w:val="none" w:sz="0" w:space="0" w:color="auto"/>
        <w:bottom w:val="none" w:sz="0" w:space="0" w:color="auto"/>
        <w:right w:val="none" w:sz="0" w:space="0" w:color="auto"/>
      </w:divBdr>
    </w:div>
    <w:div w:id="1875577825">
      <w:marLeft w:val="0"/>
      <w:marRight w:val="0"/>
      <w:marTop w:val="0"/>
      <w:marBottom w:val="0"/>
      <w:divBdr>
        <w:top w:val="none" w:sz="0" w:space="0" w:color="auto"/>
        <w:left w:val="none" w:sz="0" w:space="0" w:color="auto"/>
        <w:bottom w:val="none" w:sz="0" w:space="0" w:color="auto"/>
        <w:right w:val="none" w:sz="0" w:space="0" w:color="auto"/>
      </w:divBdr>
      <w:divsChild>
        <w:div w:id="313144450">
          <w:marLeft w:val="0"/>
          <w:marRight w:val="0"/>
          <w:marTop w:val="0"/>
          <w:marBottom w:val="0"/>
          <w:divBdr>
            <w:top w:val="none" w:sz="0" w:space="0" w:color="auto"/>
            <w:left w:val="none" w:sz="0" w:space="0" w:color="auto"/>
            <w:bottom w:val="none" w:sz="0" w:space="0" w:color="auto"/>
            <w:right w:val="none" w:sz="0" w:space="0" w:color="auto"/>
          </w:divBdr>
        </w:div>
      </w:divsChild>
    </w:div>
    <w:div w:id="1883326716">
      <w:marLeft w:val="0"/>
      <w:marRight w:val="0"/>
      <w:marTop w:val="0"/>
      <w:marBottom w:val="0"/>
      <w:divBdr>
        <w:top w:val="none" w:sz="0" w:space="0" w:color="auto"/>
        <w:left w:val="none" w:sz="0" w:space="0" w:color="auto"/>
        <w:bottom w:val="none" w:sz="0" w:space="0" w:color="auto"/>
        <w:right w:val="none" w:sz="0" w:space="0" w:color="auto"/>
      </w:divBdr>
    </w:div>
    <w:div w:id="1888830799">
      <w:marLeft w:val="0"/>
      <w:marRight w:val="0"/>
      <w:marTop w:val="60"/>
      <w:marBottom w:val="0"/>
      <w:divBdr>
        <w:top w:val="none" w:sz="0" w:space="0" w:color="auto"/>
        <w:left w:val="none" w:sz="0" w:space="0" w:color="auto"/>
        <w:bottom w:val="none" w:sz="0" w:space="0" w:color="auto"/>
        <w:right w:val="none" w:sz="0" w:space="0" w:color="auto"/>
      </w:divBdr>
    </w:div>
    <w:div w:id="1890459488">
      <w:marLeft w:val="0"/>
      <w:marRight w:val="0"/>
      <w:marTop w:val="0"/>
      <w:marBottom w:val="0"/>
      <w:divBdr>
        <w:top w:val="none" w:sz="0" w:space="0" w:color="auto"/>
        <w:left w:val="none" w:sz="0" w:space="0" w:color="auto"/>
        <w:bottom w:val="none" w:sz="0" w:space="0" w:color="auto"/>
        <w:right w:val="none" w:sz="0" w:space="0" w:color="auto"/>
      </w:divBdr>
    </w:div>
    <w:div w:id="1892691106">
      <w:marLeft w:val="0"/>
      <w:marRight w:val="0"/>
      <w:marTop w:val="60"/>
      <w:marBottom w:val="0"/>
      <w:divBdr>
        <w:top w:val="none" w:sz="0" w:space="0" w:color="auto"/>
        <w:left w:val="none" w:sz="0" w:space="0" w:color="auto"/>
        <w:bottom w:val="none" w:sz="0" w:space="0" w:color="auto"/>
        <w:right w:val="none" w:sz="0" w:space="0" w:color="auto"/>
      </w:divBdr>
    </w:div>
    <w:div w:id="1893079815">
      <w:marLeft w:val="0"/>
      <w:marRight w:val="0"/>
      <w:marTop w:val="0"/>
      <w:marBottom w:val="0"/>
      <w:divBdr>
        <w:top w:val="none" w:sz="0" w:space="0" w:color="auto"/>
        <w:left w:val="none" w:sz="0" w:space="0" w:color="auto"/>
        <w:bottom w:val="none" w:sz="0" w:space="0" w:color="auto"/>
        <w:right w:val="none" w:sz="0" w:space="0" w:color="auto"/>
      </w:divBdr>
      <w:divsChild>
        <w:div w:id="1454134451">
          <w:marLeft w:val="0"/>
          <w:marRight w:val="0"/>
          <w:marTop w:val="0"/>
          <w:marBottom w:val="0"/>
          <w:divBdr>
            <w:top w:val="none" w:sz="0" w:space="0" w:color="auto"/>
            <w:left w:val="none" w:sz="0" w:space="0" w:color="auto"/>
            <w:bottom w:val="none" w:sz="0" w:space="0" w:color="auto"/>
            <w:right w:val="none" w:sz="0" w:space="0" w:color="auto"/>
          </w:divBdr>
        </w:div>
      </w:divsChild>
    </w:div>
    <w:div w:id="1895116354">
      <w:marLeft w:val="0"/>
      <w:marRight w:val="0"/>
      <w:marTop w:val="0"/>
      <w:marBottom w:val="0"/>
      <w:divBdr>
        <w:top w:val="none" w:sz="0" w:space="0" w:color="auto"/>
        <w:left w:val="none" w:sz="0" w:space="0" w:color="auto"/>
        <w:bottom w:val="none" w:sz="0" w:space="0" w:color="auto"/>
        <w:right w:val="none" w:sz="0" w:space="0" w:color="auto"/>
      </w:divBdr>
    </w:div>
    <w:div w:id="1896358047">
      <w:marLeft w:val="0"/>
      <w:marRight w:val="0"/>
      <w:marTop w:val="100"/>
      <w:marBottom w:val="100"/>
      <w:divBdr>
        <w:top w:val="none" w:sz="0" w:space="0" w:color="auto"/>
        <w:left w:val="none" w:sz="0" w:space="0" w:color="auto"/>
        <w:bottom w:val="none" w:sz="0" w:space="0" w:color="auto"/>
        <w:right w:val="none" w:sz="0" w:space="0" w:color="auto"/>
      </w:divBdr>
      <w:divsChild>
        <w:div w:id="1040088900">
          <w:marLeft w:val="0"/>
          <w:marRight w:val="0"/>
          <w:marTop w:val="0"/>
          <w:marBottom w:val="0"/>
          <w:divBdr>
            <w:top w:val="none" w:sz="0" w:space="0" w:color="auto"/>
            <w:left w:val="none" w:sz="0" w:space="0" w:color="auto"/>
            <w:bottom w:val="none" w:sz="0" w:space="0" w:color="auto"/>
            <w:right w:val="none" w:sz="0" w:space="0" w:color="auto"/>
          </w:divBdr>
        </w:div>
        <w:div w:id="1993872930">
          <w:marLeft w:val="0"/>
          <w:marRight w:val="0"/>
          <w:marTop w:val="0"/>
          <w:marBottom w:val="0"/>
          <w:divBdr>
            <w:top w:val="none" w:sz="0" w:space="0" w:color="auto"/>
            <w:left w:val="none" w:sz="0" w:space="0" w:color="auto"/>
            <w:bottom w:val="none" w:sz="0" w:space="0" w:color="auto"/>
            <w:right w:val="none" w:sz="0" w:space="0" w:color="auto"/>
          </w:divBdr>
        </w:div>
      </w:divsChild>
    </w:div>
    <w:div w:id="1896696786">
      <w:marLeft w:val="0"/>
      <w:marRight w:val="0"/>
      <w:marTop w:val="0"/>
      <w:marBottom w:val="0"/>
      <w:divBdr>
        <w:top w:val="none" w:sz="0" w:space="0" w:color="auto"/>
        <w:left w:val="none" w:sz="0" w:space="0" w:color="auto"/>
        <w:bottom w:val="none" w:sz="0" w:space="0" w:color="auto"/>
        <w:right w:val="none" w:sz="0" w:space="0" w:color="auto"/>
      </w:divBdr>
    </w:div>
    <w:div w:id="1899394860">
      <w:marLeft w:val="0"/>
      <w:marRight w:val="0"/>
      <w:marTop w:val="0"/>
      <w:marBottom w:val="0"/>
      <w:divBdr>
        <w:top w:val="none" w:sz="0" w:space="0" w:color="auto"/>
        <w:left w:val="none" w:sz="0" w:space="0" w:color="auto"/>
        <w:bottom w:val="none" w:sz="0" w:space="0" w:color="auto"/>
        <w:right w:val="none" w:sz="0" w:space="0" w:color="auto"/>
      </w:divBdr>
    </w:div>
    <w:div w:id="1903900878">
      <w:marLeft w:val="0"/>
      <w:marRight w:val="0"/>
      <w:marTop w:val="0"/>
      <w:marBottom w:val="0"/>
      <w:divBdr>
        <w:top w:val="none" w:sz="0" w:space="0" w:color="auto"/>
        <w:left w:val="none" w:sz="0" w:space="0" w:color="auto"/>
        <w:bottom w:val="none" w:sz="0" w:space="0" w:color="auto"/>
        <w:right w:val="none" w:sz="0" w:space="0" w:color="auto"/>
      </w:divBdr>
    </w:div>
    <w:div w:id="1904488076">
      <w:marLeft w:val="0"/>
      <w:marRight w:val="0"/>
      <w:marTop w:val="0"/>
      <w:marBottom w:val="0"/>
      <w:divBdr>
        <w:top w:val="none" w:sz="0" w:space="0" w:color="auto"/>
        <w:left w:val="none" w:sz="0" w:space="0" w:color="auto"/>
        <w:bottom w:val="none" w:sz="0" w:space="0" w:color="auto"/>
        <w:right w:val="none" w:sz="0" w:space="0" w:color="auto"/>
      </w:divBdr>
    </w:div>
    <w:div w:id="1910311134">
      <w:marLeft w:val="0"/>
      <w:marRight w:val="0"/>
      <w:marTop w:val="0"/>
      <w:marBottom w:val="0"/>
      <w:divBdr>
        <w:top w:val="none" w:sz="0" w:space="0" w:color="auto"/>
        <w:left w:val="none" w:sz="0" w:space="0" w:color="auto"/>
        <w:bottom w:val="none" w:sz="0" w:space="0" w:color="auto"/>
        <w:right w:val="none" w:sz="0" w:space="0" w:color="auto"/>
      </w:divBdr>
    </w:div>
    <w:div w:id="1912498623">
      <w:marLeft w:val="0"/>
      <w:marRight w:val="0"/>
      <w:marTop w:val="0"/>
      <w:marBottom w:val="0"/>
      <w:divBdr>
        <w:top w:val="none" w:sz="0" w:space="0" w:color="auto"/>
        <w:left w:val="none" w:sz="0" w:space="0" w:color="auto"/>
        <w:bottom w:val="none" w:sz="0" w:space="0" w:color="auto"/>
        <w:right w:val="none" w:sz="0" w:space="0" w:color="auto"/>
      </w:divBdr>
    </w:div>
    <w:div w:id="1914508665">
      <w:marLeft w:val="0"/>
      <w:marRight w:val="0"/>
      <w:marTop w:val="0"/>
      <w:marBottom w:val="0"/>
      <w:divBdr>
        <w:top w:val="none" w:sz="0" w:space="0" w:color="auto"/>
        <w:left w:val="none" w:sz="0" w:space="0" w:color="auto"/>
        <w:bottom w:val="none" w:sz="0" w:space="0" w:color="auto"/>
        <w:right w:val="none" w:sz="0" w:space="0" w:color="auto"/>
      </w:divBdr>
    </w:div>
    <w:div w:id="1916822451">
      <w:marLeft w:val="0"/>
      <w:marRight w:val="0"/>
      <w:marTop w:val="0"/>
      <w:marBottom w:val="0"/>
      <w:divBdr>
        <w:top w:val="none" w:sz="0" w:space="0" w:color="auto"/>
        <w:left w:val="none" w:sz="0" w:space="0" w:color="auto"/>
        <w:bottom w:val="none" w:sz="0" w:space="0" w:color="auto"/>
        <w:right w:val="none" w:sz="0" w:space="0" w:color="auto"/>
      </w:divBdr>
    </w:div>
    <w:div w:id="1917738224">
      <w:marLeft w:val="0"/>
      <w:marRight w:val="0"/>
      <w:marTop w:val="0"/>
      <w:marBottom w:val="0"/>
      <w:divBdr>
        <w:top w:val="none" w:sz="0" w:space="0" w:color="auto"/>
        <w:left w:val="none" w:sz="0" w:space="0" w:color="auto"/>
        <w:bottom w:val="none" w:sz="0" w:space="0" w:color="auto"/>
        <w:right w:val="none" w:sz="0" w:space="0" w:color="auto"/>
      </w:divBdr>
    </w:div>
    <w:div w:id="1918200105">
      <w:marLeft w:val="0"/>
      <w:marRight w:val="0"/>
      <w:marTop w:val="0"/>
      <w:marBottom w:val="0"/>
      <w:divBdr>
        <w:top w:val="none" w:sz="0" w:space="0" w:color="auto"/>
        <w:left w:val="none" w:sz="0" w:space="0" w:color="auto"/>
        <w:bottom w:val="none" w:sz="0" w:space="0" w:color="auto"/>
        <w:right w:val="none" w:sz="0" w:space="0" w:color="auto"/>
      </w:divBdr>
      <w:divsChild>
        <w:div w:id="296376492">
          <w:marLeft w:val="0"/>
          <w:marRight w:val="0"/>
          <w:marTop w:val="0"/>
          <w:marBottom w:val="0"/>
          <w:divBdr>
            <w:top w:val="none" w:sz="0" w:space="0" w:color="auto"/>
            <w:left w:val="none" w:sz="0" w:space="0" w:color="auto"/>
            <w:bottom w:val="none" w:sz="0" w:space="0" w:color="auto"/>
            <w:right w:val="none" w:sz="0" w:space="0" w:color="auto"/>
          </w:divBdr>
        </w:div>
        <w:div w:id="1771463035">
          <w:marLeft w:val="0"/>
          <w:marRight w:val="0"/>
          <w:marTop w:val="0"/>
          <w:marBottom w:val="0"/>
          <w:divBdr>
            <w:top w:val="none" w:sz="0" w:space="0" w:color="auto"/>
            <w:left w:val="none" w:sz="0" w:space="0" w:color="auto"/>
            <w:bottom w:val="none" w:sz="0" w:space="0" w:color="auto"/>
            <w:right w:val="none" w:sz="0" w:space="0" w:color="auto"/>
          </w:divBdr>
        </w:div>
        <w:div w:id="1345136245">
          <w:marLeft w:val="0"/>
          <w:marRight w:val="0"/>
          <w:marTop w:val="0"/>
          <w:marBottom w:val="0"/>
          <w:divBdr>
            <w:top w:val="none" w:sz="0" w:space="0" w:color="auto"/>
            <w:left w:val="none" w:sz="0" w:space="0" w:color="auto"/>
            <w:bottom w:val="none" w:sz="0" w:space="0" w:color="auto"/>
            <w:right w:val="none" w:sz="0" w:space="0" w:color="auto"/>
          </w:divBdr>
        </w:div>
        <w:div w:id="1509371378">
          <w:marLeft w:val="0"/>
          <w:marRight w:val="0"/>
          <w:marTop w:val="0"/>
          <w:marBottom w:val="0"/>
          <w:divBdr>
            <w:top w:val="none" w:sz="0" w:space="0" w:color="auto"/>
            <w:left w:val="none" w:sz="0" w:space="0" w:color="auto"/>
            <w:bottom w:val="none" w:sz="0" w:space="0" w:color="auto"/>
            <w:right w:val="none" w:sz="0" w:space="0" w:color="auto"/>
          </w:divBdr>
        </w:div>
        <w:div w:id="1120220354">
          <w:marLeft w:val="0"/>
          <w:marRight w:val="0"/>
          <w:marTop w:val="0"/>
          <w:marBottom w:val="0"/>
          <w:divBdr>
            <w:top w:val="none" w:sz="0" w:space="0" w:color="auto"/>
            <w:left w:val="none" w:sz="0" w:space="0" w:color="auto"/>
            <w:bottom w:val="none" w:sz="0" w:space="0" w:color="auto"/>
            <w:right w:val="none" w:sz="0" w:space="0" w:color="auto"/>
          </w:divBdr>
        </w:div>
        <w:div w:id="347948090">
          <w:marLeft w:val="0"/>
          <w:marRight w:val="0"/>
          <w:marTop w:val="0"/>
          <w:marBottom w:val="0"/>
          <w:divBdr>
            <w:top w:val="none" w:sz="0" w:space="0" w:color="auto"/>
            <w:left w:val="none" w:sz="0" w:space="0" w:color="auto"/>
            <w:bottom w:val="none" w:sz="0" w:space="0" w:color="auto"/>
            <w:right w:val="none" w:sz="0" w:space="0" w:color="auto"/>
          </w:divBdr>
        </w:div>
        <w:div w:id="331299296">
          <w:marLeft w:val="0"/>
          <w:marRight w:val="0"/>
          <w:marTop w:val="0"/>
          <w:marBottom w:val="0"/>
          <w:divBdr>
            <w:top w:val="none" w:sz="0" w:space="0" w:color="auto"/>
            <w:left w:val="none" w:sz="0" w:space="0" w:color="auto"/>
            <w:bottom w:val="none" w:sz="0" w:space="0" w:color="auto"/>
            <w:right w:val="none" w:sz="0" w:space="0" w:color="auto"/>
          </w:divBdr>
        </w:div>
        <w:div w:id="1868055992">
          <w:marLeft w:val="0"/>
          <w:marRight w:val="0"/>
          <w:marTop w:val="0"/>
          <w:marBottom w:val="0"/>
          <w:divBdr>
            <w:top w:val="none" w:sz="0" w:space="0" w:color="auto"/>
            <w:left w:val="none" w:sz="0" w:space="0" w:color="auto"/>
            <w:bottom w:val="none" w:sz="0" w:space="0" w:color="auto"/>
            <w:right w:val="none" w:sz="0" w:space="0" w:color="auto"/>
          </w:divBdr>
        </w:div>
        <w:div w:id="1123035553">
          <w:marLeft w:val="0"/>
          <w:marRight w:val="0"/>
          <w:marTop w:val="0"/>
          <w:marBottom w:val="0"/>
          <w:divBdr>
            <w:top w:val="none" w:sz="0" w:space="0" w:color="auto"/>
            <w:left w:val="none" w:sz="0" w:space="0" w:color="auto"/>
            <w:bottom w:val="none" w:sz="0" w:space="0" w:color="auto"/>
            <w:right w:val="none" w:sz="0" w:space="0" w:color="auto"/>
          </w:divBdr>
        </w:div>
        <w:div w:id="150410880">
          <w:marLeft w:val="0"/>
          <w:marRight w:val="0"/>
          <w:marTop w:val="0"/>
          <w:marBottom w:val="0"/>
          <w:divBdr>
            <w:top w:val="none" w:sz="0" w:space="0" w:color="auto"/>
            <w:left w:val="none" w:sz="0" w:space="0" w:color="auto"/>
            <w:bottom w:val="none" w:sz="0" w:space="0" w:color="auto"/>
            <w:right w:val="none" w:sz="0" w:space="0" w:color="auto"/>
          </w:divBdr>
        </w:div>
        <w:div w:id="902716591">
          <w:marLeft w:val="0"/>
          <w:marRight w:val="0"/>
          <w:marTop w:val="0"/>
          <w:marBottom w:val="0"/>
          <w:divBdr>
            <w:top w:val="none" w:sz="0" w:space="0" w:color="auto"/>
            <w:left w:val="none" w:sz="0" w:space="0" w:color="auto"/>
            <w:bottom w:val="none" w:sz="0" w:space="0" w:color="auto"/>
            <w:right w:val="none" w:sz="0" w:space="0" w:color="auto"/>
          </w:divBdr>
        </w:div>
        <w:div w:id="1270165650">
          <w:marLeft w:val="0"/>
          <w:marRight w:val="0"/>
          <w:marTop w:val="0"/>
          <w:marBottom w:val="0"/>
          <w:divBdr>
            <w:top w:val="none" w:sz="0" w:space="0" w:color="auto"/>
            <w:left w:val="none" w:sz="0" w:space="0" w:color="auto"/>
            <w:bottom w:val="none" w:sz="0" w:space="0" w:color="auto"/>
            <w:right w:val="none" w:sz="0" w:space="0" w:color="auto"/>
          </w:divBdr>
        </w:div>
      </w:divsChild>
    </w:div>
    <w:div w:id="1921793410">
      <w:marLeft w:val="0"/>
      <w:marRight w:val="0"/>
      <w:marTop w:val="100"/>
      <w:marBottom w:val="100"/>
      <w:divBdr>
        <w:top w:val="none" w:sz="0" w:space="0" w:color="auto"/>
        <w:left w:val="none" w:sz="0" w:space="0" w:color="auto"/>
        <w:bottom w:val="none" w:sz="0" w:space="0" w:color="auto"/>
        <w:right w:val="none" w:sz="0" w:space="0" w:color="auto"/>
      </w:divBdr>
    </w:div>
    <w:div w:id="1923175100">
      <w:marLeft w:val="0"/>
      <w:marRight w:val="0"/>
      <w:marTop w:val="0"/>
      <w:marBottom w:val="0"/>
      <w:divBdr>
        <w:top w:val="none" w:sz="0" w:space="0" w:color="auto"/>
        <w:left w:val="none" w:sz="0" w:space="0" w:color="auto"/>
        <w:bottom w:val="none" w:sz="0" w:space="0" w:color="auto"/>
        <w:right w:val="none" w:sz="0" w:space="0" w:color="auto"/>
      </w:divBdr>
    </w:div>
    <w:div w:id="1933706184">
      <w:marLeft w:val="0"/>
      <w:marRight w:val="0"/>
      <w:marTop w:val="0"/>
      <w:marBottom w:val="0"/>
      <w:divBdr>
        <w:top w:val="none" w:sz="0" w:space="0" w:color="auto"/>
        <w:left w:val="none" w:sz="0" w:space="0" w:color="auto"/>
        <w:bottom w:val="none" w:sz="0" w:space="0" w:color="auto"/>
        <w:right w:val="none" w:sz="0" w:space="0" w:color="auto"/>
      </w:divBdr>
    </w:div>
    <w:div w:id="1934580611">
      <w:marLeft w:val="0"/>
      <w:marRight w:val="0"/>
      <w:marTop w:val="0"/>
      <w:marBottom w:val="0"/>
      <w:divBdr>
        <w:top w:val="none" w:sz="0" w:space="0" w:color="auto"/>
        <w:left w:val="none" w:sz="0" w:space="0" w:color="auto"/>
        <w:bottom w:val="none" w:sz="0" w:space="0" w:color="auto"/>
        <w:right w:val="none" w:sz="0" w:space="0" w:color="auto"/>
      </w:divBdr>
    </w:div>
    <w:div w:id="1936353998">
      <w:marLeft w:val="0"/>
      <w:marRight w:val="0"/>
      <w:marTop w:val="0"/>
      <w:marBottom w:val="0"/>
      <w:divBdr>
        <w:top w:val="none" w:sz="0" w:space="0" w:color="auto"/>
        <w:left w:val="none" w:sz="0" w:space="0" w:color="auto"/>
        <w:bottom w:val="none" w:sz="0" w:space="0" w:color="auto"/>
        <w:right w:val="none" w:sz="0" w:space="0" w:color="auto"/>
      </w:divBdr>
    </w:div>
    <w:div w:id="1944456949">
      <w:marLeft w:val="0"/>
      <w:marRight w:val="0"/>
      <w:marTop w:val="0"/>
      <w:marBottom w:val="0"/>
      <w:divBdr>
        <w:top w:val="none" w:sz="0" w:space="0" w:color="auto"/>
        <w:left w:val="none" w:sz="0" w:space="0" w:color="auto"/>
        <w:bottom w:val="none" w:sz="0" w:space="0" w:color="auto"/>
        <w:right w:val="none" w:sz="0" w:space="0" w:color="auto"/>
      </w:divBdr>
    </w:div>
    <w:div w:id="1947033169">
      <w:marLeft w:val="0"/>
      <w:marRight w:val="0"/>
      <w:marTop w:val="0"/>
      <w:marBottom w:val="0"/>
      <w:divBdr>
        <w:top w:val="none" w:sz="0" w:space="0" w:color="auto"/>
        <w:left w:val="none" w:sz="0" w:space="0" w:color="auto"/>
        <w:bottom w:val="none" w:sz="0" w:space="0" w:color="auto"/>
        <w:right w:val="none" w:sz="0" w:space="0" w:color="auto"/>
      </w:divBdr>
    </w:div>
    <w:div w:id="1954745811">
      <w:marLeft w:val="0"/>
      <w:marRight w:val="0"/>
      <w:marTop w:val="0"/>
      <w:marBottom w:val="0"/>
      <w:divBdr>
        <w:top w:val="none" w:sz="0" w:space="0" w:color="auto"/>
        <w:left w:val="none" w:sz="0" w:space="0" w:color="auto"/>
        <w:bottom w:val="none" w:sz="0" w:space="0" w:color="auto"/>
        <w:right w:val="none" w:sz="0" w:space="0" w:color="auto"/>
      </w:divBdr>
    </w:div>
    <w:div w:id="1955749611">
      <w:marLeft w:val="0"/>
      <w:marRight w:val="0"/>
      <w:marTop w:val="0"/>
      <w:marBottom w:val="0"/>
      <w:divBdr>
        <w:top w:val="none" w:sz="0" w:space="0" w:color="auto"/>
        <w:left w:val="none" w:sz="0" w:space="0" w:color="auto"/>
        <w:bottom w:val="none" w:sz="0" w:space="0" w:color="auto"/>
        <w:right w:val="none" w:sz="0" w:space="0" w:color="auto"/>
      </w:divBdr>
    </w:div>
    <w:div w:id="1956401116">
      <w:marLeft w:val="0"/>
      <w:marRight w:val="0"/>
      <w:marTop w:val="0"/>
      <w:marBottom w:val="0"/>
      <w:divBdr>
        <w:top w:val="none" w:sz="0" w:space="0" w:color="auto"/>
        <w:left w:val="none" w:sz="0" w:space="0" w:color="auto"/>
        <w:bottom w:val="none" w:sz="0" w:space="0" w:color="auto"/>
        <w:right w:val="none" w:sz="0" w:space="0" w:color="auto"/>
      </w:divBdr>
    </w:div>
    <w:div w:id="1965113422">
      <w:marLeft w:val="0"/>
      <w:marRight w:val="0"/>
      <w:marTop w:val="0"/>
      <w:marBottom w:val="0"/>
      <w:divBdr>
        <w:top w:val="none" w:sz="0" w:space="0" w:color="auto"/>
        <w:left w:val="none" w:sz="0" w:space="0" w:color="auto"/>
        <w:bottom w:val="none" w:sz="0" w:space="0" w:color="auto"/>
        <w:right w:val="none" w:sz="0" w:space="0" w:color="auto"/>
      </w:divBdr>
    </w:div>
    <w:div w:id="1966152555">
      <w:marLeft w:val="0"/>
      <w:marRight w:val="0"/>
      <w:marTop w:val="0"/>
      <w:marBottom w:val="0"/>
      <w:divBdr>
        <w:top w:val="none" w:sz="0" w:space="0" w:color="auto"/>
        <w:left w:val="none" w:sz="0" w:space="0" w:color="auto"/>
        <w:bottom w:val="none" w:sz="0" w:space="0" w:color="auto"/>
        <w:right w:val="none" w:sz="0" w:space="0" w:color="auto"/>
      </w:divBdr>
    </w:div>
    <w:div w:id="1966933167">
      <w:marLeft w:val="0"/>
      <w:marRight w:val="0"/>
      <w:marTop w:val="0"/>
      <w:marBottom w:val="0"/>
      <w:divBdr>
        <w:top w:val="none" w:sz="0" w:space="0" w:color="auto"/>
        <w:left w:val="none" w:sz="0" w:space="0" w:color="auto"/>
        <w:bottom w:val="none" w:sz="0" w:space="0" w:color="auto"/>
        <w:right w:val="none" w:sz="0" w:space="0" w:color="auto"/>
      </w:divBdr>
    </w:div>
    <w:div w:id="1968077422">
      <w:marLeft w:val="0"/>
      <w:marRight w:val="0"/>
      <w:marTop w:val="0"/>
      <w:marBottom w:val="0"/>
      <w:divBdr>
        <w:top w:val="none" w:sz="0" w:space="0" w:color="auto"/>
        <w:left w:val="none" w:sz="0" w:space="0" w:color="auto"/>
        <w:bottom w:val="none" w:sz="0" w:space="0" w:color="auto"/>
        <w:right w:val="none" w:sz="0" w:space="0" w:color="auto"/>
      </w:divBdr>
    </w:div>
    <w:div w:id="1968512790">
      <w:marLeft w:val="0"/>
      <w:marRight w:val="0"/>
      <w:marTop w:val="0"/>
      <w:marBottom w:val="0"/>
      <w:divBdr>
        <w:top w:val="none" w:sz="0" w:space="0" w:color="auto"/>
        <w:left w:val="none" w:sz="0" w:space="0" w:color="auto"/>
        <w:bottom w:val="none" w:sz="0" w:space="0" w:color="auto"/>
        <w:right w:val="none" w:sz="0" w:space="0" w:color="auto"/>
      </w:divBdr>
    </w:div>
    <w:div w:id="1969050468">
      <w:marLeft w:val="0"/>
      <w:marRight w:val="0"/>
      <w:marTop w:val="0"/>
      <w:marBottom w:val="0"/>
      <w:divBdr>
        <w:top w:val="none" w:sz="0" w:space="0" w:color="auto"/>
        <w:left w:val="none" w:sz="0" w:space="0" w:color="auto"/>
        <w:bottom w:val="none" w:sz="0" w:space="0" w:color="auto"/>
        <w:right w:val="none" w:sz="0" w:space="0" w:color="auto"/>
      </w:divBdr>
    </w:div>
    <w:div w:id="1972785655">
      <w:marLeft w:val="0"/>
      <w:marRight w:val="0"/>
      <w:marTop w:val="0"/>
      <w:marBottom w:val="0"/>
      <w:divBdr>
        <w:top w:val="none" w:sz="0" w:space="0" w:color="auto"/>
        <w:left w:val="none" w:sz="0" w:space="0" w:color="auto"/>
        <w:bottom w:val="none" w:sz="0" w:space="0" w:color="auto"/>
        <w:right w:val="none" w:sz="0" w:space="0" w:color="auto"/>
      </w:divBdr>
    </w:div>
    <w:div w:id="1972980010">
      <w:marLeft w:val="0"/>
      <w:marRight w:val="0"/>
      <w:marTop w:val="0"/>
      <w:marBottom w:val="0"/>
      <w:divBdr>
        <w:top w:val="none" w:sz="0" w:space="0" w:color="auto"/>
        <w:left w:val="none" w:sz="0" w:space="0" w:color="auto"/>
        <w:bottom w:val="none" w:sz="0" w:space="0" w:color="auto"/>
        <w:right w:val="none" w:sz="0" w:space="0" w:color="auto"/>
      </w:divBdr>
    </w:div>
    <w:div w:id="1974409680">
      <w:marLeft w:val="0"/>
      <w:marRight w:val="0"/>
      <w:marTop w:val="0"/>
      <w:marBottom w:val="0"/>
      <w:divBdr>
        <w:top w:val="none" w:sz="0" w:space="0" w:color="auto"/>
        <w:left w:val="none" w:sz="0" w:space="0" w:color="auto"/>
        <w:bottom w:val="none" w:sz="0" w:space="0" w:color="auto"/>
        <w:right w:val="none" w:sz="0" w:space="0" w:color="auto"/>
      </w:divBdr>
    </w:div>
    <w:div w:id="1974679293">
      <w:marLeft w:val="0"/>
      <w:marRight w:val="0"/>
      <w:marTop w:val="0"/>
      <w:marBottom w:val="120"/>
      <w:divBdr>
        <w:top w:val="none" w:sz="0" w:space="0" w:color="auto"/>
        <w:left w:val="none" w:sz="0" w:space="0" w:color="auto"/>
        <w:bottom w:val="none" w:sz="0" w:space="0" w:color="auto"/>
        <w:right w:val="none" w:sz="0" w:space="0" w:color="auto"/>
      </w:divBdr>
    </w:div>
    <w:div w:id="1975787881">
      <w:marLeft w:val="0"/>
      <w:marRight w:val="0"/>
      <w:marTop w:val="0"/>
      <w:marBottom w:val="0"/>
      <w:divBdr>
        <w:top w:val="none" w:sz="0" w:space="0" w:color="auto"/>
        <w:left w:val="none" w:sz="0" w:space="0" w:color="auto"/>
        <w:bottom w:val="none" w:sz="0" w:space="0" w:color="auto"/>
        <w:right w:val="none" w:sz="0" w:space="0" w:color="auto"/>
      </w:divBdr>
    </w:div>
    <w:div w:id="1975941411">
      <w:marLeft w:val="0"/>
      <w:marRight w:val="0"/>
      <w:marTop w:val="0"/>
      <w:marBottom w:val="0"/>
      <w:divBdr>
        <w:top w:val="none" w:sz="0" w:space="0" w:color="auto"/>
        <w:left w:val="none" w:sz="0" w:space="0" w:color="auto"/>
        <w:bottom w:val="none" w:sz="0" w:space="0" w:color="auto"/>
        <w:right w:val="none" w:sz="0" w:space="0" w:color="auto"/>
      </w:divBdr>
    </w:div>
    <w:div w:id="1977449292">
      <w:marLeft w:val="0"/>
      <w:marRight w:val="0"/>
      <w:marTop w:val="0"/>
      <w:marBottom w:val="0"/>
      <w:divBdr>
        <w:top w:val="none" w:sz="0" w:space="0" w:color="auto"/>
        <w:left w:val="none" w:sz="0" w:space="0" w:color="auto"/>
        <w:bottom w:val="none" w:sz="0" w:space="0" w:color="auto"/>
        <w:right w:val="none" w:sz="0" w:space="0" w:color="auto"/>
      </w:divBdr>
    </w:div>
    <w:div w:id="1980256927">
      <w:marLeft w:val="0"/>
      <w:marRight w:val="0"/>
      <w:marTop w:val="0"/>
      <w:marBottom w:val="0"/>
      <w:divBdr>
        <w:top w:val="none" w:sz="0" w:space="0" w:color="auto"/>
        <w:left w:val="none" w:sz="0" w:space="0" w:color="auto"/>
        <w:bottom w:val="none" w:sz="0" w:space="0" w:color="auto"/>
        <w:right w:val="none" w:sz="0" w:space="0" w:color="auto"/>
      </w:divBdr>
    </w:div>
    <w:div w:id="1980501345">
      <w:marLeft w:val="0"/>
      <w:marRight w:val="0"/>
      <w:marTop w:val="0"/>
      <w:marBottom w:val="0"/>
      <w:divBdr>
        <w:top w:val="none" w:sz="0" w:space="0" w:color="auto"/>
        <w:left w:val="none" w:sz="0" w:space="0" w:color="auto"/>
        <w:bottom w:val="none" w:sz="0" w:space="0" w:color="auto"/>
        <w:right w:val="none" w:sz="0" w:space="0" w:color="auto"/>
      </w:divBdr>
    </w:div>
    <w:div w:id="1981425247">
      <w:marLeft w:val="0"/>
      <w:marRight w:val="0"/>
      <w:marTop w:val="0"/>
      <w:marBottom w:val="0"/>
      <w:divBdr>
        <w:top w:val="none" w:sz="0" w:space="0" w:color="auto"/>
        <w:left w:val="none" w:sz="0" w:space="0" w:color="auto"/>
        <w:bottom w:val="none" w:sz="0" w:space="0" w:color="auto"/>
        <w:right w:val="none" w:sz="0" w:space="0" w:color="auto"/>
      </w:divBdr>
    </w:div>
    <w:div w:id="1982954206">
      <w:marLeft w:val="0"/>
      <w:marRight w:val="0"/>
      <w:marTop w:val="0"/>
      <w:marBottom w:val="120"/>
      <w:divBdr>
        <w:top w:val="none" w:sz="0" w:space="0" w:color="auto"/>
        <w:left w:val="none" w:sz="0" w:space="0" w:color="auto"/>
        <w:bottom w:val="none" w:sz="0" w:space="0" w:color="auto"/>
        <w:right w:val="none" w:sz="0" w:space="0" w:color="auto"/>
      </w:divBdr>
    </w:div>
    <w:div w:id="1983197150">
      <w:marLeft w:val="0"/>
      <w:marRight w:val="0"/>
      <w:marTop w:val="0"/>
      <w:marBottom w:val="120"/>
      <w:divBdr>
        <w:top w:val="none" w:sz="0" w:space="0" w:color="auto"/>
        <w:left w:val="none" w:sz="0" w:space="0" w:color="auto"/>
        <w:bottom w:val="none" w:sz="0" w:space="0" w:color="auto"/>
        <w:right w:val="none" w:sz="0" w:space="0" w:color="auto"/>
      </w:divBdr>
    </w:div>
    <w:div w:id="1983579865">
      <w:marLeft w:val="0"/>
      <w:marRight w:val="0"/>
      <w:marTop w:val="0"/>
      <w:marBottom w:val="0"/>
      <w:divBdr>
        <w:top w:val="none" w:sz="0" w:space="0" w:color="auto"/>
        <w:left w:val="none" w:sz="0" w:space="0" w:color="auto"/>
        <w:bottom w:val="none" w:sz="0" w:space="0" w:color="auto"/>
        <w:right w:val="none" w:sz="0" w:space="0" w:color="auto"/>
      </w:divBdr>
      <w:divsChild>
        <w:div w:id="972828074">
          <w:marLeft w:val="0"/>
          <w:marRight w:val="0"/>
          <w:marTop w:val="0"/>
          <w:marBottom w:val="0"/>
          <w:divBdr>
            <w:top w:val="none" w:sz="0" w:space="0" w:color="auto"/>
            <w:left w:val="none" w:sz="0" w:space="0" w:color="auto"/>
            <w:bottom w:val="none" w:sz="0" w:space="0" w:color="auto"/>
            <w:right w:val="none" w:sz="0" w:space="0" w:color="auto"/>
          </w:divBdr>
        </w:div>
      </w:divsChild>
    </w:div>
    <w:div w:id="1983920624">
      <w:marLeft w:val="0"/>
      <w:marRight w:val="0"/>
      <w:marTop w:val="0"/>
      <w:marBottom w:val="0"/>
      <w:divBdr>
        <w:top w:val="none" w:sz="0" w:space="0" w:color="auto"/>
        <w:left w:val="none" w:sz="0" w:space="0" w:color="auto"/>
        <w:bottom w:val="none" w:sz="0" w:space="0" w:color="auto"/>
        <w:right w:val="none" w:sz="0" w:space="0" w:color="auto"/>
      </w:divBdr>
    </w:div>
    <w:div w:id="1985044889">
      <w:marLeft w:val="0"/>
      <w:marRight w:val="0"/>
      <w:marTop w:val="0"/>
      <w:marBottom w:val="0"/>
      <w:divBdr>
        <w:top w:val="none" w:sz="0" w:space="0" w:color="auto"/>
        <w:left w:val="none" w:sz="0" w:space="0" w:color="auto"/>
        <w:bottom w:val="none" w:sz="0" w:space="0" w:color="auto"/>
        <w:right w:val="none" w:sz="0" w:space="0" w:color="auto"/>
      </w:divBdr>
    </w:div>
    <w:div w:id="1985965442">
      <w:marLeft w:val="0"/>
      <w:marRight w:val="0"/>
      <w:marTop w:val="0"/>
      <w:marBottom w:val="0"/>
      <w:divBdr>
        <w:top w:val="none" w:sz="0" w:space="0" w:color="auto"/>
        <w:left w:val="none" w:sz="0" w:space="0" w:color="auto"/>
        <w:bottom w:val="none" w:sz="0" w:space="0" w:color="auto"/>
        <w:right w:val="none" w:sz="0" w:space="0" w:color="auto"/>
      </w:divBdr>
      <w:divsChild>
        <w:div w:id="1487940806">
          <w:marLeft w:val="0"/>
          <w:marRight w:val="0"/>
          <w:marTop w:val="0"/>
          <w:marBottom w:val="0"/>
          <w:divBdr>
            <w:top w:val="none" w:sz="0" w:space="0" w:color="auto"/>
            <w:left w:val="none" w:sz="0" w:space="0" w:color="auto"/>
            <w:bottom w:val="none" w:sz="0" w:space="0" w:color="auto"/>
            <w:right w:val="none" w:sz="0" w:space="0" w:color="auto"/>
          </w:divBdr>
        </w:div>
        <w:div w:id="1089735318">
          <w:marLeft w:val="0"/>
          <w:marRight w:val="0"/>
          <w:marTop w:val="0"/>
          <w:marBottom w:val="0"/>
          <w:divBdr>
            <w:top w:val="none" w:sz="0" w:space="0" w:color="auto"/>
            <w:left w:val="none" w:sz="0" w:space="0" w:color="auto"/>
            <w:bottom w:val="none" w:sz="0" w:space="0" w:color="auto"/>
            <w:right w:val="none" w:sz="0" w:space="0" w:color="auto"/>
          </w:divBdr>
        </w:div>
        <w:div w:id="538972420">
          <w:marLeft w:val="0"/>
          <w:marRight w:val="0"/>
          <w:marTop w:val="0"/>
          <w:marBottom w:val="0"/>
          <w:divBdr>
            <w:top w:val="none" w:sz="0" w:space="0" w:color="auto"/>
            <w:left w:val="none" w:sz="0" w:space="0" w:color="auto"/>
            <w:bottom w:val="none" w:sz="0" w:space="0" w:color="auto"/>
            <w:right w:val="none" w:sz="0" w:space="0" w:color="auto"/>
          </w:divBdr>
        </w:div>
      </w:divsChild>
    </w:div>
    <w:div w:id="1992758575">
      <w:marLeft w:val="0"/>
      <w:marRight w:val="0"/>
      <w:marTop w:val="0"/>
      <w:marBottom w:val="0"/>
      <w:divBdr>
        <w:top w:val="none" w:sz="0" w:space="0" w:color="auto"/>
        <w:left w:val="none" w:sz="0" w:space="0" w:color="auto"/>
        <w:bottom w:val="none" w:sz="0" w:space="0" w:color="auto"/>
        <w:right w:val="none" w:sz="0" w:space="0" w:color="auto"/>
      </w:divBdr>
    </w:div>
    <w:div w:id="1993101372">
      <w:marLeft w:val="0"/>
      <w:marRight w:val="0"/>
      <w:marTop w:val="0"/>
      <w:marBottom w:val="0"/>
      <w:divBdr>
        <w:top w:val="none" w:sz="0" w:space="0" w:color="auto"/>
        <w:left w:val="none" w:sz="0" w:space="0" w:color="auto"/>
        <w:bottom w:val="none" w:sz="0" w:space="0" w:color="auto"/>
        <w:right w:val="none" w:sz="0" w:space="0" w:color="auto"/>
      </w:divBdr>
    </w:div>
    <w:div w:id="1993673564">
      <w:marLeft w:val="0"/>
      <w:marRight w:val="0"/>
      <w:marTop w:val="0"/>
      <w:marBottom w:val="0"/>
      <w:divBdr>
        <w:top w:val="none" w:sz="0" w:space="0" w:color="auto"/>
        <w:left w:val="none" w:sz="0" w:space="0" w:color="auto"/>
        <w:bottom w:val="none" w:sz="0" w:space="0" w:color="auto"/>
        <w:right w:val="none" w:sz="0" w:space="0" w:color="auto"/>
      </w:divBdr>
    </w:div>
    <w:div w:id="1994868264">
      <w:marLeft w:val="0"/>
      <w:marRight w:val="0"/>
      <w:marTop w:val="0"/>
      <w:marBottom w:val="0"/>
      <w:divBdr>
        <w:top w:val="none" w:sz="0" w:space="0" w:color="auto"/>
        <w:left w:val="none" w:sz="0" w:space="0" w:color="auto"/>
        <w:bottom w:val="none" w:sz="0" w:space="0" w:color="auto"/>
        <w:right w:val="none" w:sz="0" w:space="0" w:color="auto"/>
      </w:divBdr>
    </w:div>
    <w:div w:id="2009356666">
      <w:marLeft w:val="0"/>
      <w:marRight w:val="0"/>
      <w:marTop w:val="0"/>
      <w:marBottom w:val="0"/>
      <w:divBdr>
        <w:top w:val="none" w:sz="0" w:space="0" w:color="auto"/>
        <w:left w:val="none" w:sz="0" w:space="0" w:color="auto"/>
        <w:bottom w:val="none" w:sz="0" w:space="0" w:color="auto"/>
        <w:right w:val="none" w:sz="0" w:space="0" w:color="auto"/>
      </w:divBdr>
    </w:div>
    <w:div w:id="2011522362">
      <w:marLeft w:val="0"/>
      <w:marRight w:val="0"/>
      <w:marTop w:val="0"/>
      <w:marBottom w:val="0"/>
      <w:divBdr>
        <w:top w:val="none" w:sz="0" w:space="0" w:color="auto"/>
        <w:left w:val="none" w:sz="0" w:space="0" w:color="auto"/>
        <w:bottom w:val="none" w:sz="0" w:space="0" w:color="auto"/>
        <w:right w:val="none" w:sz="0" w:space="0" w:color="auto"/>
      </w:divBdr>
    </w:div>
    <w:div w:id="2011758882">
      <w:marLeft w:val="0"/>
      <w:marRight w:val="0"/>
      <w:marTop w:val="0"/>
      <w:marBottom w:val="0"/>
      <w:divBdr>
        <w:top w:val="none" w:sz="0" w:space="0" w:color="auto"/>
        <w:left w:val="none" w:sz="0" w:space="0" w:color="auto"/>
        <w:bottom w:val="none" w:sz="0" w:space="0" w:color="auto"/>
        <w:right w:val="none" w:sz="0" w:space="0" w:color="auto"/>
      </w:divBdr>
    </w:div>
    <w:div w:id="2015644877">
      <w:marLeft w:val="0"/>
      <w:marRight w:val="0"/>
      <w:marTop w:val="0"/>
      <w:marBottom w:val="0"/>
      <w:divBdr>
        <w:top w:val="none" w:sz="0" w:space="0" w:color="auto"/>
        <w:left w:val="none" w:sz="0" w:space="0" w:color="auto"/>
        <w:bottom w:val="none" w:sz="0" w:space="0" w:color="auto"/>
        <w:right w:val="none" w:sz="0" w:space="0" w:color="auto"/>
      </w:divBdr>
    </w:div>
    <w:div w:id="2015838666">
      <w:marLeft w:val="0"/>
      <w:marRight w:val="0"/>
      <w:marTop w:val="0"/>
      <w:marBottom w:val="0"/>
      <w:divBdr>
        <w:top w:val="none" w:sz="0" w:space="0" w:color="auto"/>
        <w:left w:val="none" w:sz="0" w:space="0" w:color="auto"/>
        <w:bottom w:val="none" w:sz="0" w:space="0" w:color="auto"/>
        <w:right w:val="none" w:sz="0" w:space="0" w:color="auto"/>
      </w:divBdr>
    </w:div>
    <w:div w:id="2017078728">
      <w:marLeft w:val="0"/>
      <w:marRight w:val="0"/>
      <w:marTop w:val="0"/>
      <w:marBottom w:val="0"/>
      <w:divBdr>
        <w:top w:val="none" w:sz="0" w:space="0" w:color="auto"/>
        <w:left w:val="none" w:sz="0" w:space="0" w:color="auto"/>
        <w:bottom w:val="none" w:sz="0" w:space="0" w:color="auto"/>
        <w:right w:val="none" w:sz="0" w:space="0" w:color="auto"/>
      </w:divBdr>
      <w:divsChild>
        <w:div w:id="1682047543">
          <w:marLeft w:val="0"/>
          <w:marRight w:val="0"/>
          <w:marTop w:val="0"/>
          <w:marBottom w:val="0"/>
          <w:divBdr>
            <w:top w:val="none" w:sz="0" w:space="0" w:color="auto"/>
            <w:left w:val="none" w:sz="0" w:space="0" w:color="auto"/>
            <w:bottom w:val="none" w:sz="0" w:space="0" w:color="auto"/>
            <w:right w:val="none" w:sz="0" w:space="0" w:color="auto"/>
          </w:divBdr>
        </w:div>
      </w:divsChild>
    </w:div>
    <w:div w:id="2017802491">
      <w:marLeft w:val="0"/>
      <w:marRight w:val="0"/>
      <w:marTop w:val="0"/>
      <w:marBottom w:val="0"/>
      <w:divBdr>
        <w:top w:val="none" w:sz="0" w:space="0" w:color="auto"/>
        <w:left w:val="none" w:sz="0" w:space="0" w:color="auto"/>
        <w:bottom w:val="none" w:sz="0" w:space="0" w:color="auto"/>
        <w:right w:val="none" w:sz="0" w:space="0" w:color="auto"/>
      </w:divBdr>
    </w:div>
    <w:div w:id="2018077578">
      <w:marLeft w:val="0"/>
      <w:marRight w:val="0"/>
      <w:marTop w:val="0"/>
      <w:marBottom w:val="0"/>
      <w:divBdr>
        <w:top w:val="none" w:sz="0" w:space="0" w:color="auto"/>
        <w:left w:val="none" w:sz="0" w:space="0" w:color="auto"/>
        <w:bottom w:val="none" w:sz="0" w:space="0" w:color="auto"/>
        <w:right w:val="none" w:sz="0" w:space="0" w:color="auto"/>
      </w:divBdr>
    </w:div>
    <w:div w:id="2018144312">
      <w:marLeft w:val="0"/>
      <w:marRight w:val="0"/>
      <w:marTop w:val="0"/>
      <w:marBottom w:val="0"/>
      <w:divBdr>
        <w:top w:val="none" w:sz="0" w:space="0" w:color="auto"/>
        <w:left w:val="none" w:sz="0" w:space="0" w:color="auto"/>
        <w:bottom w:val="none" w:sz="0" w:space="0" w:color="auto"/>
        <w:right w:val="none" w:sz="0" w:space="0" w:color="auto"/>
      </w:divBdr>
    </w:div>
    <w:div w:id="2020501888">
      <w:marLeft w:val="0"/>
      <w:marRight w:val="0"/>
      <w:marTop w:val="0"/>
      <w:marBottom w:val="0"/>
      <w:divBdr>
        <w:top w:val="none" w:sz="0" w:space="0" w:color="auto"/>
        <w:left w:val="none" w:sz="0" w:space="0" w:color="auto"/>
        <w:bottom w:val="none" w:sz="0" w:space="0" w:color="auto"/>
        <w:right w:val="none" w:sz="0" w:space="0" w:color="auto"/>
      </w:divBdr>
      <w:divsChild>
        <w:div w:id="770860796">
          <w:marLeft w:val="0"/>
          <w:marRight w:val="0"/>
          <w:marTop w:val="0"/>
          <w:marBottom w:val="0"/>
          <w:divBdr>
            <w:top w:val="none" w:sz="0" w:space="0" w:color="auto"/>
            <w:left w:val="none" w:sz="0" w:space="0" w:color="auto"/>
            <w:bottom w:val="none" w:sz="0" w:space="0" w:color="auto"/>
            <w:right w:val="none" w:sz="0" w:space="0" w:color="auto"/>
          </w:divBdr>
        </w:div>
      </w:divsChild>
    </w:div>
    <w:div w:id="2024436756">
      <w:marLeft w:val="0"/>
      <w:marRight w:val="0"/>
      <w:marTop w:val="0"/>
      <w:marBottom w:val="0"/>
      <w:divBdr>
        <w:top w:val="none" w:sz="0" w:space="0" w:color="auto"/>
        <w:left w:val="none" w:sz="0" w:space="0" w:color="auto"/>
        <w:bottom w:val="none" w:sz="0" w:space="0" w:color="auto"/>
        <w:right w:val="none" w:sz="0" w:space="0" w:color="auto"/>
      </w:divBdr>
    </w:div>
    <w:div w:id="2027168114">
      <w:marLeft w:val="0"/>
      <w:marRight w:val="0"/>
      <w:marTop w:val="0"/>
      <w:marBottom w:val="0"/>
      <w:divBdr>
        <w:top w:val="none" w:sz="0" w:space="0" w:color="auto"/>
        <w:left w:val="none" w:sz="0" w:space="0" w:color="auto"/>
        <w:bottom w:val="none" w:sz="0" w:space="0" w:color="auto"/>
        <w:right w:val="none" w:sz="0" w:space="0" w:color="auto"/>
      </w:divBdr>
    </w:div>
    <w:div w:id="2028480016">
      <w:marLeft w:val="0"/>
      <w:marRight w:val="0"/>
      <w:marTop w:val="0"/>
      <w:marBottom w:val="0"/>
      <w:divBdr>
        <w:top w:val="none" w:sz="0" w:space="0" w:color="auto"/>
        <w:left w:val="none" w:sz="0" w:space="0" w:color="auto"/>
        <w:bottom w:val="none" w:sz="0" w:space="0" w:color="auto"/>
        <w:right w:val="none" w:sz="0" w:space="0" w:color="auto"/>
      </w:divBdr>
    </w:div>
    <w:div w:id="2035181175">
      <w:marLeft w:val="0"/>
      <w:marRight w:val="0"/>
      <w:marTop w:val="0"/>
      <w:marBottom w:val="200"/>
      <w:divBdr>
        <w:top w:val="none" w:sz="0" w:space="0" w:color="auto"/>
        <w:left w:val="none" w:sz="0" w:space="0" w:color="auto"/>
        <w:bottom w:val="none" w:sz="0" w:space="0" w:color="auto"/>
        <w:right w:val="none" w:sz="0" w:space="0" w:color="auto"/>
      </w:divBdr>
    </w:div>
    <w:div w:id="2041740751">
      <w:marLeft w:val="0"/>
      <w:marRight w:val="0"/>
      <w:marTop w:val="0"/>
      <w:marBottom w:val="0"/>
      <w:divBdr>
        <w:top w:val="none" w:sz="0" w:space="0" w:color="auto"/>
        <w:left w:val="none" w:sz="0" w:space="0" w:color="auto"/>
        <w:bottom w:val="none" w:sz="0" w:space="0" w:color="auto"/>
        <w:right w:val="none" w:sz="0" w:space="0" w:color="auto"/>
      </w:divBdr>
      <w:divsChild>
        <w:div w:id="497965382">
          <w:marLeft w:val="0"/>
          <w:marRight w:val="0"/>
          <w:marTop w:val="0"/>
          <w:marBottom w:val="0"/>
          <w:divBdr>
            <w:top w:val="none" w:sz="0" w:space="0" w:color="auto"/>
            <w:left w:val="none" w:sz="0" w:space="0" w:color="auto"/>
            <w:bottom w:val="none" w:sz="0" w:space="0" w:color="auto"/>
            <w:right w:val="none" w:sz="0" w:space="0" w:color="auto"/>
          </w:divBdr>
        </w:div>
      </w:divsChild>
    </w:div>
    <w:div w:id="2048218837">
      <w:marLeft w:val="0"/>
      <w:marRight w:val="0"/>
      <w:marTop w:val="0"/>
      <w:marBottom w:val="0"/>
      <w:divBdr>
        <w:top w:val="none" w:sz="0" w:space="0" w:color="auto"/>
        <w:left w:val="none" w:sz="0" w:space="0" w:color="auto"/>
        <w:bottom w:val="none" w:sz="0" w:space="0" w:color="auto"/>
        <w:right w:val="none" w:sz="0" w:space="0" w:color="auto"/>
      </w:divBdr>
    </w:div>
    <w:div w:id="2048413641">
      <w:marLeft w:val="0"/>
      <w:marRight w:val="0"/>
      <w:marTop w:val="0"/>
      <w:marBottom w:val="0"/>
      <w:divBdr>
        <w:top w:val="none" w:sz="0" w:space="0" w:color="auto"/>
        <w:left w:val="none" w:sz="0" w:space="0" w:color="auto"/>
        <w:bottom w:val="none" w:sz="0" w:space="0" w:color="auto"/>
        <w:right w:val="none" w:sz="0" w:space="0" w:color="auto"/>
      </w:divBdr>
    </w:div>
    <w:div w:id="2049836844">
      <w:marLeft w:val="0"/>
      <w:marRight w:val="0"/>
      <w:marTop w:val="0"/>
      <w:marBottom w:val="0"/>
      <w:divBdr>
        <w:top w:val="none" w:sz="0" w:space="0" w:color="auto"/>
        <w:left w:val="none" w:sz="0" w:space="0" w:color="auto"/>
        <w:bottom w:val="none" w:sz="0" w:space="0" w:color="auto"/>
        <w:right w:val="none" w:sz="0" w:space="0" w:color="auto"/>
      </w:divBdr>
      <w:divsChild>
        <w:div w:id="28999208">
          <w:marLeft w:val="0"/>
          <w:marRight w:val="0"/>
          <w:marTop w:val="0"/>
          <w:marBottom w:val="0"/>
          <w:divBdr>
            <w:top w:val="none" w:sz="0" w:space="0" w:color="auto"/>
            <w:left w:val="none" w:sz="0" w:space="0" w:color="auto"/>
            <w:bottom w:val="none" w:sz="0" w:space="0" w:color="auto"/>
            <w:right w:val="none" w:sz="0" w:space="0" w:color="auto"/>
          </w:divBdr>
        </w:div>
      </w:divsChild>
    </w:div>
    <w:div w:id="2050756712">
      <w:marLeft w:val="0"/>
      <w:marRight w:val="0"/>
      <w:marTop w:val="0"/>
      <w:marBottom w:val="0"/>
      <w:divBdr>
        <w:top w:val="none" w:sz="0" w:space="0" w:color="auto"/>
        <w:left w:val="none" w:sz="0" w:space="0" w:color="auto"/>
        <w:bottom w:val="none" w:sz="0" w:space="0" w:color="auto"/>
        <w:right w:val="none" w:sz="0" w:space="0" w:color="auto"/>
      </w:divBdr>
    </w:div>
    <w:div w:id="2052459753">
      <w:marLeft w:val="0"/>
      <w:marRight w:val="0"/>
      <w:marTop w:val="0"/>
      <w:marBottom w:val="0"/>
      <w:divBdr>
        <w:top w:val="none" w:sz="0" w:space="0" w:color="auto"/>
        <w:left w:val="none" w:sz="0" w:space="0" w:color="auto"/>
        <w:bottom w:val="none" w:sz="0" w:space="0" w:color="auto"/>
        <w:right w:val="none" w:sz="0" w:space="0" w:color="auto"/>
      </w:divBdr>
    </w:div>
    <w:div w:id="2055931457">
      <w:marLeft w:val="0"/>
      <w:marRight w:val="0"/>
      <w:marTop w:val="0"/>
      <w:marBottom w:val="0"/>
      <w:divBdr>
        <w:top w:val="none" w:sz="0" w:space="0" w:color="auto"/>
        <w:left w:val="none" w:sz="0" w:space="0" w:color="auto"/>
        <w:bottom w:val="none" w:sz="0" w:space="0" w:color="auto"/>
        <w:right w:val="none" w:sz="0" w:space="0" w:color="auto"/>
      </w:divBdr>
    </w:div>
    <w:div w:id="2063864120">
      <w:marLeft w:val="0"/>
      <w:marRight w:val="0"/>
      <w:marTop w:val="0"/>
      <w:marBottom w:val="0"/>
      <w:divBdr>
        <w:top w:val="none" w:sz="0" w:space="0" w:color="auto"/>
        <w:left w:val="none" w:sz="0" w:space="0" w:color="auto"/>
        <w:bottom w:val="none" w:sz="0" w:space="0" w:color="auto"/>
        <w:right w:val="none" w:sz="0" w:space="0" w:color="auto"/>
      </w:divBdr>
      <w:divsChild>
        <w:div w:id="352459337">
          <w:marLeft w:val="0"/>
          <w:marRight w:val="0"/>
          <w:marTop w:val="0"/>
          <w:marBottom w:val="0"/>
          <w:divBdr>
            <w:top w:val="none" w:sz="0" w:space="0" w:color="auto"/>
            <w:left w:val="none" w:sz="0" w:space="0" w:color="auto"/>
            <w:bottom w:val="none" w:sz="0" w:space="0" w:color="auto"/>
            <w:right w:val="none" w:sz="0" w:space="0" w:color="auto"/>
          </w:divBdr>
        </w:div>
      </w:divsChild>
    </w:div>
    <w:div w:id="2068457145">
      <w:marLeft w:val="0"/>
      <w:marRight w:val="0"/>
      <w:marTop w:val="0"/>
      <w:marBottom w:val="0"/>
      <w:divBdr>
        <w:top w:val="none" w:sz="0" w:space="0" w:color="auto"/>
        <w:left w:val="none" w:sz="0" w:space="0" w:color="auto"/>
        <w:bottom w:val="none" w:sz="0" w:space="0" w:color="auto"/>
        <w:right w:val="none" w:sz="0" w:space="0" w:color="auto"/>
      </w:divBdr>
    </w:div>
    <w:div w:id="2078627205">
      <w:marLeft w:val="0"/>
      <w:marRight w:val="0"/>
      <w:marTop w:val="0"/>
      <w:marBottom w:val="0"/>
      <w:divBdr>
        <w:top w:val="none" w:sz="0" w:space="0" w:color="auto"/>
        <w:left w:val="none" w:sz="0" w:space="0" w:color="auto"/>
        <w:bottom w:val="none" w:sz="0" w:space="0" w:color="auto"/>
        <w:right w:val="none" w:sz="0" w:space="0" w:color="auto"/>
      </w:divBdr>
    </w:div>
    <w:div w:id="2081708373">
      <w:marLeft w:val="0"/>
      <w:marRight w:val="0"/>
      <w:marTop w:val="0"/>
      <w:marBottom w:val="0"/>
      <w:divBdr>
        <w:top w:val="none" w:sz="0" w:space="0" w:color="auto"/>
        <w:left w:val="none" w:sz="0" w:space="0" w:color="auto"/>
        <w:bottom w:val="none" w:sz="0" w:space="0" w:color="auto"/>
        <w:right w:val="none" w:sz="0" w:space="0" w:color="auto"/>
      </w:divBdr>
    </w:div>
    <w:div w:id="2082628768">
      <w:marLeft w:val="0"/>
      <w:marRight w:val="0"/>
      <w:marTop w:val="0"/>
      <w:marBottom w:val="0"/>
      <w:divBdr>
        <w:top w:val="none" w:sz="0" w:space="0" w:color="auto"/>
        <w:left w:val="none" w:sz="0" w:space="0" w:color="auto"/>
        <w:bottom w:val="none" w:sz="0" w:space="0" w:color="auto"/>
        <w:right w:val="none" w:sz="0" w:space="0" w:color="auto"/>
      </w:divBdr>
    </w:div>
    <w:div w:id="2087262107">
      <w:marLeft w:val="0"/>
      <w:marRight w:val="0"/>
      <w:marTop w:val="0"/>
      <w:marBottom w:val="0"/>
      <w:divBdr>
        <w:top w:val="none" w:sz="0" w:space="0" w:color="auto"/>
        <w:left w:val="none" w:sz="0" w:space="0" w:color="auto"/>
        <w:bottom w:val="none" w:sz="0" w:space="0" w:color="auto"/>
        <w:right w:val="none" w:sz="0" w:space="0" w:color="auto"/>
      </w:divBdr>
    </w:div>
    <w:div w:id="2094085537">
      <w:marLeft w:val="0"/>
      <w:marRight w:val="0"/>
      <w:marTop w:val="0"/>
      <w:marBottom w:val="0"/>
      <w:divBdr>
        <w:top w:val="none" w:sz="0" w:space="0" w:color="auto"/>
        <w:left w:val="none" w:sz="0" w:space="0" w:color="auto"/>
        <w:bottom w:val="none" w:sz="0" w:space="0" w:color="auto"/>
        <w:right w:val="none" w:sz="0" w:space="0" w:color="auto"/>
      </w:divBdr>
    </w:div>
    <w:div w:id="2096627746">
      <w:marLeft w:val="0"/>
      <w:marRight w:val="0"/>
      <w:marTop w:val="0"/>
      <w:marBottom w:val="0"/>
      <w:divBdr>
        <w:top w:val="none" w:sz="0" w:space="0" w:color="auto"/>
        <w:left w:val="none" w:sz="0" w:space="0" w:color="auto"/>
        <w:bottom w:val="none" w:sz="0" w:space="0" w:color="auto"/>
        <w:right w:val="none" w:sz="0" w:space="0" w:color="auto"/>
      </w:divBdr>
    </w:div>
    <w:div w:id="2098015840">
      <w:marLeft w:val="0"/>
      <w:marRight w:val="0"/>
      <w:marTop w:val="0"/>
      <w:marBottom w:val="0"/>
      <w:divBdr>
        <w:top w:val="none" w:sz="0" w:space="0" w:color="auto"/>
        <w:left w:val="none" w:sz="0" w:space="0" w:color="auto"/>
        <w:bottom w:val="none" w:sz="0" w:space="0" w:color="auto"/>
        <w:right w:val="none" w:sz="0" w:space="0" w:color="auto"/>
      </w:divBdr>
    </w:div>
    <w:div w:id="2102329576">
      <w:marLeft w:val="0"/>
      <w:marRight w:val="0"/>
      <w:marTop w:val="0"/>
      <w:marBottom w:val="0"/>
      <w:divBdr>
        <w:top w:val="none" w:sz="0" w:space="0" w:color="auto"/>
        <w:left w:val="none" w:sz="0" w:space="0" w:color="auto"/>
        <w:bottom w:val="none" w:sz="0" w:space="0" w:color="auto"/>
        <w:right w:val="none" w:sz="0" w:space="0" w:color="auto"/>
      </w:divBdr>
    </w:div>
    <w:div w:id="2103986143">
      <w:marLeft w:val="0"/>
      <w:marRight w:val="0"/>
      <w:marTop w:val="0"/>
      <w:marBottom w:val="0"/>
      <w:divBdr>
        <w:top w:val="none" w:sz="0" w:space="0" w:color="auto"/>
        <w:left w:val="none" w:sz="0" w:space="0" w:color="auto"/>
        <w:bottom w:val="none" w:sz="0" w:space="0" w:color="auto"/>
        <w:right w:val="none" w:sz="0" w:space="0" w:color="auto"/>
      </w:divBdr>
    </w:div>
    <w:div w:id="2105953318">
      <w:marLeft w:val="0"/>
      <w:marRight w:val="0"/>
      <w:marTop w:val="0"/>
      <w:marBottom w:val="0"/>
      <w:divBdr>
        <w:top w:val="none" w:sz="0" w:space="0" w:color="auto"/>
        <w:left w:val="none" w:sz="0" w:space="0" w:color="auto"/>
        <w:bottom w:val="none" w:sz="0" w:space="0" w:color="auto"/>
        <w:right w:val="none" w:sz="0" w:space="0" w:color="auto"/>
      </w:divBdr>
    </w:div>
    <w:div w:id="2106146587">
      <w:marLeft w:val="0"/>
      <w:marRight w:val="0"/>
      <w:marTop w:val="0"/>
      <w:marBottom w:val="0"/>
      <w:divBdr>
        <w:top w:val="none" w:sz="0" w:space="0" w:color="auto"/>
        <w:left w:val="none" w:sz="0" w:space="0" w:color="auto"/>
        <w:bottom w:val="none" w:sz="0" w:space="0" w:color="auto"/>
        <w:right w:val="none" w:sz="0" w:space="0" w:color="auto"/>
      </w:divBdr>
    </w:div>
    <w:div w:id="2107654507">
      <w:marLeft w:val="0"/>
      <w:marRight w:val="0"/>
      <w:marTop w:val="0"/>
      <w:marBottom w:val="0"/>
      <w:divBdr>
        <w:top w:val="none" w:sz="0" w:space="0" w:color="auto"/>
        <w:left w:val="none" w:sz="0" w:space="0" w:color="auto"/>
        <w:bottom w:val="none" w:sz="0" w:space="0" w:color="auto"/>
        <w:right w:val="none" w:sz="0" w:space="0" w:color="auto"/>
      </w:divBdr>
    </w:div>
    <w:div w:id="2110082143">
      <w:marLeft w:val="0"/>
      <w:marRight w:val="0"/>
      <w:marTop w:val="0"/>
      <w:marBottom w:val="0"/>
      <w:divBdr>
        <w:top w:val="none" w:sz="0" w:space="0" w:color="auto"/>
        <w:left w:val="none" w:sz="0" w:space="0" w:color="auto"/>
        <w:bottom w:val="none" w:sz="0" w:space="0" w:color="auto"/>
        <w:right w:val="none" w:sz="0" w:space="0" w:color="auto"/>
      </w:divBdr>
    </w:div>
    <w:div w:id="2113355825">
      <w:marLeft w:val="0"/>
      <w:marRight w:val="0"/>
      <w:marTop w:val="0"/>
      <w:marBottom w:val="0"/>
      <w:divBdr>
        <w:top w:val="none" w:sz="0" w:space="0" w:color="auto"/>
        <w:left w:val="none" w:sz="0" w:space="0" w:color="auto"/>
        <w:bottom w:val="none" w:sz="0" w:space="0" w:color="auto"/>
        <w:right w:val="none" w:sz="0" w:space="0" w:color="auto"/>
      </w:divBdr>
    </w:div>
    <w:div w:id="2114090869">
      <w:marLeft w:val="0"/>
      <w:marRight w:val="0"/>
      <w:marTop w:val="0"/>
      <w:marBottom w:val="0"/>
      <w:divBdr>
        <w:top w:val="none" w:sz="0" w:space="0" w:color="auto"/>
        <w:left w:val="none" w:sz="0" w:space="0" w:color="auto"/>
        <w:bottom w:val="none" w:sz="0" w:space="0" w:color="auto"/>
        <w:right w:val="none" w:sz="0" w:space="0" w:color="auto"/>
      </w:divBdr>
    </w:div>
    <w:div w:id="2114932988">
      <w:marLeft w:val="0"/>
      <w:marRight w:val="0"/>
      <w:marTop w:val="0"/>
      <w:marBottom w:val="0"/>
      <w:divBdr>
        <w:top w:val="none" w:sz="0" w:space="0" w:color="auto"/>
        <w:left w:val="none" w:sz="0" w:space="0" w:color="auto"/>
        <w:bottom w:val="none" w:sz="0" w:space="0" w:color="auto"/>
        <w:right w:val="none" w:sz="0" w:space="0" w:color="auto"/>
      </w:divBdr>
    </w:div>
    <w:div w:id="2115592783">
      <w:marLeft w:val="0"/>
      <w:marRight w:val="0"/>
      <w:marTop w:val="0"/>
      <w:marBottom w:val="0"/>
      <w:divBdr>
        <w:top w:val="none" w:sz="0" w:space="0" w:color="auto"/>
        <w:left w:val="none" w:sz="0" w:space="0" w:color="auto"/>
        <w:bottom w:val="none" w:sz="0" w:space="0" w:color="auto"/>
        <w:right w:val="none" w:sz="0" w:space="0" w:color="auto"/>
      </w:divBdr>
    </w:div>
    <w:div w:id="2118673538">
      <w:marLeft w:val="0"/>
      <w:marRight w:val="0"/>
      <w:marTop w:val="0"/>
      <w:marBottom w:val="0"/>
      <w:divBdr>
        <w:top w:val="none" w:sz="0" w:space="0" w:color="auto"/>
        <w:left w:val="none" w:sz="0" w:space="0" w:color="auto"/>
        <w:bottom w:val="none" w:sz="0" w:space="0" w:color="auto"/>
        <w:right w:val="none" w:sz="0" w:space="0" w:color="auto"/>
      </w:divBdr>
    </w:div>
    <w:div w:id="2122339013">
      <w:marLeft w:val="0"/>
      <w:marRight w:val="0"/>
      <w:marTop w:val="0"/>
      <w:marBottom w:val="0"/>
      <w:divBdr>
        <w:top w:val="none" w:sz="0" w:space="0" w:color="auto"/>
        <w:left w:val="none" w:sz="0" w:space="0" w:color="auto"/>
        <w:bottom w:val="none" w:sz="0" w:space="0" w:color="auto"/>
        <w:right w:val="none" w:sz="0" w:space="0" w:color="auto"/>
      </w:divBdr>
    </w:div>
    <w:div w:id="2124302815">
      <w:marLeft w:val="0"/>
      <w:marRight w:val="0"/>
      <w:marTop w:val="0"/>
      <w:marBottom w:val="0"/>
      <w:divBdr>
        <w:top w:val="none" w:sz="0" w:space="0" w:color="auto"/>
        <w:left w:val="none" w:sz="0" w:space="0" w:color="auto"/>
        <w:bottom w:val="none" w:sz="0" w:space="0" w:color="auto"/>
        <w:right w:val="none" w:sz="0" w:space="0" w:color="auto"/>
      </w:divBdr>
    </w:div>
    <w:div w:id="2125878799">
      <w:marLeft w:val="0"/>
      <w:marRight w:val="0"/>
      <w:marTop w:val="0"/>
      <w:marBottom w:val="0"/>
      <w:divBdr>
        <w:top w:val="none" w:sz="0" w:space="0" w:color="auto"/>
        <w:left w:val="none" w:sz="0" w:space="0" w:color="auto"/>
        <w:bottom w:val="none" w:sz="0" w:space="0" w:color="auto"/>
        <w:right w:val="none" w:sz="0" w:space="0" w:color="auto"/>
      </w:divBdr>
    </w:div>
    <w:div w:id="2138988241">
      <w:marLeft w:val="0"/>
      <w:marRight w:val="0"/>
      <w:marTop w:val="0"/>
      <w:marBottom w:val="0"/>
      <w:divBdr>
        <w:top w:val="none" w:sz="0" w:space="0" w:color="auto"/>
        <w:left w:val="none" w:sz="0" w:space="0" w:color="auto"/>
        <w:bottom w:val="none" w:sz="0" w:space="0" w:color="auto"/>
        <w:right w:val="none" w:sz="0" w:space="0" w:color="auto"/>
      </w:divBdr>
    </w:div>
    <w:div w:id="2142190493">
      <w:marLeft w:val="0"/>
      <w:marRight w:val="0"/>
      <w:marTop w:val="0"/>
      <w:marBottom w:val="0"/>
      <w:divBdr>
        <w:top w:val="none" w:sz="0" w:space="0" w:color="auto"/>
        <w:left w:val="none" w:sz="0" w:space="0" w:color="auto"/>
        <w:bottom w:val="none" w:sz="0" w:space="0" w:color="auto"/>
        <w:right w:val="none" w:sz="0" w:space="0" w:color="auto"/>
      </w:divBdr>
    </w:div>
    <w:div w:id="214292263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102formofenbridgeinc2019l.htm" TargetMode="External"/><Relationship Id="rId13" Type="http://schemas.openxmlformats.org/officeDocument/2006/relationships/hyperlink" Target="a105formofenbridgeinc2019l.htm" TargetMode="External"/><Relationship Id="rId18" Type="http://schemas.openxmlformats.org/officeDocument/2006/relationships/hyperlink" Target="a106enbridgeincdirectorsco.htm" TargetMode="External"/><Relationship Id="rId26" Type="http://schemas.openxmlformats.org/officeDocument/2006/relationships/hyperlink" Target="ei03312021ex321ceocert906.htm" TargetMode="External"/><Relationship Id="rId3" Type="http://schemas.openxmlformats.org/officeDocument/2006/relationships/webSettings" Target="webSettings.xml"/><Relationship Id="rId21" Type="http://schemas.openxmlformats.org/officeDocument/2006/relationships/hyperlink" Target="a221-subsidiaryguarantors.htm" TargetMode="External"/><Relationship Id="rId7" Type="http://schemas.openxmlformats.org/officeDocument/2006/relationships/hyperlink" Target="a102formofenbridgeinc2019l.htm" TargetMode="External"/><Relationship Id="rId12" Type="http://schemas.openxmlformats.org/officeDocument/2006/relationships/hyperlink" Target="a104formofenbridgeinc2019l.htm" TargetMode="External"/><Relationship Id="rId17" Type="http://schemas.openxmlformats.org/officeDocument/2006/relationships/hyperlink" Target="a106enbridgeincdirectorsco.htm" TargetMode="External"/><Relationship Id="rId25" Type="http://schemas.openxmlformats.org/officeDocument/2006/relationships/hyperlink" Target="ei03312021ex312cfocert302.htm" TargetMode="External"/><Relationship Id="rId2" Type="http://schemas.openxmlformats.org/officeDocument/2006/relationships/settings" Target="settings.xml"/><Relationship Id="rId16" Type="http://schemas.openxmlformats.org/officeDocument/2006/relationships/hyperlink" Target="a106enbridgeincdirectorsco.htm" TargetMode="External"/><Relationship Id="rId20" Type="http://schemas.openxmlformats.org/officeDocument/2006/relationships/hyperlink" Target="a221-subsidiaryguarantors.htm" TargetMode="External"/><Relationship Id="rId29" Type="http://schemas.openxmlformats.org/officeDocument/2006/relationships/hyperlink" Target="ei03312021ex322cfocert906.htm" TargetMode="External"/><Relationship Id="rId1" Type="http://schemas.openxmlformats.org/officeDocument/2006/relationships/styles" Target="styles.xml"/><Relationship Id="rId6" Type="http://schemas.openxmlformats.org/officeDocument/2006/relationships/hyperlink" Target="a101formofenbridgeinc2019l.htm" TargetMode="External"/><Relationship Id="rId11" Type="http://schemas.openxmlformats.org/officeDocument/2006/relationships/hyperlink" Target="a104formofenbridgeinc2019l.htm" TargetMode="External"/><Relationship Id="rId24" Type="http://schemas.openxmlformats.org/officeDocument/2006/relationships/hyperlink" Target="ei03312021ex312cfocert302.htm" TargetMode="External"/><Relationship Id="rId5" Type="http://schemas.openxmlformats.org/officeDocument/2006/relationships/hyperlink" Target="a101formofenbridgeinc2019l.htm" TargetMode="External"/><Relationship Id="rId15" Type="http://schemas.openxmlformats.org/officeDocument/2006/relationships/hyperlink" Target="a106enbridgeincdirectorsco.htm" TargetMode="External"/><Relationship Id="rId23" Type="http://schemas.openxmlformats.org/officeDocument/2006/relationships/hyperlink" Target="ei03312021ex311ceocert302.htm" TargetMode="External"/><Relationship Id="rId28" Type="http://schemas.openxmlformats.org/officeDocument/2006/relationships/hyperlink" Target="ei03312021ex322cfocert906.htm" TargetMode="External"/><Relationship Id="rId10" Type="http://schemas.openxmlformats.org/officeDocument/2006/relationships/hyperlink" Target="a103formofenbridgeinc2019l.htm" TargetMode="External"/><Relationship Id="rId19" Type="http://schemas.openxmlformats.org/officeDocument/2006/relationships/hyperlink" Target="a106enbridgeincdirectorsco.htm" TargetMode="External"/><Relationship Id="rId31" Type="http://schemas.openxmlformats.org/officeDocument/2006/relationships/theme" Target="theme/theme1.xml"/><Relationship Id="rId4" Type="http://schemas.openxmlformats.org/officeDocument/2006/relationships/image" Target="file:///E:\projects\LLMs\new_data_collection\data_new\htm\ENBRIDGE%20INC\enb-20210331_g1.jpg" TargetMode="External"/><Relationship Id="rId9" Type="http://schemas.openxmlformats.org/officeDocument/2006/relationships/hyperlink" Target="a103formofenbridgeinc2019l.htm" TargetMode="External"/><Relationship Id="rId14" Type="http://schemas.openxmlformats.org/officeDocument/2006/relationships/hyperlink" Target="a105formofenbridgeinc2019l.htm" TargetMode="External"/><Relationship Id="rId22" Type="http://schemas.openxmlformats.org/officeDocument/2006/relationships/hyperlink" Target="ei03312021ex311ceocert302.htm" TargetMode="External"/><Relationship Id="rId27" Type="http://schemas.openxmlformats.org/officeDocument/2006/relationships/hyperlink" Target="ei03312021ex321ceocert906.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30663</Words>
  <Characters>174784</Characters>
  <Application>Microsoft Office Word</Application>
  <DocSecurity>0</DocSecurity>
  <Lines>1456</Lines>
  <Paragraphs>410</Paragraphs>
  <ScaleCrop>false</ScaleCrop>
  <Company/>
  <LinksUpToDate>false</LinksUpToDate>
  <CharactersWithSpaces>205037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enb-20210331</dc:title>
  <dc:subject/>
  <dc:creator>Chongjian.Yue</dc:creator>
  <cp:keywords/>
  <dc:description/>
  <cp:lastModifiedBy>Yue Chongjian</cp:lastModifiedBy>
  <cp:revision>1</cp:revision>
  <dcterms:created xsi:type="dcterms:W3CDTF">2024-01-04T15:40:00Z</dcterms:created>
  <dcterms:modified xsi:type="dcterms:W3CDTF">2024-01-04T15:40:00Z</dcterms:modified>
</cp:coreProperties>
</file>